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52"/>
        <w:spacing w:after="0" w:line="188" w:lineRule="auto"/>
        <w:tabs>
          <w:tab w:leader="none" w:pos="46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w:t>
      </w:r>
    </w:p>
    <w:p>
      <w:pPr>
        <w:spacing w:after="0" w:line="257" w:lineRule="exact"/>
        <w:rPr>
          <w:sz w:val="24"/>
          <w:szCs w:val="24"/>
          <w:color w:val="auto"/>
        </w:rPr>
      </w:pPr>
    </w:p>
    <w:p>
      <w:pPr>
        <w:ind w:left="460"/>
        <w:spacing w:after="0"/>
        <w:tabs>
          <w:tab w:leader="none" w:pos="3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71" w:lineRule="exact"/>
        <w:rPr>
          <w:sz w:val="24"/>
          <w:szCs w:val="24"/>
          <w:color w:val="auto"/>
        </w:rPr>
      </w:pPr>
    </w:p>
    <w:tbl>
      <w:tblPr>
        <w:tblLayout w:type="fixed"/>
        <w:tblInd w:w="360" w:type="dxa"/>
        <w:tblCellMar>
          <w:top w:w="0" w:type="dxa"/>
          <w:left w:w="0" w:type="dxa"/>
          <w:bottom w:w="0" w:type="dxa"/>
          <w:right w:w="0" w:type="dxa"/>
        </w:tblCellMar>
      </w:tblPr>
      <w:tr>
        <w:trPr>
          <w:trHeight w:val="222"/>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color w:val="auto"/>
                <w:w w:val="88"/>
              </w:rPr>
              <w:t>(Exact name of registrant as specified in its charter)</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88"/>
              </w:rPr>
              <w:t>England and Wales</w:t>
            </w:r>
          </w:p>
        </w:tc>
        <w:tc>
          <w:tcPr>
            <w:tcW w:w="2260" w:type="dxa"/>
            <w:vAlign w:val="bottom"/>
            <w:gridSpan w:val="2"/>
          </w:tcPr>
          <w:p>
            <w:pPr>
              <w:jc w:val="center"/>
              <w:ind w:left="484"/>
              <w:spacing w:after="0"/>
              <w:rPr>
                <w:sz w:val="20"/>
                <w:szCs w:val="20"/>
                <w:color w:val="auto"/>
              </w:rPr>
            </w:pPr>
            <w:r>
              <w:rPr>
                <w:rFonts w:ascii="Arial" w:cs="Arial" w:eastAsia="Arial" w:hAnsi="Arial"/>
                <w:sz w:val="18"/>
                <w:szCs w:val="18"/>
                <w:b w:val="1"/>
                <w:bCs w:val="1"/>
                <w:color w:val="auto"/>
                <w:w w:val="89"/>
              </w:rPr>
              <w:t>Not applicable</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880" w:type="dxa"/>
            <w:vAlign w:val="bottom"/>
            <w:gridSpan w:val="5"/>
          </w:tcPr>
          <w:p>
            <w:pPr>
              <w:jc w:val="center"/>
              <w:ind w:right="18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60" w:type="dxa"/>
            <w:vAlign w:val="bottom"/>
            <w:gridSpan w:val="2"/>
          </w:tcPr>
          <w:p>
            <w:pPr>
              <w:jc w:val="center"/>
              <w:ind w:left="48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w w:val="88"/>
              </w:rPr>
              <w:t>incorporation or organization)</w:t>
            </w:r>
          </w:p>
        </w:tc>
        <w:tc>
          <w:tcPr>
            <w:tcW w:w="22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89"/>
              </w:rPr>
              <w:t>Identification No.)</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2 Pembroke House</w:t>
            </w:r>
          </w:p>
        </w:tc>
        <w:tc>
          <w:tcPr>
            <w:tcW w:w="1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90"/>
              </w:rPr>
              <w:t>Upper Pembroke Street 28-32, Dublin 2, Ireland</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(Address of principal executive offices)</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540" w:type="dxa"/>
            <w:vAlign w:val="bottom"/>
            <w:gridSpan w:val="4"/>
          </w:tcPr>
          <w:p>
            <w:pPr>
              <w:jc w:val="center"/>
              <w:ind w:left="4097"/>
              <w:spacing w:after="0"/>
              <w:rPr>
                <w:sz w:val="20"/>
                <w:szCs w:val="20"/>
                <w:color w:val="auto"/>
              </w:rPr>
            </w:pPr>
            <w:r>
              <w:rPr>
                <w:rFonts w:ascii="Arial" w:cs="Arial" w:eastAsia="Arial" w:hAnsi="Arial"/>
                <w:sz w:val="18"/>
                <w:szCs w:val="18"/>
                <w:b w:val="1"/>
                <w:bCs w:val="1"/>
                <w:color w:val="auto"/>
                <w:w w:val="88"/>
              </w:rPr>
              <w:t>+353 (0) 1 6699 020</w:t>
            </w:r>
          </w:p>
        </w:tc>
        <w:tc>
          <w:tcPr>
            <w:tcW w:w="3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780" w:type="dxa"/>
            <w:vAlign w:val="bottom"/>
            <w:gridSpan w:val="3"/>
          </w:tcPr>
          <w:p>
            <w:pPr>
              <w:jc w:val="center"/>
              <w:ind w:left="636"/>
              <w:spacing w:after="0"/>
              <w:rPr>
                <w:sz w:val="20"/>
                <w:szCs w:val="20"/>
                <w:color w:val="auto"/>
              </w:rPr>
            </w:pPr>
            <w:r>
              <w:rPr>
                <w:rFonts w:ascii="Arial" w:cs="Arial" w:eastAsia="Arial" w:hAnsi="Arial"/>
                <w:sz w:val="14"/>
                <w:szCs w:val="14"/>
                <w:color w:val="auto"/>
                <w:w w:val="86"/>
              </w:rPr>
              <w:t>(Registrant’s telephone number, including area code)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300" w:type="dxa"/>
            <w:vAlign w:val="bottom"/>
            <w:gridSpan w:val="4"/>
          </w:tcPr>
          <w:p>
            <w:pPr>
              <w:jc w:val="center"/>
              <w:ind w:right="7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3"/>
          </w:tcPr>
          <w:p>
            <w:pPr>
              <w:spacing w:after="0"/>
              <w:rPr>
                <w:sz w:val="18"/>
                <w:szCs w:val="18"/>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80" w:type="dxa"/>
            <w:vAlign w:val="bottom"/>
            <w:gridSpan w:val="5"/>
          </w:tcPr>
          <w:p>
            <w:pPr>
              <w:jc w:val="center"/>
              <w:ind w:right="1800"/>
              <w:spacing w:after="0" w:line="201" w:lineRule="exact"/>
              <w:rPr>
                <w:sz w:val="20"/>
                <w:szCs w:val="20"/>
                <w:color w:val="auto"/>
              </w:rPr>
            </w:pPr>
            <w:r>
              <w:rPr>
                <w:rFonts w:ascii="Arial" w:cs="Arial" w:eastAsia="Arial" w:hAnsi="Arial"/>
                <w:sz w:val="18"/>
                <w:szCs w:val="18"/>
                <w:color w:val="auto"/>
                <w:w w:val="87"/>
              </w:rPr>
              <w:t>American Depositary Shares, each representing one Ordinary Share</w:t>
            </w:r>
          </w:p>
        </w:tc>
        <w:tc>
          <w:tcPr>
            <w:tcW w:w="1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gridSpan w:val="5"/>
          </w:tcPr>
          <w:p>
            <w:pPr>
              <w:jc w:val="center"/>
              <w:ind w:right="1800"/>
              <w:spacing w:after="0"/>
              <w:rPr>
                <w:sz w:val="20"/>
                <w:szCs w:val="20"/>
                <w:color w:val="auto"/>
              </w:rPr>
            </w:pPr>
            <w:r>
              <w:rPr>
                <w:rFonts w:ascii="Arial" w:cs="Arial" w:eastAsia="Arial" w:hAnsi="Arial"/>
                <w:sz w:val="18"/>
                <w:szCs w:val="18"/>
                <w:color w:val="auto"/>
                <w:w w:val="86"/>
              </w:rPr>
              <w:t>Ordinary Shares, 50 pence par value per share</w:t>
            </w:r>
          </w:p>
        </w:tc>
        <w:tc>
          <w:tcPr>
            <w:tcW w:w="298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The NASDAQ Stock Market LLC</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00" w:type="dxa"/>
            <w:vAlign w:val="bottom"/>
            <w:gridSpan w:val="4"/>
          </w:tcPr>
          <w:p>
            <w:pPr>
              <w:jc w:val="center"/>
              <w:ind w:right="7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None</w:t>
            </w:r>
          </w:p>
        </w:tc>
        <w:tc>
          <w:tcPr>
            <w:tcW w:w="1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4160" w:type="dxa"/>
            <w:vAlign w:val="bottom"/>
            <w:gridSpan w:val="3"/>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gridSpan w:val="2"/>
          </w:tcPr>
          <w:p>
            <w:pPr>
              <w:spacing w:after="0"/>
              <w:rPr>
                <w:sz w:val="13"/>
                <w:szCs w:val="13"/>
                <w:color w:val="auto"/>
              </w:rPr>
            </w:pPr>
          </w:p>
        </w:tc>
        <w:tc>
          <w:tcPr>
            <w:tcW w:w="7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2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740" w:type="dxa"/>
            <w:vAlign w:val="bottom"/>
            <w:vMerge w:val="continue"/>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740" w:type="dxa"/>
            <w:vAlign w:val="bottom"/>
          </w:tcPr>
          <w:p>
            <w:pPr>
              <w:ind w:left="160"/>
              <w:spacing w:after="0" w:line="207" w:lineRule="exact"/>
              <w:rPr>
                <w:sz w:val="20"/>
                <w:szCs w:val="20"/>
                <w:color w:val="auto"/>
              </w:rPr>
            </w:pPr>
            <w:r>
              <w:rPr>
                <w:rFonts w:ascii="Arial" w:cs="Arial" w:eastAsia="Arial" w:hAnsi="Arial"/>
                <w:sz w:val="18"/>
                <w:szCs w:val="18"/>
                <w:color w:val="auto"/>
                <w:w w:val="94"/>
              </w:rPr>
              <w:t xml:space="preserve">YES </w:t>
            </w:r>
            <w:r>
              <w:rPr>
                <w:rFonts w:ascii="MS PGothic" w:cs="MS PGothic" w:eastAsia="MS PGothic" w:hAnsi="MS PGothic"/>
                <w:sz w:val="18"/>
                <w:szCs w:val="18"/>
                <w:color w:val="auto"/>
                <w:w w:val="94"/>
              </w:rPr>
              <w:t>☐</w:t>
            </w:r>
          </w:p>
        </w:tc>
        <w:tc>
          <w:tcPr>
            <w:tcW w:w="72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4"/>
              </w:rPr>
              <w:t xml:space="preserve">NO  </w:t>
            </w:r>
            <w:r>
              <w:rPr>
                <w:rFonts w:ascii="MS PGothic" w:cs="MS PGothic" w:eastAsia="MS PGothic" w:hAnsi="MS PGothic"/>
                <w:sz w:val="18"/>
                <w:szCs w:val="18"/>
                <w:color w:val="auto"/>
                <w:w w:val="94"/>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500"/>
            <w:col w:w="6360" w:space="720"/>
            <w:col w:w="13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580"/>
            <w:col w:w="160" w:space="40"/>
            <w:col w:w="6200" w:space="720"/>
            <w:col w:w="1920" w:space="14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60"/>
            <w:col w:w="340" w:space="80"/>
            <w:col w:w="160" w:space="180"/>
            <w:col w:w="260" w:space="80"/>
            <w:col w:w="1840"/>
          </w:cols>
          <w:pgMar w:left="240" w:top="230" w:right="239" w:bottom="1440" w:gutter="0" w:footer="0" w:header="0"/>
          <w:type w:val="continuous"/>
        </w:sectPr>
      </w:pPr>
    </w:p>
    <w:p>
      <w:pPr>
        <w:ind w:right="440" w:firstLine="342"/>
        <w:spacing w:after="0" w:line="26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as of June 30, 2015 was approximately $433.3 million, based upon the closing price on the NASDAQ Capital Market reported for such date.</w:t>
      </w:r>
    </w:p>
    <w:p>
      <w:pPr>
        <w:spacing w:after="0" w:line="24" w:lineRule="exact"/>
        <w:rPr>
          <w:sz w:val="24"/>
          <w:szCs w:val="24"/>
          <w:color w:val="auto"/>
        </w:rPr>
      </w:pPr>
    </w:p>
    <w:p>
      <w:pPr>
        <w:ind w:right="660" w:firstLine="342"/>
        <w:spacing w:after="0" w:line="268" w:lineRule="auto"/>
        <w:rPr>
          <w:sz w:val="20"/>
          <w:szCs w:val="20"/>
          <w:color w:val="auto"/>
        </w:rPr>
      </w:pPr>
      <w:r>
        <w:rPr>
          <w:rFonts w:ascii="Arial" w:cs="Arial" w:eastAsia="Arial" w:hAnsi="Arial"/>
          <w:sz w:val="18"/>
          <w:szCs w:val="18"/>
          <w:color w:val="auto"/>
        </w:rPr>
        <w:t>183,074,916 shares held as American Depository Shares (ADS), each representing one Ordinary Share, 50 pence par value per share, and 1,936,818 Ordinary Shares, were outstanding as of February 20, 2016.</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right="160" w:firstLine="342"/>
        <w:spacing w:after="0" w:line="268" w:lineRule="auto"/>
        <w:rPr>
          <w:sz w:val="20"/>
          <w:szCs w:val="20"/>
          <w:color w:val="auto"/>
        </w:rPr>
      </w:pPr>
      <w:r>
        <w:rPr>
          <w:rFonts w:ascii="Arial" w:cs="Arial" w:eastAsia="Arial" w:hAnsi="Arial"/>
          <w:sz w:val="18"/>
          <w:szCs w:val="18"/>
          <w:color w:val="auto"/>
        </w:rPr>
        <w:t>Certain information required to be disclosed in Part III of this report is incorporated by reference from the registrant’s definitive proxy statement to be filed not later than 120 days after the end of the fiscal year covered by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16"/>
          </w:tcPr>
          <w:p>
            <w:pPr>
              <w:ind w:left="70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r>
      <w:tr>
        <w:trPr>
          <w:trHeight w:val="353"/>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64"/>
        </w:trPr>
        <w:tc>
          <w:tcPr>
            <w:tcW w:w="1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180" w:type="dxa"/>
            <w:vAlign w:val="bottom"/>
            <w:gridSpan w:val="10"/>
          </w:tcPr>
          <w:p>
            <w:pPr>
              <w:jc w:val="center"/>
              <w:ind w:right="46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400" w:type="dxa"/>
            <w:vAlign w:val="bottom"/>
          </w:tcPr>
          <w:p>
            <w:pPr>
              <w:spacing w:after="0"/>
              <w:rPr>
                <w:sz w:val="22"/>
                <w:szCs w:val="22"/>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Business</w:t>
              </w:r>
            </w:hyperlink>
          </w:p>
        </w:tc>
        <w:tc>
          <w:tcPr>
            <w:tcW w:w="3880" w:type="dxa"/>
            <w:vAlign w:val="bottom"/>
            <w:gridSpan w:val="17"/>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Risk Factors</w:t>
              </w:r>
            </w:hyperlink>
          </w:p>
        </w:tc>
        <w:tc>
          <w:tcPr>
            <w:tcW w:w="8800" w:type="dxa"/>
            <w:vAlign w:val="bottom"/>
            <w:gridSpan w:val="2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62">
              <w:r>
                <w:rPr>
                  <w:rFonts w:ascii="Arial" w:cs="Arial" w:eastAsia="Arial" w:hAnsi="Arial"/>
                  <w:sz w:val="18"/>
                  <w:szCs w:val="18"/>
                  <w:color w:val="0000EE"/>
                  <w:w w:val="87"/>
                </w:rPr>
                <w:t>Unresolved Staff Comments</w:t>
              </w:r>
            </w:hyperlink>
          </w:p>
        </w:tc>
        <w:tc>
          <w:tcPr>
            <w:tcW w:w="768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680" w:type="dxa"/>
            <w:vAlign w:val="bottom"/>
            <w:gridSpan w:val="2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Properties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Legal Proceedings</w:t>
              </w:r>
            </w:hyperlink>
          </w:p>
        </w:tc>
        <w:tc>
          <w:tcPr>
            <w:tcW w:w="8380" w:type="dxa"/>
            <w:vAlign w:val="bottom"/>
            <w:gridSpan w:val="2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80" w:type="dxa"/>
            <w:vAlign w:val="bottom"/>
            <w:gridSpan w:val="2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Mine Safety Disclosures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11"/>
          </w:tcPr>
          <w:p>
            <w:pPr>
              <w:jc w:val="center"/>
              <w:ind w:right="4580"/>
              <w:spacing w:after="0"/>
              <w:rPr>
                <w:rFonts w:ascii="Arial" w:cs="Arial" w:eastAsia="Arial" w:hAnsi="Arial"/>
                <w:sz w:val="18"/>
                <w:szCs w:val="18"/>
                <w:b w:val="1"/>
                <w:bCs w:val="1"/>
                <w:color w:val="0000EE"/>
                <w:w w:val="99"/>
              </w:rPr>
            </w:pPr>
            <w:hyperlink w:anchor="page66">
              <w:r>
                <w:rPr>
                  <w:rFonts w:ascii="Arial" w:cs="Arial" w:eastAsia="Arial" w:hAnsi="Arial"/>
                  <w:sz w:val="18"/>
                  <w:szCs w:val="18"/>
                  <w:b w:val="1"/>
                  <w:bCs w:val="1"/>
                  <w:color w:val="0000EE"/>
                  <w:w w:val="99"/>
                </w:rPr>
                <w:t>PART II</w:t>
              </w:r>
            </w:hyperlink>
          </w:p>
        </w:tc>
        <w:tc>
          <w:tcPr>
            <w:tcW w:w="40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79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Market For Registrant’s Common Equity, Related Stockholder Matters and Issuer Purchases of Equity Securities</w:t>
              </w:r>
            </w:hyperlink>
          </w:p>
        </w:tc>
        <w:tc>
          <w:tcPr>
            <w:tcW w:w="17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680" w:type="dxa"/>
            <w:vAlign w:val="bottom"/>
            <w:gridSpan w:val="2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Selected Financial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Quantitative and Qualitative Disclosures about Market Risk</w:t>
              </w:r>
            </w:hyperlink>
          </w:p>
        </w:tc>
        <w:tc>
          <w:tcPr>
            <w:tcW w:w="548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680" w:type="dxa"/>
            <w:vAlign w:val="bottom"/>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Changes in and Disagreements with Accountants on Accounting and Financial Disclosure</w:t>
              </w:r>
            </w:hyperlink>
          </w:p>
        </w:tc>
        <w:tc>
          <w:tcPr>
            <w:tcW w:w="33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680" w:type="dxa"/>
            <w:vAlign w:val="bottom"/>
            <w:gridSpan w:val="28"/>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Controls and Procedures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796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452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9680" w:type="dxa"/>
            <w:vAlign w:val="bottom"/>
            <w:gridSpan w:val="2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5"/>
          </w:tcPr>
          <w:p>
            <w:pPr>
              <w:spacing w:after="0"/>
              <w:rPr>
                <w:sz w:val="17"/>
                <w:szCs w:val="17"/>
                <w:color w:val="auto"/>
              </w:rPr>
            </w:pPr>
          </w:p>
        </w:tc>
        <w:tc>
          <w:tcPr>
            <w:tcW w:w="57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680" w:type="dxa"/>
            <w:vAlign w:val="bottom"/>
            <w:gridSpan w:val="2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17"/>
                <w:szCs w:val="17"/>
                <w:color w:val="auto"/>
              </w:rPr>
            </w:pPr>
          </w:p>
        </w:tc>
        <w:tc>
          <w:tcPr>
            <w:tcW w:w="25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680" w:type="dxa"/>
            <w:vAlign w:val="bottom"/>
            <w:gridSpan w:val="2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60" w:type="dxa"/>
            <w:vAlign w:val="bottom"/>
            <w:gridSpan w:val="13"/>
          </w:tcPr>
          <w:p>
            <w:pPr>
              <w:jc w:val="center"/>
              <w:ind w:right="4520"/>
              <w:spacing w:after="0"/>
              <w:rPr>
                <w:rFonts w:ascii="Arial" w:cs="Arial" w:eastAsia="Arial" w:hAnsi="Arial"/>
                <w:sz w:val="18"/>
                <w:szCs w:val="18"/>
                <w:b w:val="1"/>
                <w:bCs w:val="1"/>
                <w:color w:val="0000EE"/>
                <w:w w:val="98"/>
              </w:rPr>
            </w:pPr>
            <w:hyperlink w:anchor="page103">
              <w:r>
                <w:rPr>
                  <w:rFonts w:ascii="Arial" w:cs="Arial" w:eastAsia="Arial" w:hAnsi="Arial"/>
                  <w:sz w:val="18"/>
                  <w:szCs w:val="18"/>
                  <w:b w:val="1"/>
                  <w:bCs w:val="1"/>
                  <w:color w:val="0000EE"/>
                  <w:w w:val="98"/>
                </w:rPr>
                <w:t>PART IV</w:t>
              </w:r>
            </w:hyperlink>
          </w:p>
        </w:tc>
        <w:tc>
          <w:tcPr>
            <w:tcW w:w="400" w:type="dxa"/>
            <w:vAlign w:val="bottom"/>
          </w:tcPr>
          <w:p>
            <w:pPr>
              <w:spacing w:after="0"/>
              <w:rPr>
                <w:sz w:val="24"/>
                <w:szCs w:val="24"/>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440" w:type="dxa"/>
            <w:vAlign w:val="bottom"/>
            <w:gridSpan w:val="1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5"/>
          </w:tcPr>
          <w:p>
            <w:pPr>
              <w:spacing w:after="0"/>
              <w:rPr>
                <w:sz w:val="17"/>
                <w:szCs w:val="17"/>
                <w:color w:val="auto"/>
              </w:rPr>
            </w:pPr>
          </w:p>
        </w:tc>
        <w:tc>
          <w:tcPr>
            <w:tcW w:w="45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111">
              <w:r>
                <w:rPr>
                  <w:rFonts w:ascii="Arial" w:cs="Arial" w:eastAsia="Arial" w:hAnsi="Arial"/>
                  <w:sz w:val="18"/>
                  <w:szCs w:val="18"/>
                  <w:color w:val="0000EE"/>
                  <w:w w:val="93"/>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SPECIAL NOTE REGARDING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INDUSTRY DATA</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 contained in this Annual Report on Form 10-K are forward-looking statements, including statements regarding the progress and timing of our clinical programs, regulatory filings and commercialization activities, and the potential clinical benefits, safety and market potential of our product candidates, as well as more general statements regarding our expectations for future financial and operational performance, regulatory environment, and market trends. In some cases, you can identify forward-looking statements by terminology such as “may,” “would,” “should,” “could,” “expects,” “aims,” “plans,” “anticipates,” “believes,” “estimates,” “predicts,” “projects,” “potential,” or “continue”; the negative of these terms; or other comparable terminology.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expected timing of enrollment, interim results and final results of our REDUCE-IT study;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w:t>
      </w:r>
    </w:p>
    <w:p>
      <w:pPr>
        <w:spacing w:after="0" w:line="12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such statements. These factors include, among other things, those listed under “Risk Factors” in Item 1A of Part I of this Annual Report on Form 10-K and elsewhere in this Annual Report on Form 10-K. These and other factors could cause results to differ materially from those expressed in these forward-looking statements.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Although we believe that the expectations reflected in the forward-looking statements contained in this Annual Report on Form 10-K are reasonable, we cannot guarantee future results, performance, or achievements. Except as required by law, we are under no duty to update or revise any of such forward-looking statements, whether as a result of new information, future events or otherwise, after the date of this Annual Report on Form 10-K.</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indicated, information contained in this Annual Report on Form 10-K concerning our product candidates, the number of patients that may benefit from these product candidates and the potential commercial opportunity for our product candidates, is based on information from independent industry analysts and third-party sources (including industry publications, surveys, and forecasts), our internal research, and management estimates. Management estimates are derived from publicly available information released by independent industry analysts and third-party sources, as well as data from our internal research, and based on assumptions made by us based on such data and our knowledge of such industry, which we believe to be reasonable. None of the sources cited in this Annual Report on Form 10-K has consented to the inclusion of any data from its reports, nor have we sought their consent. Our internal research has not been verified by any independent source, and we have not independently verified any third-party information. While we believe that such information included in this Annual Report on Form 10-K is generally reliable, such information is inherently imprecise. In addition, projections, assumptions, and estimates of our future performance are necessarily subject to a high degree of uncertainty and risk due to a variety of factors, including those described in “Risk Factors” in Item 1A of Part I of this Annual Report on Form 10-K and elsewhere in this Annual Report on Form 10-K.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References in this report to “Amarin,” the “Company,” “we,” “our” and “us” refer to Amarin Corporation plc and its subsidiaries, on a consolidated basis, unless otherwise indicated.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Annual Report on Form 10-K includes the registered and unregistered trademarks and service marks of other parties.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Amarin Corporation plc is a public limited company incorporated under the laws of England and Wales. Amarin Corporation plc was originally incorporated in England as a private limited company on March 1, 1989 under the Companies Act 1985, and re-registered in England as a public limited company on March 19, 1993. Amarin Corporation plc changed its name from Ethical Holdings plc in 1999.</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principal offices are located at 2 Pembroke House, Upper Pembroke Street 28-32, Dublin 2 Ireland. Our registered office is located at One New Change, London EC4M 9AF, England. Our primary office in the United States is located at 1430 Route 206, Bedminster, NJ 07921, USA. Our telephone number at that location is (908) 719-1315.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Annual Report on Form 10-K, our ordinary shares may also be referred to as “common shares” or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our successful study of Vascepa in patients with high triglyceride levels (TG ³200 mg/dL and &lt;500 mg/dL) who are also on statin therapy for elevated low-density lipoprotein cholesterol, or LDL-C, levels which condition we refer to as mixed dyslipidemia.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marketing Vascepa in the United States for the treatment of patients studied in the ANCHOR study based on the federal court declaration described below. Vascepa is available in the United States by prescription only.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its Distributors, that in turn resell Vascepa to retail pharmacies for subsequent resale to patients and healthcare providers. We market Vascepa in the United States through our sales force of approximately 150 sales professionals, including sales representatives and their managers. In March 2014, we entered into a co-promotion agreement in the United States with Kowa Pharmaceuticals America, Inc. under which approximately 250 Kowa Pharmaceuticals America, Inc. sales representatives began to devote a substantial portion of their time to promoting Vascepa starting in May 2014.</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February 2015, we announced an exclusive agreement with Eddingpharm (Asia) Macao Commercial Offshore Limited, or Eddingpharm, to develop and commercialize Vascepa capsules in Mainland China, Hong Kong, Macau and Taiwan, or the China Territory. We are also assessing other partnership opportunities for licensing Vascepa in other territories outside of the United States.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150 mg/dL),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 Heart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Association Scientific Statement on Triglycerides and Cardiovascular Disease </w:t>
      </w:r>
      <w:r>
        <w:rPr>
          <w:rFonts w:ascii="Arial" w:cs="Arial" w:eastAsia="Arial" w:hAnsi="Arial"/>
          <w:sz w:val="16"/>
          <w:szCs w:val="16"/>
          <w:color w:val="auto"/>
        </w:rPr>
        <w:t>(2011), triglycerides provide important information as a marker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The REDUCE-IT study is designed to be completed after reaching 1,612 aggregate cardiovascular events. Based on projected event rates, we estimate the onset of the target aggregate number of cardiovascular events to be reached in or about 2017 with study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and it is our expectation that the trial will run to completion. The DMC has been more frequently examining interim reviews of the safety data from the study. Following each of these reviews, the DMC has communicated to us that we should continue the study as planned. We remain blinded to all data from the study. Over 99% of the approximately 8,000 patients targeted for enrollment in the REDUCE-IT study have been enrolled and we have pre-notified all clinical sites in the REDUCE-IT study of our intention to cease patient enrollment soon. Since patient enrollment commenced in 2011, approximately 20,000 patient years of study experience have been accumulated in REDUCE-IT.</w:t>
      </w:r>
    </w:p>
    <w:p>
      <w:pPr>
        <w:spacing w:after="0" w:line="12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and has thus been considered by FDA to be illegal off-label promotion.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The FDA did not appeal the court’s ruling prior to the October 6, 2015 deadline. The underlying litigation has been stayed for settlement discussion and the parties are working toward settlement. In August 2015, we began to promote Vascepa to healthcare professionals as permitted by this court declaration. While we are permitted to more broadly promote Vascepa based on this court declaration, the FDA-approved labeling for Vascepa did not change based on the court declaration, and neither government nor other third-party coverage or reimbursement to pay for the off-label use of Vascepa promoted under the court declaration was required.</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Commercialization—United States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commenced the commercial launch of Vascepa in the United States in January 2013. We commenced sales and shipments of Vascepa at that time to our network of U.S.-based wholesalers. We now market Vascepa in the United States through our sales force of approximately 150 sales professionals, including sales representatives and their managers. Commencing in May 2014, in addition to promotion by our sales representatives, approximately 250 Kowa Pharmaceuticals America, Inc. sales representatives began promoting Vascepa. We also employ various marketing personnel to support our commercialization of Vascepa.</w:t>
      </w:r>
    </w:p>
    <w:p>
      <w:pPr>
        <w:spacing w:after="0" w:line="9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increased from the high single digits 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2014, to fifteen percent (15%) in 2015, and is scheduled to increase to the low twenty percent levels in 2018, subject to certain adjustments. The term of this co-promotion agreement expires on December 31, 2018, following which Kowa Pharmaceuticals America, Inc. will be entitled to earn tail royalties equal to declining fractions of the co-promotion fee in effect prior to such expiration for periods ranging from one to three years following such expiration.</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December 31, 2015 was approximately 192,000 compared to 169,000, 148,000, 130,000, and 126,000 in the three months ended September 30, 2015, June 30, 2015, March 31, 2015, and December 31, 2014, respectively. According to data from another third party, IMS Health, the estimated number of normalized total Vascepa prescriptions for the three months ended December 31, 2015 was approximately 203,000 compared to 176,000, 157,000, 137,000, and 131,000 in the three months ended September 30, 2015, June 30, 2015, March 31, 2015, and December 31, 2014,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are generally indicative of current prescription trends, these data are based on estimates and should not be relied upon as definitive. While we expect to be able to grow Vascepa revenues over time, no such guidance should be inferred from the operating metrics described above. We also anticipate that such sales growth may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2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August 2015, we and our co-promotion partner began communicating ANCHOR clinical trial data to targeted healthcare professionals. Such qualified communications are being made pursuant to the August 7, 2015 federal district court declaration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Commercialization—Outside the United States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million, including a non-refundable $15.0 million up-front payment received at closing, and development, regulatory and sales-based milestone payments of up to an additional $154.0 million. Eddingpharm will also pay us tiered double-digit percentage royalties on net sales of Vascepa in the China Territory escalating to the high teens. We will supply finished product to Eddingpharm under negotiated terms.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REDUCE-IT is designed to enroll approximately 8,000 patients and enrollment is over 99% complete. We have pre-notified all clinical trial sites in the REDUCE-IT study of our intention to cease further patient enrollment soon. Since patient enrollment commenced in 2011, approximately 20,000 patient years of study experience have been accumulated in REDUCE-IT.</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Completion of the REDUCE-IT study is designed to occur after reaching an aggregate number of cardiovascular events. Based on projected event rates, we estimate the onset of the target aggregate number of cardiovascular events to be reached in or about 2017 with study results then expected to be available in 2018. An interim review of the efficacy and safety results of the trial is scheduled to occur upon reaching 60% of the target aggregate number of cardiovascular events. We currently expect this interim review by the independent data monitoring committee, or DMC, to occur during 2016. As is typical, the statistical threshold for defining overwhelming efficacy on the primary endpoint at the interim analysis is considerably higher than the threshold for defining statistical significance at the end of the study and it is our expectation that the trial will run to completion. In addition, we have instructed the DMC to not recommend stopping the study early based only upon achieving statistical significance for the primary endpoint, but to ensure that statistical significance is also achieved for certain subpopulations before recommending that the study be stopped early for overwhelming efficacy. Amarin remains blinded to all data from the study. Unless overwhelming efficacy and safety is declared by the DMC at the interim look or the study is halted due to a patient safety concern, Amarin personnel will remain blinded to the efficacy and safety data from the REDUCE-IT study until the study is complete. The DMC has periodically reviewed unblinded safety data since initiation of the REDUCE-IT study in 2011 and, after each such meeting to date, has recommended that the study be continued as planned. The pre-specified interim review at 60% of the target aggregate number of cardiovascular events will involve a look by the DMC in closed session at all efficacy and safety data available from the REDUCE-IT study at that time. Interim looks by independent DMCs are common in large, long-term outcomes studies. By design, it is most common for cardiovascular outcomes studies not to be stopped upon an interim look.</w:t>
      </w:r>
    </w:p>
    <w:p>
      <w:pPr>
        <w:spacing w:after="0" w:line="12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is higher than expected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We continue efforts to expand, diversify and enhance our commercial supply chain.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believe that our cash and cash equivalents balance of $107.0 million as of December 31, 2015 is sufficient to fund our projected operations for at least the next twelve months. Depending on the level of cash generated from operations, additional capital may be required to sustain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Lipid Disorders and Cardiovascular Disease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Heart attacks, strokes and other cardiovascular events represent the leading cause of death and disability among men and women in western societies. According to the Heart Disease and Stroke Statistics—2016 Update from the American Heart Association, more than 1 out of every 3 adults in the United States (approximately 86 million) currently lives with one or more types of cardiovascular disease; an estimated 965,000 new or recurrent coronary events and 795,000 new or recurrent strokes occur each year; an estimated 31 million adults ³20 years of age have high total serum cholesterol levels (³240 mg/dL), and an estimated 74 million adults ³20 years of age have borderline high or high low-density lipoprotein (“bad”) cholesterol, or LDL-C, levels (³130 mg/dL).</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to cholesterol, lipoproteins such as LDL also carry fats in the form of triglycerides. Hypertriglyceridemia refers to a condition in which patients have high levels of triglycerides in the bloodstream and has been recognized as an independent risk factor for cardiovascular disease. Triglyceride levels provide important information as a marker associated with the risk for heart disease and stroke, especially when an individual also has low high density lipoprotein cholesterol (HDL-C; often called “good” cholesterol) and elevated levels of LDL-C. The effect of Vascepa on cardiovascular mortality and morbidity in patients with hypertriglyceridemia has not been determined.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Guidelines for the management of very high triglyceride levels (³500 mg/dL) suggest that reducing triglyceride levels is the primary treatment goal in these patients to reduce the risk of acute pancreatitis. Treating LDL-C remains an important secondary goal. Other important parameters to consider in patients with very high triglycerides include levels of apolipoprotein B (apo B), non-HDL-C, very low density lipoprotein cholesterol (VLDL-C), and HDL-C. The effect of Vascepa on the risk for pancreatitis in patients with hypertriglyceridemia has not been determined.</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It is estimated that over 40 million adults in the United States have elevated triglyceride levels </w:t>
      </w:r>
      <w:r>
        <w:rPr>
          <w:rFonts w:ascii="Arial" w:cs="Arial" w:eastAsia="Arial" w:hAnsi="Arial"/>
          <w:sz w:val="18"/>
          <w:szCs w:val="18"/>
          <w:u w:val="single" w:color="auto"/>
          <w:color w:val="auto"/>
        </w:rPr>
        <w:t>&gt;</w:t>
      </w:r>
      <w:r>
        <w:rPr>
          <w:rFonts w:ascii="Arial" w:cs="Arial" w:eastAsia="Arial" w:hAnsi="Arial"/>
          <w:sz w:val="18"/>
          <w:szCs w:val="18"/>
          <w:color w:val="auto"/>
        </w:rPr>
        <w:t>200 mg/dL and approximately 3 to 4 million people in the United States have very high triglyceride levels (³500 mg/dL). Since 1976, mean triglyceride levels have increased, in concert with the growing epidemic of obesity, insulin resistance, and type 2 diabetes mellitus. In contrast, mean LDL-C levels have decreased.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Mixed dyslipidemia refers to a condition in which patients have a combination of two or more lipid abnormalities including elevated triglycerides, low HDL-C, and/or elevated LDL-C. Both hypertriglyceridemia and mixed dyslipidemia are components of a range of lipid disorders collectively referred to as dyslipidemia. Dyslipidemia has been linked to atherosclerosis, commonly referred to as hardening of the arteries.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Current Therapies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It is estimated that approximately 4% or less of U.S. adults with triglyceride levels ³200 mg/dL are currently receiving prescription medication for lowering triglycerides. Many of these patients are taking statin therapy directed primarily at lowering their LDL-C levels.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leading prescription treatments to lower triglyceride levels are fibrates (fenofibrate and gemfibrozil), statins and generic forms of an omega-3 fatty acid mixture known as Lovaza</w:t>
      </w:r>
      <w:r>
        <w:rPr>
          <w:rFonts w:ascii="Arial" w:cs="Arial" w:eastAsia="Arial" w:hAnsi="Arial"/>
          <w:sz w:val="10"/>
          <w:szCs w:val="10"/>
          <w:color w:val="auto"/>
        </w:rPr>
        <w:t>®</w:t>
      </w:r>
      <w:r>
        <w:rPr>
          <w:rFonts w:ascii="Arial" w:cs="Arial" w:eastAsia="Arial" w:hAnsi="Arial"/>
          <w:sz w:val="16"/>
          <w:szCs w:val="16"/>
          <w:color w:val="auto"/>
        </w:rPr>
        <w:t xml:space="preserve"> in the United States and as Omacor</w:t>
      </w:r>
      <w:r>
        <w:rPr>
          <w:rFonts w:ascii="Arial" w:cs="Arial" w:eastAsia="Arial" w:hAnsi="Arial"/>
          <w:sz w:val="10"/>
          <w:szCs w:val="10"/>
          <w:color w:val="auto"/>
        </w:rPr>
        <w:t>®</w:t>
      </w:r>
      <w:r>
        <w:rPr>
          <w:rFonts w:ascii="Arial" w:cs="Arial" w:eastAsia="Arial" w:hAnsi="Arial"/>
          <w:sz w:val="16"/>
          <w:szCs w:val="16"/>
          <w:color w:val="auto"/>
        </w:rPr>
        <w:t xml:space="preserve"> in Europe. The use of fenofibrates can lead to abnormal liver function tests (an increase in ALT (alanine transaminase) or AST (aspartate transaminase), which are liver enzymes, and are commonly measured clinically as a part of a diagnostic liver function test to determine liver health), especially when used with statins. The use of gemfibrozil can lead to rhabdomyolysis (severe breakdown of muscles), especially when used with a statin. Lovaza is comprised of omega-3 ethyl esters, which the FDA has described as a complex mixture of eicosapentaenoic acid, or EPA, docosahexaenoic acid, or DHA, and other fatty acids. We believe that DHA may increase LDL-C levels and thereby partially offset one of the typically desired benefits of lipid-lowering therapies, which is lowering LDL-C. Also, in 2012, the FDA required an update to Lovaza product labeling to reflect the risk that Lovaza may increase the frequency of a heart rhythm problem known as atrial fibrillation, or heart flutter. Also, in 2015, the FDA updated the Trilipix</w:t>
      </w:r>
      <w:r>
        <w:rPr>
          <w:rFonts w:ascii="Arial" w:cs="Arial" w:eastAsia="Arial" w:hAnsi="Arial"/>
          <w:sz w:val="10"/>
          <w:szCs w:val="10"/>
          <w:color w:val="auto"/>
        </w:rPr>
        <w:t>®</w:t>
      </w:r>
      <w:r>
        <w:rPr>
          <w:rFonts w:ascii="Arial" w:cs="Arial" w:eastAsia="Arial" w:hAnsi="Arial"/>
          <w:sz w:val="16"/>
          <w:szCs w:val="16"/>
          <w:color w:val="auto"/>
        </w:rPr>
        <w:t xml:space="preserve"> (a fenofibrate) product labeling and removed combination use with statin therapy in mixed dyslipidemia patients as an indication due to a failed outcomes trial.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Benefits and Market Opportunity for Vascepa</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Vascepa is comprised of not less than 96% pure icosapent ethyl, or ethyl-EPA, and contains no DHA. We believe that the removal of DHA mitigates against the LDL-C raising effect observed in omega-3 compositions that include DHA. Based on the results of the MARINE trial, Vascepa was the first omega-3 based product to demonstrate statistically significant triglyceride reduction without a statistically significant increase in LDL-C in this very high triglyceride population.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results of the MARINE trial and Vascepa’s EPA only/DHA-free composition suggest that Vascepa has the potential to become a “best-in-class” triglyceride-lowering agent in the United States and the European Union. If the REDUCE-IT cardiovascular outcomes study is successful, Vascepa could be the first omega-3 based therapy approved for lowering high triglycerides in patients with mixed dyslipidemia and for prevention of cardiovascular events as an add-on to statin therapy in this population.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believe the potential market for Vascepa is large and growing. We estimate that drug treatment for hypercholesterolemia patients exceeds $66 billion per year in the United States, with sales dominated by statin therapies. U.S. sales of fibrates as a class of products were approximately $3.7 billion in 2015 with generic fenofibrate and gemfibrozil leading the class. U.S. gross sales of prescription omega-3 therapies in 2015 were over $1.4 billion with generic Lovaza leading the class.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MARINE Trial (basis for currently FDA-approved label for Vascepa)</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MARINE trial, the largest study ever conducted with the omega-3 fatty acid ethyl EPA in treating patients with very high triglycerides (³500 mg/dL), was a Phase 3, multi-center, placebo-controlled, randomized, double-blind, 12-week study. Patients were randomized into three treatment arms for treatment with Vascepa 4 gram/day, 2 gram/day or placebo. Patient enrollment in this trial began in December 2009, and enrollment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randomization was completed in August 2010 at 229 patients. The primary endpoint in the trial was the percentage change in triglyceride level from baseline compared to placebo after 12 weeks of treatment. The MARINE study primary endpoint was required to meet a stringent level of statistical significance of 1% (p &lt; 0.01) in our Special Protocol Assessment, or SPA, agreement with the FDA.</w:t>
      </w:r>
    </w:p>
    <w:p>
      <w:pPr>
        <w:spacing w:after="0" w:line="14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November 2010, we reported top-line data for the MARINE trial. In the trial, Vascepa met its primary endpoint at doses of 4 grams and 2 grams per day with median placebo-adjusted reductions in triglyceride levels of 33% (p &lt; 0.0001) compared to placebo for 4 grams and 20% (p = 0.0051) compared to placebo for 2 grams. The median baseline triglyceride levels were 703 mg/dL, 680 mg/dL and 657 mg/dL for the patient groups treated with placebo, 4 grams of Vascepa and 2 grams of Vascepa, respectively.</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 pre-specified secondary analysis in the subgroup of patients with baseline triglyceride &gt; 750 mg/dL, representing 39% of all patients, the effect of Vascepa in reducing triglyceride levels compared to placebo was 45% for 4 grams and 33% for 2 grams, both statistically significant (p = 0.0001 for 4 grams and p= 0.0016 for 2 grams, respectively). The median baseline triglyceride levels in this subgroup were 1052 mg/dL, 902 mg/dL and 948 mg/dL for placebo, 4-gram and 2-gram groups, respectively. Twenty-five percent of patients in this trial were also on background statin therapy. These patients had greater median reduction in triglyceride levels, which was also statistically significant.</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Importantly, the significant reduction in triglycerides was not associated with a statistically significant increase in median LDL-C compared to placebo at either dose (-2.3% for the 4-gram group and +5.2% for the 2-gram group [both p=NS]). In addition, there was a statistically significant decrease in median non-HDL-C (total cholesterol less so-called “good cholesterol”) compared to placebo with both of the Vascepa treated groups (-18% for the 4-gram group [p &lt; 0.001] and -8% for the 2-gram group [p &lt; 0.05]).</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MARINE trial results also included statistically significant reductions compared to placebo in several important lipid and inflammatory biomarkers, including apo B (apolipoprotein B) (8.5%), Lp-PLA2 (lipoprotein-phospholipase A2) (13.6%), VLDL-C (very low-density lipoprotein cholesterol) (28.6%), Total Cholesterol (16.3%), and hsCRP (high-sensitivity C-reactive protein) (36.0%) at the 4-gram dose. For these achieved endpoints, p-values were &lt;0.01 for most and &lt;0.05 for all. Apo B (apolipoprotein B) is believed to be a sensitive biomarker of cardiovascular risk and may be a better predictor of cardiovascular risk than LDL-C. Lp-PLA2 is an enzyme found in blood and atherosclerotic plaque; high levels have been implicated in the development and progression of atherosclerosis. In a post-hoc analysis of MARINE study data, Vascepa 4 g/day and 2 g/day statistically significantly reduced ApoC-III levels by 25.1% (p &lt;</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0.0001) and 14.3% (p=0.0154) versus placebo, respectively. In the MARINE trial, patients treated with 4 grams per day of Vascepa experienced a significant reduction in median placebo-adjusted lipoprotein particle concentrations of total LDL and small LDL. When looking at lipoprotein particle concentrations and sizes as measured with nuclear magnetic resonance spectroscopy, Vascepa 4 grams per day, compared with placebo, significantly reduced median total LDL particle count by 16.3% (p=0.0006), which is an important factor in atherogenesis. LDL particle count and apo B are important risk markers for the prediction of cardiovascular events. Small LDL particle count, which is a common risk factor for cardiovascular events in patients with diabetes, was reduced by 25.6% (p&lt;0.0001) compared with placebo. Vascepa 2 grams per day, compared with placebo, significantly reduced median small LDL particle count by 12.8% (p &lt;0.05) and reduced median total LDL particle count by 1.1% (NS). LDL particle size did not change significantly for the 2 or 4 gram per day doses.</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Vascepa was well tolerated in the MARINE trial, with a safety profile comparable to placebo and there were no treatment-related serious adverse events observed. No patient discontinued treatment of Vascepa during this study due to Vascepa-related adverse events. No significant changes in fasting blood glucose, hemoglobin A1C, vital signs, electrocardiograms, or liver or kidney function were observed with either Vascepa dose.</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Patients enrolled in the MARINE trial were given the option to be treated with Vascepa for a period of up to 40 weeks after their last dose in the double-blind portion of the trial. Once participants completed the randomized, double blind, placebo-controlled 12-week MARINE registration trial, patients in all three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randomized groups (4 grams, 2 grams and placebo) were offered the opportunity to participate in the open label extension, or OLE, phase. Patients in the OLE phase received 4 grams per day of Vascepa for a period of up to an additional 40 weeks. As is typical of such extension phases, the OLE phase was not a controlled trial, as differentiated from the randomized, double blind, placebo-controlled 12-week MARINE registration trial. In the OLE phase, participants were not randomized at entry, Vascepa administration was open-label (and thus not blinded), and no placebo group was maintained. Also, once patients entered in the OLE phase, investigators were free to add or modify other lipid-altering nutritional, lifestyle and drug treatment regimens. Given the lack of randomization, the open-label design, the addition of various other lipid-altering drugs and changes to doses of existing lipid-altering drugs, as well as the lack of placebo control, neither we nor our independent advisors were able to draw efficacy conclusions from the data. However, we have concluded that the MARINE OLE phase revealed no new safety signals after an additional 40 weeks of exposure to Vascepa, whether used alone or in combination with other lipid-altering regimens.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ANCHOR Trial (promoted in the United States under court declaration)</w:t>
      </w:r>
    </w:p>
    <w:p>
      <w:pPr>
        <w:spacing w:after="0" w:line="90"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ANCHOR trial was a multi-center, placebo-controlled, randomized, double-blind, 12-week pivotal study in patients with high triglycerides (³200 and &lt;500 mg/dL) who were also receiving optimized statin therapy. Patients were randomized into three arms for treatment with Vascepa 4 gram/day, 2 gram/day or placebo. Patient enrollment in this trial began in January 2010, and enrollment and randomization was completed in February 2011 at 702 patients. The primary endpoint in the trial was the percentage change in triglyceride level from baseline compared to placebo after 12 weeks of treatment.</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April 2011, we reported top-line results from the ANCHOR trial. The ANCHOR trial met its primary endpoint at doses of 4 grams and 2 grams per day with median placebo-adjusted reductions in triglyceride levels of 21.5% (p&lt;0.0001 value) for 4 grams and 10.1% (p=0.0005) for 2 grams. The median baseline triglyceride levels were 259 mg/dL, 265 mg/dL and 254 mg/dL for the patient groups treated with placebo, 4 grams and 2 grams of Vascepa per day, respectively. The analysis of subgroups by baseline triglyceride tertiles showed that higher baseline triglycerides resulted in greater triglyceride reductions.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One of the trial’s secondary endpoints was to demonstrate a lack of elevation in LDL-C, the primary target of cholesterol lowering therapy. The trial’s non-inferiority criterion for LDL-C was met at both Vascepa doses. The upper confidence boundaries for both doses were below the pre-specified +6% LDL-C threshold limit. At the 4-gram dose the upper confidence boundary was below zero (-1.7%) and at the 2-gram dose the upper confidence boundary was close to zero (0.5%). For the 4 grams per day group, LDL-C decreased significantly by 6.2% from baseline versus placebo, demonstrating superiority over placebo (p=0.0067). For the 2-gram group, LDL-C decreased by 3.6% from baseline versus placebo (p=0.0867), which is not a statistically significant decrease.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secondary efficacy endpoints included the median placebo-adjusted percent change in non-high-density lipoprotein cholesterol (non-HDL-C), apolipoprotein B (apo B), and lipoprotein-associated phospholipase A2 (Lp-PLA2). The 4-gram dose was associated with statistically significant reductions in non-HDL-C (13.6%, p&lt;0.0001), apo B (9.3%, p&lt;0.0001), Lp-PLA2 (19%, p&lt;0.0001) and high-sensitivity C-reactive protein (hsCRP) (22%, p&lt;0.001), at week 12 compared to placebo. A recently published analysis showed that the Vascepa 4-gram daily dose in the ANCHOR study also significantly decreased levels of the inflammatory marker oxidized low-density lipoprotein relative to placebo by 13% (p &lt; 0.0001). In a separate, post-hoc analysis of study data, Vascepa 4 g/day statistically significantly reduced ApoC-III levels by 25.1% in MARINE (p &lt; 0.0001) and by 19.2% in ANCHOR (p &lt; 0.0001) versus placebo.</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Vascepa was well tolerated in the ANCHOR trial with a safety profile comparable to placebo and there were no treatment-related serious adverse events observed. No significant changes in fasting blood glucose, hemoglobin A1C, vital signs, electrocardiograms, or liver or kidney function were observed with either Vascepa dose. The safety results from the ANCHOR trial are included in the current FDA-approved label for Vascepa.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April 2015, we received a Complete Response Letter, or CRL, from the FDA in response to our supplemental new drug application, or sNDA, that sought approval of Vascepa for use in patients with mixed 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and has thus been considered by FDA to be illegal off-label promotion.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The FDA did not appeal the court’s ruling prior to the October 6, 2015 deadline. The underlying litigation has been stayed for settlement discussion and the parties are working toward settlement. In August 2015, we began to promote Vascepa to healthcare professionals as permitted by this court declaration. While we are permitted to more broadly promote Vascepa based on this court declaration, the FDA-approved labeling for Vascepa did not change based on the court declaration, and neither government nor other third-party coverage or reimbursement to pay for the off-label use of Vascepa promoted under the court declaration was required.</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Efficacy of Ethyl-EPA</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Japan, ethyl-EPA is marketed under the product name of Epadel by Mochida Pharmaceutical Co. and is indicated for hyperlipidemia and peripheral vascular disease. Clinical data from Japan suggests that Epadel is effective in reducing triglycerides. In addition, in an outcomes study called the Japan EPA Lipid Intervention Study, or JELIS study, which consisted of more than 18,000 patients followed over multiple years, Epadel, when used in conjunction with statins, was shown to reduce cardiovascular events by 19% compared to the use of statins alone. In this study, cardiovascular events decreased by approximately 53% compared to statins alone in the subset of primary prevention patients with triglyceride levels of ³150 mg/dL (median of 272 mg/dL at entry) and HDL-C &lt;40 mg/dL. Epadel has been approved and available by prescription in Japan for over a decade. In 2013, the Japan Ministry of Health approved Epadel for over-the-counter sales. JELIS provides supportive but not conclusive data that EPA drug therapy may reduce major coronary events. JELIS results cannot be generalized to populations outside of Japan due to limitations in the study’s design. Further study is needed, such as the REDUCE-IT study, to determine the clinical benefit, if any, of EPA therapy in statin-treated patients with elevated triglyceride levels.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Observed Clinical Safety of Vascepa</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Prior to commencing the MARINE and ANCHOR trials, we conducted a pre-clinical program for Vascepa, including toxicology and pharmacology studies. In addition, we previously investigated Vascepa in central nervous system disorders in several double-blind, placebo-controlled studies, including Phase 3 trials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Huntington’s disease. Over 1,000 patients have been dosed with Vascepa in these studies, with over 100 receiving continuous treatment for a year or more. In all studies performed to date, Vascepa has shown a favorable safety and tolerability profile. In both the MARINE and ANCHOR trials, patients dosed with Vascepa demonstrated a safety profile similar to placebo. There were no treatment-related serious adverse events in the MARINE study or in the ANCHOR study. In the MARINE and ANCHOR trials, the most commonly reported adverse reaction (incidence &gt;2% and greater than placebo) in Vascepa treated patients was arthralgia (joint pain) (2.3% for Vascepa vs. 1.0% for placebo). There was no reported adverse reaction &gt; 3% and greater than placebo.</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to the MARINE and ANCHOR trials, we completed a 28-day pharmacokinetic study in healthy volunteers, a 26-week study to evaluate the toxicity of Vascepa in transgenic mice and multiple pharmacokinetic drug-drug interaction studies in healthy subjects in which we evaluated the effect of Vascepa on certain common prescription drugs. All findings from these studies were consistent with our expectations and confirmed the overall safety profile of Vascepa.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REDUCE-IT Study (currently ongoing cardiovascular outcomes study)</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August 2011, we reached agreement with the FDA on an SPA for the design of the REDUCE-IT (Reduction of Cardiovascular Events with EPA— Intervention Trial) cardiovascular outcomes study. In May 2013, we amended the patient enrollment criteria within the SPA agreement with the FDA. An SPA is an evaluation by the FDA of a protocol with the goal of reaching an agreement that the Phase 3 trial protocol design, clinical endpoints, and statistical analyses are acceptable to support regulatory approval. The FDA agreed that, based on the information we submitted to the agency, the design and planned analysis of the REDUCE-IT study adequately addressed the objectives necessary to support a regulatory submission. An SPA is generally binding upon the FDA unless a substantial scientific issue essential to determining safety or efficacy of the drug is identified after the testing begins. Moreover, any change to a study protocol can invalidate an SPA.</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September 2011, we engaged a clinical research organization, or CRO, and began initial trial and clinical site preparation for REDUCE-IT. In December 2011, we announced that the first patient was dosed in the study. The study duration is dependent on the rate of clinical events in the study which rate may be affected by the number of patients enrolled in the study, the epidemiology of the patients enrolled in the study, and the length of time that the enrolled patients are followed.</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REDUCE-IT study is designed to evaluate the efficacy of Vascepa in reducing major cardiovascular events in an at-risk patient population also receiving statin therapy. REDUCE-IT is a multi-center, prospective, randomized, double-blind, placebo-controlled, parallel-group study to evaluate the effectiveness of Vascepa, as an add-on to statin therapy, in reducing first major cardiovascular events in an at-risk patient population compared to statin therapy alone. The control arm of the study is comprised of patients on optimized statin therapy plus placebo. The active arm of the study is comprised of patients on optimized statin therapy plus Vascepa. All subjects enrolled in the study will have elevated triglyceride levels and either coronary heart disease or risk factors for coronary heart disease. This study is being conducted internationally.</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REDUCE-IT is designed to enroll approximately 8,000 patients and enrollment is over 99% complete. We have pre-notified all clinical trial sites in the REDUCE-IT study of our intention to cease further patient enrollment soon. Since patient enrollment commenced in 2011, approximately 20,000 patient years of study experience have been accumulated in REDUCE-IT. Completion of the REDUCE-IT study is designed to occur after reaching an aggregate number of cardiovascular events. Based on projected event rates, we estimate the onset of the target aggregate number of cardiovascular events to be reached in or about 2017 with study results then expected to be available in 2018. An interim review of the efficacy and safety results of the trial is scheduled to occur upon reaching 60% of the target aggregate number of cardiovascular events. We currently expect this interim review by the independent data monitoring committee, or DMC, to occur during 2016. As is typical, the statistical threshold for defining overwhelming efficacy on the primary endpoint at the interim analysis is considerably higher than the threshold for defining statistical significance at the end of the study and 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is our expectation that the trial will run to completion. Amarin remains blinded to all data from the study. Unless overwhelming efficacy and safety is declared by the DMC at the interim look or the study is halted due to a patient safety concern, Amarin personnel will remain blinded to the efficacy and safety data from the REDUCE-IT study until the study is complete. The DMC has periodically reviewed unblinded safety data since initiation of the REDUCE-IT study in 2011 and, after each such meeting to date, has recommended that the study be continued as planned. The pre-specified interim review at 60% of the target aggregate number of cardiovascular events will involve a look by the DMC in closed session at all efficacy and safety data available from the REDUCE-IT study at that time. Interim looks by independent DMCs are common in large, long-term outcomes studies. By design, it is most common for cardiovascular outcomes studies not to be stopped upon an interim look.</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2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currently expect that final positive results of the REDUCE-IT study will be required for FDA label expansion of Vascepa. Based on the results of REDUCE-IT, we may seek additional indications for Vascepa beyond the indications studied in the ANCHOR and MARINE trials such as potential indicated uses for prevention of cardiovascular events, although there can be no assurance as to whether the results of the study will support any such indication.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Lipid Compounds and other Preclinical Programs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are also considering development of other next generation compounds based on our internal lipid science expertise, including potential combination and derivative therapies.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August 2013, we completed dosing of AMR102, a fixed dose combination of Vascepa and a leading statin product. The study is a randomized, open-label, single-dose, 4-way cross-over study to continue testing of the relative bioavailability of AMR102 capsules, Vascepa capsules with the selected statin taken concomitantly, Vascepa taken alone and the selected statin taken alone. The results of this study support the feasibility of AMR102. We have suspended additional development of AMR102 pending FDA approval of label expansion of Vascepa, anticipated to occur no sooner than after FDA review of the results from the REDUCE-IT study.</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Vascepa and other lipid-based compositions may have an impact on a number of biological factors in the body such as anti-inflammatory mechanisms, cell membrane composition and plasticity, triglyceride levels and regulation of glucose metabolism. Currently all other development activities are at formulation or pre-clinical stages.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for Vascepa</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use third-party manufacturers and suppliers to manufacture clinical and commercial quantities of ethyl-EPA, which constitutes the only active pharmaceutical ingredient, or API, within Vascepa, to encapsulate, bottle and package Vascepa and to maintain inventory of Vascepa. The FDA approval of Vascepa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July 2012 included the approval of one API manufacturer, Nisshin Pharma, Inc., or Nisshin, and one API encapsulator, Patheon, Inc., or Patheon (formerly Banner Pharmacaps Europe BV). Nisshin and Patheon are the API manufacturer and API encapsulator, respectively, with which we have had the longest working relationships. Their facilities were approved by the FDA following successful preapproval inspections and they remain active producers of Vascepa.</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currently rely on Patheon and Capsugel for the encapsulation of Vascepa and we have an encapsulation agreement with one other qualified commercial API encapsulator.</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purchasing API from Nisshin, we have also purchased API from Chemport, Inc., or Chemport. In December 2012, we announced our submissions of two sNDAs to the FDA seeking approval for Chemport and BASF (formerly Equateq Limited) as additional Vascepa API suppliers. In April 2013, the FDA approved our sNDAs covering Chemport and BASF as additional Vascepa API suppliers. On December 30, 2013, we issued a notice of termination of our API agreement to BASF as a result of BASF’s non-compliance with the terms of such agreement period and the agreement subsequently terminated in the first quarter of 2014. BASF remains an approved API supplier. In December 2012, we announced an agreement with an exclusive consortium of companies led by Slanmhor Pharmaceutical, Inc., or Slanmhor. We submitted a sNDA in August 2013 seeking FDA approval for this supplier to manufacture Vascepa API and in July 2014 the FDA approved our sNDA for Slanmhor as an API supplier. In July 2014, we terminated the supply agreement with Slanmhor and subsequently, in July 2015, entered into a new supply agreement with Finorga SAS (DBA Novasep), a French company. API manufactured by Finorga (Novasep) was previously approved by the FDA in July 2014.</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API material that constitutes ethyl-EPA is a naturally occurring substance which is sourced from qualified producers of fish oil. A limited number of other manufacturers have the ability, scale, know-how and suitable facilities to produce ethyl-EPA to a similar level of purity. Among the conditions for FDA approval of a pharmaceutical product is the requirement that the manufacturer’s quality control and manufacturing procedures conform to pharmaceutical current Good Manufacturing Practice, or cGMP, which must be followed at all times. The FDA typically inspects manufacturing facilities before regulatory approval of a product candidate, such as Vascepa, and on a periodic basis after the initial approval. In complying with cGMP regulations, pharmaceutical manufacturers must expend resources and time to ensure compliance with product specifications as well as production, record keeping, quality control, reporting, and other regulatory requirements.</w:t>
      </w:r>
    </w:p>
    <w:p>
      <w:pPr>
        <w:spacing w:after="0" w:line="147"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Some of our agreements with our API suppliers are exclusive and may include minimum purchase commitments. During 2014 and 2015, we fully met the aggregate minimum purchase requirements for metric tons of API contained in our supply agreements. We may purchase more than the minimum requirements. Certain of these agreements contemplate phased capacity expansion aimed at creating sufficient capacity to meet anticipated demand for API material for Vascepa. These contracts contain provisions for making lesser payments to these suppliers in lieu of purchasing the full minimum purchase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Commercialization Plans</w:t>
      </w:r>
    </w:p>
    <w:p>
      <w:pPr>
        <w:spacing w:after="0" w:line="9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In January 2013, we commenced our full commercial launch of Vascepa in the United States for use in the MARINE indication with a direct sales force of approximately 275 sales representatives. In October 2013, we lowered our number of sales representatives to approximately 130, excluding sales management, in the United States to focus on the sales territories that we believe have demonstrated the greatest potential for Vascepa sales growth. We now market Vascepa in the United States through our sales force of approximately 150 sales professionals, including sales representatives and their managers. We also employ various marketing and medical affairs personnel to support our commercialization of Vascepa. We currently target clinicians who are top prescribers of lipid regulating therapies. Commencing in May 2014, in addition to promotion by our sales representatives, approximately 250 Kowa Pharmaceuticals America, Inc. sales representatives began promoting Vascepa in the United States. We also employ various marketing personnel to support our commercialization of Vascepa.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In February 2015, we entered into a commercialization agreement with Eddingpharm (Asia) Macao Commercial Offshore Limited, or Eddingpharm, related to the development and commercialization of Vascepa in Mainland China, Hong Kong, Macau and Taiwan, or the China Territory. Under this agreement, Eddingpharm is solely responsible for development and commercialization activities in the China Territory and associated expenses. Significant commercialization of Vascepa in the China Territory is several years away.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0"/>
          <w:szCs w:val="10"/>
          <w:color w:val="auto"/>
        </w:rPr>
        <w:t>®</w:t>
      </w:r>
      <w:r>
        <w:rPr>
          <w:rFonts w:ascii="Arial" w:cs="Arial" w:eastAsia="Arial" w:hAnsi="Arial"/>
          <w:sz w:val="16"/>
          <w:szCs w:val="16"/>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0"/>
          <w:szCs w:val="10"/>
          <w:color w:val="auto"/>
        </w:rPr>
        <w:t>®</w:t>
      </w:r>
      <w:r>
        <w:rPr>
          <w:rFonts w:ascii="Arial" w:cs="Arial" w:eastAsia="Arial" w:hAnsi="Arial"/>
          <w:sz w:val="16"/>
          <w:szCs w:val="16"/>
          <w:color w:val="auto"/>
        </w:rPr>
        <w:t xml:space="preserve"> and Trilipix</w:t>
      </w:r>
      <w:r>
        <w:rPr>
          <w:rFonts w:ascii="Arial" w:cs="Arial" w:eastAsia="Arial" w:hAnsi="Arial"/>
          <w:sz w:val="10"/>
          <w:szCs w:val="10"/>
          <w:color w:val="auto"/>
        </w:rPr>
        <w:t>®</w:t>
      </w:r>
      <w:r>
        <w:rPr>
          <w:rFonts w:ascii="Arial" w:cs="Arial" w:eastAsia="Arial" w:hAnsi="Arial"/>
          <w:sz w:val="16"/>
          <w:szCs w:val="16"/>
          <w:color w:val="auto"/>
        </w:rPr>
        <w:t xml:space="preserve"> for the treatment of severe hypertriglyceridemia and mixed dyslipidemia and Niaspan</w:t>
      </w:r>
      <w:r>
        <w:rPr>
          <w:rFonts w:ascii="Arial" w:cs="Arial" w:eastAsia="Arial" w:hAnsi="Arial"/>
          <w:sz w:val="10"/>
          <w:szCs w:val="10"/>
          <w:color w:val="auto"/>
        </w:rPr>
        <w:t>®</w:t>
      </w:r>
      <w:r>
        <w:rPr>
          <w:rFonts w:ascii="Arial" w:cs="Arial" w:eastAsia="Arial" w:hAnsi="Arial"/>
          <w:sz w:val="16"/>
          <w:szCs w:val="16"/>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2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we believe Pronova/BASF granted Apotex a license to enter the U.S. market with a generic version of Lovaza in the first quarter of 2015, the details of which are not known to us. In the first quarter of 2015, Prasco Labs announced it also has a generic version of Lovaza. Also in 2015, two additional manufacturers, AvKare Inc., and Amneal Pharmaceuticals, commenced the sale of generic versions of Lovaza.</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assess the safety and efficacy of its omega-3 prescription drug candidate derived from krill oil for the treatment of hypertriglyceridemia. Acasti has not finalized its definitive Phase 3 program and overall costs and timelines are still contingent upon FDA direction. However, based on their preliminary discussions with FDA, along with Acasti’s intent to do a pivotal bioavailability bridging study, Acasti believes that a Phase 3 trial could be initiated in the next 18 months.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which was completed in May 2015 and subsequently deprioritized and placed on hold in June 2015 and Sancilio is preparing to commence Phase 3 clinical testing in 2016.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Ionis (formerly Isis) Pharmaceuticals and Akcea Therapeutics, its subsidiary announced favorable Phase 2 results of volanesorsen (formerly called ISIS-APOCIII</w:t>
      </w:r>
      <w:r>
        <w:rPr>
          <w:rFonts w:ascii="Arial" w:cs="Arial" w:eastAsia="Arial" w:hAnsi="Arial"/>
          <w:sz w:val="20"/>
          <w:szCs w:val="20"/>
          <w:color w:val="auto"/>
          <w:vertAlign w:val="subscript"/>
        </w:rPr>
        <w:t>Rx</w:t>
      </w:r>
      <w:r>
        <w:rPr>
          <w:rFonts w:ascii="Arial" w:cs="Arial" w:eastAsia="Arial" w:hAnsi="Arial"/>
          <w:sz w:val="16"/>
          <w:szCs w:val="16"/>
          <w:color w:val="auto"/>
        </w:rPr>
        <w:t>)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12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Vascepa also faces competition from dietary supplement companies marketing omega-3 products as nutritional supplements. We cannot be sure physicians and pharmacists will view the FDA-approved prescription-only status, EPA-only purity of Vascepa and stringent regulatory oversight as significant advantages versus omega-3 supplements.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expect that generic drug companies will seek to challenge the validity and enforceability of our patents and work toward FDA approval for generic versions of Vascepa.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 and Regulatory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product development activities related to Vascepa or products that we may develop or acquire in the future will be subject to extensive regulation by various government authorities, including the FDA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generated in two distinct development stages: pre-clinical and clinical. Drugs must be approved by the FDA through the NDA process before they are first marketed in the United States. For new chemical entities, the pre-clinical development stage generally involves synthesizing the active component, developing the formulation and determining the manufacturing process, as well as carrying out non-human toxicology, pharmacology and drug metabolism studies which support subsequent clinical testing.</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clinical stage of development can generally be divided into Phase 1, Phase 2 and Phase 3 clinical trials. In Phase 1, generally, a small number of healthy volunteers are initially exposed to a single dose and then multiple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Phase 3 trials generally involve large numbers of patients at multiple sites, in multiple countries and are designed to provide the pivotal data necessary to demonstrate the effectiveness of the product for its intended use, its safety in use, and may include comparisons with placebo and/or other comparator treatments. The duration of treatment is often extended to mimic the actual use of a product during marketing.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Drug Development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Prior to the start of human clinical studies for a new drug in the United States, preclinical laboratory and animal tests are often performed under the FDA’s Good Laboratory Practices regulations, or GLP, and an investigational new drug application, or IND, is filed with the FDA. Similar filings are required in other countries; however, data requirements and other information needed for a complete submission may differ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studies, it may suspend or terminate the study at any time. Studies must be conducted in accordance with good clinical practice and regular reporting of study progress and any adverse experiences is required. Studies are also subject to review by independent institutional review boards, or IRBs, responsible for overseeing studies at particular sites and protecting human research study subjects. An independent IRB may also suspend or terminate a study once initiated.</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Following trial completion, trial data is analyzed to determine safety and efficacy. Data is then filed with the FDA in an NDA along with proposed labeling for the product and information about the manufacturing and testing processes and facilities that will be used to ensure product quality. The NDA must contain proof of safety, purity, potency and efficacy, which entails extensive pre-clinical and clinical testing. FDA approval of an NDA must be obtained before first marketing of a drug in the United States.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FDA will likely re-analyze the clinical trial data, which could result in iterative discussions between the FDA and us during the review process. The review and evaluation of applications by the FDA is extensive and time consuming and may take longer than originally planned to complete. The FDA may conduct a pre-approval inspection of the manufacturing facilities for the new product to determine whether they comply with current good manufacturing practice requirements and may also audit data from clinical and pre-clinical trials.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There is no assurance that the FDA will ultimately approve a drug product for marketing in the United States. Even if future indications for Vascepa are approved, the FDA’s review will be lengthy and we may encounter significant difficulties or costs during the review process. After approving any drug product, the FDA may require post-marketing testing and surveillance to monitor the effects of approved products or it may place conditions on approvals including potential requirements or risk management plans that could restrict the commercial promotion, distribution, prescription or dispensing of products. Product approvals may be withdrawn for non-compliance with regulatory standards or if problems occur following initial marketing.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Off-label Promotion in the United States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Federal Food, Drug, and Cosmetic Act, or FDCA, has been interpreted by the FDA to make it illegal for pharmaceutical companies to promote their products for uses that have not been approved by the FDA. Companies that market drugs for so called off-label uses or indications have been subject to related costly litigation, criminal penalties and civil liability under the False Claims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The lawsuit, captioned </w:t>
      </w:r>
      <w:r>
        <w:rPr>
          <w:rFonts w:ascii="Arial" w:cs="Arial" w:eastAsia="Arial" w:hAnsi="Arial"/>
          <w:sz w:val="16"/>
          <w:szCs w:val="16"/>
          <w:i w:val="1"/>
          <w:iCs w:val="1"/>
          <w:color w:val="auto"/>
        </w:rPr>
        <w:t>Amarin Pharma, Inc., et al. v. Food &amp; Drug</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Administration, et al.</w:t>
      </w:r>
      <w:r>
        <w:rPr>
          <w:rFonts w:ascii="Arial" w:cs="Arial" w:eastAsia="Arial" w:hAnsi="Arial"/>
          <w:sz w:val="16"/>
          <w:szCs w:val="16"/>
          <w:color w:val="auto"/>
        </w:rPr>
        <w:t>, S.D.N.Y. (1:15-cv-03588-PAE), was filed in the United States District Court for the Southern District of New York. In the lawsuit, we</w:t>
      </w:r>
      <w:r>
        <w:rPr>
          <w:rFonts w:ascii="Arial" w:cs="Arial" w:eastAsia="Arial" w:hAnsi="Arial"/>
          <w:sz w:val="16"/>
          <w:szCs w:val="16"/>
          <w:i w:val="1"/>
          <w:iCs w:val="1"/>
          <w:color w:val="auto"/>
        </w:rPr>
        <w:t xml:space="preserve"> </w:t>
      </w:r>
      <w:r>
        <w:rPr>
          <w:rFonts w:ascii="Arial" w:cs="Arial" w:eastAsia="Arial" w:hAnsi="Arial"/>
          <w:sz w:val="16"/>
          <w:szCs w:val="16"/>
          <w:color w:val="auto"/>
        </w:rPr>
        <w:t>contend principally that FDA regulations limiting off-label promotion of truthful and non-misleading information are unconstitutional under the freedom of speech clause of the First Amendment as applied in the case of our proposed promotion of Vascepa. The physicians in the suit regularly treat patients at risk of cardiovascular disease and, as the complaint contends, have First Amendment rights to receive truthful and non-misleading information from Amarin. The suit is based on the principle that better informed physicians make better treatment decisions for their patients. This use of Vascepa at issue reflects recognized medical practice but was not approved by the FDA and is thus not covered by current FDA-approved labeling for the drug. It is therefore considered by the FDA to be illegal off-label promotion.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2015, we were granted preliminary relief in the form of a declaratory judgment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Federal Food and Drug Cosmetic Act. We believe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We believe this win is in the best interest of patient care because it enables us to more readily supply accurate information to physicians about Vascepa so they can make informed decisions on how to treat patients based on current, scientific data and consistent with numerous national and international cardiovascular treatment guidelines and position statements. In August 2015, we began to promote Vascepa to healthcare professionals as permitted by this court declaration. The FDA did not appeal the court’s ruling. The underlying litigation has been stayed for settlement discussion and the parties are working toward settlement. While we are permitted to more broadly promote Vascepa based on this court declaration, the FDA-approved labeling for Vascepa did not change based on the court declaration,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though we have the benefit of a preliminary federal court declaration and may be ultimately successful with a final settlement or final ruling in this litigation, our promotion would still be subject to a high, perhaps abnormally high, degree of scrutiny to ensure that our promotion remains within the scope covered by the declaration. Federal and state governments may also seek to find other means to prevent our promotion of unapproved truthful and non-misleading information about Vascepa. If our operations are found to be in violation of any of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Regulation of New Drug Compounds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to regulations in the United States, we may be subject to a variety of regulations in other jurisdictions governing, among other things, clinical trials and any commercial sales and distribution of our products.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all or most foreign countries prior to the commencement of clinical trials or marketing of the product in those countries. Certain countries outside of the United States have a similar process that requires the submission of a clinical trial application, or CTA, much like the IND prior to the commencement of human clinical trials. In Europe, for example, a CTA must be submitted to each country’s national health authority and an independent ethics committee, much like the FDA and IRB, respectively. Once the CTA is approved in accordance with a country’s requirements, clinical trial development may proceed. Similarly, all clinical trials in Australia require review and approval of clinical trial proposals by an ethics committee, which provides a combined ethical and scientific review process.</w:t>
      </w:r>
    </w:p>
    <w:p>
      <w:pPr>
        <w:spacing w:after="0" w:line="12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must be conducted in accordance with good clinical practices, or GCP, which have their origin in the World Medical Association’s Declaration of Helsinki, the applicable regulatory requirements, and guidelines developed by the International Conference on Harmonization, or ICH, for GCP practices in clinical trials.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Following approval of a new product, a pharmaceutical company generally must engage in numerous specific monitoring and recordkeeping activities and continue to submit periodic and other reports to the applicable regulatory agencies, including any cases of adverse events and appropriate quality control records. Modifications or enhancements to the products or labeling or changes of site of manufacture are often subject to the approval of the FDA and other regulators, which may or may not be received or may result in a lengthy review process.</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Prescription drug advertising is subject to federal, state and foreign regulations. In the United States, the FDA regulates prescription drug promotion, including direct-to-consumer advertising. Prescription drug promotional materials must be submitted to the FDA in conjunction with their first use. Any distribution of prescription drug products and pharmaceutical samples must comply with the U.S. Prescription Drug Marketing Act, or the PDMA, a part of the FDCA.</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pharmaceutical current good manufacturing practices, or cGMPs, and NDA holders must list their products and register their manufacturing establishments with the FDA.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cGMPs, could result in enforcement actions that interrupt the operation of any such facilities or the ability to distribute products manufactured, processed or tested by them.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restrict certain marketing practices in the biopharmaceutical industry. These laws include anti-kickback statutes and false claims statutes.</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a referral or the purchasing, leasing, ordering, or arranging for or recommending the purchase, lease, or order of any healthcare facility, item or service reimbursable under Medicare, Medicaid, or other federal healthcare programs. This statute has been interpreted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 apply to arrangements between pharmaceutical manufacturers on one hand and prescribers, purchasers, and formulary managers on the other.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w:t>
      </w:r>
    </w:p>
    <w:p>
      <w:pPr>
        <w:spacing w:after="0" w:line="11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using, or causing to be made or used, a false statement to get a false claim paid.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company’s marketing of the product for unapproved, and thus non-reimbursable, uses.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of the breadth of these laws and the narrowness of the safe harbors, it is possible that some of our business activities could be subject to challenge under one or more of such laws. Such a challenge could have a material adverse effect on our business, financial condition and results of operations. As a company marketing an FDA-approved product in the United States, our operations may be directly, or indirectly through our customers, subject to various federal and state fraud and abuse laws, including, without limitation, the federal anti-kickback statute.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9" w:lineRule="exact"/>
        <w:rPr>
          <w:sz w:val="20"/>
          <w:szCs w:val="20"/>
          <w:color w:val="auto"/>
        </w:rPr>
      </w:pPr>
    </w:p>
    <w:p>
      <w:pPr>
        <w:ind w:left="900" w:right="6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4" w:lineRule="exact"/>
        <w:rPr>
          <w:rFonts w:ascii="Arial" w:cs="Arial" w:eastAsia="Arial" w:hAnsi="Arial"/>
          <w:sz w:val="16"/>
          <w:szCs w:val="16"/>
          <w:color w:val="auto"/>
        </w:rPr>
      </w:pPr>
    </w:p>
    <w:p>
      <w:pPr>
        <w:ind w:left="900" w:right="2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900" w:right="60" w:hanging="325"/>
        <w:spacing w:after="0" w:line="33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 The Medicare Prescription Drug, Improvement, and Modernization Act of 2003, or the MMA,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stand-alone prescription drug benefit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payers often follow Medicare coverage policy and payment limitations in setting their own payment rates. Any reduction in payment that results from the MMA may result in a similar reduction in payments from non-governmental payers.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A plan for the research will be developed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products to be cost-effective compared to other available therapies, they may not cover our products as a benefit under their plans or, if they do, the level of payment may not be sufficient to allow us to sell our products on a profitable basis.</w:t>
      </w:r>
    </w:p>
    <w:p>
      <w:pPr>
        <w:spacing w:after="0" w:line="118"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or collectively the PPACA, was enacted, which includes measures to significantly change the way healthcare is financed by both governmental and private insurers. Among the provisions of the PPACA of greatest importance to the pharmaceutical and biotechnology industry are the following:</w:t>
      </w:r>
    </w:p>
    <w:p>
      <w:pPr>
        <w:spacing w:after="0" w:line="26" w:lineRule="exact"/>
        <w:rPr>
          <w:sz w:val="20"/>
          <w:szCs w:val="20"/>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products, apportioned among these entities according to their market share in certain government healthcare programs, that began in 2011;</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requirements to report certain financial arrangements with physicians and others, including reporting any “transfer of value” made or distributed to prescribers and other healthcare providers and reporting any investment interests held by physicians and their immediate family members;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5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will have authority to recommend certain changes to the Medicare program that could result in reduced payments for prescription drugs and those recommendations could have the effect of law even if Congress does not act on the recommendations; and</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establishment of a Center for Medicare and Medicaid Innovation at the Centers for Medicare &amp; Medicaid Services to test innovative payment and service delivery models to lower Medicare and Medicaid spending, potentially including prescription drug spending that began on January 1, 2011.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Drug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the U.S. Medicare-Medicaid Anti-Fraud and Abuse Act and similar state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effectiveness of a product could lead the FDA to modify or withdraw a product approval. Prohibitions or restrictions on sales or withdrawal of future products marketed by us could materially affect our business in an adverse way.</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Changes in regulations or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Marketing Exclusivity</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FDCA, as amended by the Drug Price Competition and Patent Term Restoration Act of 1984, as amended, or the Hatch-Waxman Amendments, provides for market exclusivity provisions that can help protect the exclusivity of new drugs by delaying the acceptance and final approval of certain competitive drug applications. NCE marketing exclusivity precludes final approval during the five-year exclusivity period of certain 505(b)(2) applications and abbreviated new drug applications, or ANDAs, submitted by another company for another version of the drug. However, an application may be submitted after four years if it contains a certification of patent invalidity or non-infringement. In this case, Amarin, as a pioneer drug company, may be afforded the benefit of a 30-month stay against the launch of such a competitive product that would extend from the end of the five-year exclusivity period, and could also be afforded other extensions under applicable regulations, including a six-month pediatric exclusivity extension or a judicial extension if applicable requirements are met. Another drug sponsor could also gain a form of marketing exclusivity under the provisions of the Hatch-Waxman Amendments, if such company can, under certain circumstances, complete a human clinical trial process and obtain regulatory approval of its product. Additional three-year periods of exclusivity can be obtained for studies resulting in approval for new uses of existing drugs that protect the pioneer drug company from approval of ANDA applications made with reference to the new use during the three years from approval.</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FDA typically makes a determination on marketing exclusivity in connection with an approval of an application for a new indication of a drug. We applied to the FDA for five-year, NCE marketing exclusivity for Vascepa in connection with the NDA for our MARINE indication, which NDA was approved by the FDA on July 26, 2012 as the first FDA approval of Vascepa.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February 21, 2014, in connection with the July 26, 2012 approval of the MARINE indication, the FDA denied a grant of NCE marketing exclusivity to Vascepa and granted three-year marketing exclusivity.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May 28, 2015, the Court granted our motion for summary judgment. This lawsuit sought an order requiring FDA to recognize five-year, NCE marketing exclusivity for Vascepa. The decision vacated the FDA’s denial of our claim for such exclusivity and remanded to the FDA for proceedings consistent with the decision. FDA did not appeal the Court’s decision prior to the July 28, 2015 deadline for appeal. A new exclusivity determination by FDA has not been made.</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Based on the May 28, 2015 District of Columbia court order granting our motion for summary judgment in the NCE litigation, on June 26, 2015, the</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parties to the related Vascepa patent litigation that followed acceptance by FDA of ANDAs to Vascepa agreed to a full stay of proceeding in that patent litigation.</w:t>
      </w:r>
    </w:p>
    <w:p>
      <w:pPr>
        <w:spacing w:after="0" w:line="1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Following the May 28, 2015 District of Columbia court order setting aside FDA’s denial of NCE exclusivity for Vascepa, FDA notified the ANDA filers that FDA had changed the status of their ANDAs to submitted, but no longer accepted. Therefore,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22, 2016, the U.S. District Court for the District of New Jersey granted Amarin’s motion to dismiss all patent infringement litigation related to the acceptance by the FDA of ANDAs to Vascepa, which were originally filed in the first half of 2014. With this dismissal, there is no pending patent litigation related to Vascepa. A notice of appeal of the court’s dismissal was filed by one ANDA filer in this case and we intend to continue to litigate vigorously in support of the court’s dismissal. We cannot predict the outcome of this litigation.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plan to defend the exclusivity of Vascepa through patent litigation after notification that FDA has accepted an ANDA application related to Vascepa. Assuming an NCE exclusivity determination from the FDA or no exclusivity determination, we expect notification of new ANDA submissions no sooner than in late July 2016, after the expiration of four years from the 2012 approval of Vascepa.</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FDA marketing exclusivity is separate from, and in addition to, patent protection, trade secrets and manufacturing barriers to entry which also help protect Vascepa against generic competition.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Proprietary Technology, Trade Secrets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46 patent applications in the United States that have been either issued or allowed and more than 30 additional patent applications are pending in the United States. Such 46 allowed and issued applications include the following:</w:t>
      </w:r>
    </w:p>
    <w:p>
      <w:pPr>
        <w:spacing w:after="0" w:line="2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36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February 20, 2016, we had 210 full-time employees employed in sales, marketing, general and administrative and research and development functions.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relations with our employees are good.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February 20, 2016, we had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Proportion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4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Country of</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Interest and</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89"/>
              </w:rPr>
              <w:t>Subsidiary Name</w:t>
            </w:r>
          </w:p>
        </w:tc>
        <w:tc>
          <w:tcPr>
            <w:tcW w:w="4100" w:type="dxa"/>
            <w:vAlign w:val="bottom"/>
            <w:vMerge w:val="restart"/>
          </w:tcPr>
          <w:p>
            <w:pPr>
              <w:spacing w:after="0"/>
              <w:rPr>
                <w:sz w:val="12"/>
                <w:szCs w:val="12"/>
                <w:color w:val="auto"/>
              </w:rPr>
            </w:pPr>
          </w:p>
        </w:tc>
        <w:tc>
          <w:tcPr>
            <w:tcW w:w="2240" w:type="dxa"/>
            <w:vAlign w:val="bottom"/>
          </w:tcPr>
          <w:p>
            <w:pPr>
              <w:spacing w:after="0"/>
              <w:rPr>
                <w:sz w:val="12"/>
                <w:szCs w:val="12"/>
                <w:color w:val="auto"/>
              </w:rPr>
            </w:pPr>
          </w:p>
        </w:tc>
        <w:tc>
          <w:tcPr>
            <w:tcW w:w="21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Voting Power</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vMerge w:val="continue"/>
          </w:tcPr>
          <w:p>
            <w:pPr>
              <w:spacing w:after="0"/>
              <w:rPr>
                <w:sz w:val="12"/>
                <w:szCs w:val="12"/>
                <w:color w:val="auto"/>
              </w:rPr>
            </w:pPr>
          </w:p>
        </w:tc>
        <w:tc>
          <w:tcPr>
            <w:tcW w:w="410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2140" w:type="dxa"/>
            <w:vAlign w:val="bottom"/>
            <w:gridSpan w:val="2"/>
          </w:tcPr>
          <w:p>
            <w:pPr>
              <w:jc w:val="center"/>
              <w:ind w:right="1200"/>
              <w:spacing w:after="0" w:line="148" w:lineRule="exact"/>
              <w:rPr>
                <w:sz w:val="20"/>
                <w:szCs w:val="20"/>
                <w:color w:val="auto"/>
              </w:rPr>
            </w:pPr>
            <w:r>
              <w:rPr>
                <w:rFonts w:ascii="Arial" w:cs="Arial" w:eastAsia="Arial" w:hAnsi="Arial"/>
                <w:sz w:val="14"/>
                <w:szCs w:val="14"/>
                <w:b w:val="1"/>
                <w:bCs w:val="1"/>
                <w:color w:val="auto"/>
                <w:w w:val="86"/>
              </w:rPr>
              <w:t>or Registration</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20"/>
        </w:trPr>
        <w:tc>
          <w:tcPr>
            <w:tcW w:w="5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Amarin Pharmaceuticals Ireland Limited</w:t>
            </w:r>
          </w:p>
        </w:tc>
        <w:tc>
          <w:tcPr>
            <w:tcW w:w="2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gridSpan w:val="2"/>
            <w:vMerge w:val="continue"/>
            <w:shd w:val="clear" w:color="auto" w:fill="CCEEFF"/>
          </w:tcPr>
          <w:p>
            <w:pPr>
              <w:spacing w:after="0"/>
              <w:rPr>
                <w:sz w:val="17"/>
                <w:szCs w:val="17"/>
                <w:color w:val="auto"/>
              </w:rPr>
            </w:pPr>
          </w:p>
        </w:tc>
        <w:tc>
          <w:tcPr>
            <w:tcW w:w="224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Ireland</w:t>
            </w:r>
          </w:p>
        </w:tc>
        <w:tc>
          <w:tcPr>
            <w:tcW w:w="12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4380" w:type="dxa"/>
            <w:vAlign w:val="bottom"/>
            <w:gridSpan w:val="3"/>
          </w:tcPr>
          <w:p>
            <w:pPr>
              <w:ind w:left="2240"/>
              <w:spacing w:after="0"/>
              <w:rPr>
                <w:sz w:val="20"/>
                <w:szCs w:val="20"/>
                <w:color w:val="auto"/>
              </w:rPr>
            </w:pPr>
            <w:r>
              <w:rPr>
                <w:rFonts w:ascii="Arial" w:cs="Arial" w:eastAsia="Arial" w:hAnsi="Arial"/>
                <w:sz w:val="18"/>
                <w:szCs w:val="18"/>
                <w:color w:val="auto"/>
              </w:rPr>
              <w:t>United States</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Amarin Neuroscience Limited</w:t>
            </w:r>
          </w:p>
        </w:tc>
        <w:tc>
          <w:tcPr>
            <w:tcW w:w="438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Scotland</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4380" w:type="dxa"/>
            <w:vAlign w:val="bottom"/>
            <w:gridSpan w:val="3"/>
          </w:tcPr>
          <w:p>
            <w:pPr>
              <w:ind w:left="2240"/>
              <w:spacing w:after="0"/>
              <w:rPr>
                <w:sz w:val="20"/>
                <w:szCs w:val="20"/>
                <w:color w:val="auto"/>
              </w:rPr>
            </w:pPr>
            <w:r>
              <w:rPr>
                <w:rFonts w:ascii="Arial" w:cs="Arial" w:eastAsia="Arial" w:hAnsi="Arial"/>
                <w:sz w:val="18"/>
                <w:szCs w:val="18"/>
                <w:color w:val="auto"/>
              </w:rPr>
              <w:t>Ireland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Ester Neurosciences Limited</w:t>
            </w:r>
          </w:p>
        </w:tc>
        <w:tc>
          <w:tcPr>
            <w:tcW w:w="4380" w:type="dxa"/>
            <w:vAlign w:val="bottom"/>
            <w:gridSpan w:val="3"/>
            <w:shd w:val="clear" w:color="auto" w:fill="CCEEFF"/>
          </w:tcPr>
          <w:p>
            <w:pPr>
              <w:ind w:left="2240"/>
              <w:spacing w:after="0"/>
              <w:rPr>
                <w:sz w:val="20"/>
                <w:szCs w:val="20"/>
                <w:color w:val="auto"/>
              </w:rPr>
            </w:pPr>
            <w:r>
              <w:rPr>
                <w:rFonts w:ascii="Arial" w:cs="Arial" w:eastAsia="Arial" w:hAnsi="Arial"/>
                <w:sz w:val="18"/>
                <w:szCs w:val="18"/>
                <w:color w:val="auto"/>
              </w:rPr>
              <w:t>Israel</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60" w:firstLine="456"/>
        <w:spacing w:after="0" w:line="256" w:lineRule="auto"/>
        <w:rPr>
          <w:sz w:val="20"/>
          <w:szCs w:val="20"/>
          <w:color w:val="auto"/>
        </w:rPr>
      </w:pPr>
      <w:r>
        <w:rPr>
          <w:rFonts w:ascii="Arial" w:cs="Arial" w:eastAsia="Arial" w:hAnsi="Arial"/>
          <w:sz w:val="18"/>
          <w:szCs w:val="18"/>
          <w:color w:val="auto"/>
        </w:rPr>
        <w:t xml:space="preserve">Our principal offices are located at 2 Pembroke House, Upper Pembroke Street 28-32, Dublin 2 Ireland. Our registered office is located at One New Change, London EC4M 9AF, England. Our primary offices in the United States are located at 1430 Route 206, Bedminster, NJ 07921, USA. Our telephone number at that location is (908) 719-1315. Our website address is </w:t>
      </w:r>
      <w:r>
        <w:rPr>
          <w:rFonts w:ascii="Arial" w:cs="Arial" w:eastAsia="Arial" w:hAnsi="Arial"/>
          <w:sz w:val="18"/>
          <w:szCs w:val="18"/>
          <w:i w:val="1"/>
          <w:iCs w:val="1"/>
          <w:color w:val="auto"/>
        </w:rPr>
        <w:t>www.amarincorp.com.</w:t>
      </w:r>
      <w:r>
        <w:rPr>
          <w:rFonts w:ascii="Arial" w:cs="Arial" w:eastAsia="Arial" w:hAnsi="Arial"/>
          <w:sz w:val="18"/>
          <w:szCs w:val="18"/>
          <w:color w:val="auto"/>
        </w:rPr>
        <w:t xml:space="preserve"> No information contained on, or accessible through, our website is incorporated by reference into this Annual Report on Form 10-K.</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As of the date of this Annual Report on Form 10-K, our principal operating activities were being conducted by Amarin Corporation plc, together with Amarin Pharmaceuticals Ireland Limited and Amarin Pharma, Inc., with little to no operating activity being conducted by Amarin Neuroscience Limited, Corsicanto Ltd, or Ester Neurosciences Limited.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January 9, 2012, Amarin, through its wholly-owned subsidiary Corsicanto Limited, a private limited company incorporated under the laws of Ireland, completed a private placement of $150.0 million in aggregate principal amount of its 3.5% exchangeable senior notes due 2032, a portion of which were exchanged in May 2014 (the 2014 Notes) and a portion of which were extinguished in 2015 and replaced with new 3.5% exchangeable senior notes due 2032 (the 2015 Notes). The 2012 and 2014 Notes are the senior unsecured obligations of Corsicanto and are guaranteed by Amarin Corporation plc. The 2015 Notes are the senior unsecured obligations of Amarin Corporation plc and are not guaranteed by any entity. Corsicanto was formed in November 2011 and was subsequently acquired by Amarin in January 2012 for the sole purpose of facilitating this financing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information required under this Item 1 is incorporated herein by reference to Item 8 of this Annual Report on Form 10-K.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You are advised to read this Annual Report on Form 10-K in conjunction with other reports and documents that we file from time to time with the Securities and Exchange Commission, or SEC. You may obtain copies of these reports after the date of this annual report directly from us or from the SEC at the SEC’s Public Reference Room at 100 F Street, N.E. Washington, D.C. 20549. In addition, the SEC maintains information for electronic filers (including Amarin) at its website at www.sec.gov. The public may obtain information regarding the operation of the Public Reference Room by calling the SEC at 1-800-SEC-0330. We make our periodic and current reports, as well as any amendments to such reports, available on our internet website, free of charge, as soon as reasonably practicable after such material is electronically filed with, or furnished to, the SEC.</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a result of our reliance on a single product, Vascepa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4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Even if we are able to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81" w:lineRule="exact"/>
        <w:rPr>
          <w:sz w:val="20"/>
          <w:szCs w:val="20"/>
          <w:color w:val="auto"/>
        </w:rPr>
      </w:pPr>
    </w:p>
    <w:p>
      <w:pPr>
        <w:ind w:left="240" w:right="480"/>
        <w:spacing w:after="0" w:line="332" w:lineRule="auto"/>
        <w:rPr>
          <w:sz w:val="20"/>
          <w:szCs w:val="20"/>
          <w:color w:val="auto"/>
        </w:rPr>
      </w:pPr>
      <w:r>
        <w:rPr>
          <w:rFonts w:ascii="Arial" w:cs="Arial" w:eastAsia="Arial" w:hAnsi="Arial"/>
          <w:sz w:val="16"/>
          <w:szCs w:val="16"/>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In January 2013, we launched Vascepa based on FDA approval of our MARINE indication, for use as an adjunct to diet to reduce triglyceride levels in adult patients with severe (TG ³500 mg/dL) hypertriglyceridemia.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August 2015, based on a federal court order, we also began marketing Vascepa in the United States to healthcare professionals for the treatment of patients with high (TG ³200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what we view as truthful and non-misleading information on the current state of research on both triglyceride reduction and the active pharmaceutical ingredient in Vascepa, EPA, as each relate to the potential of Vascepa to reduce cardiovascular risk.</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in ANCHOR patients and any future approved indications will depend on a number of factors, including:</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ultimate outcome or settlement terms of our pending litigation to expand our ability to promote Vascepa in the United States outside of FDA-approved labeling and the related perception thereof;</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on-label use, and for permitted off-label use the third-party coverage or reimbursement for which was not addressed in the scope of the August 2015 court declaration;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May 2014 we began co-promoting Vascepa in the United States with Kowa Pharmaceuticals America, Inc. under a co-promotion agreement we entered into in March 2014. Under the agreement, approximately 250 Kowa Pharmaceuticals America, Inc. sales representatives devote a substantial portion of their time to promoting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Vascepa with Amarin’s approximately 130 sales representatives based on a plan designed to increase both the number of sales targets reached and the frequency of sales calls on existing sales targets. However, the commercialization of pharmaceutical products is a complex undertaking for a company to manage, and we have very limited experience as a company operating in this area and co-promoting a pharmaceutical product with a partner.</w:t>
      </w:r>
    </w:p>
    <w:p>
      <w:pPr>
        <w:spacing w:after="0" w:line="107"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We are also expanding our commercialization activities to markets outside of the United States through partnering arrangements. On February 26, 2015, we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w:t>
      </w:r>
    </w:p>
    <w:p>
      <w:pPr>
        <w:spacing w:after="0" w:line="1"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auto"/>
        </w:rPr>
        <w:t>Under the DCS Agreement, Eddingpharm will be solely responsible for development and commercialization activities in the China Territory and associated expenses. Additionally, Eddingpharm may be required to conduct clinical trials in the China Territory to secure regulatory approval. Significant commercialization of Vascepa in the China Territory is several years away. If Eddingpharm is not able to effectively develop and commercialize Vascepa in the China Territory, we may not be able to generate revenue from the DCS Agreement resulting from the sale of Vascepa in the China Territory.</w:t>
      </w:r>
    </w:p>
    <w:p>
      <w:pPr>
        <w:spacing w:after="0" w:line="11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 include:</w:t>
      </w:r>
    </w:p>
    <w:p>
      <w:pPr>
        <w:spacing w:after="0" w:line="11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171"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expect final positive results from the REDUCE-IT outcomes study will be required for FDA-approved label expansion for Vascepa.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April 2015, we received a CRL from the FDA on our Supplemental New Drug Application (“sNDA”) that sought approval for the use of Vascepa in patients with high triglyceride levels (TG ³200 mg/dL and &lt;500 mg/dL) who are also on statin therapy, which we refer to as the ANCHOR indication. In regulatory dialogue,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August 2015, based on a federal court order, we began marketing Vascepa in the United States to healthcare professionals for the treatment of patients in the ANCHOR population through use of a set of qualified statements that reflect the current state of research related to this use. An FDA-approved indication for this patient population was not granted. Our ability to reach full potential in the commercialization of Vascepa in the United States is dependent upon marketing claims associated with Vascepa that are granted with the approval of an indication statement by the FDA.</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beyond the approval received from the FDA in July 2012 for the MARINE indication may prove to not have the scope or breadth needed for us to successfully commercialize Vascepa or become profitable.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off-label promotion of Vascepa could subject us to additional regulatory scrutiny and present unforeseen risks.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Federal Food, Drug, and Cosmetic Act, or FDCA, has been interpreted by the FDA to make it illegal for pharmaceutical companies to promote their products for uses that have not been approved by the FDA. Companies that market drugs for so called off-label uses or indications have been subject to related costly litigation, criminal penalties and civil liability under the False Claims Act.</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In May 2015, we and a group of independent physicians filed a lawsuit against the FDA seeking a federal court declaration that would permit us and our agents to promote to healthcare professionals the use of Vascepa in patients with mixed dyslipidemia and promote on the potential of Vascepa to reduce the risk of cardiovascular disease so long as the promotion is truthful and non-misleading. This use of Vascepa at issue reflects recognized medical practice but was not approved by the FDA and is thus not covered by current FDA-approved labeling for the drug. It is therefore considered by the FDA to be illegal off-label promotion. The lawsuit, captioned </w:t>
      </w:r>
      <w:r>
        <w:rPr>
          <w:rFonts w:ascii="Arial" w:cs="Arial" w:eastAsia="Arial" w:hAnsi="Arial"/>
          <w:sz w:val="18"/>
          <w:szCs w:val="18"/>
          <w:i w:val="1"/>
          <w:iCs w:val="1"/>
          <w:color w:val="auto"/>
        </w:rPr>
        <w:t>Amarin Pharma, Inc., et al. v. Food &amp; Drug Administration, et al.</w:t>
      </w:r>
      <w:r>
        <w:rPr>
          <w:rFonts w:ascii="Arial" w:cs="Arial" w:eastAsia="Arial" w:hAnsi="Arial"/>
          <w:sz w:val="18"/>
          <w:szCs w:val="18"/>
          <w:color w:val="auto"/>
        </w:rPr>
        <w:t>, S.D.N.Y. (1:15-cv-03588-PAE), was filed in the United States District Court for the Southern District of New York. In the lawsuit, we contend principally that FDA regulations limiting off-label promotion of truthful and non-misleading information are unconstitutional under the freedom of speech clause of the First Amendment as applied in the case of our proposed promotion 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Vascepa. The physicians in the suit regularly treat patients at risk of cardiovascular disease and, as the complaint contends, have First Amendment rights to receive truthful and non-misleading information from Amarin. The suit is based on the principle that better informed physicians make better treatment decisions for their patients. The FDA opposed this lawsuit but did not dispute the veracity of the subject ANCHOR clinical trial data, the safety data from which is already in FDA-approved labeling of Vascepa, or the peer-reviewed research related to Vascepa and the potential for cardiovascular risk reduction.</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Amarin’s complaint. FDA stated in this letter that it did not have concerns with much of the information Amarin proposed to communicate and provided Amarin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 The litigation continued after receipt of this letter because significant issues remained despite the significant steps forward provided by the June 5 letter. Such issues included, but were not limited to, the ability of Amarin to engage in a full and truthful dialogue with healthcare professionals about the success of the ANCHOR trial and the potential effectiveness of Vascepa as a treatment to reduce cardiovascular risk.</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2015, we were granted preliminary relief in the form of a declaratory judgment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Federal Food and Drug Cosmetic Act. We believe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We believe this win is in the best interest of patient care because it enables us to more readily supply accurate information to physicians about Vascepa so they can make informed decisions on how to treat patients based on current, scientific data and consistent with numerous national and international cardiovascular treatment guidelines and position statements. In August 2015, we began to promote Vascepa to healthcare professionals as permitted by this court declaration. The FDA did not appeal the court’s ruling. The underlying litigation has been stayed for settlement discussion and the parties are working toward settlement. We cannot predict the outcome of settlement negotiations or this litigation. The legal process can be unpredictable, costly and time-consuming and even if we are successful the remedies available to us may be less beneficial to us than we currently believe.</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While we are permitted to more broadly promote Vascepa based on this court declaration, the FDA-approved labeling for Vascepa did not change based on the court declaration, and neither government nor other third-party coverage or reimbursement to pay for the off-label use of Vascepa promoted under the court declaration was required. Based on our communications with the FDA, we expect that final positive results from the REDUCE-IT outcomes study will be required for label expansion for Vascepa.</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though we have the benefit of a preliminary federal court declaration and may be ultimately successful with a final settlement or final ruling in this litigation, our promotion would still be subject to a high, perhaps abnormally high, degree of scrutiny to ensure that our promotion remains within the scope covered by the declaration. Federal and state governments may also seek to find other means to prevent our promotion of unapproved truthful and non-misleading information about Vascepa. If our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any of which could adversely affect our ability to operate our business and our results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0"/>
          <w:szCs w:val="10"/>
          <w:color w:val="auto"/>
        </w:rPr>
        <w:t>®</w:t>
      </w:r>
      <w:r>
        <w:rPr>
          <w:rFonts w:ascii="Arial" w:cs="Arial" w:eastAsia="Arial" w:hAnsi="Arial"/>
          <w:sz w:val="16"/>
          <w:szCs w:val="16"/>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0"/>
          <w:szCs w:val="10"/>
          <w:color w:val="auto"/>
        </w:rPr>
        <w:t>®</w:t>
      </w:r>
      <w:r>
        <w:rPr>
          <w:rFonts w:ascii="Arial" w:cs="Arial" w:eastAsia="Arial" w:hAnsi="Arial"/>
          <w:sz w:val="16"/>
          <w:szCs w:val="16"/>
          <w:color w:val="auto"/>
        </w:rPr>
        <w:t xml:space="preserve"> and Trilipix</w:t>
      </w:r>
      <w:r>
        <w:rPr>
          <w:rFonts w:ascii="Arial" w:cs="Arial" w:eastAsia="Arial" w:hAnsi="Arial"/>
          <w:sz w:val="10"/>
          <w:szCs w:val="10"/>
          <w:color w:val="auto"/>
        </w:rPr>
        <w:t>®</w:t>
      </w:r>
      <w:r>
        <w:rPr>
          <w:rFonts w:ascii="Arial" w:cs="Arial" w:eastAsia="Arial" w:hAnsi="Arial"/>
          <w:sz w:val="16"/>
          <w:szCs w:val="16"/>
          <w:color w:val="auto"/>
        </w:rPr>
        <w:t xml:space="preserve"> for the treatment of severe hypertriglyceridemia and mixed dyslipidemia and Niaspan</w:t>
      </w:r>
      <w:r>
        <w:rPr>
          <w:rFonts w:ascii="Arial" w:cs="Arial" w:eastAsia="Arial" w:hAnsi="Arial"/>
          <w:sz w:val="10"/>
          <w:szCs w:val="10"/>
          <w:color w:val="auto"/>
        </w:rPr>
        <w:t>®</w:t>
      </w:r>
      <w:r>
        <w:rPr>
          <w:rFonts w:ascii="Arial" w:cs="Arial" w:eastAsia="Arial" w:hAnsi="Arial"/>
          <w:sz w:val="16"/>
          <w:szCs w:val="16"/>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0"/>
          <w:szCs w:val="10"/>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Also, in April 2014, Omtryg, another omega-3-acid fatty acid composition developed by Trygg Pharma AS, received FDA approval for severe hypertriglyceridemia. Neither Epanova nor Omtryg have been commercially launched, but could launch at any time. Each of these competitors, other than potentially Trygg, has greater resources than we do, including financial, product development, marketing, personnel and other resources.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we believe Pronova/BASF granted Apotex a license to enter the U.S. market with a generic version of Lovaza in the first quarter of 2015, the details of which are not known to us. In the first quarter of 2015, Prasco Labs announced it also has a generic version of Lovaza.</w:t>
      </w:r>
    </w:p>
    <w:p>
      <w:pPr>
        <w:spacing w:after="0" w:line="120" w:lineRule="exact"/>
        <w:rPr>
          <w:sz w:val="20"/>
          <w:szCs w:val="20"/>
          <w:color w:val="auto"/>
        </w:rPr>
      </w:pPr>
    </w:p>
    <w:p>
      <w:pPr>
        <w:ind w:right="20" w:firstLine="456"/>
        <w:spacing w:after="0" w:line="280"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Isis Pharmaceuticals announced favorable Phase 2 results of ISIS-APOCIII</w:t>
      </w:r>
      <w:r>
        <w:rPr>
          <w:rFonts w:ascii="Arial" w:cs="Arial" w:eastAsia="Arial" w:hAnsi="Arial"/>
          <w:sz w:val="20"/>
          <w:szCs w:val="20"/>
          <w:color w:val="auto"/>
          <w:vertAlign w:val="subscript"/>
        </w:rPr>
        <w:t>Rx</w:t>
      </w:r>
      <w:r>
        <w:rPr>
          <w:rFonts w:ascii="Arial" w:cs="Arial" w:eastAsia="Arial" w:hAnsi="Arial"/>
          <w:sz w:val="16"/>
          <w:szCs w:val="16"/>
          <w:color w:val="auto"/>
        </w:rPr>
        <w:t xml:space="preserve"> a drug candidate administered through weekly subcutaneous injections, in patients with high triglycerides and type 2</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diabetes and in patients with moderate to severe high triglycerides. Finally, Madrigal Pharmaceuticals has completed Phase 1 clinical testing of MGL-3196 for the treatment of high triglycerides and various lipid parameters in patients.</w:t>
      </w:r>
    </w:p>
    <w:p>
      <w:pPr>
        <w:spacing w:after="0" w:line="213"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regulatory exclusivity status of Vascepa remains uncertain creating uncertainty around to what degree we will continue to enjoy the benefits we have to date in the absence of a definitive five-year regulatory exclusivity determination for Vascepa.</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timelines and conditions under the abbreviated new drug application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Under applicable regulations, such three-year exclusivity would have extended through July 25, 2015 and would have been supplemented by a 30-month stay triggered by patent litigation that would have extended into September 2016, unless such patent litigation was resolved against us sooner.</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NCE marketing exclusivity, not granted to Vascepa at this time,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Accordingly, we expect to receive three-year exclusivity in connection with any future regulatory approvals of Vascepa, such as an approval sought based on positive REDUCE-IT outcomes study results.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patents at any time, subject to any prior four-year period pending from a grant of five-year exclusivity. This three-year form of exclusivity may also not prevent the FDA from approving an NDA that relies only on its own data to support the change or innovation.</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noted above, the FDA typically makes a determination on marketing exclusivity in connection with an approval of an application for a new indication of a drug. We applied to the FDA for five-year, NCE marketing exclusivity for Vascepa in connection with the NDA for our MARINE indication, which NDA was approved by the FDA on July 26, 2012 as the first FDA approval of Vascepa. On February 21, 2014, in connection with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July 26, 2012 approval of the MARINE indication, the FDA denied a grant of NCE marketing exclusivity to Vascepa and granted three-year marketing exclusivity.</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27, 2014, we sued the FDA in the U.S. District Court for the District of Columbia to challenge the agency’s denial of five-year NCE exclusivity for Vascepa, based on our reading of the relevant statute, our view of FDA’s inconsistency with its past actions in this area and the retroactive effect of what we believe is a new policy at FDA as it relates to our situation.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May 28, 2015, the Court granted our motion for summary judgment. This lawsuit sought an order requiring FDA to recognize five-year, NCE marketing exclusivity for Vascepa. The decision vacated the FDA’s denial of our claim for such exclusivity and remanded to the FDA for proceedings consistent with the decision. FDA did not appeal the Court’s decision prior to the July 28, 2015 deadline for appeal. A new exclusivity determination by FDA has not been made.</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July 22, 2015, Watson Laboratories Inc., the purported first Vascepa ANDA filer, sought to intervene and appeal the Court’s decision. We and FDA opposed this intervention effort. The applicable courts denied Watson the relief sought and appeal periods have expired.</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new exclusivity determination by FDA has been pending since the May 28, 2015 District of Columbia court order setting aside FDA’s denial of NCE exclusivity for Vascepa. We believe Vascepa is entitled to NCE exclusivity, but cannot predict the outcome of FDA’s determination. It is possible that FDA’s determination would be challenged by interested parties.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Recent regulatory determinations and court decisions have provided us with certain benefits of five-year regulatory exclusivity in the United States, such as delayed generic-related patent litigation and cessation of ANDA review at FDA. However, the uncertain status of our regulatory exclusivity at the FDA has, and is expected to continue to have, a negative impact on our company as we have not been able to obtain certainty on an exclusivity grant and thereby certainty around the benefits associated with a definitive five-year exclusivity status. Additional delays at FDA in making an exclusivity decision, a denial of NCE exclusivity for Vascepa, additional associated litigation and uncertainty surrounding our regulatory exclusivity status generally could continue to have a negative effect on our company.</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FDA marketing exclusivity is separate from, and in addition to, patent protection, trade secrets and manufacturing barriers to entry which also help protect Vascepa against generic competition.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Generic company competitors are expected to again seek approval of generic versions of Vascepa.</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the first half of 2014, we received six paragraph IV notices notifying us of accepted ANDAs to Vascepa under the Hatch-Waxman Amendments. These ANDAs were submitted and accepted by FDA under the regulatory scheme adopted under the Hatch-Waxman Amendments based on the FDA’s determination that we were entitled to three, and not five-year exclusivity. As a result from the first half of 2014 until June 2015, we were engaged in costly litigation with the ANDA applicants to protect our patent rights.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the May 28, 2015, District of Columbia court order granting our motion for summary judgment in the NCE litigation, on June 26, 2015, the parties to the related Vascepa patent litigation that followed acceptance by FDA of ANDAs to Vascepa based on a three-year regulatory exclusivity determination, agreed to a full stay of proceeding in that patent litigation.</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Following the May 28, 2015 District of Columbia court order setting aside FDA’s denial of NCE exclusivity for Vascepa, FDA notified the ANDA filers that FDA had changed the status of their ANDAs to submitted, but no longer accepted, and notified ANDA filers that FDA had ceased review of the pending ANDAs. In rescinding acceptance of the ANDAs, the statutory basis for the patent litigation (accepted ANDAs) no longer existed. Thus, on July 24, 2015, we moved to dismiss the pending patent infringement lawsuits against each of the Vascepa ANDA applicants in the U.S. District Court for the District of New Jersey.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January 22, 2016, the U.S. District Court for the District of New Jersey granted Amarin’s motion to dismiss all patent infringement litigation related to the 2014 acceptance by the FDA of ANDAs to Vascepa. With this dismissal, there is no pending patent litigation related to Vascepa. A notice of appeal of the court’s dismissal was filed by one ANDA filer in this case and we intend to continue to litigate vigorously in support of the court’s dismissal. We cannot predict the outcome of this litigation. A new exclusivity determination by FDA has been pending since the May 28, 2015 District of Columbia court order setting aside FDA’s denial of NCE exclusivity for Vascepa. We believe Vascepa is entitled to NCE exclusivity, but cannot predict the outcome of FDA’s determination. We also cannot predict the outcome of this ANDA litigation. The legal process can also be costly and time-consuming.</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plan to defend the exclusivity of Vascepa through patent litigation after notification that FDA has accepted an ANDA application related to Vascepa. Assuming an NCE exclusivity determination from the FDA or no exclusivity determination, we expect notification of new ANDA submissions no sooner than in late July 2016, after the expiration of four years from the 2012 approval of Vascepa.</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720"/>
        <w:spacing w:after="0" w:line="332" w:lineRule="auto"/>
        <w:rPr>
          <w:sz w:val="20"/>
          <w:szCs w:val="20"/>
          <w:color w:val="auto"/>
        </w:rPr>
      </w:pPr>
      <w:r>
        <w:rPr>
          <w:rFonts w:ascii="Arial" w:cs="Arial" w:eastAsia="Arial" w:hAnsi="Arial"/>
          <w:sz w:val="16"/>
          <w:szCs w:val="16"/>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Under the preliminary ruling in our First Amendment litigation,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March 2014, we entered into a co-promotion agreement with Kowa Pharmaceuticals America, Inc. to co-promote Vascepa in the United States under which approximately 250 Kowa Pharmaceuticals America, Inc.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Our special protocol assessment, or SPA, agreement for ANCHOR was rescinded and our SPA agreement for REDUCE-IT is not a guarantee of FDA approval of Vascepa for the proposed REDUCE-IT indication.</w:t>
      </w:r>
    </w:p>
    <w:p>
      <w:pPr>
        <w:spacing w:after="0" w:line="51" w:lineRule="exact"/>
        <w:rPr>
          <w:sz w:val="20"/>
          <w:szCs w:val="20"/>
          <w:color w:val="auto"/>
        </w:rPr>
      </w:pPr>
    </w:p>
    <w:p>
      <w:pPr>
        <w:ind w:right="320" w:firstLine="456"/>
        <w:spacing w:after="0" w:line="290" w:lineRule="auto"/>
        <w:rPr>
          <w:sz w:val="20"/>
          <w:szCs w:val="20"/>
          <w:color w:val="auto"/>
        </w:rPr>
      </w:pPr>
      <w:r>
        <w:rPr>
          <w:rFonts w:ascii="Arial" w:cs="Arial" w:eastAsia="Arial" w:hAnsi="Arial"/>
          <w:sz w:val="16"/>
          <w:szCs w:val="16"/>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October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commercial value to us of sales of Vascepa under the DCS Agreement with Eddingpharm may be smaller than we anticipate.</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There can be no assurance as to the adequacy for commercial success under the DCS Agreement with Eddingpharm.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 in these countries,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1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Our First Amendment ruling may cause the government to scrutinize our promotional efforts or otherwise monitor our business more closely. Industry-sponsored scientific and educational activities also must comply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given we received communication from the FDA that it considers this matter to be closed, we 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2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within the China Territory under the DCS agreement with Eddingpharm. Given our inexperience with marketing and commercializing products in the China Territory, we will need to rely on Eddingpharm to assist us in dealing with any such issues.</w:t>
      </w:r>
    </w:p>
    <w:p>
      <w:pPr>
        <w:spacing w:after="0" w:line="201" w:lineRule="exact"/>
        <w:rPr>
          <w:sz w:val="20"/>
          <w:szCs w:val="20"/>
          <w:color w:val="auto"/>
        </w:rPr>
      </w:pPr>
    </w:p>
    <w:p>
      <w:pPr>
        <w:ind w:left="240" w:right="20"/>
        <w:spacing w:after="0" w:line="335" w:lineRule="auto"/>
        <w:rPr>
          <w:sz w:val="20"/>
          <w:szCs w:val="20"/>
          <w:color w:val="auto"/>
        </w:rPr>
      </w:pPr>
      <w:r>
        <w:rPr>
          <w:rFonts w:ascii="Arial" w:cs="Arial" w:eastAsia="Arial" w:hAnsi="Arial"/>
          <w:sz w:val="15"/>
          <w:szCs w:val="15"/>
          <w:b w:val="1"/>
          <w:bCs w:val="1"/>
          <w:i w:val="1"/>
          <w:iCs w:val="1"/>
          <w:color w:val="auto"/>
        </w:rPr>
        <w:t>The FDA and other regulatory agencies strictly regulate the promotional claims that may be made about prescription products. If we or Kowa Pharmaceuticals America, Inc. are found to have improperly promoted uses of Vascepa, we may become subject to significant fines and other liability. The government may seek to find means to prevent our promotion of truthful and non-misleading information beyond our current court ruling.</w:t>
      </w:r>
    </w:p>
    <w:p>
      <w:pPr>
        <w:spacing w:after="0" w:line="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Even though we received FDA marketing approval for Vascepa for the MARINE indication and we believe our recent First Amendment court ruling affords us a degree of protection for other promotional efforts, physicians may still prescribe Vascepa to their patients for use in the treatment of conditions that are not included as part of the indication statement in our FDA-approved Vascepa label or our court ruling. If we are found to have promoted Vascepa outside the terms of the court ruling or in violation of what federal or state government may determine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to be acceptable, we may become subject to significant government fines and other related liability, such as under the False Claims Act or other theories of liability. Government may also seek to hold us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4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Even though we have the benefit of a preliminary ruling and may be ultimately successful with a final settlement or final ruling in our current litigation related to promotion beyond FDA-approved labeling, our promotion would still be subject to a high, perhaps abnormally high, degree of scrutiny to ensure that our promotion remains within the permitted scope. Likewise, federal or state government may seek to find other means to prevent our promotion of truthful and non-misleading information.</w:t>
      </w:r>
    </w:p>
    <w:p>
      <w:pPr>
        <w:spacing w:after="0" w:line="224" w:lineRule="exact"/>
        <w:rPr>
          <w:sz w:val="20"/>
          <w:szCs w:val="20"/>
          <w:color w:val="auto"/>
        </w:rPr>
      </w:pPr>
    </w:p>
    <w:p>
      <w:pPr>
        <w:ind w:left="240" w:right="60"/>
        <w:spacing w:after="0" w:line="259"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SPA agreements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Outcomes studies of certain other lipid-modifying therapies have failed to achieve the endpoints of such studies. For example, in 2010, the results of the ACCORD-Lipid trial were published. This trial studied the effect of adding fenofibrate onto open-label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or </w:t>
      </w:r>
      <w:r>
        <w:rPr>
          <w:rFonts w:ascii="Arial" w:cs="Arial" w:eastAsia="Arial" w:hAnsi="Arial"/>
          <w:sz w:val="16"/>
          <w:szCs w:val="16"/>
          <w:i w:val="1"/>
          <w:iCs w:val="1"/>
          <w:color w:val="auto"/>
        </w:rPr>
        <w:t>JAMA,</w:t>
      </w:r>
      <w:r>
        <w:rPr>
          <w:rFonts w:ascii="Arial" w:cs="Arial" w:eastAsia="Arial" w:hAnsi="Arial"/>
          <w:sz w:val="16"/>
          <w:szCs w:val="16"/>
          <w:color w:val="auto"/>
        </w:rPr>
        <w:t xml:space="preserve"> the results of a retrospective meta-analysis of twenty previously conducted studies regarding the use of omega-3 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published the results of an outcomes study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 for unstable angina was a primary contributor of the overall positive result, and is considered a softer endpoint than fatal cardiovascular events.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150 mg/dL) and low HDL-C (</w:t>
      </w:r>
      <w:r>
        <w:rPr>
          <w:rFonts w:ascii="Arial" w:cs="Arial" w:eastAsia="Arial" w:hAnsi="Arial"/>
          <w:sz w:val="16"/>
          <w:szCs w:val="16"/>
          <w:u w:val="single" w:color="auto"/>
          <w:color w:val="auto"/>
        </w:rPr>
        <w:t>&lt;</w:t>
      </w:r>
      <w:r>
        <w:rPr>
          <w:rFonts w:ascii="Arial" w:cs="Arial" w:eastAsia="Arial" w:hAnsi="Arial"/>
          <w:sz w:val="16"/>
          <w:szCs w:val="16"/>
          <w:color w:val="auto"/>
        </w:rPr>
        <w:t xml:space="preserve"> 40 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Although we believe the results of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0"/>
        <w:spacing w:after="0" w:line="335" w:lineRule="auto"/>
        <w:rPr>
          <w:sz w:val="20"/>
          <w:szCs w:val="20"/>
          <w:color w:val="auto"/>
        </w:rPr>
      </w:pPr>
      <w:r>
        <w:rPr>
          <w:rFonts w:ascii="Arial" w:cs="Arial" w:eastAsia="Arial" w:hAnsi="Arial"/>
          <w:sz w:val="15"/>
          <w:szCs w:val="15"/>
          <w:b w:val="1"/>
          <w:bCs w:val="1"/>
          <w:i w:val="1"/>
          <w:iCs w:val="1"/>
          <w:color w:val="auto"/>
        </w:rPr>
        <w:t>The prospective interim efficacy and safety analysis of the REDUCE-IT cardiovascular outcomes trial may not be completed in the contemplated timeframe in 2016 and may not demonstrate to the independent committee monitoring the study a sufficient benefit risk result to warrant the independent committee recommending stopping the study early for overwhelming efficacy. The study may also be stopped for futility or for safety concerns.</w:t>
      </w:r>
    </w:p>
    <w:p>
      <w:pPr>
        <w:spacing w:after="0" w:line="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the SPA agreement for our REDUCE-IT cardiovascular outcomes trial, an interim review of the efficacy and safety results of the trial is scheduled to occur upon reaching 60% of the target aggregate number of cardiovascular events. We currently expect this interim review by the study’s independent data monitoring committee (DMC) to occur during 2016 based on our understanding of the current event rates in the study and expected future event rates. It may actually take longer to reach the targeted number of events, which would delay the DMC assessment of data for the interim analysis.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2017. We do not expect the study to be stopped due to overwhelming efficacy at this interim look. We have instructed the DMC to not recommend stopping the study early based only upon achieving statistical significance for the primary endpoint, but to ensure that statistical significance is also achieved for certain subpopulations before recommending that the study be stopped early for overwhelming efficacy.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for lack of signals of a favorable result at completion, so called stoppage for futility.</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Moreover, it is the DMC that will make the formal recommendation as to whether to stop the study early or continue as planned. Amarin is blinded to the interim analysis and is informed by the DMC of the recommendation to stop the study or to continue as planned. The DMC may consider factors outside the pre-specified statistical analysis plan when assessing whether to continue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it believes that waiting for more robust results outweighs the potential medical benefit of stopping and unblinding the study early.</w:t>
      </w:r>
    </w:p>
    <w:p>
      <w:pPr>
        <w:spacing w:after="0" w:line="14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analyses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07" w:lineRule="exact"/>
        <w:rPr>
          <w:sz w:val="20"/>
          <w:szCs w:val="20"/>
          <w:color w:val="auto"/>
        </w:rPr>
      </w:pPr>
    </w:p>
    <w:p>
      <w:pPr>
        <w:ind w:left="580" w:right="100"/>
        <w:spacing w:after="0" w:line="268"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China Territory under the DCS Agreement with Eddingpharm,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uncertain. The commencement and rate of completion of clinical trials and the timing of obtaining marketing approval from regulatory authorities may be delayed by many factors, including: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9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Legislative or regulatory reform of the healthcare system in the United States and foreign jurisdictions may affect our ability to profitably sell Vascepa.</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Specifically, in both the United States and some foreign jurisdictions, there have been a number of legislative and regulatory proposals to change the healthcare system in ways that could affect our ability to sell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expect further federal and state proposals and healthcare reforms to continue to be proposed by legislators, which could limit the prices that can be charged for the products we develop and may limit our commercial opportunity.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continuing efforts of government and other third-party payors to further contain or reduce the costs of healthcare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197" w:lineRule="exact"/>
        <w:rPr>
          <w:sz w:val="20"/>
          <w:szCs w:val="20"/>
          <w:color w:val="auto"/>
        </w:rPr>
      </w:pPr>
    </w:p>
    <w:p>
      <w:pPr>
        <w:ind w:left="240" w:right="920"/>
        <w:spacing w:after="0" w:line="357"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ind w:right="60" w:firstLine="456"/>
        <w:spacing w:after="0" w:line="312" w:lineRule="auto"/>
        <w:rPr>
          <w:sz w:val="20"/>
          <w:szCs w:val="20"/>
          <w:color w:val="auto"/>
        </w:rPr>
      </w:pPr>
      <w:r>
        <w:rPr>
          <w:rFonts w:ascii="Arial" w:cs="Arial" w:eastAsia="Arial" w:hAnsi="Arial"/>
          <w:sz w:val="15"/>
          <w:szCs w:val="15"/>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supply of product for commercial supply and clinical trials is dependent upon relationships with third-party manufacturers and key suppliers.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Inc.,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terminated our agreement with BASF due to its inability to meet the agreement requirements, may enter into a new development and supply agreement with BASF, and may purchase API from BASF. In 2014, we obtained sNDA approval of a fourth supplier of API, which includes the manufacturing facility of Finorga SAS (Novasep). We currently purchase and use commercial supply from Novasep, Chemport, and Nisshin. Each of the API manufacturers obtains supply of the key raw material to manufacture API from other third-party sources of supply.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contractual freedom to source the API for Vascepa and have entered into supply agreements with multiple suppliers who also rely on other third-party suppliers of the key raw material to manufacture the API for Vascepa, Novasep, Nisshin and Chemport currently supply all of our API for Vascepa. Our strategy in adding API suppliers beyond Nisshin has been to expand manufacturing capacity and to partially mitigate the risk of reliance on any single supplier.</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third-party manufacturing capacity is not expanded and compliant with</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applicable regulatory requirements, we may 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currently have encapsulation agreements with three commercial API encapsulators for the encapsulation of Vascepa: Patheon, Inc. (formerly Banner Pharmacaps), Catalent Pharma Solutions, and Capsugel Plöermel SAS.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201"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201" w:lineRule="exact"/>
        <w:rPr>
          <w:sz w:val="20"/>
          <w:szCs w:val="20"/>
          <w:color w:val="auto"/>
        </w:rPr>
      </w:pPr>
    </w:p>
    <w:p>
      <w:pPr>
        <w:ind w:left="240" w:right="460"/>
        <w:spacing w:after="0" w:line="332" w:lineRule="auto"/>
        <w:rPr>
          <w:sz w:val="20"/>
          <w:szCs w:val="20"/>
          <w:color w:val="auto"/>
        </w:rPr>
      </w:pPr>
      <w:r>
        <w:rPr>
          <w:rFonts w:ascii="Arial" w:cs="Arial" w:eastAsia="Arial" w:hAnsi="Arial"/>
          <w:sz w:val="16"/>
          <w:szCs w:val="16"/>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225"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third-party manufacturers fail to satisfy these requirements, our product development and commercialization efforts may be materially harmed.</w:t>
      </w:r>
    </w:p>
    <w:p>
      <w:pPr>
        <w:spacing w:after="0" w:line="5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pharmaceutical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and criminal prosecutions, any of which could significantly and adversely affect our business. For example, Nisshin may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221"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99" w:lineRule="exact"/>
        <w:rPr>
          <w:sz w:val="20"/>
          <w:szCs w:val="20"/>
          <w:color w:val="auto"/>
        </w:rPr>
      </w:pPr>
    </w:p>
    <w:p>
      <w:pPr>
        <w:ind w:left="240" w:right="100"/>
        <w:spacing w:after="0" w:line="306" w:lineRule="auto"/>
        <w:rPr>
          <w:sz w:val="20"/>
          <w:szCs w:val="20"/>
          <w:color w:val="auto"/>
        </w:rPr>
      </w:pPr>
      <w:r>
        <w:rPr>
          <w:rFonts w:ascii="Arial" w:cs="Arial" w:eastAsia="Arial" w:hAnsi="Arial"/>
          <w:sz w:val="16"/>
          <w:szCs w:val="16"/>
          <w:b w:val="1"/>
          <w:bCs w:val="1"/>
          <w:i w:val="1"/>
          <w:iCs w:val="1"/>
          <w:color w:val="auto"/>
        </w:rPr>
        <w:t>We are dependent upon our collaboration with Eddingpharm to commercialize Vascepa in certain regions outside of the United States, and if Eddingpharm fails to successfully fulfill its obligations, or is ineffective in its commercialization of Vascepa in the China Territory, or if our collaboration is terminated, our plans to commercialize Vascepa outside of the United States may be adversely affected.</w:t>
      </w:r>
    </w:p>
    <w:p>
      <w:pPr>
        <w:spacing w:after="0" w:line="2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which may require conducting clinical trials in the China Territory to secure regulatory approval, as well as the commercialization of Vascepa outside of the United States. If Eddingpharm fails to perform its obligations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46 patent applications in the United States that have been either issued or allowed and more than 30 additional patent applications are pending in the United States. Such 46 allowed and issued applications include the following:</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 issued U.S. patents directed to a pharmaceutical composition of Vascepa in a capsule that have terms that expire in 2020 and 2030, respectively,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36 U.S. patents covering the use of Vascepa in either the MARINE or anticipated ANCHOR indication that have terms that expire in 2030,</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 outside the United States. We may be dependent in some cases upon third-party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Amarin’s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 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04"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5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January 2016, we issued financial and business guidance, including preliminary (unaudited) 2015 revenue and year-end cash results as well as expected fiscal year 2016 total net revenue, which is based on estimates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judgment of management. Because of the inherent nature of estimates, there could be significant differences between our estimates and the actual amount of product demand. If, for any reason, we are unable to realize our projected 2016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a class action lawsuit that could result in substantial costs and divert management’s attention.</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market price of our American Depositary Shares, or ADSs, declined significantly after the October 2013 decision by the FDA Advisory Committee to recommend against approval of Vascepa in the ANCHOR indication. We and certain of our current and former executive officers and directors have been named as defendants in a class action lawsuit that generally alleges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engaged in a vigorous defense of this lawsuit. On June 29, 2015, the Court granted our motion to dismiss the class action without prejudice. The Court held that the plaintiffs failed to state a claim upon which relief could be granted and plaintiffs were given 30 days to refile an amended complaint.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29, 2015, the plaintiffs filed an amended complaint. We again moved to dismiss, await a ruling on that motion and plan to continue with our vigorous defense. However, we are unable to predict the outcome of this matter at this time. Moreover,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90"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w:t>
      </w:r>
    </w:p>
    <w:p>
      <w:pPr>
        <w:spacing w:after="0" w:line="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As we evolve from a development stage company to a commercial stage company we may experience turnover among members of our senior management team. We may have difficulty identifying and integrating new executives to replace any such</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significant portion of our sales are to wholesalers in the pharmaceutical industry. Our top three customers accounted for 95% of gross product sales for each of the years ended December 31, 2015 and 2014, and represented 95% and 96% of the gross accounts receivable balance as of December 31, 2015 and 2014,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not yet reached profitability. For the fiscal years ended December 31, 2015, 2014, and 2013, we reported losses of approximately $149.1 million, $56.4 million, and $166.2 million, respectively, and we had an accumulated deficit as of December 31, 2015 of $1.1 billion. Substantially all of our operating losses resulted from costs incurred in connection with our research and development programs, from general and administrative costs associated with our operations, costs related to the commercialization of Vascepa, 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9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7"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5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3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ability of Eddingpharm to development and commercialize Vascepa in the China Territory, including obtaining necessary regulatory approvals and establishing marketing channels;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results of the REDUCE-IT study or post-approval studies for Vascepa;</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the lawsuit against the FDA to expand marketing claims for Vascepa, our NCE litigation, shareholder litigation, regulatory matters and tax matters;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252"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$107.0 million as of December 31, 2015 will be sufficient to fund our projected operations for at least the next twelve months. Depending on the level of cash generated from operations, additional capital may be required to sustain operations.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generated from the commercial sale of Vascepa;</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additional indications in the United States and in jurisdictions in which we receive regulatory approval, if any, including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Continued negative economic conditions would likely have a negative effect on our ability to obtain financing on acceptable terms.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January 2012, we issued $150 million in aggregate principal amount of 3.5% exchangeable senior notes due 2032, or the 2012 Notes, $16.2 million of which was subsequently repaid. In May 2014, we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or the 2014 Notes. In the event of physical settlement, the remaining 2012 Notes and 2014 Notes would be exchangeable into a total of 1,714,270 ADSs and 45,666,925 ADSs, respectively.</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November 2015, we issued $31.3 million in aggregate principal amount of 3.5% exchangeable senior notes due 2032, or the 2015 Notes. In the event of physical settlement, the 2015 Notes would be exchangeable into a total of 12,025,385 ADSs.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6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February 20, 2016 we had 185,011,734 common shares outstanding including 183,074,916 shares held as ADSs and 1,936,818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52" w:lineRule="exact"/>
        <w:rPr>
          <w:sz w:val="20"/>
          <w:szCs w:val="20"/>
          <w:color w:val="auto"/>
        </w:rPr>
      </w:pPr>
    </w:p>
    <w:p>
      <w:pPr>
        <w:ind w:left="240"/>
        <w:spacing w:after="0" w:line="323" w:lineRule="auto"/>
        <w:rPr>
          <w:sz w:val="20"/>
          <w:szCs w:val="20"/>
          <w:color w:val="auto"/>
        </w:rPr>
      </w:pPr>
      <w:r>
        <w:rPr>
          <w:rFonts w:ascii="Arial" w:cs="Arial" w:eastAsia="Arial" w:hAnsi="Arial"/>
          <w:sz w:val="15"/>
          <w:szCs w:val="15"/>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Pursuant to the securities subscription agreements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97" w:lineRule="exact"/>
        <w:rPr>
          <w:sz w:val="20"/>
          <w:szCs w:val="20"/>
          <w:color w:val="auto"/>
        </w:rPr>
      </w:pPr>
    </w:p>
    <w:p>
      <w:pPr>
        <w:ind w:left="240" w:right="460"/>
        <w:spacing w:after="0" w:line="332" w:lineRule="auto"/>
        <w:rPr>
          <w:sz w:val="20"/>
          <w:szCs w:val="20"/>
          <w:color w:val="auto"/>
        </w:rPr>
      </w:pPr>
      <w:r>
        <w:rPr>
          <w:rFonts w:ascii="Arial" w:cs="Arial" w:eastAsia="Arial" w:hAnsi="Arial"/>
          <w:sz w:val="16"/>
          <w:szCs w:val="16"/>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under the securities subscription agreement dated as of March 5, 2015,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201"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5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it is prudent to assume that we were classified as a PFIC in 2012. We do not believe that we were classified as a PFIC in 2013, 2014 or 2015.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status as a PFIC is subject to change in 2016 and future years.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Failure to meet our obligations under our Purchase and Sale Agreement with BioPharma could adversely affect our financial results and liquidity.</w:t>
      </w:r>
    </w:p>
    <w:p>
      <w:pPr>
        <w:spacing w:after="0" w:line="11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85"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w:t>
      </w:r>
    </w:p>
    <w:p>
      <w:pPr>
        <w:spacing w:after="0" w:line="1" w:lineRule="exact"/>
        <w:rPr>
          <w:sz w:val="20"/>
          <w:szCs w:val="20"/>
          <w:color w:val="auto"/>
        </w:rPr>
      </w:pPr>
    </w:p>
    <w:p>
      <w:pPr>
        <w:ind w:right="420" w:firstLine="8"/>
        <w:spacing w:after="0" w:line="261" w:lineRule="auto"/>
        <w:tabs>
          <w:tab w:leader="none" w:pos="29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encumber any of the collateral securing our performance under the agreement; and (v) abandon certain patent rights, in each case without the consent of BioPharma.</w:t>
      </w:r>
    </w:p>
    <w:p>
      <w:pPr>
        <w:spacing w:after="0" w:line="13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 (i) 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44"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existing indebtedness consists of $165.1 million in aggregate principal amount of 3.5% exchangeable senior notes due 2032, $15.1 million of which relates to the January 2012 notes with provisions for the notes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 put to us on or after January 19, 2017 and $118.7 million of May 2014 notes and $31.3 million of November 2015 notes, both with provisions for the notes to be redeemed by us on or after January 19, 2018 or put to us by the holders on or after January 19, 2019.</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The accounting for convertible debt securities that may be settled in cash, such as our notes, could have a material effect on our reported financial results.</w:t>
      </w:r>
    </w:p>
    <w:p>
      <w:pPr>
        <w:spacing w:after="0" w:line="1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lieu of any fractional ADS), we would be required to 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59" w:lineRule="exact"/>
        <w:rPr>
          <w:sz w:val="20"/>
          <w:szCs w:val="20"/>
          <w:color w:val="auto"/>
        </w:rPr>
      </w:pPr>
    </w:p>
    <w:p>
      <w:pPr>
        <w:ind w:left="900" w:right="1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59"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4" w:lineRule="exact"/>
        <w:rPr>
          <w:rFonts w:ascii="Arial" w:cs="Arial" w:eastAsia="Arial" w:hAnsi="Arial"/>
          <w:sz w:val="16"/>
          <w:szCs w:val="16"/>
          <w:color w:val="auto"/>
        </w:rPr>
      </w:pPr>
    </w:p>
    <w:p>
      <w:pPr>
        <w:ind w:left="900" w:right="24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25"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325"/>
        <w:spacing w:after="0" w:line="303"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w:t>
      </w:r>
    </w:p>
    <w:p>
      <w:pPr>
        <w:spacing w:after="0" w:line="1" w:lineRule="exact"/>
        <w:rPr>
          <w:rFonts w:ascii="Arial" w:cs="Arial" w:eastAsia="Arial" w:hAnsi="Arial"/>
          <w:sz w:val="15"/>
          <w:szCs w:val="15"/>
          <w:color w:val="auto"/>
        </w:rPr>
      </w:pPr>
    </w:p>
    <w:p>
      <w:pPr>
        <w:ind w:left="900" w:right="40"/>
        <w:spacing w:after="0" w:line="254" w:lineRule="auto"/>
        <w:rPr>
          <w:rFonts w:ascii="Arial" w:cs="Arial" w:eastAsia="Arial" w:hAnsi="Arial"/>
          <w:sz w:val="15"/>
          <w:szCs w:val="15"/>
          <w:color w:val="auto"/>
        </w:rPr>
      </w:pPr>
      <w:r>
        <w:rPr>
          <w:rFonts w:ascii="Arial" w:cs="Arial" w:eastAsia="Arial" w:hAnsi="Arial"/>
          <w:sz w:val="18"/>
          <w:szCs w:val="18"/>
          <w:color w:val="auto"/>
        </w:rPr>
        <w:t>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62"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31" w:lineRule="exact"/>
        <w:rPr>
          <w:rFonts w:ascii="Arial" w:cs="Arial" w:eastAsia="Arial" w:hAnsi="Arial"/>
          <w:sz w:val="16"/>
          <w:szCs w:val="16"/>
          <w:color w:val="auto"/>
        </w:rPr>
      </w:pPr>
    </w:p>
    <w:p>
      <w:pPr>
        <w:ind w:left="900" w:right="80" w:hanging="325"/>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 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0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the location, use and ownership interest of our principal properties as of February 20, 2016:</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Location</w:t>
            </w:r>
          </w:p>
        </w:tc>
        <w:tc>
          <w:tcPr>
            <w:tcW w:w="6740" w:type="dxa"/>
            <w:vAlign w:val="bottom"/>
          </w:tcPr>
          <w:p>
            <w:pPr>
              <w:spacing w:after="0"/>
              <w:rPr>
                <w:sz w:val="15"/>
                <w:szCs w:val="15"/>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Use</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5"/>
              </w:rPr>
              <w:t>Ownership</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4"/>
              </w:rPr>
              <w:t>Size (sq. ft.)</w:t>
            </w:r>
          </w:p>
        </w:tc>
      </w:tr>
      <w:tr>
        <w:trPr>
          <w:trHeight w:val="203"/>
        </w:trPr>
        <w:tc>
          <w:tcPr>
            <w:tcW w:w="7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Dublin, Ireland</w:t>
            </w:r>
          </w:p>
        </w:tc>
        <w:tc>
          <w:tcPr>
            <w:tcW w:w="5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5"/>
              </w:rPr>
              <w:t>Offices</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Leased</w:t>
            </w: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280" w:type="dxa"/>
            <w:vAlign w:val="bottom"/>
            <w:gridSpan w:val="2"/>
          </w:tcPr>
          <w:p>
            <w:pPr>
              <w:spacing w:after="0"/>
              <w:rPr>
                <w:sz w:val="20"/>
                <w:szCs w:val="20"/>
                <w:color w:val="auto"/>
              </w:rPr>
            </w:pPr>
            <w:r>
              <w:rPr>
                <w:rFonts w:ascii="Arial" w:cs="Arial" w:eastAsia="Arial" w:hAnsi="Arial"/>
                <w:sz w:val="18"/>
                <w:szCs w:val="18"/>
                <w:color w:val="auto"/>
              </w:rPr>
              <w:t>Bedminster, New Jersey, USA</w:t>
            </w: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Offices</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Leased</w:t>
            </w:r>
          </w:p>
        </w:tc>
        <w:tc>
          <w:tcPr>
            <w:tcW w:w="660" w:type="dxa"/>
            <w:vAlign w:val="bottom"/>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Effective November 1, 2011, we leased 320 square feet of office space in Dublin, Ireland. The office space was subsequently reduced to 270 square feet, effective November 1, 2013. The lease terminates on October 31, 2016 and may be renewed annually.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Effective July 1, 2011, we leased 9,747 square feet of office space in Bedminster, New Jersey. The lease, as amended, terminates on March 31, 2018, and may also be terminated with six months prior notice. On December 6, 2011 we leased an additional 2,142 square feet of space in the same location. On December 15, 2012 and May 8, 2013, we leased an additional 2,601 and 10,883 square feet of space, respectively, in the same location. In January 2014 and April 2014, we entered into separate transactions with the landlord of this property to vacate approximately 2,142 and 2,000 square feet of space in exchange for discounts on contractual future rent payments. In January 2015, we signed an agreement to sublease approximately 4,700 square feet of this property to a third party, effective April 1, 2015. Additionally, in June 2015, we executed an agreement to sublease approximately 2,500 square feet of this property to a separate third party, effective June 16, 2015.</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our existing facilities are adequate for our current needs and that additional space will be available in the future on commercially reasonable terms as needed.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On May 7, 2015, we and a group of independent physicians filed a federal lawsuit to permit us to share truthful and non-misleading information, including, but not limited to, the ANCHOR trial clinical data, with healthcare professionals in the United States about certain uses of Vascepa not included with approved FDA labeling of Vascepa and thus not permitted under the FDA’s interpretation of applicable law. The lawsuit, captioned </w:t>
      </w:r>
      <w:r>
        <w:rPr>
          <w:rFonts w:ascii="Arial" w:cs="Arial" w:eastAsia="Arial" w:hAnsi="Arial"/>
          <w:sz w:val="16"/>
          <w:szCs w:val="16"/>
          <w:i w:val="1"/>
          <w:iCs w:val="1"/>
          <w:color w:val="auto"/>
        </w:rPr>
        <w:t>Amarin Pharma, Inc., et al. v. Food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Drug Administration, et al. </w:t>
      </w:r>
      <w:r>
        <w:rPr>
          <w:rFonts w:ascii="Arial" w:cs="Arial" w:eastAsia="Arial" w:hAnsi="Arial"/>
          <w:sz w:val="16"/>
          <w:szCs w:val="16"/>
          <w:color w:val="auto"/>
        </w:rPr>
        <w:t>(1:15-cv-03588-PAE), was filed in the United States District Court for the Southern District of New York and seeks a judicial</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 based on several legal theories. On August 7, 2015, the Court granted our request for preliminary relief in this litigation through a declaratory judgment that confirmed that we may engage in truthful and non-misleading speech promoting the off-label use of Vascepa, i.e., to treat patients with persistently high triglycerides, and such speech may not form the basis of a misbranding action under the Federal Food and Drug Cosmetic Act. FDA did not appeal the Court’s preliminary ruling prior to the October 6, 2015 deadline for appeal. The underlying litigation has been stayed for settlement discussion and the parties are working toward settlement. We cannot predict the outcome of settlement negotiations or this litigation.</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May 28, 2015, the U.S. District Court for the District of Columbia granted our motion for summary judgment in our lawsuit against the FDA, captioned </w:t>
      </w:r>
      <w:r>
        <w:rPr>
          <w:rFonts w:ascii="Arial" w:cs="Arial" w:eastAsia="Arial" w:hAnsi="Arial"/>
          <w:sz w:val="16"/>
          <w:szCs w:val="16"/>
          <w:i w:val="1"/>
          <w:iCs w:val="1"/>
          <w:color w:val="auto"/>
        </w:rPr>
        <w:t>Amarin Pharmaceuticals Ireland Ltd. v. Food &amp; Drug Administration, et al.</w:t>
      </w:r>
      <w:r>
        <w:rPr>
          <w:rFonts w:ascii="Arial" w:cs="Arial" w:eastAsia="Arial" w:hAnsi="Arial"/>
          <w:sz w:val="16"/>
          <w:szCs w:val="16"/>
          <w:color w:val="auto"/>
        </w:rPr>
        <w:t>, Civ. A. No. 14-0324 (D.D.C.). This lawsuit sought an order requiring FDA to</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five-year, New Chemical Entity (“NCE”) marketing exclusivity for Vascepa. The decision vacated the FDA’s denial of our claim for such exclusivity and remanded to the FDA for proceedings consistent with the decision. FDA did not appeal the Court’s decision prior to the July 28, 2015 deadline for appeal. On July 22, 2015, Watson Laboratories Inc., the purported first Vascepa ANDA filer, sought to intervene and appeal the Court’s decision. We and FDA opposed this intervention effort. The applicable courts denied Watson the relief sought and appeal periods have expired. A new exclusivity determination by FDA has been pending since the May 28, 2015 District of Columbia court order setting aside FDA’s denial of NCE exclusivity for Vascepa. We believe Vascepa is entitled to NCE exclusivity, but cannot predict the outcome of FDA’s determination.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March, April, and May 2014, we received paragraph IV certification notices from six companies contending to varying degrees that certain of our patents are invalid, unenforceable and/or will not be infringed by the manufacture, use, sale or offer for sale of a generic form of Vascepa as described in those companies’ abbreviated new drug applications, or ANDAs. We commenced patent infringement lawsuits against each of these ANDA applicants. In each of the lawsuits, Amarin sought, among other remedies, an order enjoining the defendants from marketing generic versions of Vascepa before the last to expire of the asserted patents expires in 2030. A summary of the lawsuits is below:</w:t>
      </w:r>
    </w:p>
    <w:p>
      <w:pPr>
        <w:spacing w:after="0" w:line="35" w:lineRule="exact"/>
        <w:rPr>
          <w:sz w:val="20"/>
          <w:szCs w:val="20"/>
          <w:color w:val="auto"/>
        </w:rPr>
      </w:pPr>
    </w:p>
    <w:p>
      <w:pPr>
        <w:ind w:left="900" w:right="100" w:hanging="325"/>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April 2014, Amarin filed lawsuits against Apotex, Inc. and Apotex Corporation, or collectively, Apotex, in the U.S. District Court for the District of New Jersey and the U.S. District Court for the Northern District of Illinois. The cases against Apotex are captioned </w:t>
      </w:r>
      <w:r>
        <w:rPr>
          <w:rFonts w:ascii="Arial" w:cs="Arial" w:eastAsia="Arial" w:hAnsi="Arial"/>
          <w:sz w:val="18"/>
          <w:szCs w:val="18"/>
          <w:i w:val="1"/>
          <w:iCs w:val="1"/>
          <w:color w:val="auto"/>
        </w:rPr>
        <w:t>Amarin Pharma, Inc. et al. v.</w:t>
      </w:r>
      <w:r>
        <w:rPr>
          <w:rFonts w:ascii="Arial" w:cs="Arial" w:eastAsia="Arial" w:hAnsi="Arial"/>
          <w:sz w:val="18"/>
          <w:szCs w:val="18"/>
          <w:color w:val="auto"/>
        </w:rPr>
        <w:t xml:space="preserve"> </w:t>
      </w:r>
      <w:r>
        <w:rPr>
          <w:rFonts w:ascii="Arial" w:cs="Arial" w:eastAsia="Arial" w:hAnsi="Arial"/>
          <w:sz w:val="18"/>
          <w:szCs w:val="18"/>
          <w:i w:val="1"/>
          <w:iCs w:val="1"/>
          <w:color w:val="auto"/>
        </w:rPr>
        <w:t>Apotex, Inc. et al</w:t>
      </w:r>
      <w:r>
        <w:rPr>
          <w:rFonts w:ascii="Arial" w:cs="Arial" w:eastAsia="Arial" w:hAnsi="Arial"/>
          <w:sz w:val="18"/>
          <w:szCs w:val="18"/>
          <w:color w:val="auto"/>
        </w:rPr>
        <w:t>., Civ. A. No. 14-2550 (D.N.J) and</w:t>
      </w:r>
      <w:r>
        <w:rPr>
          <w:rFonts w:ascii="Arial" w:cs="Arial" w:eastAsia="Arial" w:hAnsi="Arial"/>
          <w:sz w:val="18"/>
          <w:szCs w:val="18"/>
          <w:i w:val="1"/>
          <w:iCs w:val="1"/>
          <w:color w:val="auto"/>
        </w:rPr>
        <w:t xml:space="preserve"> Amarin Pharma, Inc. et al. v. Apotex, Inc. et al.</w:t>
      </w:r>
      <w:r>
        <w:rPr>
          <w:rFonts w:ascii="Arial" w:cs="Arial" w:eastAsia="Arial" w:hAnsi="Arial"/>
          <w:sz w:val="18"/>
          <w:szCs w:val="18"/>
          <w:color w:val="auto"/>
        </w:rPr>
        <w:t>, Civ. A. No. 14-2958 (N.D. Ill.). On August 27,</w:t>
      </w:r>
      <w:r>
        <w:rPr>
          <w:rFonts w:ascii="Arial" w:cs="Arial" w:eastAsia="Arial" w:hAnsi="Arial"/>
          <w:sz w:val="18"/>
          <w:szCs w:val="18"/>
          <w:i w:val="1"/>
          <w:iCs w:val="1"/>
          <w:color w:val="auto"/>
        </w:rPr>
        <w:t xml:space="preserve"> </w:t>
      </w:r>
      <w:r>
        <w:rPr>
          <w:rFonts w:ascii="Arial" w:cs="Arial" w:eastAsia="Arial" w:hAnsi="Arial"/>
          <w:sz w:val="18"/>
          <w:szCs w:val="18"/>
          <w:color w:val="auto"/>
        </w:rPr>
        <w:t>2014, Amarin voluntarily dismissed the Northern District of Illinois case against Apotex in favor of the New Jersey case, which concerns identical allegations of patent infringement against Apotex.</w:t>
      </w:r>
    </w:p>
    <w:p>
      <w:pPr>
        <w:spacing w:after="0" w:line="61"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April 2014, Amarin filed lawsuits against Roxane Laboratories, Inc., or Roxane, in the U.S. District Court for the District of New Jersey and the U.S. District Court for the Northern District of Ohio. The cases against Roxane are captioned </w:t>
      </w:r>
      <w:r>
        <w:rPr>
          <w:rFonts w:ascii="Arial" w:cs="Arial" w:eastAsia="Arial" w:hAnsi="Arial"/>
          <w:sz w:val="18"/>
          <w:szCs w:val="18"/>
          <w:i w:val="1"/>
          <w:iCs w:val="1"/>
          <w:color w:val="auto"/>
        </w:rPr>
        <w:t>Amarin Pharma, Inc. et al. v. Roxane Laboratories,</w:t>
      </w:r>
      <w:r>
        <w:rPr>
          <w:rFonts w:ascii="Arial" w:cs="Arial" w:eastAsia="Arial" w:hAnsi="Arial"/>
          <w:sz w:val="18"/>
          <w:szCs w:val="18"/>
          <w:color w:val="auto"/>
        </w:rPr>
        <w:t xml:space="preserve"> </w:t>
      </w:r>
      <w:r>
        <w:rPr>
          <w:rFonts w:ascii="Arial" w:cs="Arial" w:eastAsia="Arial" w:hAnsi="Arial"/>
          <w:sz w:val="18"/>
          <w:szCs w:val="18"/>
          <w:i w:val="1"/>
          <w:iCs w:val="1"/>
          <w:color w:val="auto"/>
        </w:rPr>
        <w:t>Inc.</w:t>
      </w:r>
      <w:r>
        <w:rPr>
          <w:rFonts w:ascii="Arial" w:cs="Arial" w:eastAsia="Arial" w:hAnsi="Arial"/>
          <w:sz w:val="18"/>
          <w:szCs w:val="18"/>
          <w:color w:val="auto"/>
        </w:rPr>
        <w:t>, Civ. A. No. 14-2551 (D.N.J) and</w:t>
      </w:r>
      <w:r>
        <w:rPr>
          <w:rFonts w:ascii="Arial" w:cs="Arial" w:eastAsia="Arial" w:hAnsi="Arial"/>
          <w:sz w:val="18"/>
          <w:szCs w:val="18"/>
          <w:i w:val="1"/>
          <w:iCs w:val="1"/>
          <w:color w:val="auto"/>
        </w:rPr>
        <w:t xml:space="preserve"> Amarin Pharma, Inc. et al. v. Roxane Laboratories, Inc.</w:t>
      </w:r>
      <w:r>
        <w:rPr>
          <w:rFonts w:ascii="Arial" w:cs="Arial" w:eastAsia="Arial" w:hAnsi="Arial"/>
          <w:sz w:val="18"/>
          <w:szCs w:val="18"/>
          <w:color w:val="auto"/>
        </w:rPr>
        <w:t>, Civ. A. No. 14-901 (N.D. Ohio). On May 7, 2014,</w:t>
      </w:r>
      <w:r>
        <w:rPr>
          <w:rFonts w:ascii="Arial" w:cs="Arial" w:eastAsia="Arial" w:hAnsi="Arial"/>
          <w:sz w:val="18"/>
          <w:szCs w:val="18"/>
          <w:i w:val="1"/>
          <w:iCs w:val="1"/>
          <w:color w:val="auto"/>
        </w:rPr>
        <w:t xml:space="preserve"> </w:t>
      </w:r>
      <w:r>
        <w:rPr>
          <w:rFonts w:ascii="Arial" w:cs="Arial" w:eastAsia="Arial" w:hAnsi="Arial"/>
          <w:sz w:val="18"/>
          <w:szCs w:val="18"/>
          <w:color w:val="auto"/>
        </w:rPr>
        <w:t>Amarin voluntarily dismissed the Northern District of Ohio case against Roxane in favor of the New Jersey case, which concerns identical allegations of patent infringement against Roxane.</w:t>
      </w:r>
    </w:p>
    <w:p>
      <w:pPr>
        <w:spacing w:after="0" w:line="61"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April 2014, Amarin also filed a lawsuit against Dr. Reddy’s Laboratories, Inc. and Dr. Reddy’s Laboratories, Ltd., or collectively, Dr. Reddy’s, in the U.S. District Court for the District of New Jersey. The case against Dr. Reddy’s is captioned </w:t>
      </w:r>
      <w:r>
        <w:rPr>
          <w:rFonts w:ascii="Arial" w:cs="Arial" w:eastAsia="Arial" w:hAnsi="Arial"/>
          <w:sz w:val="18"/>
          <w:szCs w:val="18"/>
          <w:i w:val="1"/>
          <w:iCs w:val="1"/>
          <w:color w:val="auto"/>
        </w:rPr>
        <w:t>Amarin Pharma, Inc. et al. v. Dr. Reddy’s</w:t>
      </w:r>
      <w:r>
        <w:rPr>
          <w:rFonts w:ascii="Arial" w:cs="Arial" w:eastAsia="Arial" w:hAnsi="Arial"/>
          <w:sz w:val="18"/>
          <w:szCs w:val="18"/>
          <w:color w:val="auto"/>
        </w:rPr>
        <w:t xml:space="preserve"> </w:t>
      </w:r>
      <w:r>
        <w:rPr>
          <w:rFonts w:ascii="Arial" w:cs="Arial" w:eastAsia="Arial" w:hAnsi="Arial"/>
          <w:sz w:val="18"/>
          <w:szCs w:val="18"/>
          <w:i w:val="1"/>
          <w:iCs w:val="1"/>
          <w:color w:val="auto"/>
        </w:rPr>
        <w:t>Laboratories, Inc. et al.</w:t>
      </w:r>
      <w:r>
        <w:rPr>
          <w:rFonts w:ascii="Arial" w:cs="Arial" w:eastAsia="Arial" w:hAnsi="Arial"/>
          <w:sz w:val="18"/>
          <w:szCs w:val="18"/>
          <w:color w:val="auto"/>
        </w:rPr>
        <w:t>, Civ. A. No. 14-2760 (D.N.J.).</w:t>
      </w:r>
    </w:p>
    <w:p>
      <w:pPr>
        <w:spacing w:after="0" w:line="59" w:lineRule="exact"/>
        <w:rPr>
          <w:rFonts w:ascii="Arial" w:cs="Arial" w:eastAsia="Arial" w:hAnsi="Arial"/>
          <w:sz w:val="18"/>
          <w:szCs w:val="18"/>
          <w:color w:val="auto"/>
        </w:rPr>
      </w:pPr>
    </w:p>
    <w:p>
      <w:pPr>
        <w:ind w:left="900" w:right="2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May 2014, Amarin also filed a lawsuit against Watson Laboratories, Inc. and Actavis, Inc., or Watson, in the U.S. District Court for the District of New Jersey. One of our directors, Patrick J. O’Sullivan, is also a director of Actavis, Inc.. The case against Watson is captioned </w:t>
      </w:r>
      <w:r>
        <w:rPr>
          <w:rFonts w:ascii="Arial" w:cs="Arial" w:eastAsia="Arial" w:hAnsi="Arial"/>
          <w:sz w:val="18"/>
          <w:szCs w:val="18"/>
          <w:i w:val="1"/>
          <w:iCs w:val="1"/>
          <w:color w:val="auto"/>
        </w:rPr>
        <w:t>Amarin Pharma,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 v. Watson Laboratories, Inc. et al.</w:t>
      </w:r>
      <w:r>
        <w:rPr>
          <w:rFonts w:ascii="Arial" w:cs="Arial" w:eastAsia="Arial" w:hAnsi="Arial"/>
          <w:sz w:val="18"/>
          <w:szCs w:val="18"/>
          <w:color w:val="auto"/>
        </w:rPr>
        <w:t>, Civ. A. No. 14-3259 (D.N.J). On July 17, 2014, Amarin agreed to dismiss Actavis, Inc. from the case,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Court accordingly dismissed Actavis, Inc. on November 3, 2014.</w:t>
      </w:r>
    </w:p>
    <w:p>
      <w:pPr>
        <w:spacing w:after="0" w:line="62"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In June 2014, Amarin also filed a case against Teva Pharmaceuticals USA, Inc., or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Civ. A. No. 14-3558 (D.N.J.).</w:t>
      </w:r>
    </w:p>
    <w:p>
      <w:pPr>
        <w:spacing w:after="0" w:line="4" w:lineRule="exact"/>
        <w:rPr>
          <w:rFonts w:ascii="Arial" w:cs="Arial" w:eastAsia="Arial" w:hAnsi="Arial"/>
          <w:sz w:val="16"/>
          <w:szCs w:val="16"/>
          <w:color w:val="auto"/>
        </w:rPr>
      </w:pPr>
    </w:p>
    <w:p>
      <w:pPr>
        <w:jc w:val="both"/>
        <w:ind w:left="900" w:right="1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In June 2014, Amarin also filed a lawsuit against Andrx Labs, LLC, Andrx Corporation, and Actavis plc, or collectively, Andrx, in the U.S. District Court for the District of New Jersey. The case against Andrx is captioned </w:t>
      </w:r>
      <w:r>
        <w:rPr>
          <w:rFonts w:ascii="Arial" w:cs="Arial" w:eastAsia="Arial" w:hAnsi="Arial"/>
          <w:sz w:val="18"/>
          <w:szCs w:val="18"/>
          <w:i w:val="1"/>
          <w:iCs w:val="1"/>
          <w:color w:val="auto"/>
        </w:rPr>
        <w:t>Amarin Pharma, Inc. et al v. Andrx Labs, LLC et. al.</w:t>
      </w:r>
      <w:r>
        <w:rPr>
          <w:rFonts w:ascii="Arial" w:cs="Arial" w:eastAsia="Arial" w:hAnsi="Arial"/>
          <w:sz w:val="18"/>
          <w:szCs w:val="18"/>
          <w:color w:val="auto"/>
        </w:rPr>
        <w:t>, Civ. A. No. 14-3924 (D.N.J.).</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Based on the May 28, 2015 U.S. District Court for the District of Columbia order granting our motion for summary judgment in the NCE litigation, on June 26, 2015, the parties to the related ANDA litigation identified above agreed to a full stay of proceedings. FDA subsequently notified the ANDA filers that FDA had changed the status of their ANDAs to submitted, but no longer accepted. In rescinding acceptance of the ANDAs, we believed the statutory basis for the ANDA-related patent litigation (accepted ANDAs) no longer existed. Thus, on July 24, 2015, we moved to dismiss the pending patent infringement lawsuits against each of the Vascepa ANDA applicants in the U.S. District Court for the District of New Jersey. On January 22, 2016, the U.S. District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Court for the District of New Jersey granted Amarin’s motion to dismiss all patent infringement litigation related to the 2014 acceptance by the FDA of ANDAs to Vascepa. With this dismissal, there is no pending patent litigation related to Vascepa. A notice of appeal of the court’s dismissal was filed by one ANDA filer in this case and we intend to continue to litigate vigorously in support of the court’s dismissal. We cannot predict the outcome of this litigation.</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new exclusivity determination by FDA has been pending since the May 28, 2015 District of Columbia court order setting aside FDA’s denial of NCE exclusivity for Vascepa. We believe Vascepa is entitled to NCE exclusivity, but cannot predict the outcome of FDA’s determination. The legal process can also be costly and time-consuming. We plan to defend the exclusivity of Vascepa through patent litigation after notification that FDA has accepted an ANDA application related to Vascepa. Assuming an NCE exclusivity determination from the FDA or no exclusivity determination, we expect notification of new ANDA submissions no sooner than in late July 2016, after the expiration of four years from the 2012 approval of Vascepa.</w:t>
      </w:r>
    </w:p>
    <w:p>
      <w:pPr>
        <w:spacing w:after="0" w:line="1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On June 29, 2015, the U.S. District Court for the District of New Jersey granted our motion to dismiss the putative consolidated class action lawsuit captioned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class action was dismissed without prejudice with leave for plaintiffs to file an amended complaint. The lawsuit sought unspecified monetary damages and attorneys’ fees and costs alleging that we and certain of our current and former officers and directors made misstatements and omissions regarding the FDA’s willingness to approve Vascepa’s ANCHOR indication and related contributing factors and the potential relevance of data from the ongoing REDUCE-IT trial to that potential approval. On July 29, 2015, plaintiffs filed an amended complaint alleging facts similar to those in the original complaint. Like the first complaint, the amended complaint seeks unspecified monetary damages and attorneys’ fees and costs. We believe we have valid defenses and will continue to vigorously defend against this lawsuit, but cannot predict the outcome. We have insurance coverage that is anticipated to cover any significant loss exposure that may arise from this action.</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to the above, in the ordinary course of business, we are from time to time involved in lawsuits, claims, investigations, proceedings, and threats of litigation relating to intellectual property, commercial arrangements and other matters.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the high and low prices for our ADSs in each of the quarters over the past two fiscal years, as quoted on the NASDAQ Global Market.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Common Stock Price</w:t>
            </w: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40" w:type="dxa"/>
            <w:vAlign w:val="bottom"/>
            <w:gridSpan w:val="5"/>
          </w:tcPr>
          <w:p>
            <w:pPr>
              <w:ind w:left="300"/>
              <w:spacing w:after="0" w:line="142" w:lineRule="exact"/>
              <w:rPr>
                <w:sz w:val="20"/>
                <w:szCs w:val="20"/>
                <w:color w:val="auto"/>
              </w:rPr>
            </w:pPr>
            <w:r>
              <w:rPr>
                <w:rFonts w:ascii="Arial" w:cs="Arial" w:eastAsia="Arial" w:hAnsi="Arial"/>
                <w:sz w:val="14"/>
                <w:szCs w:val="14"/>
                <w:b w:val="1"/>
                <w:bCs w:val="1"/>
                <w:color w:val="auto"/>
              </w:rPr>
              <w:t>Fiscal 2015</w:t>
            </w:r>
          </w:p>
        </w:tc>
        <w:tc>
          <w:tcPr>
            <w:tcW w:w="220" w:type="dxa"/>
            <w:vAlign w:val="bottom"/>
          </w:tcPr>
          <w:p>
            <w:pPr>
              <w:spacing w:after="0"/>
              <w:rPr>
                <w:sz w:val="12"/>
                <w:szCs w:val="12"/>
                <w:color w:val="auto"/>
              </w:rPr>
            </w:pPr>
          </w:p>
        </w:tc>
        <w:tc>
          <w:tcPr>
            <w:tcW w:w="122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Fiscal 2014</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2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High</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Pr>
          <w:p>
            <w:pPr>
              <w:spacing w:after="0"/>
              <w:rPr>
                <w:sz w:val="12"/>
                <w:szCs w:val="12"/>
                <w:color w:val="auto"/>
              </w:rPr>
            </w:pP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36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$3.33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$0.98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$2.75</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Second Quarter</w:t>
            </w:r>
          </w:p>
        </w:tc>
        <w:tc>
          <w:tcPr>
            <w:tcW w:w="4280" w:type="dxa"/>
            <w:vAlign w:val="bottom"/>
            <w:gridSpan w:val="3"/>
          </w:tcPr>
          <w:p>
            <w:pPr>
              <w:jc w:val="center"/>
              <w:ind w:left="3372"/>
              <w:spacing w:after="0"/>
              <w:rPr>
                <w:sz w:val="20"/>
                <w:szCs w:val="20"/>
                <w:color w:val="auto"/>
              </w:rPr>
            </w:pPr>
            <w:r>
              <w:rPr>
                <w:rFonts w:ascii="Arial" w:cs="Arial" w:eastAsia="Arial" w:hAnsi="Arial"/>
                <w:sz w:val="18"/>
                <w:szCs w:val="18"/>
                <w:color w:val="auto"/>
                <w:w w:val="93"/>
              </w:rPr>
              <w:t>$2.80</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$1.28</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280" w:type="dxa"/>
            <w:vAlign w:val="bottom"/>
            <w:gridSpan w:val="3"/>
            <w:shd w:val="clear" w:color="auto" w:fill="CCEEFF"/>
          </w:tcPr>
          <w:p>
            <w:pPr>
              <w:jc w:val="center"/>
              <w:ind w:left="3372"/>
              <w:spacing w:after="0"/>
              <w:rPr>
                <w:sz w:val="20"/>
                <w:szCs w:val="20"/>
                <w:color w:val="auto"/>
              </w:rPr>
            </w:pPr>
            <w:r>
              <w:rPr>
                <w:rFonts w:ascii="Arial" w:cs="Arial" w:eastAsia="Arial" w:hAnsi="Arial"/>
                <w:sz w:val="18"/>
                <w:szCs w:val="18"/>
                <w:color w:val="auto"/>
                <w:w w:val="93"/>
              </w:rPr>
              <w:t>$2.59</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2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8"/>
              </w:rPr>
              <w:t>$1.07</w:t>
            </w:r>
          </w:p>
        </w:tc>
        <w:tc>
          <w:tcPr>
            <w:tcW w:w="100" w:type="dxa"/>
            <w:vAlign w:val="bottom"/>
            <w:shd w:val="clear" w:color="auto" w:fill="CCEEFF"/>
          </w:tcPr>
          <w:p>
            <w:pPr>
              <w:spacing w:after="0"/>
              <w:rPr>
                <w:sz w:val="18"/>
                <w:szCs w:val="18"/>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Fourth Quarter</w:t>
            </w:r>
          </w:p>
        </w:tc>
        <w:tc>
          <w:tcPr>
            <w:tcW w:w="4280" w:type="dxa"/>
            <w:vAlign w:val="bottom"/>
            <w:gridSpan w:val="3"/>
          </w:tcPr>
          <w:p>
            <w:pPr>
              <w:jc w:val="center"/>
              <w:ind w:left="3372"/>
              <w:spacing w:after="0"/>
              <w:rPr>
                <w:sz w:val="20"/>
                <w:szCs w:val="20"/>
                <w:color w:val="auto"/>
              </w:rPr>
            </w:pPr>
            <w:r>
              <w:rPr>
                <w:rFonts w:ascii="Arial" w:cs="Arial" w:eastAsia="Arial" w:hAnsi="Arial"/>
                <w:sz w:val="18"/>
                <w:szCs w:val="18"/>
                <w:color w:val="auto"/>
                <w:w w:val="93"/>
              </w:rPr>
              <w:t>$2.19</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$1.79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820" w:type="dxa"/>
            <w:vAlign w:val="bottom"/>
            <w:gridSpan w:val="2"/>
          </w:tcPr>
          <w:p>
            <w:pPr>
              <w:jc w:val="center"/>
              <w:ind w:left="332"/>
              <w:spacing w:after="0"/>
              <w:rPr>
                <w:sz w:val="20"/>
                <w:szCs w:val="20"/>
                <w:color w:val="auto"/>
              </w:rPr>
            </w:pPr>
            <w:r>
              <w:rPr>
                <w:rFonts w:ascii="Arial" w:cs="Arial" w:eastAsia="Arial" w:hAnsi="Arial"/>
                <w:sz w:val="18"/>
                <w:szCs w:val="18"/>
                <w:color w:val="auto"/>
                <w:w w:val="88"/>
              </w:rPr>
              <w:t>$0.78</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As of January 31, 2016, there were approximately 385 holders of record of our ordinary shares. Because many ordinary shares are held by broker nominees, we are unable to estimate the total number of shareholders represented by these record holders. Our depositary, Citibank, N.A., constitutes a single record holder of our ordinary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have never paid dividends on common shares and do not anticipate paying any cash dividends on the common shares in the foreseeable future. Under English law, any payment of dividends would be subject to relevant legislation and our Articles of Association, which requires that all dividends must be approved by our Board of Directors and, in some cases, our stockholders, and may only be paid from our distributable profits available for the purpose, determined on an unconsolidated basis.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Under our Purchase and Sale Agreement with BioPharma Secured Debt Fund II Holdings Cayman LP, or BioPharma, we are restricted from paying a dividend on our common shares, unless we have cash and cash equivalents in excess of a specified amount after such payment.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Graph—5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graph compares the cumulative 5-year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indexes on January 1, 2011 and its relative performance is tracked through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104140</wp:posOffset>
            </wp:positionV>
            <wp:extent cx="5213985" cy="2178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6"/>
              </w:rPr>
              <w:t>12/31/2011</w:t>
            </w: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12/31/2012</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12/31/2013</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12/31/2014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Amarin Corporation PLC</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91.34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98.66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24.02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11.95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23.05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99.17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116.48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163.21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187.27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200.31</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2"/>
              <w:spacing w:after="0"/>
              <w:rPr>
                <w:sz w:val="20"/>
                <w:szCs w:val="20"/>
                <w:color w:val="auto"/>
              </w:rPr>
            </w:pPr>
            <w:r>
              <w:rPr>
                <w:rFonts w:ascii="Arial" w:cs="Arial" w:eastAsia="Arial" w:hAnsi="Arial"/>
                <w:sz w:val="18"/>
                <w:szCs w:val="18"/>
                <w:color w:val="auto"/>
              </w:rPr>
              <w:t>112.09</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148.78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247.01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331.99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371.06</w:t>
            </w:r>
          </w:p>
        </w:tc>
      </w:tr>
      <w:tr>
        <w:trPr>
          <w:trHeight w:val="356"/>
        </w:trPr>
        <w:tc>
          <w:tcPr>
            <w:tcW w:w="3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Graph—1 Year</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graph compares the cumulative 1-year return provided to stockholders of Amarin’s ADSs relative to the cumulative total returns of the NASDAQ Composite Index and the NASDAQ Biotechnology Index. We believe these indices are the most appropriate indices against which the total shareholder return of Amarin should be measured. The NASDAQ Biotechnology Index has been selected because it is an index of U.S. quoted biotechnology and pharmaceutical companies. An investment of $100 (with reinvestment of all dividends) is assumed to have been made in our ADSs and in each of the indexes on January 1, 2015 and its relative performance is tracked through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104140</wp:posOffset>
            </wp:positionV>
            <wp:extent cx="5213985" cy="2178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Company/Market/Peer Company</w:t>
            </w:r>
          </w:p>
        </w:tc>
        <w:tc>
          <w:tcPr>
            <w:tcW w:w="19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3/31/2015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6/30/2015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9/30/2015</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12/31/2015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Amarin Corporation PLC</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238.78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251.02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196.94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192.86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 Index</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103.79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105.90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98.39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106.96</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NASDAQ Biotechnology Index</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113.27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121.79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99.96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111.77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equity compensation plans is incorporated by reference in Item 12 of Part III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purchased in the fourth quarter of 2015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740" w:type="dxa"/>
            <w:vAlign w:val="bottom"/>
            <w:vMerge w:val="restart"/>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Total Number of</w:t>
            </w:r>
          </w:p>
        </w:tc>
        <w:tc>
          <w:tcPr>
            <w:tcW w:w="120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124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3"/>
              </w:rPr>
              <w:t>Shares Purchased (1)</w:t>
            </w:r>
          </w:p>
        </w:tc>
        <w:tc>
          <w:tcPr>
            <w:tcW w:w="1200" w:type="dxa"/>
            <w:vAlign w:val="bottom"/>
          </w:tcPr>
          <w:p>
            <w:pPr>
              <w:spacing w:after="0"/>
              <w:rPr>
                <w:sz w:val="14"/>
                <w:szCs w:val="14"/>
                <w:color w:val="auto"/>
              </w:rPr>
            </w:pPr>
          </w:p>
        </w:tc>
        <w:tc>
          <w:tcPr>
            <w:tcW w:w="100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Paid per Share</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 – 31, 2015</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2,349</w:t>
            </w:r>
          </w:p>
        </w:tc>
        <w:tc>
          <w:tcPr>
            <w:tcW w:w="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2"/>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November 1 – 30, 2015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2015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20,082</w:t>
            </w: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22,431</w:t>
            </w:r>
          </w:p>
        </w:tc>
        <w:tc>
          <w:tcPr>
            <w:tcW w:w="1200" w:type="dxa"/>
            <w:vAlign w:val="bottom"/>
          </w:tcPr>
          <w:p>
            <w:pPr>
              <w:spacing w:after="0"/>
              <w:rPr>
                <w:sz w:val="19"/>
                <w:szCs w:val="19"/>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50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 TAXATION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w:t>
      </w:r>
    </w:p>
    <w:p>
      <w:pPr>
        <w:spacing w:after="0" w:line="96"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If you are not resident or ordinarily resident in the United Kingdom, or UK, for UK tax purposes, you will not be liable for UK tax on capital gains realized or accrued on the sale or other disposition of common shares or ADSs unless the common shares or ADSs are held in connection with your trade carried on in the UK through a branch or agency and the common shares or ADSs are or have been used, held or acquired for the purposes of such trade or such branch or agency.</w:t>
      </w:r>
    </w:p>
    <w:p>
      <w:pPr>
        <w:spacing w:after="0" w:line="8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An individual holder of common shares or ADSs who ceases to be resident or ordinarily resident in the UK for UK tax purposes for a period of less than 5 years and who disposes of common shares or ADSs during that period may also be liable on returning to the UK for UK capital gains tax despite the fact that the individual may not be resident or ordinarily resident in the UK at the time of the disposal.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Inheritance Tax</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you are an individual domiciled in the United States and are not a national of the UK for the purposes of the Inheritance and Gift Tax Treaty 1978 between the United States and the UK, any common shares or ADSs beneficially owned by you will not generally be subject to UK inheritance tax on your death or on a gift made by you during your lifetime, provided that any applicable United States federal gift or estate tax liability is paid, except where the common share or ADS is part of the business property of your UK permanent establishment.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 the common shares or ADSs have been placed in trust by a settlor who, at the time of the settlement, was domiciled in the United States and not a national of the UK, the common shares or ADSs will not generally be subject to UK inheritance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ADSs</w:t>
      </w:r>
    </w:p>
    <w:p>
      <w:pPr>
        <w:spacing w:after="0" w:line="9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No UK stamp duty will be payable on an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ad valorem stamp duty at the rate of 0.5% of the value of the consideration.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stamp duty reserve tax will be payable in respect of an agreement to transfer an ADS, whether made in or outside the UK.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 and Transfer of Common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 of common shares by Amarin will not give rise to a charge to UK stamp duty or stamp duty reserve tax.</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Transfers of common shares, as opposed to ADSs, will attract ad valorem stamp duty at the rate of 0.5% of the amount or value of the consideration. A charge to stamp duty reserve tax, at the rate of 0.5% of the amount or value of the consideration, will arise on an agreement to transfer common shares. The stamp duty reserve tax is payable on the seventh day of the month following the month in which the charge arises. Where an instrument of transfer is executed and duly stamped before the expiry of a period of six years beginning with the date of that agreement, any stamp duty reserve tax that has not been paid ceases to be payable.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UK law, there is no withholding tax on dividends.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selected financial data set forth below as of and for the years ended December 31, 2015, 2014, 2013, 2012, and 2011 have been derived from the audited consolidated financial statements of Amarin.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 Historical results are not necessarily indicative of operating results to be expected in the future.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10"/>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(In thousands, except per share amounts)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Product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80,987</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54,202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26,351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ind w:left="175"/>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color w:val="auto"/>
              </w:rPr>
              <w:t>Total revenue, net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81,756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54,202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26,351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Cost of goods sold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53,881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33,717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14,439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Selling, general and administrative (1)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101,041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79,346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123,795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72,750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152,103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129,672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196,545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116,750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(98,222)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(95,955)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(182,106)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(116,750)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(44,161)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(Loss) gain on change in fair value of derivative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640"/>
              <w:spacing w:after="0"/>
              <w:rPr>
                <w:sz w:val="20"/>
                <w:szCs w:val="20"/>
                <w:color w:val="auto"/>
              </w:rPr>
            </w:pPr>
            <w:r>
              <w:rPr>
                <w:rFonts w:ascii="Arial" w:cs="Arial" w:eastAsia="Arial" w:hAnsi="Arial"/>
                <w:sz w:val="18"/>
                <w:szCs w:val="18"/>
                <w:color w:val="auto"/>
              </w:rPr>
              <w:t>liabilities (2)</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13,472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47,710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(35,344)</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(22,669)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(20,180)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(18,575)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(34,179)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(18,091)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(118,290)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(59,201)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(169,421)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(170,068)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(66,610)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(9,116)</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(115,204)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(56,364)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(166,227)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(179,184)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Preferred stock purchase option</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(32,987)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shareholders</w:t>
            </w:r>
          </w:p>
        </w:tc>
        <w:tc>
          <w:tcPr>
            <w:tcW w:w="7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gridSpan w:val="2"/>
            <w:vMerge w:val="continue"/>
          </w:tcPr>
          <w:p>
            <w:pPr>
              <w:spacing w:after="0"/>
              <w:rPr>
                <w:sz w:val="19"/>
                <w:szCs w:val="19"/>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w w:val="84"/>
              </w:rPr>
              <w:t>$ (149,059)</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w w:val="97"/>
              </w:rPr>
              <w:t>$ (56,364)</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w w:val="99"/>
              </w:rPr>
              <w:t>$ (166,227)</w:t>
            </w:r>
          </w:p>
        </w:tc>
        <w:tc>
          <w:tcPr>
            <w:tcW w:w="1100" w:type="dxa"/>
            <w:vAlign w:val="bottom"/>
            <w:gridSpan w:val="4"/>
          </w:tcPr>
          <w:p>
            <w:pPr>
              <w:jc w:val="right"/>
              <w:ind w:right="260"/>
              <w:spacing w:after="0"/>
              <w:rPr>
                <w:sz w:val="20"/>
                <w:szCs w:val="20"/>
                <w:color w:val="auto"/>
              </w:rPr>
            </w:pPr>
            <w:r>
              <w:rPr>
                <w:rFonts w:ascii="Arial" w:cs="Arial" w:eastAsia="Arial" w:hAnsi="Arial"/>
                <w:sz w:val="18"/>
                <w:szCs w:val="18"/>
                <w:color w:val="auto"/>
                <w:w w:val="89"/>
              </w:rPr>
              <w:t>$ (179,184)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(69,126)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(0.83)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180,654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173,719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161,022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180,654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173,824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167,070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144,017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6"/>
              </w:rPr>
              <w:t>As of December 31,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$ 106,961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$ 119,539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$ 191,514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4"/>
              </w:rPr>
              <w:t>$ 260,242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116,602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171,107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310,855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251,930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6"/>
              </w:rPr>
              <w:t>219,249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248,792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289,650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(129,191)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05"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non-cash warrant-related compensation expense reflecting the change in the fair value of the warrant derivative liability associated with warrants issued in October 2009 to former officers of Amarin. See further discussion in Notes 2 and 7 of the Notes to the Consolidated Financial Statements.</w:t>
      </w:r>
    </w:p>
    <w:p>
      <w:pPr>
        <w:ind w:left="460" w:right="50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non-cash charges resulting from changes in the fair value of derivative liabilities. See further discussion in Notes 2 and 7 of the Notes to the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This Annual Report on Form 10-K contains forward-looking statements concerning future events and performance of the Company. When used in this report, the words “may,” “would,” “should,” “could,” “expects,” “aims,” “plans,” “anticipates,” “believes,” “estimates,” “predicts,” “projects,” “potential,” or “continue” or the negative of these terms or other comparable terminology are included to identify forward-looking statements. These statements include but are not limited to statements regarding the commercial success of Vascepa and factors that can affect such success; interpretation of court decisions; expectation on determinations and policy positions of the United States Food and Drug Administration, or FDA; the expected timing of enrollment, interim results and final results of our REDUCE-IT study; the safety and efficacy of our product and product candidates; expectation regarding the potential for Vascepa to be partnered, developed and commercialized outside of the United States; expectation on the scope and strength of our intellectual property protection and the likelihood of securing additional patent protection; estimates of the potential markets for our product candidates; estimates of the capacity of manufacturing and other facilities to support our products; our operating and growth strategies; our industry; our projected cash needs, liquidity and capital resources; and our expected future revenues, operations and expenditures. These forward-looking statements are based on our current expectations and assumptions and many factors could cause our actual results to differ materially from those indicated in these forward-looking statements. You should review carefully the factors identified in this report in Item 1A, “Risk Factors”. We disclaim any intent to update or announce revisions to any forward-looking statements to reflect actual events or developments, except as required by law. Except as otherwise indicated herein, all dates referred to in this report represent periods or dates fixed with reference to our fiscal year ended December 31. 2015.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Our lead product, Vascepa</w:t>
      </w:r>
      <w:r>
        <w:rPr>
          <w:rFonts w:ascii="Arial" w:cs="Arial" w:eastAsia="Arial" w:hAnsi="Arial"/>
          <w:sz w:val="10"/>
          <w:szCs w:val="10"/>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³500 mg/dL) hypertriglyceridemia. This FDA-approved indication for Vascepa, known as the MARINE indication, is based primarily on the successful results from the MARINE study of Vascepa in this approved patient population. In considering this approval, FDA also reviewed our successful study of Vascepa in patients with high triglyceride levels (TG ³200 mg/dL and &lt;500 mg/dL) who are also on statin therapy for elevated low-density lipoprotein cholesterol, or LDL-C, levels which condition we refer to as mixed dyslipidemia. This study is known as the ANCHOR study. Safety data from both the MARINE and ANCHOR studies are reflected in FDA-approved labeling for Vascepa. In January 2013, we began selling and marketing Vascepa in the United States based on the FDA-approved MARINE indication. In August 2015, we also began marketing Vascepa in the United States for the treatment of patients studied in the ANCHOR study based on the federal court declaration described below. Vascepa is available in the United States by prescription only.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its Distributors, that in turn resell Vascepa to retail pharmacies for subsequent resale to patients and healthcare providers. We market Vascepa in the United States through our sales force of approximately 150 sales professionals, including sales representatives and their managers. In March 2014, we entered into a co-promotion agreement in the United States with Kowa Pharmaceuticals America, Inc. under which approximately 250 Kowa Pharmaceuticals America, Inc. sales representatives began to devote a substantial portion of their time to promoting Vascepa starting in May 2014.</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February 2015, we announced an exclusive agreement with Eddingpharm (Asia) Macao Commercial Offshore Limited, or Eddingpharm, to develop and commercialize Vascepa capsules in Mainland China, Hong Kong, Macau and Taiwan, or the China Territory. We are also assessing other partnership opportunities for licensing Vascepa in other territories outside of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150 mg/dL),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Many patients with high triglyceride levels also have diabetes and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 Heart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Association Scientific Statement on Triglycerides and Cardiovascular Disease </w:t>
      </w:r>
      <w:r>
        <w:rPr>
          <w:rFonts w:ascii="Arial" w:cs="Arial" w:eastAsia="Arial" w:hAnsi="Arial"/>
          <w:sz w:val="16"/>
          <w:szCs w:val="16"/>
          <w:color w:val="auto"/>
        </w:rPr>
        <w:t>(2011), triglycerides provide important information as a marker associated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2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 four grams per day of Vascepa will be compared to cardiovascular event rates for patients on stable statin therapy plus placebo. The REDUCE-IT study is designed to be completed after reaching 1,612 aggregate cardiovascular events. Based on projected event rates, we estimate the onset of the target aggregate number of cardiovascular events to be reached in or about 2017 with study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and it is our expectation that the trial will run to completion. In addition, we have instructed the DMC to not recommend stopping the study early based only upon achieving statistical significance for the primary endpoint, but to ensure that statistical significance is also achieved for certain subpopulations before recommending that the study be stopped early for overwhelming efficacy. The DMC has been more frequently examining interim reviews of the safety data from the study. Following each of these reviews, the DMC has communicated to us that we should continue the study as planned. We remain blinded to all data from the study. Over 99% of the approximately 8,000 patients targeted for enrollment in the REDUCE-IT study have been enrolled and we have pre-notified all clinical sites in the REDUCE-IT study of our intention to cease patient enrollment soon. Since patient enrollment commenced in 2011, approximately 20,000 patient years of study experience have been accumulated in REDUCE-IT.</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successful Phase 3 MARINE and ANCHOR clinical trials, Vascepa was studied at a daily dose of 2 grams and 4 grams. We sought approval of Vascepa at the more efficacious 4-gram dose for use in each patient population. These trials demonstrated favorable results in their respective patient populations, particularly with the 4-gram dose of Vascepa,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April 2015, we received a Complete Response Letter, or CRL, from the FDA in response to our supplemental new drug application, or sNDA, that sought approval of Vascepa for use in patients with mixed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dyslipidemia, based on the successful ANCHOR study. The CRL followed an October 2013 rescission by the FDA of a special protocol assessment, or SPA, agreement and three failed attempts by us to appeal that rescission at FDA. The FDA has acknowledged the success of the ANCHOR study, which met all primary and secondary endpoints. However, FDA determined that there were insufficient data to conclude that drug-induced changes in serum triglycerides could be recognized by the FDA as a valid surrogate for reducing cardiovascular risk in the ANCHOR population for the purpose of regulatory approval of a drug targeted at a triglyceride-lowering indication in this population. The FDA has acknowledged that the standard of proof required by the FDA for approval of a new drug indication is higher than that generally used to inform patient treatment guidelines and that used by physicians in clinical practice. The FDA did not determine that the drug-induced effects of Vascepa, which go beyond triglyceride-lowering, would not actually reduce cardiovascular risk in this population and the FDA has encouraged us to complete the REDUCE-IT outcomes study. Based on our communications with the FDA, we expect that final positive results from the REDUCE-IT outcomes study will be required for label expansion for Vascepa.</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May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and has thus been considered by FDA to be illegal off-label promotion. In August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The FDA did not appeal the court’s ruling prior to the October 6, 2015 deadline. The underlying litigation has been stayed for settlement discussion and the parties are working toward settlement. In August 2015, we began to promote Vascepa to healthcare professionals as permitted by this court declaration. While we are permitted to more broadly promote Vascepa based on this court declaration, the FDA-approved labeling for Vascepa did not change based on the court declaration, and neither government nor other third-party coverage or reimbursement to pay for the off-label use of Vascepa promoted under the court declaration was required.</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Commercialization—United States</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commenced the commercial launch of Vascepa in the United States in January 2013. We commenced sales and shipments of Vascepa at that time to our network of U.S.-based wholesalers. We now market Vascepa in the United States through our sales force of approximately 150 sales professionals, including sales representatives and their managers. Commencing in May 2014, in addition to promotion by our sales representatives, approximately 250 Kowa Pharmaceuticals America, Inc. sales representatives began promoting Vascepa. We also employ various marketing personnel to support our commercialization of Vascepa.</w:t>
      </w:r>
    </w:p>
    <w:p>
      <w:pPr>
        <w:spacing w:after="0" w:line="9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minimum levels of Vascepa revenue in 2015 and beyond. First position refers to when a sales representative’s primary purpose in detailing is related to Vascepa, while second position refers to when a sales representative’s primary purpose in detailing is to promote another product, but they also devote time in the same sales call to promote Vascepa.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increased from the high single digits in 2014, to fifteen percent (15%) in 2015, and is scheduled to increase to the low twenty percent levels in 2018, subject to certain adjustments. The term of this co-promotion agreement expires on December 31, 2018, following which Kowa Pharmaceuticals America, Inc. will be entitled to earn tail royalties equal to declining fractions of the co-promotion fee in effect prior to such expiration for periods ranging from one to three years following such expiration.</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Based on monthly compilations of data provided by a third party, Symphony Health Solutions, the estimated number of normalized total Vascepa prescriptions for the three months ended December 31, 2015 was approximately 192,000 compared to 169,000, 148,000, 130,000, and 126,000 in the three months ended September 30, 2015, June 30, 2015, March 31, 2015, and December 31, 2014, respectively. According to data from another third party, IMS Health, the estimated number of normalized total Vascepa prescriptions for the three months ended December 31, 2015 was approximately 203,000 compared to 176,000, 157,000, 137,000, and 131,000 in the three months ended September 30, 2015, June 30, 2015, March 31, 2015, and December 31, 2014,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third-party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are generally indicative of current prescription trends, these data are based on estimates and should not be relied upon as definitive. While we expect to be able to grow Vascepa revenues over time, no such guidance should be inferred from the operating metrics described above. We also anticipate that such sales growth may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2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commercialization of pharmaceutical products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Commercialization and Development of Vascepa</w:t>
      </w:r>
      <w:r>
        <w:rPr>
          <w:rFonts w:ascii="Arial" w:cs="Arial" w:eastAsia="Arial" w:hAnsi="Arial"/>
          <w:sz w:val="18"/>
          <w:szCs w:val="18"/>
          <w:color w:val="auto"/>
        </w:rPr>
        <w:t>.”</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August 2015, we and our co-promotion partner began communicating ANCHOR clinical trial data to targeted healthcare professionals. Such qualified communications are being made pursuant to the August 7, 2015 federal district court declaration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Commercialization—Outside the United States</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based on the MARINE, ANCHOR and ongoing REDUCE-IT clinical trials of Vascepa.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and development, regulatory and sales-based milestone payments of up to an additional $154.0 million. Eddingpharm will also pay us tiered double-digit percentage royalties on net sales of Vascepa in the China Territory escalating to the high teens. We will supply finished product to Eddingpharm under negotiated terms.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REDUCE-IT is designed to enroll approximately 8,000 patients and enrollment is over 99% complete. We have pre-notified all clinical trial sites in the REDUCE-IT study of our intention to cease further patient enrollment soon. Since patient enrollment commenced in 2011, approximately 20,000 patient years of study experience have been accumulated in REDUCE-IT.</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Completion of the REDUCE-IT study is designed to occur after reaching an aggregate number of cardiovascular events. Based on projected event rates, we estimate the onset of the target aggregate number of cardiovascular events to be reached in or about 2017 with study results then expected to be available in 2018. An interim review of the efficacy and safety results of the trial is scheduled to occur upon reaching 60% of the target aggregate number of cardiovascular events. We currently expect this interim review by the independent data monitoring committee, or DMC, to occur during 2016. As is typical, the statistical threshold for defining overwhelming efficacy on the primary endpoint at the interim analysis is considerably higher than the threshold for defining statistical significance at the end of the study and it is our expectation that the trial will run to completion. In addition, we have instructed the DMC to not recommend stopping the study early based only upon achieving statistical significance for the primary endpoint, but to ensure that statistical significance is also achieved for certain subpopulations before recommending that the study be stopped early for overwhelming efficacy. Amarin remains blinded to all data from the study. Unless overwhelming efficacy and safety is declared by the DMC at the interim look or the study is halted due to a patient safety concern, Amarin personnel will remain blinded to the efficacy and safety data from the REDUCE-IT study until the study is complete. The DMC has periodically reviewed unblinded safety data since initiation of the REDUCE-IT study in 2011 and, after each such meeting to date, has recommended that the study be continued as planned. The pre-specified interim review at 60% of the target aggregate number of cardiovascular events will involve a look by the DMC in closed session at all efficacy and safety data available from the REDUCE-IT study at that time. Interim looks by independent DMCs are common in large, long-term outcomes studies. By design, it is most common for cardiovascular outcomes studies not to be stopped upon an interim look.</w:t>
      </w:r>
    </w:p>
    <w:p>
      <w:pPr>
        <w:spacing w:after="0" w:line="12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2015, all of our active pharmaceutical ingredient, or API, that has been utilized in product sold was manufactured by two suppliers: Nisshin Pharma, Inc., or Nisshin, and Chemport, Inc., or Chemport. A significant portion of such API was purchased from Nisshin at a price that is higher than expected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 We continue efforts to expand, diversify and enhance our commercial supply chain.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believe that our cash and cash equivalents balance of $107.0 million as of December 31, 2015 is sufficient to fund our projected operations for at least the next twelve months. Depending on the level of cash generated from operations, additional capital may be required to sustain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Product Revenues, net. </w:t>
      </w:r>
      <w:r>
        <w:rPr>
          <w:rFonts w:ascii="Arial" w:cs="Arial" w:eastAsia="Arial" w:hAnsi="Arial"/>
          <w:sz w:val="16"/>
          <w:szCs w:val="16"/>
          <w:color w:val="auto"/>
        </w:rPr>
        <w:t>All of our revenue is derived from product sales of Vascepa, net of allowances, discounts, incentives, rebates, chargebacks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returns. We sell product to a limited number of major wholesalers, as well as selected regional wholesalers and specialty pharmacy providers, or collectively, our Distributors, who resell the product to retail pharmacies for purposes of their reselling the product to fill patient prescriptions. We commenced our commercial launch in the United States in January 2013. In accordance with GAAP, until we had the ability to reliably estimate returns of Vascepa from our Distributors, revenue was recognized based on the resale of Vascepa for the purposes of filling patient prescriptions, and not based on our sales to such Distributors. During the three months ended March 31, 2014, we concluded that we had developed sufficient history such that we can reliably estimate returns and as a result, began to recognize revenue based on sales to our Distributors. Through December 31, 2015, product returns were de minimis.</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currently consists of revenue attributable to the receipt of an up-front, non-refundable payment related to a Vascepa</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agreement in China, which is being recognized over the estimated period in which we are required to provide regulatory and development support and clinical and commercial supply pursuant to the agreement, which is currently anticipated to be a period of approximately 16 years.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the period, as well as the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for encapsulation, packaging, shipment, supply management, insurance and quality assurance. The cost of the API included in cost of goods sold reflects the average cost method of inventory valuation and relief. This average cost reflects the actual purchase price of Vascepa API.</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for personnel in our sales,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marketing, executive, business development, finance and information technology functions, as well as co-promotion fees payable to Kowa Pharmaceuticals America, Inc. Other costs primarily include facility costs and professional fees for accounting, consulting and legal services.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consists primarily of fees paid to professional service providers in conjunction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 In addition, research and development costs include the costs of product supply received from suppliers when such receipt by us is prior to regulatory approval of the supplier.</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(Loss) Gain on Change in Fair Value of Derivative Liabilities. </w:t>
      </w:r>
      <w:r>
        <w:rPr>
          <w:rFonts w:ascii="Arial" w:cs="Arial" w:eastAsia="Arial" w:hAnsi="Arial"/>
          <w:sz w:val="18"/>
          <w:szCs w:val="18"/>
          <w:color w:val="auto"/>
        </w:rPr>
        <w:t>(Loss) gain on change in fair value of derivative liabilities is comprised of: (i) the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warrant derivative liability, (ii) the change in fair value of the derivative liability related to the change in control provision associated with the December 2012 BioPharma financing and (iii) the change in fair value of the derivative liabilities related to the change in control provisions associated with the May 2014 and November 2015 exchangeable senior notes.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 xml:space="preserve">Interest and Other (Expense) Income, Net. </w:t>
      </w:r>
      <w:r>
        <w:rPr>
          <w:rFonts w:ascii="Arial" w:cs="Arial" w:eastAsia="Arial" w:hAnsi="Arial"/>
          <w:sz w:val="18"/>
          <w:szCs w:val="18"/>
          <w:color w:val="auto"/>
        </w:rPr>
        <w:t>Interest expense consists of interest incurred under lease obligations, interest incurred under our 3.5%</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exchangeable notes and interest incurred under our December 2012 financing arrangement with BioPharma Secured Debt Fund II Holdings Cayman LP, or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(expense) income, net, consists primarily of foreign exchange losses and gains.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consolidated financial statements included elsewhere in this Annual Report on Form 10-K. We believe the following critical accounting policies affect our more significant judgments and estimates used in the preparation of our consolidated financial statements.</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—We sell Vascepa principally to a limited number of Distributors, that in turn resell Vascepa to retail pharmacies that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resell it to patients and healthcare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0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began recognizing revenue from the sale of Vascepa following our commercial launch in the United States in January 2013. Prior to 2013, we recognized no revenue from Vascepa sales. We sell Vascepa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Distributors. In accordance with GAAP, until we had the ability to reliably estimate returns of Vascepa from our Distributors, revenue was recognized based on the resale of Vascepa for the purposes of filling patient prescriptions, and not based on our sales to such Distributors. During the three months ended March 31, 2014, we concluded that we had developed sufficient history such that we can reliably estimate returns and as a result, began to recognize revenue based on sales to our Distributors. Consequently, we recognized revenues of $81.0 million and $54.2 million based on sales to Distributors during the years ended December 31, 2015 and 2014, respectively. Through December 31, 2015, product returns were de minimis.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 The gross to net deductions are estimated based on available actual information, historical data, known trends, and levels of inventory in the distribution channel. We rely on resale data provided by our Distributors as well as prescription data provided by Symphony Health Solutions and IMS Health in estimating the level of inventory held in the distribution channel. A hypothetical 5% change in estimated channel inventory would result in a less than 0.5% change in product revenues reported during the three and twelve months ended December 31, 2015.</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 gains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which include our projections for future estimated revenues, management estimates of the probability of a change in control occurring, and the terms of debt issues of similar companies.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 paid-in capital are recognized on the issuance of those shares. For options and warrants treated as 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as of December 31, 2015), the change in control provision associated with our December 2012 debt financing and the change in control provision associated with our May 2014 and November 2015 exchangeable senior notes.</w:t>
      </w:r>
    </w:p>
    <w:p>
      <w:pPr>
        <w:spacing w:after="0" w:line="143"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Inventory</w:t>
      </w:r>
      <w:r>
        <w:rPr>
          <w:rFonts w:ascii="Arial" w:cs="Arial" w:eastAsia="Arial" w:hAnsi="Arial"/>
          <w:sz w:val="15"/>
          <w:szCs w:val="15"/>
          <w:color w:val="auto"/>
        </w:rPr>
        <w:t>—Prior to July 26, 2012, when we received approval from the FDA to market and sell Vascepa in the United States for the MARINE indication,</w:t>
      </w:r>
      <w:r>
        <w:rPr>
          <w:rFonts w:ascii="Arial" w:cs="Arial" w:eastAsia="Arial" w:hAnsi="Arial"/>
          <w:sz w:val="15"/>
          <w:szCs w:val="15"/>
          <w:i w:val="1"/>
          <w:iCs w:val="1"/>
          <w:color w:val="auto"/>
        </w:rPr>
        <w:t xml:space="preserve"> </w:t>
      </w:r>
      <w:r>
        <w:rPr>
          <w:rFonts w:ascii="Arial" w:cs="Arial" w:eastAsia="Arial" w:hAnsi="Arial"/>
          <w:sz w:val="15"/>
          <w:szCs w:val="15"/>
          <w:color w:val="auto"/>
        </w:rPr>
        <w:t>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Nisshin was the only FDA-approved supplier of API for Vascepa. In 2013, the FDA qualified additional API suppliers to produce Vascepa with approval of our sNDAs covering Chemport, Slanmhor Pharmaceutical, Inc., or Slanmhor, in a consortium which included Novasep as the manufacturer for Slanmhor, and a fourth API supplier which we subsequently reached mutual agreement to terminate due to production challenges. All supply purchases from API suppliers prior to FDA approval of these API suppliers in 2013 were not capitalized and instead charged as a component of research and development expense in the period received. Subsequent to the approval of these suppliers, we capitalize API purchases from them. Until an API supplier is approved, all Vascepa API purchased from such supplier is included as a component of research and development expense. Upon sNDA approval of each additional supplier, we capitalize subsequent Vascepa API purchases from such supplier as inventory.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1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—Deferred tax assets and liabilities are recognized for the future tax consequences of differences between the carrying amounts and tax bases</w:t>
      </w:r>
      <w:r>
        <w:rPr>
          <w:rFonts w:ascii="Arial" w:cs="Arial" w:eastAsia="Arial" w:hAnsi="Arial"/>
          <w:sz w:val="16"/>
          <w:szCs w:val="16"/>
          <w:i w:val="1"/>
          <w:iCs w:val="1"/>
          <w:color w:val="auto"/>
        </w:rPr>
        <w:t xml:space="preserve"> </w:t>
      </w:r>
      <w:r>
        <w:rPr>
          <w:rFonts w:ascii="Arial" w:cs="Arial" w:eastAsia="Arial" w:hAnsi="Arial"/>
          <w:sz w:val="16"/>
          <w:szCs w:val="16"/>
          <w:color w:val="auto"/>
        </w:rPr>
        <w:t>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its U.S. deferred tax assets as of December 31, 2015,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December 31, 2015. The majority of our deferred tax assets are held outside of the United States, for which we have established a full valuation allowance. Changes in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us as of the specified effective date. We considered the following recent accounting pronouncements which were not yet adopted as of December 31, 2015:</w:t>
      </w:r>
    </w:p>
    <w:p>
      <w:pPr>
        <w:spacing w:after="0" w:line="8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our fiscal year beginning January 1, 2018.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We are required to adopt this standard in the first quarter of fiscal 2016 and early adoption is permitted. This standard is not expected to have an impact on our consolidated financial statements.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Uncertainties about an Entity’s Ability to Continue as a Going Concern</w:t>
      </w:r>
      <w:r>
        <w:rPr>
          <w:rFonts w:ascii="Arial" w:cs="Arial" w:eastAsia="Arial" w:hAnsi="Arial"/>
          <w:sz w:val="16"/>
          <w:szCs w:val="16"/>
          <w:color w:val="auto"/>
        </w:rPr>
        <w:t>. ASU 2014-15 requires management to assess an entity’s ability to continue as a going</w:t>
      </w:r>
      <w:r>
        <w:rPr>
          <w:rFonts w:ascii="Arial" w:cs="Arial" w:eastAsia="Arial" w:hAnsi="Arial"/>
          <w:sz w:val="16"/>
          <w:szCs w:val="16"/>
          <w:i w:val="1"/>
          <w:iCs w:val="1"/>
          <w:color w:val="auto"/>
        </w:rPr>
        <w:t xml:space="preserve"> </w:t>
      </w:r>
      <w:r>
        <w:rPr>
          <w:rFonts w:ascii="Arial" w:cs="Arial" w:eastAsia="Arial" w:hAnsi="Arial"/>
          <w:sz w:val="16"/>
          <w:szCs w:val="16"/>
          <w:color w:val="auto"/>
        </w:rPr>
        <w:t>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the fiscal years ending after December 15, 2016, and for annual and interim periods thereafter. Early application is permitted. We have determined that this standard would not have a material impact on our consolidated financial statements based on the assessment of our ability to continue as a going concern as of December 31, 2015.</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The amendments in this ASU require that debt issuance costs related to a recognized debt liability be presented in the balance sheet as a direct deduction from the carrying amount of that debt liability, consistent with debt discounts. We are required to adopt this standard in the first quarter of fiscal 2016 on a retrospective basis. The implementation of this standard will result in the reclassification of certain debt issuance costs from other assets to a reduction in the carrying amount of the related debt liability within the consolidated balance sheets.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The amendments in this ASU require that in-scope inventory should be measured at the lower of cost and net realizable value. Net realizable value is the estimated selling price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We are currently evaluating the accounting, transition and disclosure requirements of the standard and cannot currently estimate the financial statement impact of adoption.</w:t>
      </w:r>
    </w:p>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new guidance is intended to improve the recognition and measurement of financial instruments by requiring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presentation of financial assets and financial liabilities by measurement category and form of financial asset (i.e., securities or loans and receivables)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on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We are currently evaluating the accounting, transition and disclosure requirements of the standard and cannot currently estimate the financial statement impact of adoption.</w:t>
      </w:r>
    </w:p>
    <w:p>
      <w:pPr>
        <w:spacing w:after="0" w:line="12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consolidated financial position, results of operations, and cash flows, or do not apply to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2015 and December 31, 2014</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of $81.0 million and $54.2 million during the years ended December 31, 2015 and 2014,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$26.8 million, or 49%. This increase in revenue was driven by an increase in estimated normalized total Vascepa prescriptions of approximately 228,000 and 258,000 based on data provided by Symphony Health Solutions and IMS Health, respectively, representing growth of 55% and 62%, respectively, over the year ended December 31, 2014. The difference in the percentage of revenue growth as compared to the percentage of prescription growth is primarily due to a change in revenue recognition methodology in 2014 as described below. The level of inventories held by our customers as of December 31, 2015 was slightly lower as compared to inventories held as of December 31, 2014 based on days on hand. All of our product revenue in the years ended December 31, 2015 and 2014 was derived from product sales of Vascepa, net of allowances, discounts, incentives, rebates, chargebacks and returns. In accordance with GAAP, prior to 2014, product revenue was recognized based on the resale of Vascepa for the purposes of filling patient prescriptions and not based on sales to our Distributors. During the three months ended March 31, 2014,</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concluded that we had developed sufficient history such that we can reliably estimate returns and, as a result, began to recognize product revenue based on sales to our Distributors. Through December 31, 2015, product returns of Vascepa were de minimis. Timing of shipments to wholesalers, as used for revenue recognition, and timing of prescriptions as estimated by third-party sources such as Symphony Health Solutions and IMS Health may differ from period to period.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years ended December 31, 2015 and 2014,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is typical for the pharmaceutical industry, the majority of Vascepa sales are to major commercial wholesalers which then resell Vascepa to retail pharmacies.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during the year ended December 31, 2015 was $0.8 million. We did not record licensing revenue prior to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licensing revenue relates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years ended December 31, 2015 and 2014 was $27.9 million and $20.5 million, respectively,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$7.4 million, or 36%.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API included in the calculation of the average cost of goods sold was sourced from three API suppliers for the year ended December 31, 2015 and from two API suppliers for the year ended December 31, 2014.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with the amount of such purchases dependent on the rate of our revenue growth.</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gross margin on product sales for the years ended December 31, 2015 and 2014 was 66% and 62%,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years ended December 31, 2015 and 2014 was $101.0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$79.3 million, respectively, an increase of $21.7 million, or 27%. Selling, general and administrative expenses for the years ended December 31, 2015 and 2014 are summarized in the table below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 (1)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$71,864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Co-promotion fees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7,967</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1,664</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6,321</w:t>
            </w: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Non-cash warrant related compensation income</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(503)</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101,041</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79,346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0" w:hanging="452"/>
        <w:spacing w:after="0" w:line="28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compensation charges for stock compensation and warrants and co-promotion fees, for the years ended December 31, 2015 and 2014 was $82.5 million and $71.9 million, respectively, an increase of $10.6 million, or 15%. The increase is due primarily to increased sales and marketing spend in support of expanded Vascepa promotion following the federal court declaration on August 7, 2015 allowing communication of truthful and non-misleading ANCHOR clinical trial data to be communicated to healthcare professionals, as well as higher legal costs associated with various legal matters, which costs vary from period to period.</w:t>
      </w:r>
    </w:p>
    <w:p>
      <w:pPr>
        <w:spacing w:after="0" w:line="2"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Co-promotion fees payable to Kowa Pharmaceuticals America, Inc. were $8.0 million and $1.7 million in the years ended December 31, 2015 and 2014, respectively, an increase of $6.3 million, or 371%. Kowa Pharmaceuticals America, Inc. commenced its co-promotion efforts in May 2014.</w:t>
      </w:r>
    </w:p>
    <w:p>
      <w:pPr>
        <w:spacing w:after="0" w:line="1"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Stock-based compensation expense for the years ended December 31, 2015 and 2014 was $10.6 million and $6.3 million, respectively, an increase of $4.3 million, or 68%, primarily due to an increase in new stock option and restricted stock awards granted to attract and retain qualified employees.</w:t>
      </w:r>
    </w:p>
    <w:p>
      <w:pPr>
        <w:spacing w:after="0" w:line="9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currently anticipate that prior to REDUCE-IT data, our selling, general and administrative costs in 2016 will be substantially consistent with that in 2015, with the exception of non-cash costs and anticipated increases in the co-promotion fees earned by Kowa Pharmaceuticals America, Inc. based on anticipated increases in net product revenues and the terms of our co-promotion agreement with Kowa Pharmaceuticals America, Inc.</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years ended December 31, 2015 and 2014 was $51.1 million and $50.3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 increase of $0.8 million, or 2%. Research and development expenses for the years ended December 31, 2015 and 2014 are summarized in the table below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7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$34,706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$37,672</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2,162</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10,914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47,782</w:t>
            </w:r>
          </w:p>
        </w:tc>
        <w:tc>
          <w:tcPr>
            <w:tcW w:w="6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47,625</w:t>
            </w:r>
          </w:p>
        </w:tc>
        <w:tc>
          <w:tcPr>
            <w:tcW w:w="100" w:type="dxa"/>
            <w:vAlign w:val="bottom"/>
          </w:tcPr>
          <w:p>
            <w:pPr>
              <w:spacing w:after="0"/>
              <w:rPr>
                <w:sz w:val="19"/>
                <w:szCs w:val="19"/>
                <w:color w:val="auto"/>
              </w:rPr>
            </w:pPr>
          </w:p>
        </w:tc>
      </w:tr>
      <w:tr>
        <w:trPr>
          <w:trHeight w:val="217"/>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51,062</w:t>
            </w:r>
          </w:p>
        </w:tc>
        <w:tc>
          <w:tcPr>
            <w:tcW w:w="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50,326</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increase in research and development expenses for the year ended December 31, 2015, as compared to the prior year period, is primarily due to an increase in internal staffing and overhead costs and non-cash stock-based compensation partially offset by quarterly variability in costs related to the REDUCE-IT study.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8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CRO through which all costs for this outcomes study are incurred with the exception of costs for CTM and costs for internal management. Our internal personnel are responsible for managing multiple projects and their costs are not specifically allocated to REDUCE-IT or any other individual project. For the years ended December 31, 2015 and 2014, we incurred expenses through our CRO in connection with this trial of approximately $28.5 million and $31.0 million, respectively. Inclusive of CTM costs, the combined CRO and CTM costs during the years ended December 31, 2015 and 2014 for REDUCE-IT were approximately $34.7 million and $37.7 million, respectively. The decrease in expenses in 2015 as compared to 2014 is primarily the result of timing variability for REDUCE-IT costs. We expense costs for CTM when allocated to clinical research. The aggregate cost of this outcomes study will depend on the rate of clinical events in the study. We currently estimate we will incur $30 million to $40 million in annual costs through study completion and the rate at which we incur such costs will vary from quarter to quarter. The study is designed to be completed after reaching 1,612 aggregate cardiovascular events. Based on projected event rates, we estimate the onset of the target aggregate number of cardiovascular events to be reached in or about 2017 with study results then expected to be available and published in 2018.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regulatory filing fees in each of the years ended December 31, 2015 and 2014 included annual FDA fees for maintaining manufacturing sites.</w:t>
      </w:r>
    </w:p>
    <w:p>
      <w:pPr>
        <w:spacing w:after="0" w:line="3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Research and development costs, excluding non-cash costs, are expected to vary from quarter to quarter in 2016 due to the timing of REDUCE-IT costs.</w:t>
      </w:r>
    </w:p>
    <w:p>
      <w:pPr>
        <w:spacing w:after="0" w:line="19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(Loss) Gain on Change in Fair Value of Derivative Liabilities</w:t>
      </w:r>
      <w:r>
        <w:rPr>
          <w:rFonts w:ascii="Arial" w:cs="Arial" w:eastAsia="Arial" w:hAnsi="Arial"/>
          <w:sz w:val="16"/>
          <w:szCs w:val="16"/>
          <w:color w:val="auto"/>
        </w:rPr>
        <w:t>. (Loss) gain on change in fair value of derivative liabilities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2015 was a loss of $1.1 million versus a gain of $13.5 million in the prior year period. (Loss) gain on change in fair value of derivative liabilities is comprised of</w:t>
      </w:r>
    </w:p>
    <w:p>
      <w:pPr>
        <w:jc w:val="both"/>
        <w:ind w:right="140" w:firstLine="8"/>
        <w:spacing w:after="0" w:line="254" w:lineRule="auto"/>
        <w:tabs>
          <w:tab w:leader="none" w:pos="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(iii) the change in fair value of the derivative liabilities related to the change in control provisions associated with the May 2014 and November 2015 exchangeable senior notes; and (iv) the change in fair value of the derivative liability related to the preferred stock purchase option.</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warrant derivative liability is related to the change in fair value of warrants issued in conjunction with the October 2009 private placement. In October 2009, we issued 36.1 million warrants at an exercise price of $1.50 per warrant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as of December 31, 2014 was $0.1 million and we recognized a $0.1 million gain on change in fair value of derivative liability for the year ended December 31, 2015 for these warrants. The fair value of the warrant derivative liability as of December 31, 2013 was $6.9 million and we recognized a $6.3 million gain on change in fair value of derivative liability for the year ended December 31, 2014. The change in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fair value of the warrant derivative liability for the year ended December 31, 2015 is due to the expiration of the warrants and the resulting extinguishment of the liability, while the change in fair value for the year ended December 31, 2014 is due primarily to the change in the price of our common stock on the date of valuation.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December 31, 2015.</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2014, the fair value of the derivative was determined to be $4.8 million, and as of December 31, 2015, the fair value of the derivative was determined to be $5.5 million. As such, we recognized a $0.7 million loss on change in fair value of derivative liability for the year ended December 31, 2015. As of December 31, 2013, the fair value of the derivative was determined to be $11.1 million, and as of December 31, 2014, the fair value of the derivative was determined to be $4.8 million. As such, we recognized a $6.3 million gain on change in fair value of derivative liability for the year ended December 31, 2014.</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2014, the fair value of the derivative was determined to be $2.6 million, and as of December 31, 2015, the fair value of the derivative was determined to be $2.1 million. As such, we recognized a $0.5 million gain on change in fair value of derivative liability for the year ended December 31, 2015. Upon initial recording, the fair value of the derivative was determined to be $3.5 million, and as of December 31, 2014, the fair value of the derivative was determined to be $2.6 million. As such, we recognized a $0.9 million gain on change in fair value of derivative liability for the year ended December 31, 2014.</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2015 Notes, issued in November 2015, contain the same redemption feature as the 2014 Notes and the related derivative liability was calculated utilizing the same methodology. Upon issuance in November 2015, the fair value of the derivative was determined to be $0.5 million, and as of December 31, 2015, the fair value of the derivative was determined to be $0.6 million. As such, we recognized a $0.1 million loss on change in fair value of derivative liability for the year ended December 31, 2015.</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connection with the closing of a private placement transaction in early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The liability was charged to accumulated deficit as a deemed non-cash dividend and is therefore reflected as an adjustment to net loss applicable to common shareholders for earnings per common share purposes in accordance with GAAP. The liability was then marked to fair value through March 30, 2015, the date on which we executed a separate subscription agreement with the investor, resulting in a charge of $0.9 million through (loss) gain on change in fair value of derivatives in the year ended December 31, 2015. The liability was reclassified to permanent equity on such date.</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change in fair value of the derivative liability related to the BioPharma financing agreement is largely related to our projections for future estimated revenues, management estimates of the probability of a change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control occurring, and the terms of debt issues of similar companies. The change in fair value of the derivative liabilities related to the 2014 Notes and 2015 Notes is largely related to changes in quoted bond prices. Any changes in the assumptions used to value the derivative liabilities could result in a material change to the carrying value of such liabilities.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senior notes pursuant to which we exchanged $118.7 million in aggregate principal amount of existing exchangeable senior notes for $118.7 million in aggregate principal amount of new 3.5%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8).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recorded a gain on extinguishment of the original notes of $38.0 million in the year ended December 31, 2014.</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November 2015, we entered into a privately negotiated subscription agreement with one of our existing investors (the “Investor”), pursuant to which the Investor agreed to purchase approximately $31.3 million in aggregate principal amount of new 3.5% November 2015 Exchangeable Senior Notes due 2032 (the “2015 Notes”) for approximately $27.5 million. Concurrent with the issuance of the 2015 Notes, we entered into separate, privately negotiated purchase agreements with certain holders of the 3.5% January 2012 Exchangeable Senior Notes due 2032 (the “2012 Notes”) pursuant to which we purchased approximately $16.2 million in aggregate principal amount of the 2012 Notes for $15.9 million (the “2012 Notes Purchase”), which includes accrued but unpaid interest on such 2012 Notes. The 2012 Notes Purchase was funded by the issuance of the 2015 Notes. Following the closing of the 2012 Notes Purchase, we had approximately $15.1 million in aggregate principal amount of 2012 Notes outstanding. The 2012 Notes Purchase was accounted for as an extinguishment of debt and we recorded a gain of $1.3 million upon extinguishment, which represents the reacquisition of the conversion option at fair value and a negotiated discount on the purchase of the notes partially offset by legal and transaction advisory costs incurred.</w:t>
      </w:r>
    </w:p>
    <w:p>
      <w:pPr>
        <w:spacing w:after="0" w:line="12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Interest Expense, net. </w:t>
      </w:r>
      <w:r>
        <w:rPr>
          <w:rFonts w:ascii="Arial" w:cs="Arial" w:eastAsia="Arial" w:hAnsi="Arial"/>
          <w:sz w:val="16"/>
          <w:szCs w:val="16"/>
          <w:color w:val="auto"/>
        </w:rPr>
        <w:t>Net interest expense for the years ended December 31, 2015 and 2014 was $20.0 million and $18.5 million, respectively,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$1.5 million, or 8%. Net interest expense for the years ended December 31, 2015 and 2014 is summarized in the table below (in thousands):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Amortization of debt discounts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6,362</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Contractual coupon interest</w:t>
            </w:r>
          </w:p>
        </w:tc>
        <w:tc>
          <w:tcPr>
            <w:tcW w:w="3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Total exchangeable senior notes interest expense</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9,471</w:t>
            </w: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440"/>
              <w:spacing w:after="0"/>
              <w:rPr>
                <w:sz w:val="20"/>
                <w:szCs w:val="20"/>
                <w:color w:val="auto"/>
              </w:rPr>
            </w:pPr>
            <w:r>
              <w:rPr>
                <w:rFonts w:ascii="Arial" w:cs="Arial" w:eastAsia="Arial" w:hAnsi="Arial"/>
                <w:sz w:val="18"/>
                <w:szCs w:val="18"/>
                <w:color w:val="auto"/>
              </w:rPr>
              <w:t>Cash interest—current</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5,420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interest—deferred</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23"/>
        </w:trPr>
        <w:tc>
          <w:tcPr>
            <w:tcW w:w="4060" w:type="dxa"/>
            <w:vAlign w:val="bottom"/>
          </w:tcPr>
          <w:p>
            <w:pPr>
              <w:ind w:left="440"/>
              <w:spacing w:after="0"/>
              <w:rPr>
                <w:sz w:val="20"/>
                <w:szCs w:val="20"/>
                <w:color w:val="auto"/>
              </w:rPr>
            </w:pPr>
            <w:r>
              <w:rPr>
                <w:rFonts w:ascii="Arial" w:cs="Arial" w:eastAsia="Arial" w:hAnsi="Arial"/>
                <w:sz w:val="18"/>
                <w:szCs w:val="18"/>
                <w:color w:val="auto"/>
              </w:rPr>
              <w:t>Non-cash interest</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Other interest expense</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18,575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Interest income (3)</w:t>
            </w: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20,048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18,479</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760" w:type="dxa"/>
            <w:vAlign w:val="bottom"/>
            <w:vMerge w:val="restart"/>
          </w:tcPr>
          <w:p>
            <w:pPr>
              <w:jc w:val="right"/>
              <w:ind w:right="2852"/>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years ended December 31, 2015 and 2014 was $11.7 million and $9.5 million, respectively.</w:t>
      </w:r>
    </w:p>
    <w:p>
      <w:pPr>
        <w:ind w:left="46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Cash and non-cash interest expense related to the BioPharma financing for the years ended December 31, 2015 and 2014 was $8.5 million and $9.1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Interest income for the years ended December 31, 2015 and 2014 was $0.1 million in each year. Interest income represents income earned on cash balances.</w:t>
      </w:r>
    </w:p>
    <w:p>
      <w:pPr>
        <w:spacing w:after="0" w:line="1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years ended December 31, 2015 was expense of $0.2 million versus income of $3.7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prior year period. Other (expense) income, net, in the year ended December 31, 2015 primarily consists of losses and gains on foreign exchange transactions. Other (expense) income, net in the year ended December 31, 2014 primarily consists of $4.1 million received in the second quarter of 2014 with respect to settlement agreements with one of our suppliers and one of our encapsulators that provided for the reimbursement of certain amounts previously paid by 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Benefit from Income Taxes. </w:t>
      </w:r>
      <w:r>
        <w:rPr>
          <w:rFonts w:ascii="Arial" w:cs="Arial" w:eastAsia="Arial" w:hAnsi="Arial"/>
          <w:sz w:val="16"/>
          <w:szCs w:val="16"/>
          <w:color w:val="auto"/>
        </w:rPr>
        <w:t>Benefit from income taxes for the years ended December 31, 2015 and 2014 was $3.1 million and $2.8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current benefit relates entirely to the U.S. subsidiary operations. We are profitable in the United States as a result of intercompany transactions between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subsidiary and our other companies.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Preferred Stock Beneficial Conversion Features</w:t>
      </w:r>
      <w:r>
        <w:rPr>
          <w:rFonts w:ascii="Arial" w:cs="Arial" w:eastAsia="Arial" w:hAnsi="Arial"/>
          <w:sz w:val="16"/>
          <w:szCs w:val="16"/>
          <w:color w:val="auto"/>
        </w:rPr>
        <w:t>. We issued Series A preference shares in a private placement transaction executed in two tranches that each</w:t>
      </w:r>
      <w:r>
        <w:rPr>
          <w:rFonts w:ascii="Arial" w:cs="Arial" w:eastAsia="Arial" w:hAnsi="Arial"/>
          <w:sz w:val="16"/>
          <w:szCs w:val="16"/>
          <w:i w:val="1"/>
          <w:iCs w:val="1"/>
          <w:color w:val="auto"/>
        </w:rPr>
        <w:t xml:space="preserve"> </w:t>
      </w:r>
      <w:r>
        <w:rPr>
          <w:rFonts w:ascii="Arial" w:cs="Arial" w:eastAsia="Arial" w:hAnsi="Arial"/>
          <w:sz w:val="16"/>
          <w:szCs w:val="16"/>
          <w:color w:val="auto"/>
        </w:rPr>
        <w:t>contain a conversion feature whereby such shares are convertible into ordinary shares at a fixed rate (see Note 10). The conversion price on the date of issuance was less than the market price of our ordinary shares. We determined that these discounts represent contingent beneficial conversion features, which were valued based on the difference between the conversion price and the market price of the ordinary shares on the date of issuance. These features, totaling $33.0 million, are analogous to preference dividends and were each recorded as a non-cash return to preferred shareholders through accumulated deficit, and are therefore reflected as an adjustment to net loss applicable to common shareholders for earnings per common share purposes in accordance with GAAP. There was no such adjustment in the year ended December 31, 2014.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December 31, 2014 versus December 31, 2013</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revenue of $54.2 million during the year ended December 31, 2014, versus $26.4 million during the prior year period,</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$27.8 million, or 105%. We commenced our full commercial launch of Vascepa in the United States for use in the MARINE indication in January 2013. All of our revenue in the years ended December 31, 2014 and 2013 was derived from product sales of Vascepa, net of allowances, discounts, incentives, rebates, chargebacks and returns.</w:t>
      </w:r>
    </w:p>
    <w:p>
      <w:pPr>
        <w:spacing w:after="0" w:line="14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December 31, 2014, product returns were de minimis. Timing of shipments to wholesalers, as used for revenue recognition, and timing of prescriptions as estimated by third-party sources such as Symphony Health Solutions and IMS Health may differ from period to period.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years ended December 31, 2014 and 2013, our net product revenues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to December 31, 2014. Commencing in March and April 2013, certain third-party payors added Vascepa to their Tier 2 coverage, which results in lower co-payments for patients covered by these third-party payors. As of February 1, 2015, approximately 125 million lives covered by medical insurance were under insurance plans that have added Vascepa to their Tier 2 coverage. In connection with the start of such Tier 2 coverage, we have agreed to pay customary rebates to these third-party payors on the resale of Vascepa to patients covered by these third-party payors.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 As of February 1, 2015, over 26,000 clinicians had written prescriptions for Vascepa. As of February 1, 2015, we are not aware of any clinician who is responsible for 10% or more of the aggregate prescriptions written for Vascepa.</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On October 22, 2013, in an effort to lower operating expenses following the recommendation of the advisory committee to the FDA, we implemented a worldwide reduction in force including a reduction of approximately fifty percent of our sales representatives. Following the reduction in force, we retained approximately 130 sales representatives in the United States in sales territories which have demonstrated what we believe is the greatest potential for Vascepa sales growth. This team will cover the target base of physicians responsible for the majority of Vascepa prescription volume and growth since its launch in early 2013. With these changes and resulting target base coverage, as well as the addition of the promotional efforts of 250 sales representatives from Kowa Pharmaceuticals America, Inc. that began in May 2014, we anticipate continued Vascepa revenue growth over time. We further anticipate that such revenue growth may be inconsistent from period to period.</w:t>
      </w:r>
    </w:p>
    <w:p>
      <w:pPr>
        <w:spacing w:after="0" w:line="118"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i w:val="1"/>
          <w:iCs w:val="1"/>
          <w:color w:val="auto"/>
        </w:rPr>
        <w:t xml:space="preserve">Cost of Goods Sold. </w:t>
      </w:r>
      <w:r>
        <w:rPr>
          <w:rFonts w:ascii="Arial" w:cs="Arial" w:eastAsia="Arial" w:hAnsi="Arial"/>
          <w:sz w:val="15"/>
          <w:szCs w:val="15"/>
          <w:color w:val="auto"/>
        </w:rPr>
        <w:t>Cost of goods sold during the year ended December 31, 2014 was $20.5 million, versus $11.9 million during the prior year period, an</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of $8.6 million, or 72%.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as well as a portion of API carried at zero cost for material which was purchased prior to FDA approval of Vascepa on July 26, 2012 or was purchased prior to the sNDA approval of our suppliers.</w:t>
      </w:r>
    </w:p>
    <w:p>
      <w:pPr>
        <w:spacing w:after="0" w:line="10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API included in the calculation of the average cost of goods sold during the years ended December 31, 2014 and 2013 was sourced from two API suppliers. The contracted cost of supply from our initial API supplier was higher than the contracted cost from our other API supplier. In the future, we anticipate making continued purchases from this initial supplier and to make additional lower unit cost purchases of Vascepa API from other API suppliers. We began purchasing lower unit cost API from Chemport, which was approved by the FDA in April 2013 to produce Vascepa, in the second quarter of 2013. During the years ended December 31, 2014 and 2013, the cost basis of product sold that had a carrying value of zero was $0.6 million and $4.0 million, respectively. Had such inventories been valued at acquisition cost, it would have resulted in a corresponding increase in cost of goods sold and a decrease in gross margin during such periods. As of December 31, 2014, we maintained no inventory with a carrying value of zero and we classified all of our inventory as current. As a result of lower inventory balances on hand at the end of 2014 compared to the end of 2013 as well as increases in revenue during 2015 compared to 2014, we purchased more API during 2015 than in 2014 with the amount of future purchases dependent on the rate of our revenue growth.</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gross margin for the years ended December 31, 2014 and 2013 was 62% and 55%, respectively. This improvement was primarily driven by lower unit cost API purchases. In addition, over time we expect continued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year ended December 31, 2014 was $79.3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$123.8 million in the prior year, a decrease of $44.5 million, or 36%. Selling, general and administrative expenses for the years ended December 31, 2014 and 2013 are summarized in the table below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$73,528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Non-cash stock based compensation expense (2)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6,321</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11,848</w:t>
            </w: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warrant related compensation income (3)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(3,703)</w:t>
            </w:r>
          </w:p>
        </w:tc>
      </w:tr>
      <w:tr>
        <w:trPr>
          <w:trHeight w:val="223"/>
        </w:trPr>
        <w:tc>
          <w:tcPr>
            <w:tcW w:w="92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Severance (4)</w:t>
            </w: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79,346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123,795</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general and administrative expense, excluding non-cash compensation charges for stock compensation and warrants, for the year ended December 31, 2014 was $73.5 million, versus $113.1 million in the prior year, a decrease of $39.6 million, or 35%. The decrease is due primarily to cost decreases in 2014 for sales force staffing, marketing program spending and costs for other general and administrative support incurred in connection with the commercialization of Vascepa. Included in this amount for the year ended 2014 is $1.7 million of expense for co-promotion fees payable to Kowa Pharmaceuticals America, Inc. The year ended December 31, 2013 was the period in which we commenced selling Vascepa and as such included certain launch-related costs.</w:t>
      </w:r>
    </w:p>
    <w:p>
      <w:pPr>
        <w:spacing w:after="0" w:line="4" w:lineRule="exact"/>
        <w:rPr>
          <w:rFonts w:ascii="Arial" w:cs="Arial" w:eastAsia="Arial" w:hAnsi="Arial"/>
          <w:sz w:val="18"/>
          <w:szCs w:val="18"/>
          <w:color w:val="auto"/>
        </w:rPr>
      </w:pPr>
    </w:p>
    <w:p>
      <w:pPr>
        <w:jc w:val="both"/>
        <w:ind w:left="460" w:right="28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Stock-based compensation expense for the year ended December 31, 2014 was $6.3 million, versus $11.8 million in the prior year period, a decrease of $5.5 million, or 47%, primarily due to a decrease in the fair value of new stock option and restricted stock awards granted to attract and retain qualified employees as a result of a decrease in our stock price.</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Warrant-related compensation income for the years ended December 31, 2014 and 2013 was $0.5 million and $3.7 million, respectively. Warrant-related compensation income reflects the non-cash change in fair value of the warrant derivative liability associated with warrants issued in October 2009 to three of our former employees, net of warrants exercised. The decrease in fair value in 2014 and 2013 was due primarily to a decrease in our stock price during each period.</w:t>
      </w:r>
    </w:p>
    <w:p>
      <w:pPr>
        <w:spacing w:after="0" w:line="1"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Severance costs in 2013 relate to cash expenditures for one-time termination benefits and associated costs incurred in conjunction with a company-wide reduction in force announced in October 2013.</w:t>
      </w:r>
    </w:p>
    <w:p>
      <w:pPr>
        <w:spacing w:after="0" w:line="138"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reduction in the level of selling, general and administrative costs in 2014 as compared to 2013 was primarily the result of the reduction in force announced in October 2013 and reductions in certain marketing program spend and other overhead costs. Such cost reductions were partially offset by the incremental selling costs associated with the Kowa Pharmaceuticals America, Inc. co-promotion agreement.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year ended December 31, 2014 was $50.3 million, versus $72.8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period, a decrease of $22.5 million, or 31%. Research and development expenses for the years ended December 31, 2014 and 2013 are summarized in the table below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6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6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REDUCE-IT study (1)</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$37,672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$46,994</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Pre-approval commercial supply (2)</w:t>
            </w:r>
          </w:p>
        </w:tc>
        <w:tc>
          <w:tcPr>
            <w:tcW w:w="2780" w:type="dxa"/>
            <w:vAlign w:val="bottom"/>
            <w:gridSpan w:val="3"/>
          </w:tcPr>
          <w:p>
            <w:pPr>
              <w:jc w:val="right"/>
              <w:ind w:right="660"/>
              <w:spacing w:after="0"/>
              <w:rPr>
                <w:sz w:val="20"/>
                <w:szCs w:val="20"/>
                <w:color w:val="auto"/>
              </w:rPr>
            </w:pPr>
            <w:r>
              <w:rPr>
                <w:rFonts w:ascii="Arial" w:cs="Arial" w:eastAsia="Arial" w:hAnsi="Arial"/>
                <w:sz w:val="18"/>
                <w:szCs w:val="18"/>
                <w:color w:val="auto"/>
              </w:rPr>
              <w:t>373</w:t>
            </w:r>
          </w:p>
        </w:tc>
        <w:tc>
          <w:tcPr>
            <w:tcW w:w="58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Regulatory filing fees and expenses (3)</w:t>
            </w:r>
          </w:p>
        </w:tc>
        <w:tc>
          <w:tcPr>
            <w:tcW w:w="27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1,847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Internal staffing, overhead and other (4)</w:t>
            </w:r>
          </w:p>
        </w:tc>
        <w:tc>
          <w:tcPr>
            <w:tcW w:w="15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7,733</w:t>
            </w:r>
          </w:p>
        </w:tc>
        <w:tc>
          <w:tcPr>
            <w:tcW w:w="580" w:type="dxa"/>
            <w:vAlign w:val="bottom"/>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18"/>
                <w:szCs w:val="18"/>
                <w:color w:val="auto"/>
              </w:rPr>
            </w:pPr>
          </w:p>
        </w:tc>
      </w:tr>
      <w:tr>
        <w:trPr>
          <w:trHeight w:val="27"/>
        </w:trPr>
        <w:tc>
          <w:tcPr>
            <w:tcW w:w="6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69,913</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Non-cash stock-based compensation (5)</w:t>
            </w:r>
          </w:p>
        </w:tc>
        <w:tc>
          <w:tcPr>
            <w:tcW w:w="154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2,701</w:t>
            </w:r>
          </w:p>
        </w:tc>
        <w:tc>
          <w:tcPr>
            <w:tcW w:w="58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18"/>
                <w:szCs w:val="18"/>
                <w:color w:val="auto"/>
              </w:rPr>
            </w:pPr>
          </w:p>
        </w:tc>
      </w:tr>
      <w:tr>
        <w:trPr>
          <w:trHeight w:val="27"/>
        </w:trPr>
        <w:tc>
          <w:tcPr>
            <w:tcW w:w="6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50,326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72,750</w:t>
            </w:r>
          </w:p>
        </w:tc>
        <w:tc>
          <w:tcPr>
            <w:tcW w:w="100" w:type="dxa"/>
            <w:vAlign w:val="bottom"/>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decrease in research and development expenses for the year ended December 31, 2014, as compared to the prior year period, is primarily due to a decrease in costs associated with the REDUCE-IT study, a decrease in expenses associated with pre-commercial inventory supply, and a decrease in staffing and overhead costs, as further described below.</w:t>
      </w:r>
    </w:p>
    <w:p>
      <w:pPr>
        <w:spacing w:after="0" w:line="59" w:lineRule="exact"/>
        <w:rPr>
          <w:sz w:val="20"/>
          <w:szCs w:val="20"/>
          <w:color w:val="auto"/>
        </w:rPr>
      </w:pPr>
    </w:p>
    <w:p>
      <w:pPr>
        <w:ind w:left="460" w:hanging="452"/>
        <w:spacing w:after="0" w:line="28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 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estimate that we will complete patient enrollment in this study in March 2016. For 2014 and 2013, we incurred expenses through our CRO in connection with this trial of approximately $31.0 million and $38.4 million, respectively. Inclusive of CTM costs, the combined CRO and CTM costs in 2014 and 2013 for REDUCE-IT were approximately $37.7 million and $47.0 million, respectively. The reduction in expenses in 2014 as compared to 2013 is primarily the result of timing variability for REDUCE-IT costs as well as some efficiency savings as the trial is fully operational in 2014 across all countries and clinical sites. We expense costs for CTM upon receipt. The aggregate cost of this outcomes study will depend on the rate of clinical events in the study. We currently estimate we will incur $30 million to $40 million in annual costs through study completion. Amarin remains blinded to all data from the study and currently expects the study to be completed in 2017. There is a scheduled interim review of the efficacy and safety results of the study which review we estimate will occur in 2016 upon reaching 60% of the target aggregate number of cardiovascular events for the study. It is our expectation that this trial will run to completion as is typical for cardiovascular outcome studies.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6"/>
          <w:szCs w:val="16"/>
          <w:color w:val="auto"/>
        </w:rPr>
      </w:pPr>
    </w:p>
    <w:p>
      <w:pPr>
        <w:ind w:left="460" w:right="60" w:hanging="452"/>
        <w:spacing w:after="0" w:line="290"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Until an API supplier is approved by the FDA to manufacture commercial supply of Vascepa, all Vascepa purchased from such supplier is included as a component of research and development expense. Upon approval of the supplier, we capitalize subsequent Vascepa API purchases from such supplier as inventory. Purchases of Vascepa API received and expensed before such regulatory approvals are not subsequently capitalized, and all such purchases are quarantined and not used for commercial supply until such time as the supplier that produced the API is approved. The commercial supply expense for the periods shown above represents inventory received from Nisshin prior to NDA approval of Vascepa on July 26, 2012 or received from our other suppliers prior to their sNDA approvals. The amount of commercial supply that we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receive from potential additional API suppliers prior to sNDA approval depends upon production schedules at such suppliers and the timing of regulatory approval, and we are unable to estimate these amounts at this time. We will continue to expense inventory received from the unapproved supplier until such time as FDA approval is obtained.</w:t>
      </w:r>
    </w:p>
    <w:p>
      <w:pPr>
        <w:ind w:left="460" w:right="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regulatory filing fees in each of the years ended December 31, 2014 and 2013 included annual FDA fees for maintaining manufacturing sites. In addition, during the year ended December 31, 2013, these fees included regulatory filings associated with the sNDA for the ANCHOR indication as well as costs associated with preparing for the October 16, 2013 FDA advisory committee meeting.</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 The reduction in the level of such costs in 2014 as compared to 2013 is largely the result of decisions announced in October 2013 to reduce headcount and suspend AMR102 development. Other research and development costs in 2013 included costs related to testing of the relative bioavailability of AMR102 capsules, Vascepa capsules with a selected statin taken concomitantly. We have suspended further development of AMR102 pending resolution of the ANCHOR sNDA with the FDA.</w:t>
      </w:r>
    </w:p>
    <w:p>
      <w:pPr>
        <w:spacing w:after="0" w:line="4" w:lineRule="exact"/>
        <w:rPr>
          <w:rFonts w:ascii="Arial" w:cs="Arial" w:eastAsia="Arial" w:hAnsi="Arial"/>
          <w:sz w:val="16"/>
          <w:szCs w:val="16"/>
          <w:color w:val="auto"/>
        </w:rPr>
      </w:pPr>
    </w:p>
    <w:p>
      <w:pPr>
        <w:ind w:left="460" w:right="62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3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Gain (Loss) on Change in Fair Value of Derivative Liabilities. </w:t>
      </w:r>
      <w:r>
        <w:rPr>
          <w:rFonts w:ascii="Arial" w:cs="Arial" w:eastAsia="Arial" w:hAnsi="Arial"/>
          <w:sz w:val="16"/>
          <w:szCs w:val="16"/>
          <w:color w:val="auto"/>
        </w:rPr>
        <w:t>Gain (loss) on change in fair value of derivative liabilities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was a gain of $13.5 million versus a gain of $47.7 million in the prior year period. Gain (loss) on change in fair value of derivative liabilities is comprised of</w:t>
      </w:r>
    </w:p>
    <w:p>
      <w:pPr>
        <w:ind w:right="300" w:firstLine="8"/>
        <w:spacing w:after="0" w:line="255"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change in fair value of the warrant derivative liability, (ii) the change in fair value of the derivative liability related to the change in control provision associated with the December 2012 BioPharma financing, and (iii) the change in fair value of the derivative liability related to the change in control provision associated with the May 2014 exchangeable senior notes.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warrant derivative liability is related to the change in fair value of warrants issued in conjunction with the October 2009 private placement. In October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2009 we issued 36.1 million warrants at an exercise price of $1.50 and recorded a $48.3 million warrant derivative liability, representing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warrants issued. As these warrants have been classified as a derivative liability, they are revalued at each reporting period, with changes in fair value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statement of operations. The fair value of the warrant derivative liability at December 31, 2014 was $0.1 million and we recognized a $6.3 million gain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fair value of derivative liability for the year ended December 31, 2014 for these warrants. The fair value of the warrant derivative liability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was $6.9 million and we recognized a $44.2 million gain on change in fair value of derivative liability for the year ended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fair value of the warrant derivative liability is due primarily to the change in the price of our common stock on the date of valuation. In October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we and the holders of the remaining October 2009 warrants mutually agreed to extend the expiration date of such warrants from October 16, 2014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December 2012 financing agreement with BioPharma contains a redemption feature whereby, upon a change of control, we would be required to pay $140 million, less any previously repaid amount, if the change of control occurs on or before December 31, 2013, or required to repay $150 million, less any previously repaid amount, if the change of control event occurs after December 31, 2013.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At December 31, 2014, the fair value of the derivative was determined to be $4.8 million, and at December 31, 2013, the fair value of the derivative was determined to be $11.1 million. We recognized a gain on change in fair value of derivative liability of $6.3 million and $3.5 million for the years ended December 31, 2014 and 2013, respectively.</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2014 Notes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At December 31, 2014, the fair value of the derivative was determined to be $2.6 million and we recognized a $0.9 million gain on change in fair value of derivative liability for the year ended December 31, 2014.</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senior notes pursuant to which we exchanged $118.7 million in aggregate principal amount of existing exchangeable senior notes for $118.7 million in aggregate principal amount of new 3.5%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8 to our consolidated financial statements included in this Annual Report on Form 10-K).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subsequently recorded a gain on extinguishment of the original notes of $38.0 million in the year ended December 31, 2014.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20" w:firstLine="456"/>
        <w:spacing w:after="0" w:line="370"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for the year ended December 31, 2014 was $18.5 million, versus $33.8 million in the prior year period, a</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of $15.3 million, or 45%. Net interest expense for the years ended December 31, 2014 and 2013 is summarized in the table below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78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Amortization of debt discounts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4,221</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$15,067</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Contractual coupon interest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9,471</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20,317</w:t>
            </w:r>
          </w:p>
        </w:tc>
      </w:tr>
      <w:tr>
        <w:trPr>
          <w:trHeight w:val="217"/>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Cash interest—current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5,420</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1,843</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interest—deferred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9,451</w:t>
            </w: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Non-cash interest</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13,859</w:t>
            </w:r>
          </w:p>
        </w:tc>
      </w:tr>
      <w:tr>
        <w:trPr>
          <w:trHeight w:val="223"/>
        </w:trPr>
        <w:tc>
          <w:tcPr>
            <w:tcW w:w="9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18,575</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34,179</w:t>
            </w:r>
          </w:p>
        </w:tc>
      </w:tr>
      <w:tr>
        <w:trPr>
          <w:trHeight w:val="216"/>
        </w:trPr>
        <w:tc>
          <w:tcPr>
            <w:tcW w:w="92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Interest income (3)</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(343)</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18,479</w:t>
            </w: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33,836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years ended December 31, 2014 and 2013 was $9.5 million and $20.3 million, respectively.</w:t>
      </w:r>
    </w:p>
    <w:p>
      <w:pPr>
        <w:ind w:left="460" w:right="34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Cash and non-cash interest expenses related to the BioPharma financing for the year ended December 31, 2014 were $9.1 million and $13.9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3"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income for the year ended December 31, 2014 was $0.1 million, versus $0.3 million in the prior year period. Interest income represents income earned on cash balances.</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income (expense), net, for the year ended December 31, 2014 was income of $3.7 million versus an expense of $1.2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prior year. Other income (expense), net, in the year ended December 31, 2014 primarily consists of $4.1 million received in the second quarter of 2014 with respect to settlement agreements with one of our suppliers and one of our encapsulators that provided for the reimbursement of certain amounts previously paid by us. Other income (expense), net, for the year ended December 31, 2013 primarily consisted of losses and gains on foreign exchange transactions, including realized gains and losses on foreign exchange forward contracts. We periodically use foreign exchange forward contracts to hedge against changes in exchange rates for inventory purchases denominated in foreign currency.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Benefit From (Provision for) Income Taxes. </w:t>
      </w:r>
      <w:r>
        <w:rPr>
          <w:rFonts w:ascii="Arial" w:cs="Arial" w:eastAsia="Arial" w:hAnsi="Arial"/>
          <w:sz w:val="18"/>
          <w:szCs w:val="18"/>
          <w:color w:val="auto"/>
        </w:rPr>
        <w:t>Benefit from (provision for) income taxes for the year ended December 31, 2014 was a $2.8 million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versus a $3.2 million benefit in the prior year. The current benefit relates entirely to the United States subsidiary operations. We are profitable in the United States as a result of intercompany transactions between our United States subsidiary and our other companies. The 2013 benefit primarily relates to tax credits for research and development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sources of liquidity as of December 31, 2015 include cash and cash equivalents of $107.0 million. Our projected uses of cash include commercialization of Vascepa, the continued funding of the REDUCE-IT cardiovascular outcomes study, working capital and other general corporate activities. Our cash flows from operating, investing and financing activities, as reflected in the consolidated statements of cash flows, are summarized in the following table (in millions):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w:t>
            </w:r>
          </w:p>
        </w:tc>
        <w:tc>
          <w:tcPr>
            <w:tcW w:w="2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120" w:type="dxa"/>
            <w:vAlign w:val="bottom"/>
            <w:gridSpan w:val="3"/>
          </w:tcPr>
          <w:p>
            <w:pPr>
              <w:jc w:val="right"/>
              <w:ind w:right="420"/>
              <w:spacing w:after="0"/>
              <w:rPr>
                <w:sz w:val="20"/>
                <w:szCs w:val="20"/>
                <w:color w:val="auto"/>
              </w:rPr>
            </w:pPr>
            <w:r>
              <w:rPr>
                <w:rFonts w:ascii="Arial" w:cs="Arial" w:eastAsia="Arial" w:hAnsi="Arial"/>
                <w:sz w:val="18"/>
                <w:szCs w:val="18"/>
                <w:color w:val="auto"/>
              </w:rPr>
              <w:t>$ (84.8)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 (72.3)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(190.3)</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21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4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121.6</w:t>
            </w:r>
          </w:p>
        </w:tc>
        <w:tc>
          <w:tcPr>
            <w:tcW w:w="100" w:type="dxa"/>
            <w:vAlign w:val="bottom"/>
          </w:tcPr>
          <w:p>
            <w:pPr>
              <w:spacing w:after="0"/>
              <w:rPr>
                <w:sz w:val="19"/>
                <w:szCs w:val="19"/>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(12.6)</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(72.0)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r>
      <w:tr>
        <w:trPr>
          <w:trHeight w:val="20"/>
        </w:trPr>
        <w:tc>
          <w:tcPr>
            <w:tcW w:w="4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Cash used by operating activities in 2015 compared to 2014 increased as a result of increased purchases of supply during 2015 compared to 2014, partially offset by higher collections from product revenues, $15.0 million in up-front proceeds from the China licensing agreement, and other operating differences in 2015. We began 2014 with more than a year of Vascepa in inventory and as a result purchased little Vascepa supply in 2014, with purchases of supply resuming on an as-needed basis at the start of 2015.</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6, 2012 we entered into a financing agreement with BioPharma. Under this agreement, we granted to BioPharma a security interest in future receivables and all related rights to Vascepa, in exchange for $100 million received at the closing of the agreement which closing occurred in December 2012. We have agreed to repay BioPharma up to $150 million of future revenue and receivables. As of December 31, 2015, the net remaining amount to be repaid to BioPharma is $137.3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2016 is $47.6 million. The quarterly repayments through December 31, 2015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 May 2014 Exchangeable Senior Notes due 2032, or the 2014 Notes. In November 2015, $16.2 million of the 2012 Notes was extinguished, following which $15.1 million in aggregate principal amount of the 2012 Notes remain outstanding with terms unchanged.</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On November 24, 2015, we entered into a privately negotiated subscription agreement with one of our existing investors (the “Investor”), pursuant to which the Investor agreed to purchase approximately $31.3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million in aggregate principal amount of new 3.5% November 2015 Exchangeable Senior Notes due 2032 (the “2015 Notes”) for approximately $27.5 million. The 2015 Notes have substantially identical terms to the 2014 Notes, except that the 2015 Notes were issued by Amarin Corporation plc and are not guaranteed by any entity.</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December 31, 2015, we had cash and cash equivalents of $107.0 million, a decrease of $12.5 million from December 31, 2014. The decrease is primarily due to net cash used in operating activities in support of the commercialization of Vascepa and funding of REDUCE-IT less accounts receivable collections. Included in our cash balance as of December 31, 2015 was a $15.0 million non-refundable, up-front payment we received upon the execution of our first ex-U.S. licensing agreement in China and surrounding territories, net proceeds of $57.7 million we received from the issuance and sale of our Series A Preference Shares and net proceeds of $11.0 million from the issuance and extinguishment of senior exchangeable notes. We have incurred annual operating losses since our inception and, as a result, we had an accumulated deficit of $1.1 billion as of December 31, 2015. We believe that our cash and cash equivalents will be sufficient to fund our projected operations for at least the next twelve months. Depending on the level of cash generated from operations, additional capital may be required to sustain operations. We anticipate that quarterly net cash outflows in future periods will be variable as a result of the timing of certain items, including interest payments and supply purchases.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2015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to 2018</w:t>
            </w:r>
          </w:p>
        </w:tc>
        <w:tc>
          <w:tcPr>
            <w:tcW w:w="2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to 2020</w:t>
            </w:r>
          </w:p>
        </w:tc>
        <w:tc>
          <w:tcPr>
            <w:tcW w:w="5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After 2020</w:t>
            </w:r>
          </w:p>
        </w:tc>
      </w:tr>
      <w:tr>
        <w:trPr>
          <w:trHeight w:val="196"/>
        </w:trPr>
        <w:tc>
          <w:tcPr>
            <w:tcW w:w="5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$18.8</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$ 23.7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lease obligations (2)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Interest payment obligations—exchangeable debt (3)</w:t>
            </w:r>
          </w:p>
        </w:tc>
        <w:tc>
          <w:tcPr>
            <w:tcW w:w="14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4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64.8</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We have Vascepa API supply agreements with three independent companies from which we purchase qualified API supply: Nisshin, Chemport and Finorga</w:t>
      </w:r>
    </w:p>
    <w:p>
      <w:pPr>
        <w:spacing w:after="0" w:line="49" w:lineRule="exact"/>
        <w:rPr>
          <w:rFonts w:ascii="Arial" w:cs="Arial" w:eastAsia="Arial" w:hAnsi="Arial"/>
          <w:sz w:val="15"/>
          <w:szCs w:val="15"/>
          <w:color w:val="auto"/>
        </w:rPr>
      </w:pPr>
    </w:p>
    <w:p>
      <w:pPr>
        <w:ind w:left="460" w:right="40"/>
        <w:spacing w:after="0" w:line="281" w:lineRule="auto"/>
        <w:rPr>
          <w:rFonts w:ascii="Arial" w:cs="Arial" w:eastAsia="Arial" w:hAnsi="Arial"/>
          <w:sz w:val="15"/>
          <w:szCs w:val="15"/>
          <w:color w:val="auto"/>
        </w:rPr>
      </w:pPr>
      <w:r>
        <w:rPr>
          <w:rFonts w:ascii="Arial" w:cs="Arial" w:eastAsia="Arial" w:hAnsi="Arial"/>
          <w:sz w:val="16"/>
          <w:szCs w:val="16"/>
          <w:color w:val="auto"/>
        </w:rPr>
        <w:t>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 to enable us to maintain certain supply exclusivity and also contain a provision that any shortfall in the minimum purchase commitments is payable in cash. Each supplier is required to meet certain performance obligations and the agreements may be terminated by us in the event of non-performance.</w:t>
      </w:r>
    </w:p>
    <w:p>
      <w:pPr>
        <w:spacing w:after="0" w:line="3" w:lineRule="exact"/>
        <w:rPr>
          <w:rFonts w:ascii="Arial" w:cs="Arial" w:eastAsia="Arial" w:hAnsi="Arial"/>
          <w:sz w:val="15"/>
          <w:szCs w:val="15"/>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operating lease costs, primarily consisting of leases for facilities in Dublin, Ireland and Bedminster, NJ, net of sublease rental income.</w:t>
      </w:r>
    </w:p>
    <w:p>
      <w:pPr>
        <w:spacing w:after="0" w:line="32" w:lineRule="exact"/>
        <w:rPr>
          <w:rFonts w:ascii="Arial" w:cs="Arial" w:eastAsia="Arial" w:hAnsi="Arial"/>
          <w:sz w:val="16"/>
          <w:szCs w:val="16"/>
          <w:color w:val="auto"/>
        </w:rPr>
      </w:pPr>
    </w:p>
    <w:p>
      <w:pPr>
        <w:ind w:left="460" w:right="300" w:hanging="452"/>
        <w:spacing w:after="0" w:line="302"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scheduled interest payments due under the terms of the 2012 Notes, 2014 and 2015 Notes, assuming that the 2012 Notes remain outstanding through January 19, 2017 and that the 2014 Notes and 2015 Notes remain outstanding through January 19, 2019 and they have not been exchanged for ADSs. The above table does not reflect the repayment of the notes as they may be exchanged for ADSs.</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6, 2012, we entered into an agreement with BioPharma Secured Debt Fund II Holdings Cayman LP, or BioPharma. Under this agreement, we granted to BioPharma a security interest in future receivables associated with the Vascepa patent rights, in exchange for $100 million received at the closing of the agreement which occurred in December 2012. We agreed to repay BioPharma up to $150 million of future revenue and receivables. As of December 31, 2015, the net remaining amount to be repaid to BioPharma is $137.3 million. To date, each payment made has reflected the calculated optional reduction amount as opposed to the contractual threshold payments for each quarterly period. The maximum amount payable under the contractual threshold for 2016 is $47.6 million. The quarterly repayments through December 31, 2015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2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do not enter into financial instruments for trading or speculative purposes. As of December 31, 2015 and 2014, we had no outstanding forward exchange contracts.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April 2013, we announced the approval by the FDA of the sNDAs covering two of our API suppliers, Chemport, Inc. and BASF (formerly Equateq Limited). In April 2014, we reached a settlement agreement with BASF under which we received a refund for material purchases of $3.0 million. The Chemport supply agreement provides access to additional API supply that is incremental to supply from Nisshin, our other existing FDA-approved API supplier. The Chemport agreement includes minimum annual purchase levels enabling us to maintain supply exclusivity. The Chemport agreement also includes a provision that any shortfall in the minimum purchase commitments is payable in cash, and the maximum amounts payable pursuant to this provision are reflected in the table above. The API supply agreement with BASF terminated in February 2014.</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Concurrent with our supply agreement with Chemport entered into in 2011 for the supply of API materials for Vascepa, we agreed to make a non-controlling minority share equity investment in the supplier of up to $3.3 million. We invested $1.7 million under this agreement in July 2011 and the remaining $1.6 million during 2012. In September 2013, we entered into an equity sale and purchase agreement between this supplier and a third party in which we agreed to sell approximately $1.3 million of our investment in the supplier to the third party at cost. This transaction closed in the first quarter of 2014. In August 2014, we entered into a second equity sale and purchase agreement between this supplier and another third party in which we agreed to sell approximately $1.0 million of our remaining investment. This transaction closed in the fourth quarter of 2014. The remaining carrying amount of $0.2 million as of December 31, 2015 and 2014, respectively, is included in other long term assets and is accounted for under the cost method.</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 term assets. This long-term asset is being amortized over the estimated useful life of the intellectual property we acquired from Laxdale and we recognized amortization expense of $0.6 million during each of the years ended December 31, 2015 and 2014.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$11.1 million as of December 31, 2015). Additionally, upon receipt of a marketing approval in the United States or Europe for a further indication of Vascepa (or further indication of any other product using Amarin Neuroscience intellectual property), we must make an aggregate stock or cash payment (at the sole option of each of the sellers) of £5 million (approximately $7.4 million as of December 31, 2015) for each of the two potential market approvals (i.e. £10 million maximum, or approximately $14.8 million as of December 31, 2015).</w:t>
      </w:r>
    </w:p>
    <w:p>
      <w:pPr>
        <w:spacing w:after="0" w:line="12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addition to the obligations in the table above, we have recorded a liability of $0.1 million for uncertain tax positions that have been recorded in long-term liabilities as of December 31, 2015. We are not able to reasonably estimate in which future periods these amounts will ultimately be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9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On March 29, 2014, the universal shelf registration statement on Form S-3 (Registration No. 333-173132) that we had filed with the SEC on March 29, 2011 expired. On August 7, 2014, we filed with the SEC a new universal shelf registration statement on Form S-3, which provides for the offer, from time to time, of up to $300,000,000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The addition of any newly issued equity securities into the market may be dilutive to existing stockholders and new issuances by us or sales by our selling security holders could have an adverse effect on the price of our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are exposed to market risks, which include changes in interest rates. We do not use derivative financial instruments in our investment portfolio, and other than in 2013, we enter into no foreign exchange contracts. Our investments meet high credit quality and diversification standards, as specified in our investment policy.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subject to fluctuations due to changes in the Euro, Sterling and Yen. The</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cash and cash equivalents and the majority of our vendor relationships are denominated in U.S. dollars. We therefore believe that the risk of a significant impact on our operating income from foreign currency fluctuations is not substantial. From time to time, we maintain a small amount of our cash and cash equivalents in Euro and Pound Sterling. We purchase a portion of our supply from Novasep based on a U.S. dollar to Euro exchange rate and as such, remain subject to currency fluctuation risk for such purchases.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We believe that we are not exposed to significant interest rate risk through market value fluctuations of balance sheet items (i.e., price</w:t>
      </w:r>
      <w:r>
        <w:rPr>
          <w:rFonts w:ascii="Arial" w:cs="Arial" w:eastAsia="Arial" w:hAnsi="Arial"/>
          <w:sz w:val="16"/>
          <w:szCs w:val="16"/>
          <w:i w:val="1"/>
          <w:iCs w:val="1"/>
          <w:color w:val="auto"/>
        </w:rPr>
        <w:t xml:space="preserve"> </w:t>
      </w:r>
      <w:r>
        <w:rPr>
          <w:rFonts w:ascii="Arial" w:cs="Arial" w:eastAsia="Arial" w:hAnsi="Arial"/>
          <w:sz w:val="16"/>
          <w:szCs w:val="16"/>
          <w:color w:val="auto"/>
        </w:rPr>
        <w:t>risk) or through changes in interest income or expenses (i.e., re-financing or re-investment risk). Interest rate risk mainly arises through interest bearing liabilities and assets. We invest funds not needed for near-term operating expenses in diversified short-term investments, consisting primarily of investment grade securities. As of December 31, 2015, the fair value of our cash and cash equivalents maturing in one year or less was $107.0 million and represented 100% of our cash, cash equivalents and investment portfolio. A hypothetical 50 basis point change in interest rates would not result in a material decrease or increase in the fair value of our securities due to the general short-term nature of our investment portfolio.</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financial statements are annexed to this report beginning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1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As of December 31, 2015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the Evaluation Date, our disclosure controls and procedures were effective at the reasonable assurance level.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Internal control over financial reporting is defined in Rules 13a-15(f) and 15(d)-15(f)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our receipts and expenditures are being made only in accordance with authorization of our management and directors;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inherent limitations, internal controls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Our management, including our Principal Executive Officer and Principal Financial Officer, has conducted an evaluation of the effectiveness of our internal control over financial reporting as of December 31, 2015. In conducting this evaluation, we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Based upon this evaluation and those criteria, management believes that, as of December 31, 2015, our internal controls over financial reporting were effective.</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Ernst &amp; Young LLP, our independent registered public accounting firm, has audited our consolidated financial statements and the effectiveness of our internal control over financial reporting as of December 31, 2015. This report appears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2015 that have materially affected, or are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Amarin Corporation plc’s internal control over financial reporting as of December 31, 2015, based on criteria established in Internal Control—Integrated Framework issued by the Committee of Sponsoring Organizations of the Treadway Commission (2013 framework) (the COSO criteria). Amarin Corporation plc’s management is responsible for maintaining effective internal control over financial reporting, and for its assessment of the effectiveness of internal control over financial reporting included in the accompanying Report of Management on Internal Controls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our opinion, Amarin Corporation plc maintained, in all material respects, effective internal control over financial reporting as of December 31, 2015, based on the COSO criteria.</w:t>
      </w:r>
    </w:p>
    <w:p>
      <w:pPr>
        <w:spacing w:after="0" w:line="132"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Amarin Corporation plc as of December 31, 2015 and 2014 and the related consolidated statements of operations, stockholders’ deficit and cash flows for each of the two years ended December 31, 2015 of Amarin Corporation plc and our report dated February 25, 2016 expressed an unqualified opinion thereon.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Rule 10b5-1 Trading Plans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policy governing transactions in our securities by our directors, officers and employees permits our officers, directors and certain other persons to enter into trading plans complying with Rule 10b5-1 under the Securities Exchange Act of 1934, as amended. We have been from time to time advised that a number of our directors and employees, including members of our senior management team, and investment funds associated with such persons, have entered into trading plans in accordance with Rule 10b5-1 and our policy governing transactions in our securities. We undertake no obligation to update or revise the information provided herein, including for revision or termination of an established trading plan.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Departure of Directors or Certain Officers; Election of Directors; Appointment of Certain Officers; Compensatory Arrangements of Certain Officers.</w:t>
      </w:r>
    </w:p>
    <w:p>
      <w:pPr>
        <w:spacing w:after="0" w:line="11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23, 2016, Michael J. Farrell, our Vice President, Finance and principal financial and principal accounting officer, informed us of his resignation, expected to be effective in March 2016. Mr. Farrell’s resignation did not result from any disagreement regarding our financial reporting or accounting policies, procedures, estimates or judgments.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the foregoing, effective as of March 15, 2016, John F. Thero, our President and Chief Executive Officer, and the former Chief Financial Officer, will serve as our principal financial officer and principal accounting officer on an interim basis. There are no new arrangements or understandings between Mr. Thero and the company in connection with his service as principal financial officer and principal accounting officer of the company on an interim basis.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have initiated a search for a full-time Chief Financial Officer that will serve as principal financial officer and principal accounting officer. It is our intention that the responsibilities of such newly hired Chief Financial Officer will include those currently performed by the current Vice President, Finance position.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2016 Annual General Meeting of Shareholders.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officers and employees. There have been no material modifications to, or waivers from, the provisions of such code. This code is available on the corporate governance section of our website (which is a subsection of the investor relations section of our website) at the following address: www.amarincorp.com. Any waivers from or amendments to the code will be filed with the SEC on Form 8-K. You may also request a printed copy of the code, without charge, by writing to us at Amarin Pharma, Inc., 1430 Route 206, Bedminster, NJ 07921, Attention: Investor Relations.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2016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2016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2016 Annual General Meeting of Shareholders.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our definitive proxy statement, which will be filed with the SEC in connection with our 2016 Annual General Meeting of Shareholders. Such information is incorporated herein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4160" w:type="dxa"/>
            <w:vAlign w:val="bottom"/>
            <w:gridSpan w:val="3"/>
          </w:tcPr>
          <w:p>
            <w:pPr>
              <w:ind w:left="2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340"/>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600" w:type="dxa"/>
            <w:vAlign w:val="bottom"/>
          </w:tcPr>
          <w:p>
            <w:pPr>
              <w:spacing w:after="0"/>
              <w:rPr>
                <w:sz w:val="14"/>
                <w:szCs w:val="14"/>
                <w:color w:val="auto"/>
              </w:rPr>
            </w:pPr>
          </w:p>
        </w:tc>
      </w:tr>
      <w:tr>
        <w:trPr>
          <w:trHeight w:val="322"/>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Articles of Association of the Company</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2"/>
              </w:rPr>
              <w:t>Form of Amended and Restated Deposit Agreement,</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1"/>
              </w:rPr>
              <w:t>dated as of November 4, 2011, among the Company,</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7"/>
              </w:rPr>
              <w:t>Citibank, N.A., as Depositary, and all holders from</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3"/>
              </w:rPr>
              <w:t>time to time of American Depositary Receipts issued</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89"/>
              </w:rPr>
              <w:t>Indenture, dated as of January 9, 2012, by and among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6"/>
              </w:rPr>
              <w:t>Corsicanto Limited, the Company and Wells Fargo</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as trustee</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3"/>
              </w:rPr>
              <w:t>Indenture, dated as of May 20, 2014, by and among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8"/>
              </w:rPr>
              <w:t>Corsicanto Limited, the Company and Wilmington</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Trust, National Association, as trustee</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Form of Ordinary Share certificate</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9"/>
              </w:rPr>
              <w:t>Form of American Depositary Receipt evidencing</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ADSs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Form of Series A Preference Share Terms</w:t>
            </w:r>
          </w:p>
        </w:tc>
      </w:tr>
      <w:tr>
        <w:trPr>
          <w:trHeight w:val="540"/>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Form of Note for 3.50% Notes due 2032</w:t>
            </w:r>
          </w:p>
        </w:tc>
      </w:tr>
      <w:tr>
        <w:trPr>
          <w:trHeight w:val="534"/>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88"/>
              </w:rPr>
              <w:t>Preferred Share Deposit Agreement by and among the</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87"/>
              </w:rPr>
              <w:t>Company, Citibank, N.A., as depositary, and all holders</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and beneficial owners of restricted ADSs issued</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thereunder</w:t>
            </w:r>
          </w:p>
        </w:tc>
      </w:tr>
      <w:tr>
        <w:trPr>
          <w:trHeight w:val="318"/>
        </w:trPr>
        <w:tc>
          <w:tcPr>
            <w:tcW w:w="500" w:type="dxa"/>
            <w:vAlign w:val="bottom"/>
          </w:tcPr>
          <w:p>
            <w:pPr>
              <w:jc w:val="right"/>
              <w:ind w:right="95"/>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9"/>
              </w:rPr>
              <w:t>Form of American Depositary Receipt evidencing</w:t>
            </w:r>
          </w:p>
        </w:tc>
      </w:tr>
      <w:tr>
        <w:trPr>
          <w:trHeight w:val="216"/>
        </w:trPr>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w w:val="97"/>
              </w:rPr>
              <w:t>restricted ADSs representing Series A Preference</w:t>
            </w:r>
          </w:p>
        </w:tc>
      </w:tr>
      <w:tr>
        <w:trPr>
          <w:trHeight w:val="222"/>
        </w:trPr>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Shares</w:t>
            </w:r>
          </w:p>
        </w:tc>
      </w:tr>
      <w:tr>
        <w:trPr>
          <w:trHeight w:val="324"/>
        </w:trPr>
        <w:tc>
          <w:tcPr>
            <w:tcW w:w="500" w:type="dxa"/>
            <w:vAlign w:val="bottom"/>
          </w:tcPr>
          <w:p>
            <w:pPr>
              <w:jc w:val="right"/>
              <w:ind w:right="95"/>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24"/>
                <w:szCs w:val="24"/>
                <w:color w:val="auto"/>
              </w:rPr>
            </w:pPr>
          </w:p>
        </w:tc>
        <w:tc>
          <w:tcPr>
            <w:tcW w:w="4160" w:type="dxa"/>
            <w:vAlign w:val="bottom"/>
            <w:gridSpan w:val="3"/>
          </w:tcPr>
          <w:p>
            <w:pPr>
              <w:ind w:left="260"/>
              <w:spacing w:after="0"/>
              <w:rPr>
                <w:sz w:val="20"/>
                <w:szCs w:val="20"/>
                <w:color w:val="auto"/>
              </w:rPr>
            </w:pPr>
            <w:r>
              <w:rPr>
                <w:rFonts w:ascii="Arial" w:cs="Arial" w:eastAsia="Arial" w:hAnsi="Arial"/>
                <w:sz w:val="18"/>
                <w:szCs w:val="18"/>
                <w:color w:val="auto"/>
              </w:rPr>
              <w:t>The Company 2002 Stock Option Plan*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-661670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2"/>
        </w:trPr>
        <w:tc>
          <w:tcPr>
            <w:tcW w:w="1760" w:type="dxa"/>
            <w:vAlign w:val="bottom"/>
          </w:tcPr>
          <w:p>
            <w:pPr>
              <w:spacing w:after="0"/>
              <w:rPr>
                <w:sz w:val="12"/>
                <w:szCs w:val="1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3"/>
              </w:rPr>
              <w:t>Form</w:t>
            </w:r>
          </w:p>
        </w:tc>
        <w:tc>
          <w:tcPr>
            <w:tcW w:w="80" w:type="dxa"/>
            <w:vAlign w:val="bottom"/>
            <w:tcBorders>
              <w:bottom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Date</w:t>
            </w:r>
          </w:p>
        </w:tc>
        <w:tc>
          <w:tcPr>
            <w:tcW w:w="280" w:type="dxa"/>
            <w:vAlign w:val="bottom"/>
          </w:tcPr>
          <w:p>
            <w:pPr>
              <w:spacing w:after="0"/>
              <w:rPr>
                <w:sz w:val="12"/>
                <w:szCs w:val="12"/>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Quarterly Report on Form 10-Q, File No. 0-21392, as</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August 8, 2013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3.1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3"/>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w w:val="99"/>
              </w:rPr>
              <w:t>Current Report on Form 8-K dated January 9, 2012,</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9"/>
              </w:rPr>
              <w:t>January 10,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 May 15, 2014,</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May 21, 2014</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April 24, 2003</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2002, File No. 0-21392, as Exhibit 2.4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93"/>
              </w:rPr>
              <w:t>February 29, 2012</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7"/>
              </w:rPr>
              <w:t>December 31, 2011, File No. 0-21392, as Exhibit 4.4</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 March 5, 2015,</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March 11, 2015</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 November 19,</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w w:val="87"/>
              </w:rPr>
              <w:t>November 20, 2015</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2015, File No. 0-21392, as Exhibit 10.2</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 March 30, 2015,</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March 30, 2015</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4.1</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Current Report on Form 8-K dated March 30, 2015,</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March 30, 2015</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4.2</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March 5, 2007</w:t>
            </w: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4.17</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365"/>
        </w:trPr>
        <w:tc>
          <w:tcPr>
            <w:tcW w:w="1760" w:type="dxa"/>
            <w:vAlign w:val="bottom"/>
          </w:tcPr>
          <w:p>
            <w:pPr>
              <w:ind w:left="26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2">
            <w:col w:w="4980" w:space="340"/>
            <w:col w:w="5560"/>
          </w:cols>
          <w:pgMar w:left="240" w:top="459" w:right="7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The Company 2011 Stock Option Plan*</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Amendment No. 1 to 2011 Stock Option Incentive Plan*</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Amendment No. 2 to 2011 Stock Option Incentive Plan*</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Amendment No. 3 to 2011 Stock Option and Incentive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Amendment No. 4 to 2011 Stock Option and Incentive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Amendment No. 5 to 2011 Stock Option and Incentive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Amarin Corporation plc Management Incentive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Compensation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Form of Incentive Stock Option Award Agreement</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Form of Non-Qualified Stock Option Award Agreement</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Form of Restricted Stock Unit Award Agreement</w:t>
            </w:r>
          </w:p>
        </w:tc>
      </w:tr>
      <w:tr>
        <w:trPr>
          <w:trHeight w:val="534"/>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7"/>
              </w:rPr>
              <w:t>Letter Agreement, dated November 15, 2010, between the</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Company and John F. Thero*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with Joseph Kennedy, dated December</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13, 2011*</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1"/>
              </w:rPr>
              <w:t>Letter Agreement with John Thero, dated December 23,</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Letter Agreement with Steve Ketchum, dated February 8,</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2012*</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ended June 30, 2015, File No. 0-21392, as Exhibit 4.1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ended June 30, 2015, File No. 0-21392, as Exhibit 4.2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2011,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December 23, 2011,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23,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Current Report on Form 8-K dated February 16, 2012,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2"/>
              </w:rPr>
              <w:t>February 16,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840" w:type="dxa"/>
            <w:vAlign w:val="bottom"/>
          </w:tcPr>
          <w:p>
            <w:pPr>
              <w:ind w:left="30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-5777865</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580"/>
          </w:cols>
          <w:pgMar w:left="240" w:top="459" w:right="7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5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2"/>
              </w:rPr>
              <w:t>Letter Agreement with John Thero, dated January 10,</w:t>
            </w:r>
          </w:p>
        </w:tc>
      </w:tr>
      <w:tr>
        <w:trPr>
          <w:trHeight w:val="222"/>
        </w:trPr>
        <w:tc>
          <w:tcPr>
            <w:tcW w:w="500" w:type="dxa"/>
            <w:vAlign w:val="bottom"/>
          </w:tcPr>
          <w:p>
            <w:pPr>
              <w:spacing w:after="0"/>
              <w:rPr>
                <w:sz w:val="19"/>
                <w:szCs w:val="19"/>
                <w:color w:val="auto"/>
              </w:rPr>
            </w:pPr>
          </w:p>
        </w:tc>
        <w:tc>
          <w:tcPr>
            <w:tcW w:w="2160" w:type="dxa"/>
            <w:vAlign w:val="bottom"/>
          </w:tcPr>
          <w:p>
            <w:pPr>
              <w:ind w:left="460"/>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3"/>
              </w:rPr>
              <w:t>Amendment, dated July 6, 2015, to Letter Agreement</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9"/>
              </w:rPr>
              <w:t>with Joseph Kennedy, dated December 13,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3"/>
              </w:rPr>
              <w:t>Amendment, dated July 6, 2015, to Letter Agreement</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with Steven Ketchum, dated February 8,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10.19</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3"/>
              </w:rPr>
              <w:t>Amendment, dated July 6, 2015, to Letter Agreement</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with John Thero, dated December 23,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10.20</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89"/>
              </w:rPr>
              <w:t>2011 Long Term Incentive Award with Joseph Kennedy</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dated December 16,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10.21</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0"/>
              </w:rPr>
              <w:t>2012 Long Term Incentive Award with Steven Ketchum</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dated March 1,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10.22</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1"/>
              </w:rPr>
              <w:t>Employment Agreement dated November 5, 2009 with</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John F. Thero*</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10.23</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2"/>
              </w:rPr>
              <w:t>Development and License Agreement dated March 6,</w:t>
            </w:r>
          </w:p>
        </w:tc>
      </w:tr>
      <w:tr>
        <w:trPr>
          <w:trHeight w:val="216"/>
        </w:trPr>
        <w:tc>
          <w:tcPr>
            <w:tcW w:w="500" w:type="dxa"/>
            <w:vAlign w:val="bottom"/>
          </w:tcPr>
          <w:p>
            <w:pPr>
              <w:spacing w:after="0"/>
              <w:rPr>
                <w:sz w:val="18"/>
                <w:szCs w:val="18"/>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0"/>
              </w:rPr>
              <w:t>2007 between Amarin Pharmaceuticals Ireland Limited</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and Elan Pharma International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10.24</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89"/>
              </w:rPr>
              <w:t>Termination and Assignment Agreement, dated July 21,</w:t>
            </w:r>
          </w:p>
        </w:tc>
      </w:tr>
      <w:tr>
        <w:trPr>
          <w:trHeight w:val="216"/>
        </w:trPr>
        <w:tc>
          <w:tcPr>
            <w:tcW w:w="500" w:type="dxa"/>
            <w:vAlign w:val="bottom"/>
          </w:tcPr>
          <w:p>
            <w:pPr>
              <w:spacing w:after="0"/>
              <w:rPr>
                <w:sz w:val="18"/>
                <w:szCs w:val="18"/>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3"/>
              </w:rPr>
              <w:t>2009 between Elan Pharma International Limited and</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10.25</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7"/>
              </w:rPr>
              <w:t>Form of Purchase Agreement, dated June 1, 2007,</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85"/>
              </w:rPr>
              <w:t>between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10.26</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89"/>
              </w:rPr>
              <w:t>Form of Equity Securities Purchase Agreement for U.S.</w:t>
            </w:r>
          </w:p>
        </w:tc>
      </w:tr>
      <w:tr>
        <w:trPr>
          <w:trHeight w:val="216"/>
        </w:trPr>
        <w:tc>
          <w:tcPr>
            <w:tcW w:w="500" w:type="dxa"/>
            <w:vAlign w:val="bottom"/>
          </w:tcPr>
          <w:p>
            <w:pPr>
              <w:spacing w:after="0"/>
              <w:rPr>
                <w:sz w:val="18"/>
                <w:szCs w:val="18"/>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97"/>
              </w:rPr>
              <w:t>Purchasers, dated December 4, 2007, between the</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10.27</w:t>
            </w: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88"/>
              </w:rPr>
              <w:t>Form of Equity Securities Purchase Agreement for Non-</w:t>
            </w:r>
          </w:p>
        </w:tc>
      </w:tr>
      <w:tr>
        <w:trPr>
          <w:trHeight w:val="216"/>
        </w:trPr>
        <w:tc>
          <w:tcPr>
            <w:tcW w:w="500" w:type="dxa"/>
            <w:vAlign w:val="bottom"/>
          </w:tcPr>
          <w:p>
            <w:pPr>
              <w:spacing w:after="0"/>
              <w:rPr>
                <w:sz w:val="18"/>
                <w:szCs w:val="18"/>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w w:val="88"/>
              </w:rPr>
              <w:t>U.S. Purchasers, dated December 4, 2007, between the</w:t>
            </w:r>
          </w:p>
        </w:tc>
      </w:tr>
      <w:tr>
        <w:trPr>
          <w:trHeight w:val="222"/>
        </w:trPr>
        <w:tc>
          <w:tcPr>
            <w:tcW w:w="500" w:type="dxa"/>
            <w:vAlign w:val="bottom"/>
          </w:tcPr>
          <w:p>
            <w:pPr>
              <w:spacing w:after="0"/>
              <w:rPr>
                <w:sz w:val="19"/>
                <w:szCs w:val="19"/>
                <w:color w:val="auto"/>
              </w:rPr>
            </w:pPr>
          </w:p>
        </w:tc>
        <w:tc>
          <w:tcPr>
            <w:tcW w:w="444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1"/>
              </w:rPr>
              <w:t>Current Report on Form 8-K dated January 8, 2014,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January 10, 2014</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2015,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2015,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August 6,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2015,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Form S-8, File No. 333-180180, as Exhibit 4.1</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Form S-8, File No. 333-180180, as Exhibit 4.2</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March 16, 2012</w:t>
            </w: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4.69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0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-5640705</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4940" w:space="340"/>
            <w:col w:w="5580"/>
          </w:cols>
          <w:pgMar w:left="240" w:top="459" w:right="7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70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10.28</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8"/>
              </w:rPr>
              <w:t>Form of Debt Securities Purchase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December 4, 2007, between the Company and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10.29</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4"/>
              </w:rPr>
              <w:t>Stock Purchase Agreement, dated December 5, 2007,</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between the Company, the selling shareholders of Ester</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Neurosciences Limited, Ester Neurosciences Limited and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Medica II Management L.P.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10.30</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0"/>
              </w:rPr>
              <w:t>Letter Agreement, dated December 6, 2007, between the</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3"/>
              </w:rPr>
              <w:t>Company and the Sellers’ Representative of the selling</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shareholders of Ester Neurosciences 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10.31</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2"/>
              </w:rPr>
              <w:t>Amendment No. 1 to Stock Purchase Agreement, dated</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April 7, 2008, between the Company and Medica II</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Management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10.32</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5"/>
              </w:rPr>
              <w:t>Securities Purchase Agreement, dated May 12, 2008,</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among the 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10.33</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2"/>
              </w:rPr>
              <w:t>Form of Securities Purchase Agreement, dated May 13,</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0"/>
              </w:rPr>
              <w:t>2008, between the Company and the Purchasers named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therein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10.34</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9"/>
              </w:rPr>
              <w:t>Amendment and Waiver Agreement, dated May 25, 2009,</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between Ester Neurosciences Limited, Medica II</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Management L.P. and the Company††</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10.35</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7"/>
              </w:rPr>
              <w:t>Form of Securities Purchase Agreement dated October 12,</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2009 between the Company and the Purchasers named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10.36</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8"/>
              </w:rPr>
              <w:t>Amendment No. 1, dated December 2, 2009, to Securities</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87"/>
              </w:rPr>
              <w:t>Purchase Agreement dated October 12, 2009 between the</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Company and the Purchasers 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10.37</w:t>
            </w: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1"/>
              </w:rPr>
              <w:t>Master Services Agreement, dated September 29, 2009,</w:t>
            </w:r>
          </w:p>
        </w:tc>
      </w:tr>
      <w:tr>
        <w:trPr>
          <w:trHeight w:val="216"/>
        </w:trPr>
        <w:tc>
          <w:tcPr>
            <w:tcW w:w="500" w:type="dxa"/>
            <w:vAlign w:val="bottom"/>
          </w:tcPr>
          <w:p>
            <w:pPr>
              <w:spacing w:after="0"/>
              <w:rPr>
                <w:sz w:val="18"/>
                <w:szCs w:val="18"/>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w w:val="97"/>
              </w:rPr>
              <w:t>between Medpace Inc. and Amarin Pharma, Inc. and</w:t>
            </w:r>
          </w:p>
        </w:tc>
      </w:tr>
      <w:tr>
        <w:trPr>
          <w:trHeight w:val="222"/>
        </w:trPr>
        <w:tc>
          <w:tcPr>
            <w:tcW w:w="500" w:type="dxa"/>
            <w:vAlign w:val="bottom"/>
          </w:tcPr>
          <w:p>
            <w:pPr>
              <w:spacing w:after="0"/>
              <w:rPr>
                <w:sz w:val="19"/>
                <w:szCs w:val="19"/>
                <w:color w:val="auto"/>
              </w:rPr>
            </w:pPr>
          </w:p>
        </w:tc>
        <w:tc>
          <w:tcPr>
            <w:tcW w:w="4580" w:type="dxa"/>
            <w:vAlign w:val="bottom"/>
            <w:gridSpan w:val="3"/>
          </w:tcPr>
          <w:p>
            <w:pPr>
              <w:ind w:left="460"/>
              <w:spacing w:after="0"/>
              <w:rPr>
                <w:sz w:val="20"/>
                <w:szCs w:val="20"/>
                <w:color w:val="auto"/>
              </w:rPr>
            </w:pPr>
            <w:r>
              <w:rPr>
                <w:rFonts w:ascii="Arial" w:cs="Arial" w:eastAsia="Arial" w:hAnsi="Arial"/>
                <w:sz w:val="18"/>
                <w:szCs w:val="18"/>
                <w:color w:val="auto"/>
              </w:rPr>
              <w:t>Amarin Pharmaceuticals Ireland Limited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17,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January 28,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Report of Foreign Private Issuer filed on Form 6-K, File</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9"/>
              </w:rPr>
              <w:t>February 1,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4.79</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May 19,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2007, File No. 0-21392, as Exhibit 4.81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20-F/A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1"/>
              </w:rPr>
              <w:t>December 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4.88</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F-1, File No. 333-</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86"/>
              </w:rPr>
              <w:t>December 14,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163704, as Exhibit 4.105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w w:val="97"/>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0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-5777865</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80" w:space="200"/>
            <w:col w:w="5580"/>
          </w:cols>
          <w:pgMar w:left="240" w:top="459" w:right="7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8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Amendment Agreement dated October 12, 2009, to the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Form of Equity Securities Purchase Agreement dated</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May 13, 2008 between the Company and the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Management Rights Deed of Agreement dated October</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16, 2009 by and among the Company and Purchasers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named therein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10.40</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Supply Agreement, dated November 1, 2010, between</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Nisshin Pharma Inc. and Amarin Pharmaceuticals Ireland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Limited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10.41</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9"/>
              </w:rPr>
              <w:t>API Commercial Supply Agreement, dated May 25, 2011,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10.42</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Amendment to API Commercial Supply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and between Amarin Pharmaceuticals Ireland Ltd and</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Chemport Inc., dated April 4, 2012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10.43</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Second Amendment to API Commercial Supply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7"/>
              </w:rPr>
              <w:t>Agreement by and between Amarin Pharmaceuticals</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4"/>
              </w:rPr>
              <w:t>Ireland Ltd. and Chemport Inc., dated July 19,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10.44</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8"/>
              </w:rPr>
              <w:t>Irrevocable License Agreement dated as of April 11,</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88"/>
              </w:rPr>
              <w:t>2011, as amended by the First Amendment to Irrevocable</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5"/>
              </w:rPr>
              <w:t>License Agreement dated as of May 9, 2011, each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3"/>
              </w:rPr>
              <w:t>Amarin Pharmaceuticals Ireland Ltd. and Bedminster 2</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10.45</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Second Amendment to Irrevocable License Agreement,</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1"/>
              </w:rPr>
              <w:t>by and between Bedminster 2 Funding, LLC and Amarin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10.46</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2"/>
              </w:rPr>
              <w:t>Third Amendment to Irrevocable License Agreement by</w:t>
            </w:r>
          </w:p>
        </w:tc>
      </w:tr>
      <w:tr>
        <w:trPr>
          <w:trHeight w:val="216"/>
        </w:trPr>
        <w:tc>
          <w:tcPr>
            <w:tcW w:w="500" w:type="dxa"/>
            <w:vAlign w:val="bottom"/>
          </w:tcPr>
          <w:p>
            <w:pPr>
              <w:spacing w:after="0"/>
              <w:rPr>
                <w:sz w:val="18"/>
                <w:szCs w:val="18"/>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w w:val="96"/>
              </w:rPr>
              <w:t>and between Bedminster 2 Funding, LLC and Amarin</w:t>
            </w:r>
          </w:p>
        </w:tc>
      </w:tr>
      <w:tr>
        <w:trPr>
          <w:trHeight w:val="222"/>
        </w:trPr>
        <w:tc>
          <w:tcPr>
            <w:tcW w:w="500" w:type="dxa"/>
            <w:vAlign w:val="bottom"/>
          </w:tcPr>
          <w:p>
            <w:pPr>
              <w:spacing w:after="0"/>
              <w:rPr>
                <w:sz w:val="19"/>
                <w:szCs w:val="19"/>
                <w:color w:val="auto"/>
              </w:rPr>
            </w:pP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Pharmaceuticals Ireland Ltd., dated July 17, 2012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3"/>
              </w:rPr>
              <w:t>October 22, 2009</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2008, File No. 0-21392, as Exhibit 4.97</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June 25,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2009, File No. 0-21392, as Exhibit 4.100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16,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2010, File No. 0-21392, as Exhibit 10.40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2012</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September 30, 2012,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9,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June 30, 2011,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10.4</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2008</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10.5</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1840" w:type="dxa"/>
            <w:vAlign w:val="bottom"/>
          </w:tcPr>
          <w:p>
            <w:pPr>
              <w:ind w:left="3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-5709285</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60" w:space="220"/>
            <w:col w:w="5520"/>
          </w:cols>
          <w:pgMar w:left="240" w:top="459" w:right="8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10.47</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Fourth Amendment to Irrevocable License Agreement by</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5"/>
              </w:rPr>
              <w:t>and between Bedminster 2 Funding, LLC and Amarin</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Pharmaceuticals Ireland Ltd., dated December 15,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10.48</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Online Office Agreement dated as of September 30, 2011</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by Amarin Corporation plc and Regus CME Ireland Ltd.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10.49</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Lease Agreement, dated January 22, 2007, between the</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Company, Amarin Pharmaceuticals Ireland Limited and</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Mr. David Colgan, Mr. Philip Monaghan, Mr. Finian</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McDonnell and Mr. Patrick Ryan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10.50</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8"/>
              </w:rPr>
              <w:t>Lease Agreement dated November 28, 2011, by the</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6"/>
              </w:rPr>
              <w:t>Company, 534 East Middle Turnpike, LLC, Peter Jay</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Alter, as Trustee of the Leon C. Lech Irrevocable Trust</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under Declaration of Trust dated October 14, 1980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Ferndale Realty,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7"/>
              </w:rPr>
              <w:t>Sublease Agreement by and among Advance Realty</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9"/>
              </w:rPr>
              <w:t>Management, Inc., Bedminster 2 Funding, LLC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Amarin Pharma Inc., dated April 25, 2012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10.52</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Lease Agreement dated May 8, 2013, by and between</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4"/>
              </w:rPr>
              <w:t>Amarin Pharma, Inc. and Bedminster 2 Funding, LLC.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10.53</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6"/>
              </w:rPr>
              <w:t>Second Amendment to Lease Agreement, by and between</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4"/>
              </w:rPr>
              <w:t>Amarin Pharma, Inc. and Bedminster 2 Funding, LLC,</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dated January 23, 2014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10.54</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6"/>
              </w:rPr>
              <w:t>Third Amendment to Lease Agreement dated May 8,</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2013, by and between Amarin Pharma, Inc.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Bedminster 2 Funding, LLC, dated April 3, 2014</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10.55</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Purchase and Sale Agreement, dated December 6, 2012,</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by and between Amarin Corporation plc, Amarin</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Pharmaceuticals Ireland Limited and BioPharma Secured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Debt Fund II Holdings Cayman LP††</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2012, File No. 0-21392, as Exhibit 10.71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7"/>
              </w:rPr>
              <w:t>November 8, 2011</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September 30, 2011, File No. 0-21392, as Exhibit 10.2</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20-F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5, 2007</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5"/>
              </w:rPr>
              <w:t>December 31, 2006, File No. 0-21392, as Exhibit 4.71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29,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2011, File No. 0-21392, as Exhibit 10.61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6"/>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August 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ended June 30, 2012, File No. 0-21392, as Exhibit 10.3</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8"/>
              </w:rPr>
              <w:t>Quarterly Report on Form 10-Q for the period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May 9, 2013</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March 31, 2013,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3,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2014, File No. 0-21392, as Exhibit 10.80</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March 3,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2014, File No. 0-21392, as Exhibit 10.81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Annual Report on Form 10-K for the year ended</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28, 2012</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December 31, 2012, File No. 0-21392, as Exhibit 10.76</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7"/>
        </w:trPr>
        <w:tc>
          <w:tcPr>
            <w:tcW w:w="1840" w:type="dxa"/>
            <w:vAlign w:val="bottom"/>
          </w:tcPr>
          <w:p>
            <w:pPr>
              <w:ind w:left="30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-5572125</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5040" w:space="240"/>
            <w:col w:w="5520"/>
          </w:cols>
          <w:pgMar w:left="240" w:top="459" w:right="8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1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166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10.56</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0"/>
              </w:rPr>
              <w:t>Co-Promotion Agreement dated March 31, 2014, by and</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among the Company and Kowa Pharmaceuticals</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America, Inc. ††</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10.57</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Development, Commercialization and Supply Agreement</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dated February 26, 2015, by and between Amarin</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4"/>
              </w:rPr>
              <w:t>Pharmaceuticals Ireland Limited, Amarin Pharma, Inc.</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7"/>
              </w:rPr>
              <w:t>and Eddingpharm (Asia) Macao Commercial Offsore</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Limited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10.58</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Securities Subscription Agreement dated March 5, 2015,</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1"/>
              </w:rPr>
              <w:t>by and among Amarin Corporation plc, 667, L.P., Baker</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Brothers Life Sciences, L.P., Stonepine Capital, L.P. and</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Broadfin Healthcare Master Fund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10.59</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8"/>
              </w:rPr>
              <w:t>Securities Subscription Agreement dated March 30, 2015,</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by and between Amarin Corporation plc and Sofinnova</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Venture Partners VII, L.P.</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10.60</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Note Subscription Agreement dated November 19, 2015,</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by and between Amarin corporation plc and Baker</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Brothers Life Sciences, L.P.</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14.1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Code of Ethics</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List of Subsidiaries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Consent of Independent Registered Public Accounting</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Firm</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3"/>
              </w:rPr>
              <w:t>Consent of Independent Registered Public Accounting</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Firm</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6"/>
              </w:rPr>
              <w:t>Certification of President and Chief Executive Officer</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(Principal Executive Officer) pursuant to Section 302 of</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Certification of Vice President, Finance (Principal</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2"/>
              </w:rPr>
              <w:t>Financial Officer) pursuant to Section 302 of Sarbanes-</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6"/>
              </w:rPr>
              <w:t>Certification of President and Chief Executive Officer</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89"/>
              </w:rPr>
              <w:t>(Principal Executive Officer) and Vice President, Finance</w:t>
            </w:r>
          </w:p>
        </w:tc>
      </w:tr>
      <w:tr>
        <w:trPr>
          <w:trHeight w:val="216"/>
        </w:trPr>
        <w:tc>
          <w:tcPr>
            <w:tcW w:w="500" w:type="dxa"/>
            <w:vAlign w:val="bottom"/>
          </w:tcPr>
          <w:p>
            <w:pPr>
              <w:spacing w:after="0"/>
              <w:rPr>
                <w:sz w:val="18"/>
                <w:szCs w:val="18"/>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w w:val="94"/>
              </w:rPr>
              <w:t>(Principal Financial Officer) pursuant to Section 906 of</w:t>
            </w:r>
          </w:p>
        </w:tc>
      </w:tr>
      <w:tr>
        <w:trPr>
          <w:trHeight w:val="222"/>
        </w:trPr>
        <w:tc>
          <w:tcPr>
            <w:tcW w:w="500" w:type="dxa"/>
            <w:vAlign w:val="bottom"/>
          </w:tcPr>
          <w:p>
            <w:pPr>
              <w:spacing w:after="0"/>
              <w:rPr>
                <w:sz w:val="19"/>
                <w:szCs w:val="19"/>
                <w:color w:val="auto"/>
              </w:rPr>
            </w:pPr>
          </w:p>
        </w:tc>
        <w:tc>
          <w:tcPr>
            <w:tcW w:w="4540" w:type="dxa"/>
            <w:vAlign w:val="bottom"/>
            <w:gridSpan w:val="3"/>
          </w:tcPr>
          <w:p>
            <w:pPr>
              <w:ind w:left="460"/>
              <w:spacing w:after="0"/>
              <w:rPr>
                <w:sz w:val="20"/>
                <w:szCs w:val="20"/>
                <w:color w:val="auto"/>
              </w:rPr>
            </w:pPr>
            <w:r>
              <w:rPr>
                <w:rFonts w:ascii="Arial" w:cs="Arial" w:eastAsia="Arial" w:hAnsi="Arial"/>
                <w:sz w:val="18"/>
                <w:szCs w:val="18"/>
                <w:color w:val="auto"/>
              </w:rPr>
              <w:t>Sarbanes-Oxley Act of 2002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9"/>
              </w:rPr>
              <w:t>Incorporated by Reference Herein</w:t>
            </w:r>
          </w:p>
        </w:tc>
        <w:tc>
          <w:tcPr>
            <w:tcW w:w="920" w:type="dxa"/>
            <w:vAlign w:val="bottom"/>
          </w:tcPr>
          <w:p>
            <w:pPr>
              <w:spacing w:after="0"/>
              <w:rPr>
                <w:sz w:val="14"/>
                <w:szCs w:val="14"/>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2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Form</w:t>
            </w:r>
          </w:p>
        </w:tc>
        <w:tc>
          <w:tcPr>
            <w:tcW w:w="9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120" w:type="dxa"/>
            <w:vAlign w:val="bottom"/>
            <w:gridSpan w:val="4"/>
          </w:tcPr>
          <w:p>
            <w:pPr>
              <w:spacing w:after="0"/>
              <w:rPr>
                <w:sz w:val="20"/>
                <w:szCs w:val="20"/>
                <w:color w:val="auto"/>
              </w:rPr>
            </w:pPr>
            <w:r>
              <w:rPr>
                <w:rFonts w:ascii="Arial" w:cs="Arial" w:eastAsia="Arial" w:hAnsi="Arial"/>
                <w:sz w:val="18"/>
                <w:szCs w:val="18"/>
                <w:color w:val="auto"/>
              </w:rPr>
              <w:t>Quarterly Report on Form 10-Q for quarterly period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9, 2014</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2014,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Quarterly Report on Form 10-Q for the quarterly period</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May 8, 2015</w:t>
            </w:r>
          </w:p>
        </w:tc>
        <w:tc>
          <w:tcPr>
            <w:tcW w:w="0" w:type="dxa"/>
            <w:vAlign w:val="bottom"/>
          </w:tcPr>
          <w:p>
            <w:pPr>
              <w:spacing w:after="0"/>
              <w:rPr>
                <w:sz w:val="1"/>
                <w:szCs w:val="1"/>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8"/>
                <w:szCs w:val="18"/>
                <w:color w:val="auto"/>
              </w:rPr>
              <w:t>ended March 31, 2015, File No. 0-21392, as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4"/>
              </w:rPr>
              <w:t>Current Report on Form 8-K dated March 5, 2015, File</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11,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0"/>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March 30, 2015, File</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March 30,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w w:val="92"/>
              </w:rPr>
              <w:t>Current Report on Form 8-K dated November 19, 2015,</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87"/>
              </w:rPr>
              <w:t>November 20, 2015</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File No. 0-21392, as Exhibit 10.1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4"/>
        </w:trPr>
        <w:tc>
          <w:tcPr>
            <w:tcW w:w="4120" w:type="dxa"/>
            <w:vAlign w:val="bottom"/>
            <w:gridSpan w:val="4"/>
          </w:tcPr>
          <w:p>
            <w:pPr>
              <w:spacing w:after="0"/>
              <w:rPr>
                <w:sz w:val="20"/>
                <w:szCs w:val="20"/>
                <w:color w:val="auto"/>
              </w:rPr>
            </w:pPr>
            <w:r>
              <w:rPr>
                <w:rFonts w:ascii="Arial" w:cs="Arial" w:eastAsia="Arial" w:hAnsi="Arial"/>
                <w:sz w:val="18"/>
                <w:szCs w:val="18"/>
                <w:color w:val="auto"/>
              </w:rPr>
              <w:t>Registration Statement on Form F-3, File No. 333-</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w w:val="87"/>
              </w:rPr>
              <w:t>November 10, 2010</w:t>
            </w: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170505, as Exhibit 99.1</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120" w:type="dxa"/>
            <w:vAlign w:val="bottom"/>
            <w:gridSpan w:val="4"/>
          </w:tcPr>
          <w:p>
            <w:pPr>
              <w:spacing w:after="0"/>
              <w:rPr>
                <w:sz w:val="20"/>
                <w:szCs w:val="20"/>
                <w:color w:val="auto"/>
              </w:rPr>
            </w:pPr>
            <w:r>
              <w:rPr>
                <w:rFonts w:ascii="Arial" w:cs="Arial" w:eastAsia="Arial" w:hAnsi="Arial"/>
                <w:sz w:val="18"/>
                <w:szCs w:val="18"/>
                <w:color w:val="auto"/>
              </w:rPr>
              <w:t>Filed herewith</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1840" w:type="dxa"/>
            <w:vAlign w:val="bottom"/>
          </w:tcPr>
          <w:p>
            <w:pPr>
              <w:ind w:left="30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-6601460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040" w:space="240"/>
            <w:col w:w="5600"/>
          </w:cols>
          <w:pgMar w:left="240" w:top="459" w:right="7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0"/>
              </w:rPr>
              <w:t>Incorporated by Reference Herein</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36"/>
        </w:trPr>
        <w:tc>
          <w:tcPr>
            <w:tcW w:w="50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Number</w:t>
            </w:r>
          </w:p>
        </w:tc>
        <w:tc>
          <w:tcPr>
            <w:tcW w:w="2180" w:type="dxa"/>
            <w:vAlign w:val="bottom"/>
          </w:tcPr>
          <w:p>
            <w:pPr>
              <w:spacing w:after="0"/>
              <w:rPr>
                <w:sz w:val="11"/>
                <w:szCs w:val="11"/>
                <w:color w:val="auto"/>
              </w:rPr>
            </w:pPr>
          </w:p>
        </w:tc>
        <w:tc>
          <w:tcPr>
            <w:tcW w:w="70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5"/>
              </w:rPr>
              <w:t>Description</w:t>
            </w:r>
          </w:p>
        </w:tc>
        <w:tc>
          <w:tcPr>
            <w:tcW w:w="3700" w:type="dxa"/>
            <w:vAlign w:val="bottom"/>
          </w:tcPr>
          <w:p>
            <w:pPr>
              <w:spacing w:after="0"/>
              <w:rPr>
                <w:sz w:val="11"/>
                <w:szCs w:val="11"/>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b w:val="1"/>
                <w:bCs w:val="1"/>
                <w:color w:val="auto"/>
                <w:w w:val="73"/>
              </w:rPr>
              <w:t>Form</w:t>
            </w:r>
          </w:p>
        </w:tc>
        <w:tc>
          <w:tcPr>
            <w:tcW w:w="100" w:type="dxa"/>
            <w:vAlign w:val="bottom"/>
            <w:tcBorders>
              <w:bottom w:val="single" w:sz="8" w:color="auto"/>
            </w:tcBorders>
          </w:tcPr>
          <w:p>
            <w:pPr>
              <w:spacing w:after="0"/>
              <w:rPr>
                <w:sz w:val="11"/>
                <w:szCs w:val="11"/>
                <w:color w:val="auto"/>
              </w:rPr>
            </w:pPr>
          </w:p>
        </w:tc>
        <w:tc>
          <w:tcPr>
            <w:tcW w:w="2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Date</w:t>
            </w: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580" w:type="dxa"/>
            <w:vAlign w:val="bottom"/>
            <w:gridSpan w:val="3"/>
          </w:tcPr>
          <w:p>
            <w:pPr>
              <w:ind w:left="580"/>
              <w:spacing w:after="0"/>
              <w:rPr>
                <w:sz w:val="20"/>
                <w:szCs w:val="20"/>
                <w:color w:val="auto"/>
              </w:rPr>
            </w:pPr>
            <w:r>
              <w:rPr>
                <w:rFonts w:ascii="Arial" w:cs="Arial" w:eastAsia="Arial" w:hAnsi="Arial"/>
                <w:sz w:val="18"/>
                <w:szCs w:val="18"/>
                <w:color w:val="auto"/>
              </w:rPr>
              <w:t>INS XBRL Instance Document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580" w:type="dxa"/>
            <w:vAlign w:val="bottom"/>
            <w:gridSpan w:val="3"/>
          </w:tcPr>
          <w:p>
            <w:pPr>
              <w:ind w:left="580"/>
              <w:spacing w:after="0"/>
              <w:rPr>
                <w:sz w:val="20"/>
                <w:szCs w:val="20"/>
                <w:color w:val="auto"/>
              </w:rPr>
            </w:pPr>
            <w:r>
              <w:rPr>
                <w:rFonts w:ascii="Arial" w:cs="Arial" w:eastAsia="Arial" w:hAnsi="Arial"/>
                <w:sz w:val="18"/>
                <w:szCs w:val="18"/>
                <w:color w:val="auto"/>
              </w:rPr>
              <w:t>SCH XBRL Taxonomy Extension Schema Document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02" w:lineRule="exact"/>
        <w:rPr>
          <w:sz w:val="20"/>
          <w:szCs w:val="20"/>
          <w:color w:val="auto"/>
        </w:rPr>
      </w:pPr>
    </w:p>
    <w:p>
      <w:pPr>
        <w:ind w:left="1080" w:right="7120" w:hanging="107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 XBRL Taxonomy Calculation Linkbase Document</w:t>
      </w:r>
    </w:p>
    <w:p>
      <w:pPr>
        <w:spacing w:after="0" w:line="78" w:lineRule="exact"/>
        <w:rPr>
          <w:sz w:val="20"/>
          <w:szCs w:val="20"/>
          <w:color w:val="auto"/>
        </w:rPr>
      </w:pPr>
    </w:p>
    <w:p>
      <w:pPr>
        <w:ind w:left="1080" w:right="6480" w:hanging="107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 XBRL Taxonomy Extension Definition Linkbase Document</w:t>
      </w:r>
    </w:p>
    <w:p>
      <w:pPr>
        <w:spacing w:after="0" w:line="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LAB XBRL Taxonomy Label Linkbase Document</w:t>
      </w:r>
    </w:p>
    <w:p>
      <w:pPr>
        <w:spacing w:after="0" w:line="117" w:lineRule="exact"/>
        <w:rPr>
          <w:sz w:val="20"/>
          <w:szCs w:val="20"/>
          <w:color w:val="auto"/>
        </w:rPr>
      </w:pPr>
    </w:p>
    <w:p>
      <w:pPr>
        <w:ind w:left="1080" w:right="7100" w:hanging="107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 XBRL Taxonomy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Confidential treatment has been granted with respect to portions of this exhibit pursuant to an application requesting confidential treatment under Rule 24b-</w:t>
      </w:r>
    </w:p>
    <w:p>
      <w:pPr>
        <w:spacing w:after="0" w:line="50" w:lineRule="exact"/>
        <w:rPr>
          <w:sz w:val="20"/>
          <w:szCs w:val="20"/>
          <w:color w:val="auto"/>
        </w:rPr>
      </w:pPr>
    </w:p>
    <w:p>
      <w:pPr>
        <w:ind w:left="460" w:right="200"/>
        <w:spacing w:after="0" w:line="250" w:lineRule="auto"/>
        <w:rPr>
          <w:sz w:val="20"/>
          <w:szCs w:val="20"/>
          <w:color w:val="auto"/>
        </w:rPr>
      </w:pPr>
      <w:r>
        <w:rPr>
          <w:rFonts w:ascii="Arial" w:cs="Arial" w:eastAsia="Arial" w:hAnsi="Arial"/>
          <w:sz w:val="18"/>
          <w:szCs w:val="18"/>
          <w:color w:val="auto"/>
        </w:rPr>
        <w:t>2 of the Securities Exchange Act of 1934. A complete copy of this exhibit, including the redacted terms, has been separately filed with the Securities and Exchange Commission.</w:t>
      </w:r>
    </w:p>
    <w:p>
      <w:pPr>
        <w:spacing w:after="0" w:line="1"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and</w:t>
      </w:r>
      <w:r>
        <w:rPr>
          <w:rFonts w:ascii="Arial" w:cs="Arial" w:eastAsia="Arial" w:hAnsi="Arial"/>
          <w:sz w:val="18"/>
          <w:szCs w:val="18"/>
          <w:i w:val="1"/>
          <w:iCs w:val="1"/>
          <w:color w:val="auto"/>
        </w:rPr>
        <w:t xml:space="preserve">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Title</w:t>
            </w:r>
          </w:p>
        </w:tc>
        <w:tc>
          <w:tcPr>
            <w:tcW w:w="940" w:type="dxa"/>
            <w:vAlign w:val="bottom"/>
          </w:tcPr>
          <w:p>
            <w:pPr>
              <w:spacing w:after="0"/>
              <w:rPr>
                <w:sz w:val="14"/>
                <w:szCs w:val="14"/>
                <w:color w:val="auto"/>
              </w:rPr>
            </w:pPr>
          </w:p>
        </w:tc>
        <w:tc>
          <w:tcPr>
            <w:tcW w:w="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1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7"/>
              </w:rPr>
              <w:t>John F. Thero</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President and Chief Executive Officer (Principal</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8"/>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5"/>
              </w:rPr>
              <w:t>John F. Thero</w:t>
            </w:r>
          </w:p>
        </w:tc>
        <w:tc>
          <w:tcPr>
            <w:tcW w:w="422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1"/>
              </w:rPr>
              <w:t>Executive Officer)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7"/>
        </w:trPr>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1"/>
              </w:rPr>
              <w:t>Michael J. Farrell</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87"/>
              </w:rPr>
              <w:t>Vice President, Finance</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8"/>
        </w:trPr>
        <w:tc>
          <w:tcPr>
            <w:tcW w:w="1640" w:type="dxa"/>
            <w:vAlign w:val="bottom"/>
          </w:tcPr>
          <w:p>
            <w:pPr>
              <w:spacing w:after="0"/>
              <w:rPr>
                <w:sz w:val="18"/>
                <w:szCs w:val="18"/>
                <w:color w:val="auto"/>
              </w:rPr>
            </w:pPr>
          </w:p>
        </w:tc>
        <w:tc>
          <w:tcPr>
            <w:tcW w:w="3440" w:type="dxa"/>
            <w:vAlign w:val="bottom"/>
            <w:gridSpan w:val="5"/>
          </w:tcPr>
          <w:p>
            <w:pPr>
              <w:jc w:val="center"/>
              <w:ind w:right="1640"/>
              <w:spacing w:after="0"/>
              <w:rPr>
                <w:sz w:val="20"/>
                <w:szCs w:val="20"/>
                <w:color w:val="auto"/>
              </w:rPr>
            </w:pPr>
            <w:r>
              <w:rPr>
                <w:rFonts w:ascii="Arial" w:cs="Arial" w:eastAsia="Arial" w:hAnsi="Arial"/>
                <w:sz w:val="18"/>
                <w:szCs w:val="18"/>
                <w:color w:val="auto"/>
                <w:w w:val="90"/>
              </w:rPr>
              <w:t>Michael J. Farrell</w:t>
            </w:r>
          </w:p>
        </w:tc>
        <w:tc>
          <w:tcPr>
            <w:tcW w:w="422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1"/>
              </w:rPr>
              <w:t>(Principal Financial and Accounting Officer)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3"/>
              </w:rPr>
              <w:t>/s/</w:t>
            </w:r>
          </w:p>
        </w:tc>
        <w:tc>
          <w:tcPr>
            <w:tcW w:w="3440" w:type="dxa"/>
            <w:vAlign w:val="bottom"/>
            <w:tcBorders>
              <w:bottom w:val="single" w:sz="8" w:color="auto"/>
            </w:tcBorders>
            <w:gridSpan w:val="5"/>
          </w:tcPr>
          <w:p>
            <w:pPr>
              <w:jc w:val="center"/>
              <w:ind w:right="1280"/>
              <w:spacing w:after="0"/>
              <w:rPr>
                <w:sz w:val="20"/>
                <w:szCs w:val="20"/>
                <w:color w:val="auto"/>
              </w:rPr>
            </w:pPr>
            <w:r>
              <w:rPr>
                <w:rFonts w:ascii="Arial" w:cs="Arial" w:eastAsia="Arial" w:hAnsi="Arial"/>
                <w:sz w:val="18"/>
                <w:szCs w:val="18"/>
                <w:color w:val="auto"/>
                <w:w w:val="90"/>
              </w:rPr>
              <w:t>Lars Ekman, M.D., Ph.D.</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1640" w:type="dxa"/>
            <w:vAlign w:val="bottom"/>
          </w:tcPr>
          <w:p>
            <w:pPr>
              <w:spacing w:after="0"/>
              <w:rPr>
                <w:sz w:val="18"/>
                <w:szCs w:val="18"/>
                <w:color w:val="auto"/>
              </w:rPr>
            </w:pPr>
          </w:p>
        </w:tc>
        <w:tc>
          <w:tcPr>
            <w:tcW w:w="3440" w:type="dxa"/>
            <w:vAlign w:val="bottom"/>
            <w:gridSpan w:val="5"/>
          </w:tcPr>
          <w:p>
            <w:pPr>
              <w:jc w:val="center"/>
              <w:ind w:right="1640"/>
              <w:spacing w:after="0"/>
              <w:rPr>
                <w:sz w:val="20"/>
                <w:szCs w:val="20"/>
                <w:color w:val="auto"/>
              </w:rPr>
            </w:pPr>
            <w:r>
              <w:rPr>
                <w:rFonts w:ascii="Arial" w:cs="Arial" w:eastAsia="Arial" w:hAnsi="Arial"/>
                <w:sz w:val="18"/>
                <w:szCs w:val="18"/>
                <w:color w:val="auto"/>
                <w:w w:val="90"/>
              </w:rPr>
              <w:t>Lars Ekman,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3"/>
              </w:rPr>
              <w:t>/s/</w:t>
            </w:r>
          </w:p>
        </w:tc>
        <w:tc>
          <w:tcPr>
            <w:tcW w:w="3440" w:type="dxa"/>
            <w:vAlign w:val="bottom"/>
            <w:tcBorders>
              <w:bottom w:val="single" w:sz="8" w:color="auto"/>
            </w:tcBorders>
            <w:gridSpan w:val="5"/>
          </w:tcPr>
          <w:p>
            <w:pPr>
              <w:jc w:val="center"/>
              <w:ind w:right="1300"/>
              <w:spacing w:after="0"/>
              <w:rPr>
                <w:sz w:val="20"/>
                <w:szCs w:val="20"/>
                <w:color w:val="auto"/>
              </w:rPr>
            </w:pPr>
            <w:r>
              <w:rPr>
                <w:rFonts w:ascii="Arial" w:cs="Arial" w:eastAsia="Arial" w:hAnsi="Arial"/>
                <w:sz w:val="18"/>
                <w:szCs w:val="18"/>
                <w:color w:val="auto"/>
                <w:w w:val="87"/>
              </w:rPr>
              <w:t>James Healy, M.D., Ph.D.</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5080" w:type="dxa"/>
            <w:vAlign w:val="bottom"/>
            <w:gridSpan w:val="6"/>
          </w:tcPr>
          <w:p>
            <w:pPr>
              <w:jc w:val="center"/>
              <w:spacing w:after="0"/>
              <w:rPr>
                <w:sz w:val="20"/>
                <w:szCs w:val="20"/>
                <w:color w:val="auto"/>
              </w:rPr>
            </w:pPr>
            <w:r>
              <w:rPr>
                <w:rFonts w:ascii="Arial" w:cs="Arial" w:eastAsia="Arial" w:hAnsi="Arial"/>
                <w:sz w:val="18"/>
                <w:szCs w:val="18"/>
                <w:color w:val="auto"/>
                <w:w w:val="88"/>
              </w:rPr>
              <w:t>James Healy, M.D., Ph.D.</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2"/>
              </w:rPr>
              <w:t>Patrick O’Sullivan</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1640" w:type="dxa"/>
            <w:vAlign w:val="bottom"/>
          </w:tcPr>
          <w:p>
            <w:pPr>
              <w:spacing w:after="0"/>
              <w:rPr>
                <w:sz w:val="18"/>
                <w:szCs w:val="18"/>
                <w:color w:val="auto"/>
              </w:rPr>
            </w:pPr>
          </w:p>
        </w:tc>
        <w:tc>
          <w:tcPr>
            <w:tcW w:w="3440" w:type="dxa"/>
            <w:vAlign w:val="bottom"/>
            <w:gridSpan w:val="5"/>
          </w:tcPr>
          <w:p>
            <w:pPr>
              <w:jc w:val="center"/>
              <w:ind w:right="1640"/>
              <w:spacing w:after="0"/>
              <w:rPr>
                <w:sz w:val="20"/>
                <w:szCs w:val="20"/>
                <w:color w:val="auto"/>
              </w:rPr>
            </w:pPr>
            <w:r>
              <w:rPr>
                <w:rFonts w:ascii="Arial" w:cs="Arial" w:eastAsia="Arial" w:hAnsi="Arial"/>
                <w:sz w:val="18"/>
                <w:szCs w:val="18"/>
                <w:color w:val="auto"/>
                <w:w w:val="93"/>
              </w:rPr>
              <w:t>Patrick O’Sullivan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3"/>
              </w:rPr>
              <w:t>/s/</w:t>
            </w: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8"/>
              </w:rPr>
              <w:t>Kristine Peterson</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7"/>
              </w:rPr>
              <w:t>Kristine Peterson</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3"/>
              </w:rPr>
              <w:t>/s/</w:t>
            </w: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center"/>
              <w:ind w:right="1900"/>
              <w:spacing w:after="0"/>
              <w:rPr>
                <w:sz w:val="20"/>
                <w:szCs w:val="20"/>
                <w:color w:val="auto"/>
              </w:rPr>
            </w:pPr>
            <w:r>
              <w:rPr>
                <w:rFonts w:ascii="Arial" w:cs="Arial" w:eastAsia="Arial" w:hAnsi="Arial"/>
                <w:sz w:val="18"/>
                <w:szCs w:val="18"/>
                <w:color w:val="auto"/>
                <w:w w:val="89"/>
              </w:rPr>
              <w:t>David Stack</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80" w:type="dxa"/>
            <w:vAlign w:val="bottom"/>
            <w:gridSpan w:val="3"/>
          </w:tcPr>
          <w:p>
            <w:pPr>
              <w:jc w:val="center"/>
              <w:ind w:right="2100"/>
              <w:spacing w:after="0"/>
              <w:rPr>
                <w:sz w:val="20"/>
                <w:szCs w:val="20"/>
                <w:color w:val="auto"/>
              </w:rPr>
            </w:pPr>
            <w:r>
              <w:rPr>
                <w:rFonts w:ascii="Arial" w:cs="Arial" w:eastAsia="Arial" w:hAnsi="Arial"/>
                <w:sz w:val="18"/>
                <w:szCs w:val="18"/>
                <w:color w:val="auto"/>
                <w:w w:val="91"/>
              </w:rPr>
              <w:t>David Stack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w w:val="94"/>
              </w:rPr>
              <w:t>/s/</w:t>
            </w:r>
          </w:p>
        </w:tc>
        <w:tc>
          <w:tcPr>
            <w:tcW w:w="29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85"/>
              </w:rPr>
              <w:t>Jan van Heek</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4"/>
          </w:tcPr>
          <w:p>
            <w:pPr>
              <w:jc w:val="center"/>
              <w:ind w:right="1940"/>
              <w:spacing w:after="0"/>
              <w:rPr>
                <w:sz w:val="20"/>
                <w:szCs w:val="20"/>
                <w:color w:val="auto"/>
              </w:rPr>
            </w:pPr>
            <w:r>
              <w:rPr>
                <w:rFonts w:ascii="Arial" w:cs="Arial" w:eastAsia="Arial" w:hAnsi="Arial"/>
                <w:sz w:val="18"/>
                <w:szCs w:val="18"/>
                <w:color w:val="auto"/>
                <w:w w:val="87"/>
              </w:rPr>
              <w:t>Jan van Heek</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8"/>
        </w:trPr>
        <w:tc>
          <w:tcPr>
            <w:tcW w:w="1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87"/>
              </w:rPr>
              <w:t>Joseph Zakrzewski</w:t>
            </w:r>
          </w:p>
        </w:tc>
        <w:tc>
          <w:tcPr>
            <w:tcW w:w="42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Director</w:t>
            </w:r>
          </w:p>
        </w:tc>
        <w:tc>
          <w:tcPr>
            <w:tcW w:w="1720" w:type="dxa"/>
            <w:vAlign w:val="bottom"/>
            <w:gridSpan w:val="3"/>
          </w:tcPr>
          <w:p>
            <w:pPr>
              <w:jc w:val="center"/>
              <w:ind w:left="332"/>
              <w:spacing w:after="0"/>
              <w:rPr>
                <w:sz w:val="20"/>
                <w:szCs w:val="20"/>
                <w:color w:val="auto"/>
              </w:rPr>
            </w:pPr>
            <w:r>
              <w:rPr>
                <w:rFonts w:ascii="Arial" w:cs="Arial" w:eastAsia="Arial" w:hAnsi="Arial"/>
                <w:sz w:val="18"/>
                <w:szCs w:val="18"/>
                <w:color w:val="auto"/>
                <w:w w:val="88"/>
              </w:rPr>
              <w:t>February 25, 2016</w:t>
            </w:r>
          </w:p>
        </w:tc>
      </w:tr>
      <w:tr>
        <w:trPr>
          <w:trHeight w:val="217"/>
        </w:trPr>
        <w:tc>
          <w:tcPr>
            <w:tcW w:w="1640" w:type="dxa"/>
            <w:vAlign w:val="bottom"/>
          </w:tcPr>
          <w:p>
            <w:pPr>
              <w:spacing w:after="0"/>
              <w:rPr>
                <w:sz w:val="18"/>
                <w:szCs w:val="18"/>
                <w:color w:val="auto"/>
              </w:rPr>
            </w:pPr>
          </w:p>
        </w:tc>
        <w:tc>
          <w:tcPr>
            <w:tcW w:w="3440" w:type="dxa"/>
            <w:vAlign w:val="bottom"/>
            <w:gridSpan w:val="5"/>
          </w:tcPr>
          <w:p>
            <w:pPr>
              <w:jc w:val="center"/>
              <w:ind w:right="1640"/>
              <w:spacing w:after="0"/>
              <w:rPr>
                <w:sz w:val="20"/>
                <w:szCs w:val="20"/>
                <w:color w:val="auto"/>
              </w:rPr>
            </w:pPr>
            <w:r>
              <w:rPr>
                <w:rFonts w:ascii="Arial" w:cs="Arial" w:eastAsia="Arial" w:hAnsi="Arial"/>
                <w:sz w:val="18"/>
                <w:szCs w:val="18"/>
                <w:color w:val="auto"/>
                <w:w w:val="88"/>
              </w:rPr>
              <w:t>Joseph Zakrzewski</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70"/>
        </w:trPr>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940" w:type="dxa"/>
            <w:vAlign w:val="bottom"/>
          </w:tcPr>
          <w:p>
            <w:pPr>
              <w:jc w:val="right"/>
              <w:ind w:right="1094"/>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7"/>
            <w:vMerge w:val="restart"/>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Report of Independent Registered Public Accounting Firm</w:t>
              </w:r>
            </w:hyperlink>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7"/>
            <w:vMerge w:val="continue"/>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41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Financial Statements:</w:t>
            </w:r>
          </w:p>
        </w:tc>
        <w:tc>
          <w:tcPr>
            <w:tcW w:w="6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1020" w:type="dxa"/>
            <w:vAlign w:val="bottom"/>
            <w:gridSpan w:val="7"/>
          </w:tcPr>
          <w:p>
            <w:pPr>
              <w:spacing w:after="0" w:line="184"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Balance Sheets</w:t>
              </w:r>
            </w:hyperlink>
          </w:p>
        </w:tc>
        <w:tc>
          <w:tcPr>
            <w:tcW w:w="320" w:type="dxa"/>
            <w:vAlign w:val="bottom"/>
            <w:gridSpan w:val="2"/>
          </w:tcPr>
          <w:p>
            <w:pPr>
              <w:ind w:left="60"/>
              <w:spacing w:after="0" w:line="184"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6">
              <w:r>
                <w:rPr>
                  <w:rFonts w:ascii="Arial" w:cs="Arial" w:eastAsia="Arial" w:hAnsi="Arial"/>
                  <w:sz w:val="18"/>
                  <w:szCs w:val="18"/>
                  <w:color w:val="0000EE"/>
                  <w:w w:val="87"/>
                </w:rPr>
                <w:t>Consolidated Statements of Operations</w:t>
              </w:r>
            </w:hyperlink>
          </w:p>
        </w:tc>
        <w:tc>
          <w:tcPr>
            <w:tcW w:w="8260" w:type="dxa"/>
            <w:vAlign w:val="bottom"/>
            <w:gridSpan w:val="5"/>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Consolidated Statements of Stockholders’ Deficit</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Consolidated Statements of Cash Flows</w:t>
              </w:r>
            </w:hyperlink>
          </w:p>
        </w:tc>
        <w:tc>
          <w:tcPr>
            <w:tcW w:w="754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Notes to Consolidated Financial Statements</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statement schedules have been omitted for the reason that the required information is presented in the consolidated financial statements or notes thereto, the amounts involved are not significant or the schedules are not applicable.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165" w:lineRule="exact"/>
        <w:rPr>
          <w:sz w:val="20"/>
          <w:szCs w:val="20"/>
          <w:color w:val="auto"/>
        </w:rPr>
      </w:pPr>
    </w:p>
    <w:p>
      <w:pPr>
        <w:ind w:right="460"/>
        <w:spacing w:after="0" w:line="335" w:lineRule="auto"/>
        <w:rPr>
          <w:sz w:val="20"/>
          <w:szCs w:val="20"/>
          <w:color w:val="auto"/>
        </w:rPr>
      </w:pPr>
      <w:r>
        <w:rPr>
          <w:rFonts w:ascii="Arial" w:cs="Arial" w:eastAsia="Arial" w:hAnsi="Arial"/>
          <w:sz w:val="15"/>
          <w:szCs w:val="15"/>
          <w:color w:val="auto"/>
        </w:rPr>
        <w:t>We have audited the accompanying consolidated balance sheets of Amarin Corporation plc as of December 31, 2015 and 2014, and the related consolidated statements of operations, stockholders’ deficit and cash flows for each of the two years ended December 31, 2015.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Amarin Corporation plc at December 31, 2015 and 2014, and the consolidated results of its operations and its cash flows for each of the two years in the period ended December 31, 2015, in conformity with U.S. generally accepted accounting principles.</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Amarin Corporation plc’s internal control over financial reporting as of December 31, 2015, based on criteria established in Internal Control-Integrated Framework issued by the Committee of Sponsoring Organizations of the Treadway Commission (2013 framework) and our report dated February 25, 2016 expressed an unqualified opinion thereon.</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discussed in Note 11 to the consolidated financial statements, the Company changed the classification of all deferred tax assets and liabilities to noncurrent on the balance sheet as a result of the adoption of the amendments to the FASB Accounting Standards Codification resulting from Accounting Standards Update No. 2015-17, Balance Sheet Classification of Deferred Taxes, effective December 31,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consolidated statements of operations, stockholders’ deficit, and cash flows for the year ended December 31, 2013. These consolidated financial statements are the responsibility of the Company’s management. Our responsibility is to express an opinion on the consolidated financial statements based on our audit.</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results of operations and cash flows of Amarin Corporation plc and subsidiaries for the year ended December 31, 2013, in conformity with accounting principles generally accepted in the United States of America.</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9"/>
              </w:rPr>
              <w:t>As of</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ind w:left="402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106,961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18,985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Prepaid and other current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143,524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4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long-term</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18,233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173,462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14,742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current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Exchangeable senior notes, net of discount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Long-term debt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91,512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derivative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Deferred revenue, long-term</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13,308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128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302,653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Stockholders’ Deficit: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Series A Convertible Preferred Stock, £0.05 par, unlimited authorized; 328,184,640 issued and outstanding as of</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December 31, 2015 (equivalent to 32,818,464 ordinary shares upon future consolidation and redesignation at 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10:1 ratio); zero shares issued and outstanding as of December 31, 2014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24,364</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w w:val="98"/>
              </w:rPr>
              <w:t>Common stock, £0.50 par value, unlimited authorized; 183,577,765 issued, 183,403,263 outstanding as of</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40"/>
              <w:spacing w:after="0"/>
              <w:rPr>
                <w:sz w:val="20"/>
                <w:szCs w:val="20"/>
                <w:color w:val="auto"/>
              </w:rPr>
            </w:pPr>
            <w:r>
              <w:rPr>
                <w:rFonts w:ascii="Arial" w:cs="Arial" w:eastAsia="Arial" w:hAnsi="Arial"/>
                <w:sz w:val="18"/>
                <w:szCs w:val="18"/>
                <w:color w:val="auto"/>
              </w:rPr>
              <w:t>December 31, 2015; 174,610,451 issued, 174,590,372 outstanding as of December 31, 2014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149,978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143,113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Treasury stock; 174,502 shares as of December 31, 2015; 20,079 shares as of December 31, 2014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(1,119,293)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(970,234)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128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(129,191)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(88,448)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STOCKHOLDERS’ DEFICIT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173,462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 revenue,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Licensing revenue</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 net</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Less: Cost of goods sold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101,041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129,672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196,545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(98,222)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(95,955)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(182,106)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(18,575)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 before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(118,290)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(59,201)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(169,421)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(115,204)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(56,364)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(166,227)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purchase option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Preferred stock beneficial conversion features</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(149,059)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(56,364)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(166,227)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180,654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180,654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173,824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167,070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Preferred</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Treasury</w:t>
            </w:r>
          </w:p>
        </w:tc>
        <w:tc>
          <w:tcPr>
            <w:tcW w:w="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Preferred</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At January 1, 2013</w:t>
            </w:r>
          </w:p>
        </w:tc>
        <w:tc>
          <w:tcPr>
            <w:tcW w:w="700" w:type="dxa"/>
            <w:vAlign w:val="bottom"/>
            <w:tcBorders>
              <w:top w:val="single" w:sz="8" w:color="auto"/>
            </w:tcBorders>
            <w:shd w:val="clear" w:color="auto" w:fill="CCEEFF"/>
          </w:tcPr>
          <w:p>
            <w:pPr>
              <w:ind w:left="50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150,360,933</w:t>
            </w: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(20,079)</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$ 124,597</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619,266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(747,643)</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(3,997)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147,050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386,000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Stock issued in July financing</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21,700,000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16,401</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104,805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93,048</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Tax provision on stock-based compensation</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Transfer of fair value of warrants exercised from liabilities to equity</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Share issuances for services</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4,032</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14,685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(166,227)</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December 31, 2013</w:t>
            </w: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172,691,063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(20,079)</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$ 141,477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738,754</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(217)</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(913,870)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(33,856)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1,684,888</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1,443</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234,500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Reacquisition of conversion option in convertible notes</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provision on stock-based compensation</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Refund of equity issuance costs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(56,364)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(56,364)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December 31, 2014</w:t>
            </w: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174,610,451</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(20,079)</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$ 143,113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738,890</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(217)</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(970,234)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(88,448)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Issuance of Series A Convertible Preferred Stock, net</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4"/>
              </w:rPr>
              <w:t>391,017,970</w:t>
            </w:r>
          </w:p>
        </w:tc>
        <w:tc>
          <w:tcPr>
            <w:tcW w:w="2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29,168</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28,685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Series A Convertible Preferred Stock, net</w:t>
            </w:r>
          </w:p>
        </w:tc>
        <w:tc>
          <w:tcPr>
            <w:tcW w:w="9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(62,833,330)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6,283,333</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(4,804)</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4,804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Preferred stock purchase option</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(868)</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beneficial conversion features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32,987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(32,987)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1,844,585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1,284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18,020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Vesting of restricted stock units</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821,376</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(154,423)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619</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Reacquisition of conversion option in convertible notes</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Tax benefits realized from stock-based compensation</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(115,204)</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December 31, 2015</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4"/>
              </w:rPr>
              <w:t>328,184,640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183,577,765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(174,502)</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24,364</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3"/>
              </w:rPr>
              <w:t>$ 149,978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816,171</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(411)</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(1,119,293)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(129,191)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(115,204)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(56,364)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Stock-based compensation—warrants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provision on stock-based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5,863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Loss (gain) on changes in fair value of derivative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(13,472)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(38,034)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lease liability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Shares issued for services</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12,958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4,014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(72,309)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(190,336)</w:t>
            </w:r>
          </w:p>
        </w:tc>
        <w:tc>
          <w:tcPr>
            <w:tcW w:w="0" w:type="dxa"/>
            <w:vAlign w:val="bottom"/>
          </w:tcPr>
          <w:p>
            <w:pPr>
              <w:spacing w:after="0"/>
              <w:rPr>
                <w:sz w:val="1"/>
                <w:szCs w:val="1"/>
                <w:color w:val="auto"/>
              </w:rPr>
            </w:pPr>
          </w:p>
        </w:tc>
      </w:tr>
      <w:tr>
        <w:trPr>
          <w:trHeight w:val="221"/>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issuance of convertible debt, net of transaction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Refund of equity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(2,480)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convertible notes, including transaction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Excess tax benefit from (provision on) stock-based awards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(12,578)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(71,975)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(68,728)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119,539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191,514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260,242</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106,961</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119,539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items: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42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preferred stock beneficial conversion features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420"/>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4,804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Reacquisition of conversion option in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420"/>
              <w:spacing w:after="0"/>
              <w:rPr>
                <w:sz w:val="20"/>
                <w:szCs w:val="20"/>
                <w:color w:val="auto"/>
              </w:rPr>
            </w:pPr>
            <w:r>
              <w:rPr>
                <w:rFonts w:ascii="Arial" w:cs="Arial" w:eastAsia="Arial" w:hAnsi="Arial"/>
                <w:sz w:val="18"/>
                <w:szCs w:val="18"/>
                <w:color w:val="auto"/>
              </w:rPr>
              <w:t>Reclassification of warrant liability to additional paid-in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7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vMerge w:val="restart"/>
          </w:tcPr>
          <w:p>
            <w:pPr>
              <w:ind w:left="3800"/>
              <w:spacing w:after="0"/>
              <w:rPr>
                <w:sz w:val="20"/>
                <w:szCs w:val="20"/>
                <w:color w:val="auto"/>
              </w:rPr>
            </w:pPr>
            <w:r>
              <w:rPr>
                <w:rFonts w:ascii="Arial" w:cs="Arial" w:eastAsia="Arial" w:hAnsi="Arial"/>
                <w:sz w:val="18"/>
                <w:szCs w:val="18"/>
                <w:color w:val="auto"/>
              </w:rPr>
              <w:t>See the notes to the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720" w:type="dxa"/>
            <w:vAlign w:val="bottom"/>
          </w:tcPr>
          <w:p>
            <w:pPr>
              <w:ind w:left="5580"/>
              <w:spacing w:after="0"/>
              <w:rPr>
                <w:sz w:val="20"/>
                <w:szCs w:val="20"/>
                <w:color w:val="auto"/>
              </w:rPr>
            </w:pPr>
            <w:r>
              <w:rPr>
                <w:rFonts w:ascii="Arial" w:cs="Arial" w:eastAsia="Arial" w:hAnsi="Arial"/>
                <w:sz w:val="18"/>
                <w:szCs w:val="18"/>
                <w:color w:val="auto"/>
              </w:rPr>
              <w:t>F-7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118"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240" w:right="7700" w:hanging="232"/>
        <w:spacing w:after="0" w:line="347" w:lineRule="auto"/>
        <w:tabs>
          <w:tab w:leader="none" w:pos="39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3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Company’s lead product, Vascepa</w:t>
      </w:r>
      <w:r>
        <w:rPr>
          <w:rFonts w:ascii="Arial" w:cs="Arial" w:eastAsia="Arial" w:hAnsi="Arial"/>
          <w:sz w:val="10"/>
          <w:szCs w:val="10"/>
          <w:color w:val="auto"/>
        </w:rPr>
        <w:t>®</w:t>
      </w:r>
      <w:r>
        <w:rPr>
          <w:rFonts w:ascii="Arial" w:cs="Arial" w:eastAsia="Arial" w:hAnsi="Arial"/>
          <w:sz w:val="15"/>
          <w:szCs w:val="15"/>
          <w:color w:val="auto"/>
        </w:rPr>
        <w:t xml:space="preserve"> (icosapent ethyl) capsules, is approved by the U.S. Food and Drug Administration, or FDA, for use as an adjunct to diet to reduce triglyceride levels in adult patients with severe (TG </w:t>
      </w:r>
      <w:r>
        <w:rPr>
          <w:rFonts w:ascii="Arial" w:cs="Arial" w:eastAsia="Arial" w:hAnsi="Arial"/>
          <w:sz w:val="15"/>
          <w:szCs w:val="15"/>
          <w:u w:val="single" w:color="auto"/>
          <w:color w:val="auto"/>
        </w:rPr>
        <w:t>&gt;</w:t>
      </w:r>
      <w:r>
        <w:rPr>
          <w:rFonts w:ascii="Arial" w:cs="Arial" w:eastAsia="Arial" w:hAnsi="Arial"/>
          <w:sz w:val="15"/>
          <w:szCs w:val="15"/>
          <w:color w:val="auto"/>
        </w:rPr>
        <w:t xml:space="preserve">500 mg/dL) hypertriglyceridemia. Vascepa is available in the United States by prescription only. In January 2013, the Company began selling and marketing Vascepa in the United States. In August 2015, in addition to marketing Vascepa for severe hypertriglyceridemia, the Company was given authority and commenced marketing Vascepa for mixed dyslipidemia, for use as an adjunct to diet and an add-on to statin therapy to reduce triglyceride levels in adult patients who despite statin therapy have high triglycerides (TG </w:t>
      </w:r>
      <w:r>
        <w:rPr>
          <w:rFonts w:ascii="Arial" w:cs="Arial" w:eastAsia="Arial" w:hAnsi="Arial"/>
          <w:sz w:val="15"/>
          <w:szCs w:val="15"/>
          <w:u w:val="single" w:color="auto"/>
          <w:color w:val="auto"/>
        </w:rPr>
        <w:t>&gt;</w:t>
      </w:r>
      <w:r>
        <w:rPr>
          <w:rFonts w:ascii="Arial" w:cs="Arial" w:eastAsia="Arial" w:hAnsi="Arial"/>
          <w:sz w:val="15"/>
          <w:szCs w:val="15"/>
          <w:color w:val="auto"/>
        </w:rPr>
        <w:t>500 mg/dL).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approximately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1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is designed to evaluate the efficacy of Vascepa in reducing major cardiovascular events in a high-risk patient population on statin therapy.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9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consolidated financial statements included herein have been prepared by the Company in accordance with accounting principles generally accepted in the United States of America (the “U.S.” or the “United States”) and pursuant to the rules and regulations of the Securities and Exchange Commission, or the SEC.</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consolidated financial statements in conformity with U.S. Generally Accepted Accounting Principles (“GAAP”) requires management to make estimates and assumptions that affect the reported amounts of assets and liabilities, disclosure of contingent assets and liabilities as of the date of the financial statements, and the reported amounts of revenues and expenses during the reporting period. The results of operations for the years ended December 31, 2015, 2014 and 2013 are not necessarily indicative of the results for any future period. Certain prior year balances have been reclassified to conform to current year presentation.</w:t>
      </w:r>
    </w:p>
    <w:p>
      <w:pPr>
        <w:spacing w:after="0" w:line="120"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The accompanying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December 31, 2015, the Company had cash and cash equivalents of $107.0 million. The Company’s consolidated balance sheets also include derivative liabilities as well as long-term debt and exchangeable senior notes. The January 2012 exchangeable senior notes, or the 2012 Notes, may be redeemed on or after January 19, 2017. The May 2014 exchangeable senior notes, or the 2014 Notes and the November 2015 exchangeable senior notes, or the 2015 Notes, may be redeemed on or after January 19, 2019 at the option of the holders and is not puttable by the holders prior to this date except upon the occurrence of certain contingent events. The 2012 Notes are exchangeable under certain circumstances into cash, American Depository Shares, or ADSs, or a combination of cash and ADSs, at the Company’s election. The 2014 Notes and 2015 Notes are exchangeable under certain circumstances into ADSs. Accordingly, the long-term debt and exchangeable senior notes do not represent a short-term claim on the liquid assets of the Company.</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 Depending on the level of cash generated from operations, additional capital may be required to sustain operations.</w:t>
      </w:r>
    </w:p>
    <w:p>
      <w:pPr>
        <w:spacing w:after="0" w:line="207" w:lineRule="exact"/>
        <w:rPr>
          <w:sz w:val="20"/>
          <w:szCs w:val="20"/>
          <w:color w:val="auto"/>
        </w:rPr>
      </w:pPr>
    </w:p>
    <w:p>
      <w:pPr>
        <w:ind w:left="240" w:right="8680" w:hanging="232"/>
        <w:spacing w:after="0" w:line="417" w:lineRule="auto"/>
        <w:tabs>
          <w:tab w:leader="none" w:pos="392"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accounts and transactions have been eliminated in consolidation.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consolidated financial statements for continued reasonableness.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During the three months ended March 31,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As of 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11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 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37"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35" w:lineRule="exact"/>
        <w:rPr>
          <w:sz w:val="20"/>
          <w:szCs w:val="20"/>
          <w:color w:val="auto"/>
        </w:rPr>
      </w:pPr>
    </w:p>
    <w:p>
      <w:pPr>
        <w:ind w:left="460" w:right="40" w:firstLine="438"/>
        <w:spacing w:after="0" w:line="253"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other government agencies and various private organizations,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66"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 beginning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December 31, 2015,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
        <w:spacing w:after="0" w:line="268" w:lineRule="auto"/>
        <w:tabs>
          <w:tab w:leader="none" w:pos="7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estimated remaining shelf life of Vascepa previously shipped and currently being shipped to Distributors and (vi) contractual agreements intended to limit the amount of inventory maintained by the Company’s Distributors.</w:t>
      </w:r>
    </w:p>
    <w:p>
      <w:pPr>
        <w:spacing w:after="0" w:line="51" w:lineRule="exact"/>
        <w:rPr>
          <w:sz w:val="20"/>
          <w:szCs w:val="20"/>
          <w:color w:val="auto"/>
        </w:rPr>
      </w:pPr>
    </w:p>
    <w:p>
      <w:pPr>
        <w:ind w:left="460" w:firstLine="438"/>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table summarizes activity in each of the net product revenue allowance and reserve categories described above for the years ended December 31, 2015 and 2014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Rebates,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Trade</w:t>
            </w:r>
          </w:p>
        </w:tc>
        <w:tc>
          <w:tcPr>
            <w:tcW w:w="220" w:type="dxa"/>
            <w:vAlign w:val="bottom"/>
          </w:tcPr>
          <w:p>
            <w:pPr>
              <w:spacing w:after="0"/>
              <w:rPr>
                <w:sz w:val="12"/>
                <w:szCs w:val="12"/>
                <w:color w:val="auto"/>
              </w:rPr>
            </w:pPr>
          </w:p>
        </w:tc>
        <w:tc>
          <w:tcPr>
            <w:tcW w:w="132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Chargebacks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2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7"/>
              </w:rPr>
              <w:t>Incentives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1,071</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1,137</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8,157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11,153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(5,950)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(9,143)</w:t>
            </w:r>
          </w:p>
        </w:tc>
        <w:tc>
          <w:tcPr>
            <w:tcW w:w="120" w:type="dxa"/>
            <w:vAlign w:val="bottom"/>
          </w:tcPr>
          <w:p>
            <w:pPr>
              <w:spacing w:after="0"/>
              <w:rPr>
                <w:sz w:val="18"/>
                <w:szCs w:val="18"/>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2014</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3,610</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481</w:t>
            </w: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14,986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(205)</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(10,690)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(22,710)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(3,540)</w:t>
            </w: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4,296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9,881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consolidated balance sheets, with the exception of trade allowances and chargebacks, which are included within accounts receivable, net as discussed below.</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Multiple-Element Arrangements and Licensing Revenue</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third-party evidence if VSOE is not available, or estimated selling price if neither VSOE nor third-party evidence is available. Revenue is then recognized as each of the separable elements to which the revenue has been allocated is delivered.</w:t>
      </w:r>
    </w:p>
    <w:p>
      <w:pPr>
        <w:spacing w:after="0" w:line="143"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The Company may receive up-front, non-refundable payments when licensing its intellectual property in conjunction with research, development and commercialization agreements. In determining the units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Milestones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11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See Note 17—Development, Commercialization and Supply Agreement for further information regarding licensing revenue and milestones related to the Company’s multiple-element arrangement with Eddingpharm (Asia) Macao Commercial Offshore Limited.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9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the impact of accounts receivable reserves on the gross trade accounts receivable balances as of December 31, 2015 and 2014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7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85"/>
              </w:rPr>
              <w:t>December 31, 2015</w:t>
            </w:r>
          </w:p>
        </w:tc>
        <w:tc>
          <w:tcPr>
            <w:tcW w:w="1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(4,296)</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80" w:type="dxa"/>
            <w:vAlign w:val="bottom"/>
            <w:vMerge w:val="continue"/>
          </w:tcPr>
          <w:p>
            <w:pPr>
              <w:spacing w:after="0"/>
              <w:rPr>
                <w:sz w:val="19"/>
                <w:szCs w:val="19"/>
                <w:color w:val="auto"/>
              </w:rPr>
            </w:pPr>
          </w:p>
        </w:tc>
        <w:tc>
          <w:tcPr>
            <w:tcW w:w="360" w:type="dxa"/>
            <w:vAlign w:val="bottom"/>
            <w:gridSpan w:val="2"/>
          </w:tcPr>
          <w:p>
            <w:pPr>
              <w:jc w:val="right"/>
              <w:ind w:right="18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13,826</w:t>
            </w:r>
          </w:p>
        </w:tc>
        <w:tc>
          <w:tcPr>
            <w:tcW w:w="620" w:type="dxa"/>
            <w:vAlign w:val="bottom"/>
          </w:tcPr>
          <w:p>
            <w:pPr>
              <w:spacing w:after="0"/>
              <w:rPr>
                <w:sz w:val="19"/>
                <w:szCs w:val="19"/>
                <w:color w:val="auto"/>
              </w:rPr>
            </w:pPr>
          </w:p>
        </w:tc>
        <w:tc>
          <w:tcPr>
            <w:tcW w:w="92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active pharmaceutical ingredient, or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Useful Lives</w:t>
            </w:r>
          </w:p>
        </w:tc>
        <w:tc>
          <w:tcPr>
            <w:tcW w:w="800" w:type="dxa"/>
            <w:vAlign w:val="bottom"/>
          </w:tcPr>
          <w:p>
            <w:pPr>
              <w:spacing w:after="0"/>
              <w:rPr>
                <w:sz w:val="14"/>
                <w:szCs w:val="14"/>
                <w:color w:val="auto"/>
              </w:rPr>
            </w:pPr>
          </w:p>
        </w:tc>
      </w:tr>
      <w:tr>
        <w:trPr>
          <w:trHeight w:val="20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Computer equipment and software</w:t>
            </w:r>
          </w:p>
        </w:tc>
        <w:tc>
          <w:tcPr>
            <w:tcW w:w="2940" w:type="dxa"/>
            <w:vAlign w:val="bottom"/>
          </w:tcPr>
          <w:p>
            <w:pPr>
              <w:spacing w:after="0"/>
              <w:rPr>
                <w:sz w:val="17"/>
                <w:szCs w:val="17"/>
                <w:color w:val="auto"/>
              </w:rPr>
            </w:pP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84"/>
              </w:rPr>
              <w:t>3 - 5 years</w:t>
            </w:r>
          </w:p>
        </w:tc>
        <w:tc>
          <w:tcPr>
            <w:tcW w:w="800" w:type="dxa"/>
            <w:vAlign w:val="bottom"/>
          </w:tcPr>
          <w:p>
            <w:pPr>
              <w:spacing w:after="0"/>
              <w:rPr>
                <w:sz w:val="17"/>
                <w:szCs w:val="17"/>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940" w:type="dxa"/>
            <w:vAlign w:val="bottom"/>
          </w:tcPr>
          <w:p>
            <w:pPr>
              <w:spacing w:after="0"/>
              <w:rPr>
                <w:sz w:val="18"/>
                <w:szCs w:val="18"/>
                <w:color w:val="auto"/>
              </w:rPr>
            </w:pPr>
          </w:p>
        </w:tc>
        <w:tc>
          <w:tcPr>
            <w:tcW w:w="1560" w:type="dxa"/>
            <w:vAlign w:val="bottom"/>
            <w:gridSpan w:val="2"/>
          </w:tcPr>
          <w:p>
            <w:pPr>
              <w:jc w:val="center"/>
              <w:ind w:right="800"/>
              <w:spacing w:after="0"/>
              <w:rPr>
                <w:sz w:val="20"/>
                <w:szCs w:val="20"/>
                <w:color w:val="auto"/>
              </w:rPr>
            </w:pPr>
            <w:r>
              <w:rPr>
                <w:rFonts w:ascii="Arial" w:cs="Arial" w:eastAsia="Arial" w:hAnsi="Arial"/>
                <w:sz w:val="18"/>
                <w:szCs w:val="18"/>
                <w:color w:val="auto"/>
                <w:w w:val="88"/>
              </w:rPr>
              <w:t>5 years</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500" w:type="dxa"/>
            <w:vAlign w:val="bottom"/>
            <w:gridSpan w:val="3"/>
          </w:tcPr>
          <w:p>
            <w:pPr>
              <w:jc w:val="center"/>
              <w:ind w:left="2052"/>
              <w:spacing w:after="0"/>
              <w:rPr>
                <w:sz w:val="20"/>
                <w:szCs w:val="20"/>
                <w:color w:val="auto"/>
              </w:rPr>
            </w:pPr>
            <w:r>
              <w:rPr>
                <w:rFonts w:ascii="Arial" w:cs="Arial" w:eastAsia="Arial" w:hAnsi="Arial"/>
                <w:sz w:val="18"/>
                <w:szCs w:val="18"/>
                <w:color w:val="auto"/>
                <w:w w:val="89"/>
              </w:rPr>
              <w:t>Lesser of useful life or lease term</w:t>
            </w:r>
          </w:p>
        </w:tc>
      </w:tr>
    </w:tbl>
    <w:p>
      <w:pPr>
        <w:spacing w:after="0" w:line="15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Intangible asset, net consists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9—Commitments and Contingencies for further information regarding other obligations related to the acquisition of Laxdale Limited.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Beneficial Conversion Features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Company issued Series A preference shares in a private placement transaction executed in two tranches that each contain a conversion feature whereby such shares are convertible into ordinary shares at a fixed rate. The conversion price on the date of issuance was less than the market price of the Company’s ordinary shares. It was determined that these discounts represent contingent beneficial conversion features, which were valued based on the difference between the conversion price and the market price of the ordinary shares on the date of issuance, which is the commitment date. These features are analogous to preference dividends and were each recorded as a non-cash return to preferred shareholders through accumulated deficit upon the earliest possible date of conversion, which occurred in the three months ended June 30, 2015 upon effectiveness of the related resale Registration Statement on Form S-3 and in the three months ended September 30, 2015 upon shareholder approval received at the Company’s Annual General Meeting of Shareholders. See Note 10—Equity for further discussion.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9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Warrants are valued using a Black-Scholes option pricing model.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4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years ended December 31, 2015, 2014 and 2013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3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(115,204)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(56,364)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Preferred stock purchase option (see Note 10)</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features (see Note 10)</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loss applicable to common shareholders—basic</w:t>
            </w: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(149,059)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(56,364)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(166,227)</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warrant derivative liability</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(47,936)</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Net loss—diluted</w:t>
            </w:r>
          </w:p>
        </w:tc>
        <w:tc>
          <w:tcPr>
            <w:tcW w:w="3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8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(149,059)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(63,139)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(214,163)</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180,654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173,719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warrants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spacing w:after="0"/>
              <w:rPr>
                <w:sz w:val="20"/>
                <w:szCs w:val="20"/>
                <w:color w:val="auto"/>
              </w:rPr>
            </w:pPr>
            <w:r>
              <w:rPr>
                <w:rFonts w:ascii="Arial" w:cs="Arial" w:eastAsia="Arial" w:hAnsi="Arial"/>
                <w:sz w:val="18"/>
                <w:szCs w:val="18"/>
                <w:color w:val="auto"/>
              </w:rPr>
              <w:t>Weighted average shares outstanding—diluted</w:t>
            </w:r>
          </w:p>
        </w:tc>
        <w:tc>
          <w:tcPr>
            <w:tcW w:w="3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180,654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173,824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167,070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363"/>
        </w:trPr>
        <w:tc>
          <w:tcPr>
            <w:tcW w:w="4880" w:type="dxa"/>
            <w:vAlign w:val="bottom"/>
          </w:tcPr>
          <w:p>
            <w:pPr>
              <w:spacing w:after="0"/>
              <w:rPr>
                <w:sz w:val="24"/>
                <w:szCs w:val="24"/>
                <w:color w:val="auto"/>
              </w:rPr>
            </w:pPr>
          </w:p>
        </w:tc>
        <w:tc>
          <w:tcPr>
            <w:tcW w:w="3660" w:type="dxa"/>
            <w:vAlign w:val="bottom"/>
            <w:gridSpan w:val="2"/>
          </w:tcPr>
          <w:p>
            <w:pPr>
              <w:jc w:val="right"/>
              <w:ind w:right="2583"/>
              <w:spacing w:after="0"/>
              <w:rPr>
                <w:sz w:val="20"/>
                <w:szCs w:val="20"/>
                <w:color w:val="auto"/>
              </w:rPr>
            </w:pPr>
            <w:r>
              <w:rPr>
                <w:rFonts w:ascii="Arial" w:cs="Arial" w:eastAsia="Arial" w:hAnsi="Arial"/>
                <w:sz w:val="18"/>
                <w:szCs w:val="18"/>
                <w:color w:val="auto"/>
              </w:rPr>
              <w:t>F-15</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years ended December 31, 2015, 2014 and 2013, the following potentially dilutive securities were not included in the computation of net loss per share because the effect would be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9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10,887</w:t>
            </w:r>
          </w:p>
        </w:tc>
        <w:tc>
          <w:tcPr>
            <w:tcW w:w="600" w:type="dxa"/>
            <w:vAlign w:val="bottom"/>
          </w:tcPr>
          <w:p>
            <w:pPr>
              <w:jc w:val="right"/>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Exchangeable senior notes (if converted)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59,407</w:t>
            </w:r>
          </w:p>
        </w:tc>
        <w:tc>
          <w:tcPr>
            <w:tcW w:w="600" w:type="dxa"/>
            <w:vAlign w:val="bottom"/>
          </w:tcPr>
          <w:p>
            <w:pPr>
              <w:jc w:val="right"/>
              <w:spacing w:after="0"/>
              <w:rPr>
                <w:sz w:val="20"/>
                <w:szCs w:val="20"/>
                <w:color w:val="auto"/>
              </w:rPr>
            </w:pPr>
            <w:r>
              <w:rPr>
                <w:rFonts w:ascii="Arial" w:cs="Arial" w:eastAsia="Arial" w:hAnsi="Arial"/>
                <w:sz w:val="18"/>
                <w:szCs w:val="18"/>
                <w:color w:val="auto"/>
              </w:rPr>
              <w:t>49,215</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17,021</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(if converted)</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32,818</w:t>
            </w:r>
          </w:p>
        </w:tc>
        <w:tc>
          <w:tcPr>
            <w:tcW w:w="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the 2012 Notes, the 2014 Notes and the 2015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is amortized over the expected term of the instrument. The conversion features in the 2014 Notes and 2015 Notes may only be settled in ADSs upon conversion and have been accounted for as part of the debt host.</w:t>
      </w:r>
    </w:p>
    <w:p>
      <w:pPr>
        <w:spacing w:after="0" w:line="12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conversion options in the 2012 Notes, 2014 Notes and 2015 Notes continue to be evaluated on a quarterly basis to determine if they still receive an exception from derivative accounting in accordance with ASC 815-40. The 2014 Notes were recognized initially at fair value as part of an extinguishment of a portion of the 2012 Notes. As a result, the 2014 Notes were initially recognized at a discount of $27.9 million. The 2015 Notes were recognized initially at fair value as part of the issuance of new debt in November 2015. As a result, the 2015 Notes were initially recognized at a discount of $3.8 million. These discounts are being amortized through interest expense over the expected terms of the 2014 Notes and 2015 Notes, which is through January 2019 for each. See Note 8—Debt for further discussion.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years ending December 31, 2015 and 2014, and represented 95% and 96% of the gross accounts receivable balance as of December 31, 2015 and 2014, respectively. The Company has not experienced any write-offs of its accounts receivable.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third-party manufacturers and key suppliers, in particular three suppliers of API for Vascepa.</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if needed, could have a material adverse effect on its business, condition (financial and other), prospects or results of operations.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continue to be qualified to manufacture the product to its specifications or that these and any future suppliers will have the manufacturing capacity to meet anticipated demand for Vascepa.</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consolidated statements of operations. For transactions settled during the applicable period, gains and losses are included in other (expense) income, net in the consolidated statements of operations. Certain amounts payable pursuant to supply contracts are denominated in currencies other than the U.S. dollar.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Debt issuance costs are initially recorded as a deferred cost and amortized to interest expense using the effective interest method over the expected term of the related debt. Unamortized debt issuance costs related to the extinguishment of debt are expensed at the time the debt is extinguished and recorded in other (expense) income, net in the consolidated statements of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following tables present information about the Company’s assets and liabilities as of December 31, 2015 and 2014 that are measured at fair value on a recurring basis and indicate the fair value hierarchy of the valuation techniques the Company utilized to determine such fair value: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December 31, 2015</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2"/>
                <w:szCs w:val="12"/>
                <w:color w:val="auto"/>
              </w:rPr>
            </w:pPr>
          </w:p>
        </w:tc>
        <w:tc>
          <w:tcPr>
            <w:tcW w:w="8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4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520" w:type="dxa"/>
            <w:vAlign w:val="bottom"/>
            <w:gridSpan w:val="3"/>
          </w:tcPr>
          <w:p>
            <w:pPr>
              <w:jc w:val="center"/>
              <w:ind w:left="243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14,184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14,184</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27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$ 8,170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420" w:type="dxa"/>
            <w:vAlign w:val="bottom"/>
          </w:tcPr>
          <w:p>
            <w:pPr>
              <w:spacing w:after="0"/>
              <w:rPr>
                <w:sz w:val="18"/>
                <w:szCs w:val="18"/>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December 31, 2014</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60" w:type="dxa"/>
            <w:vAlign w:val="bottom"/>
            <w:vMerge w:val="continue"/>
          </w:tcPr>
          <w:p>
            <w:pPr>
              <w:spacing w:after="0"/>
              <w:rPr>
                <w:sz w:val="12"/>
                <w:szCs w:val="12"/>
                <w:color w:val="auto"/>
              </w:rPr>
            </w:pPr>
          </w:p>
        </w:tc>
        <w:tc>
          <w:tcPr>
            <w:tcW w:w="272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3"/>
              </w:rPr>
              <w:t>Total</w:t>
            </w:r>
          </w:p>
        </w:tc>
        <w:tc>
          <w:tcPr>
            <w:tcW w:w="200" w:type="dxa"/>
            <w:vAlign w:val="bottom"/>
          </w:tcPr>
          <w:p>
            <w:pPr>
              <w:spacing w:after="0"/>
              <w:rPr>
                <w:sz w:val="12"/>
                <w:szCs w:val="12"/>
                <w:color w:val="auto"/>
              </w:rPr>
            </w:pPr>
          </w:p>
        </w:tc>
        <w:tc>
          <w:tcPr>
            <w:tcW w:w="8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42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520" w:type="dxa"/>
            <w:vAlign w:val="bottom"/>
            <w:gridSpan w:val="3"/>
          </w:tcPr>
          <w:p>
            <w:pPr>
              <w:jc w:val="center"/>
              <w:ind w:left="243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65,156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65,156</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520" w:type="dxa"/>
            <w:vAlign w:val="bottom"/>
            <w:gridSpan w:val="3"/>
          </w:tcPr>
          <w:p>
            <w:pPr>
              <w:jc w:val="center"/>
              <w:ind w:left="2432"/>
              <w:spacing w:after="0"/>
              <w:rPr>
                <w:sz w:val="20"/>
                <w:szCs w:val="20"/>
                <w:color w:val="auto"/>
              </w:rPr>
            </w:pPr>
            <w:r>
              <w:rPr>
                <w:rFonts w:ascii="Arial" w:cs="Arial" w:eastAsia="Arial" w:hAnsi="Arial"/>
                <w:sz w:val="18"/>
                <w:szCs w:val="18"/>
                <w:color w:val="auto"/>
              </w:rPr>
              <w:t>$   119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liabilities</w:t>
            </w:r>
          </w:p>
        </w:tc>
        <w:tc>
          <w:tcPr>
            <w:tcW w:w="3520" w:type="dxa"/>
            <w:vAlign w:val="bottom"/>
            <w:gridSpan w:val="3"/>
            <w:shd w:val="clear" w:color="auto" w:fill="CCEEFF"/>
          </w:tcPr>
          <w:p>
            <w:pPr>
              <w:jc w:val="center"/>
              <w:ind w:left="2432"/>
              <w:spacing w:after="0"/>
              <w:rPr>
                <w:sz w:val="20"/>
                <w:szCs w:val="20"/>
                <w:color w:val="auto"/>
              </w:rPr>
            </w:pPr>
            <w:r>
              <w:rPr>
                <w:rFonts w:ascii="Arial" w:cs="Arial" w:eastAsia="Arial" w:hAnsi="Arial"/>
                <w:sz w:val="18"/>
                <w:szCs w:val="18"/>
                <w:color w:val="auto"/>
                <w:w w:val="99"/>
              </w:rPr>
              <w:t>$ 7,400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920" w:type="dxa"/>
            <w:vAlign w:val="bottom"/>
            <w:gridSpan w:val="3"/>
            <w:shd w:val="clear" w:color="auto" w:fill="CCEEFF"/>
          </w:tcPr>
          <w:p>
            <w:pPr>
              <w:ind w:lef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carrying amounts of cash, cash equivalents, accounts payable and accrued liabilities approximate fair value because of their short-term nature. The carrying amounts and the estimated fair values of debt instruments as of December 31, 2015 and 2014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8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December 31, 2015</w:t>
            </w:r>
          </w:p>
        </w:tc>
        <w:tc>
          <w:tcPr>
            <w:tcW w:w="620" w:type="dxa"/>
            <w:vAlign w:val="bottom"/>
          </w:tcPr>
          <w:p>
            <w:pPr>
              <w:spacing w:after="0"/>
              <w:rPr>
                <w:sz w:val="14"/>
                <w:szCs w:val="14"/>
                <w:color w:val="auto"/>
              </w:rPr>
            </w:pPr>
          </w:p>
        </w:tc>
        <w:tc>
          <w:tcPr>
            <w:tcW w:w="16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63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Carrying</w:t>
            </w: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Estimated</w:t>
            </w:r>
          </w:p>
        </w:tc>
        <w:tc>
          <w:tcPr>
            <w:tcW w:w="620" w:type="dxa"/>
            <w:vAlign w:val="bottom"/>
          </w:tcPr>
          <w:p>
            <w:pPr>
              <w:spacing w:after="0"/>
              <w:rPr>
                <w:sz w:val="11"/>
                <w:szCs w:val="11"/>
                <w:color w:val="auto"/>
              </w:rPr>
            </w:pPr>
          </w:p>
        </w:tc>
        <w:tc>
          <w:tcPr>
            <w:tcW w:w="72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200" w:type="dxa"/>
            <w:vAlign w:val="bottom"/>
          </w:tcPr>
          <w:p>
            <w:pPr>
              <w:spacing w:after="0"/>
              <w:rPr>
                <w:sz w:val="11"/>
                <w:szCs w:val="11"/>
                <w:color w:val="auto"/>
              </w:rPr>
            </w:pPr>
          </w:p>
        </w:tc>
      </w:tr>
      <w:tr>
        <w:trPr>
          <w:trHeight w:val="161"/>
        </w:trPr>
        <w:tc>
          <w:tcPr>
            <w:tcW w:w="6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jc w:val="right"/>
              <w:ind w:right="41"/>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6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Long-term debt—December 2012 financing</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$91,512</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$ 87,700</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$89,617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$ 81,000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2012 Notes</w:t>
            </w:r>
          </w:p>
        </w:tc>
        <w:tc>
          <w:tcPr>
            <w:tcW w:w="580" w:type="dxa"/>
            <w:vAlign w:val="bottom"/>
          </w:tcPr>
          <w:p>
            <w:pPr>
              <w:jc w:val="right"/>
              <w:spacing w:after="0"/>
              <w:rPr>
                <w:sz w:val="20"/>
                <w:szCs w:val="20"/>
                <w:color w:val="auto"/>
              </w:rPr>
            </w:pPr>
            <w:r>
              <w:rPr>
                <w:rFonts w:ascii="Arial" w:cs="Arial" w:eastAsia="Arial" w:hAnsi="Arial"/>
                <w:sz w:val="18"/>
                <w:szCs w:val="18"/>
                <w:color w:val="auto"/>
              </w:rPr>
              <w:t>15,107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13,637</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31,266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25,689</w:t>
            </w: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96,364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108,034</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90,580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75,533</w:t>
            </w:r>
          </w:p>
        </w:tc>
        <w:tc>
          <w:tcPr>
            <w:tcW w:w="20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2015 Notes</w:t>
            </w:r>
          </w:p>
        </w:tc>
        <w:tc>
          <w:tcPr>
            <w:tcW w:w="580" w:type="dxa"/>
            <w:vAlign w:val="bottom"/>
          </w:tcPr>
          <w:p>
            <w:pPr>
              <w:jc w:val="right"/>
              <w:spacing w:after="0"/>
              <w:rPr>
                <w:sz w:val="20"/>
                <w:szCs w:val="20"/>
                <w:color w:val="auto"/>
              </w:rPr>
            </w:pPr>
            <w:r>
              <w:rPr>
                <w:rFonts w:ascii="Arial" w:cs="Arial" w:eastAsia="Arial" w:hAnsi="Arial"/>
                <w:sz w:val="18"/>
                <w:szCs w:val="18"/>
                <w:color w:val="auto"/>
              </w:rPr>
              <w:t>27,134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28,448</w:t>
            </w:r>
          </w:p>
        </w:tc>
        <w:tc>
          <w:tcPr>
            <w:tcW w:w="620" w:type="dxa"/>
            <w:vAlign w:val="bottom"/>
          </w:tcPr>
          <w:p>
            <w:pPr>
              <w:spacing w:after="0"/>
              <w:rPr>
                <w:sz w:val="19"/>
                <w:szCs w:val="19"/>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estimated fair value of the long-term debt pursuant to the December 2012 financing is calculated utilizing the same Level 3 inputs utilized in valuing the related derivative liability (see Long-Term Debt Redemption Features below). The estimated fair value of the 2012 Notes and 2014 Notes is calculated based on Level 1 quoted bond prices, while the estimated fair value of the 2015 Notes is calculated based on Level 2 quoted bond prices for the 2014 Notes. The carrying value of the 2012 Notes as of December 31, 2015 and 2014 does not include a debt discount, as it had been fully amortized as non-cash interest expense over the expected term of the 2012 Notes. The carrying value of the 2014 Notes as of December 31, 2015 and 2014 includes a debt discount of $22.4 million and $28.2 million, respectively, which is being amortized as non-cash interest expense over the expected term of the 2014 Notes, through January 2019. The carrying value of the 2015 Notes as of December 31, 2015 includes a debt discount of $4.1 million, which is being amortized as non-cash interest expense over the expected term of the 2015 Notes, through January 2019. The change in the estimated fair values of these liabilities from December 31, 2014 to December 31, 2015 is largely related to changes in the quoted bond prices.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Warrant Derivative Liability</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warrant derivative liability is carried at fair value and is classified as Level 3 in the fair value hierarchy due to the use of significant unobservable inputs. Effective October 16, 2014, the Company entered into a series of warrant amendment agreements in order to extend the expiration date of certain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warrants from its previously scheduled expiration date of October 16, 2014 to the close of business on February 27, 2015. Of the 8,087,388 warrants outstanding as of December 31, 2014, 1,844,585 warrants were exercised and the remaining 6,242,803 warrants expired on February 27, 2015. As such, no warrants were outstanding as of December 31, 2015 and the related derivative liability was extinguished.</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of December 31, 2014, the fair value of the warrant derivative liability was determined to be $0.1 million using the Black-Scholes option valuation model applying the following assumptions: (i) risk-free rate of 0.04%, (ii) remaining term of 0.16 years, (iii) no dividend yield, (iv) volatility of 79%, and (v) the stock price on the date of measurement. As there were no warrants outstanding as of December 31, 2015, the warrant derivative liability was extinguished. The $0.1 million decrease in the fair value of the warrants during 2015 was recognized as: a $0.1 million gain on change in fair value of derivative liability.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Debt Redemption Features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December 2012 financing agreement with BioPharma Secured Debt Fund II Holdings Cayman LP (discussed in Note 8 below) contains a redemption feature whereby, upon a change of control, the Company would be required to repay $150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As of December 31, 2015, the fair value of the derivative was determined to be $5.5 million, and the debt was valued by comparing debt issues of similar companies with (i) remaining terms of between 2.0 and 7.3 years, (ii) coupon rates of between 6.6% and 12.5% and (iii) market yields of between 13.0% and 30.7%. The Company recognized a $0.7 million loss on change in fair value of derivative liability for the year ended December 31, 2015. As of December 31, 2014, the fair value of the derivative was determined to be $4.8 million, and the debt was valued by comparing debt issues of similar companies with (i) remaining terms of between 2.3 and 3.6 years, (ii) coupon rates of between 9.8% and 10.8% and (iii) market yields of between 10.0% and 16.8%. The Company recognized a $6.3 million gain on change in fair value of derivative liability for the year ended December 31, 2014.</w:t>
      </w:r>
    </w:p>
    <w:p>
      <w:pPr>
        <w:spacing w:after="0" w:line="124"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The Company’s 2014 Notes and 2015 Notes both contain a redemption feature whereby, upon occurrence of a change in control, the Company would be required to repurchase the notes. The Company determined these redemption features to be embedded derivatives, requiring bifurcation in accordance with ASC 815. The derivatives are carried at fair value and are classified as Level 3 in the fair value hierarchy due to the use of significant unobservable inputs. The fair value of each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December 31, 2015, the fair value of the derivatives related to the 2014 Notes and 2015 Notes was determined to be $2.1 million and $0.6 million, respectively, and the debt was valued by using (i) the estimated remaining term of the notes, (ii) a bond yield of 25.6%, (iii) a risk-free interest rate of 2.9% and (iv) volatility of 89.0%. The Company recognized a $0.5 million gain and $0.1 million loss on change in fair value of derivative liability for the 2014 Notes and 2015 Notes, respectively, for the year ended December 31, 2015. As of December 31, 2014, the fair value of the derivative related to the 2014 Notes was determined to be $2.6 million, and the debt was valued by using (i) the estimated remaining term of the notes, (ii) a bond yield of 24.8%,</w:t>
      </w:r>
    </w:p>
    <w:p>
      <w:pPr>
        <w:spacing w:after="0" w:line="4" w:lineRule="exact"/>
        <w:rPr>
          <w:sz w:val="20"/>
          <w:szCs w:val="20"/>
          <w:color w:val="auto"/>
        </w:rPr>
      </w:pPr>
    </w:p>
    <w:p>
      <w:pPr>
        <w:ind w:firstLine="8"/>
        <w:spacing w:after="0" w:line="261" w:lineRule="auto"/>
        <w:tabs>
          <w:tab w:leader="none" w:pos="3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risk-free interest rate of 2.7% and (iv) volatility of 82.0%. The Company recognized a $0.9 million gain on change in fair value of derivative liability for the 2014 Notes for the year ended December 31, 2014.</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Preferred Stock Purchase Option Derivative Liability</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that such right represented a derivative liability (see Note 10).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for the years ended December 31, 2015 and 2014 is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Term</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89"/>
              </w:rPr>
              <w:t>October</w:t>
            </w:r>
          </w:p>
        </w:tc>
        <w:tc>
          <w:tcPr>
            <w:tcW w:w="1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6"/>
              </w:rPr>
              <w:t>2009</w:t>
            </w:r>
          </w:p>
        </w:tc>
        <w:tc>
          <w:tcPr>
            <w:tcW w:w="7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Derivative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Preferred Stock</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Purchase Option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11,100</w:t>
            </w:r>
          </w:p>
        </w:tc>
        <w:tc>
          <w:tcPr>
            <w:tcW w:w="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Record initial fair value of derivative liability on 2014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3,500</w:t>
            </w:r>
          </w:p>
        </w:tc>
        <w:tc>
          <w:tcPr>
            <w:tcW w:w="300" w:type="dxa"/>
            <w:vAlign w:val="bottom"/>
          </w:tcPr>
          <w:p>
            <w:pPr>
              <w:spacing w:after="0"/>
              <w:rPr>
                <w:sz w:val="18"/>
                <w:szCs w:val="18"/>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1"/>
              </w:rPr>
              <w:t>(6,272)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(7,200)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(13,472)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 former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employees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7,400</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Record initial fair value of 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868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946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 former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employees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(1,814)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2015</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8,170</w:t>
            </w:r>
          </w:p>
        </w:tc>
        <w:tc>
          <w:tcPr>
            <w:tcW w:w="7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 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December 31, 2015:</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the Company’s fiscal year beginning January 1, 2018.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is not expected to have an impact on the Company’s consolidated financial statements.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August 2014, the FASB issued ASU No. 2014-15</w:t>
      </w:r>
      <w:r>
        <w:rPr>
          <w:rFonts w:ascii="Arial" w:cs="Arial" w:eastAsia="Arial" w:hAnsi="Arial"/>
          <w:sz w:val="16"/>
          <w:szCs w:val="16"/>
          <w:i w:val="1"/>
          <w:iCs w:val="1"/>
          <w:color w:val="auto"/>
        </w:rPr>
        <w:t>, 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an Entity’s Ability to Continue as a Going Concern</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has determined that this standard would not have a material impact on its consolidated financial statements based on the assessment of its ability to continue as a going concern as of December 31, 2015.</w:t>
      </w:r>
    </w:p>
    <w:p>
      <w:pPr>
        <w:spacing w:after="0" w:line="12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In April 2015, the FASB issued ASU No. 2015-03, </w:t>
      </w:r>
      <w:r>
        <w:rPr>
          <w:rFonts w:ascii="Arial" w:cs="Arial" w:eastAsia="Arial" w:hAnsi="Arial"/>
          <w:sz w:val="16"/>
          <w:szCs w:val="16"/>
          <w:i w:val="1"/>
          <w:iCs w:val="1"/>
          <w:color w:val="auto"/>
        </w:rPr>
        <w:t>Interest—Imputation of Interest (Subtopic 835-30): Simplifying the Presentation of Debt Issuance Costs</w:t>
      </w:r>
      <w:r>
        <w:rPr>
          <w:rFonts w:ascii="Arial" w:cs="Arial" w:eastAsia="Arial" w:hAnsi="Arial"/>
          <w:sz w:val="16"/>
          <w:szCs w:val="16"/>
          <w:color w:val="auto"/>
        </w:rPr>
        <w:t>. The amendments in this ASU require that debt issuance costs related to a recognized debt liability be presented in the balance sheet as a direct deduction from the carrying amount of that debt liability, consistent with debt discounts. The Company is required to adopt this standard in the first quarter of fiscal 2016 on a retrospective basis. The implementation of this standard will result in the reclassification of certain debt issuance costs from other assets to a reduction in the carrying amount of the related debt liability within the consolidated balance sheets.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The amendments in this ASU require that in-scope inventory should be measured at the lower of cost and net realizable value. Net realizable value is the estimated selling price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The Company is currently evaluating the accounting, transition and disclosure requirements of the standard and cannot currently estimate the financial statement impact of adoption.</w:t>
      </w:r>
    </w:p>
    <w:p>
      <w:pPr>
        <w:spacing w:after="0" w:line="14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The new guidance is intended to improve the recognition and measurement of financial instruments by requiring separate presentation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financial liabilities by measurement category and form of financial asset (i.e., securities or loans and receivables)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at amortized cost on the balance sheet, requiring public business entities to use the exit price notion when measuring the fair value of financial instruments for disclosure purposes, requiring equity investments (except those accounted for under the equity method of accounting, or those that result in consolidation of the investee) to be measured at fair value with changes in fair value recognized in net income, and requiring a reporting organization to present separately in other comprehensive income the portion of the total change in the fair value of a liability resulting from a change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 the instrument-specific credit risk (also referred to as “own credit”) when the organization has elected to</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measure the liability at fair value in accordance with the fair value option for financial instruments, among others. The new guidance is effective for fiscal years beginning after December 15, 2017, including interim periods within those fiscal years. The new guidance permits early adoption of the own credit provision. The Company is currently evaluating the accounting, transition and disclosure requirements of the standard and cannot currently estimate the financial statement impact of adoption.</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07" w:lineRule="exact"/>
        <w:rPr>
          <w:sz w:val="20"/>
          <w:szCs w:val="20"/>
          <w:color w:val="auto"/>
        </w:rPr>
      </w:pPr>
    </w:p>
    <w:p>
      <w:pPr>
        <w:ind w:left="380" w:hanging="372"/>
        <w:spacing w:after="0"/>
        <w:tabs>
          <w:tab w:leader="none" w:pos="3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Intangible assets consist of the historical acquisition cost of certain technology rights for Vascepa. The carrying value as of December 31, 2015 is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5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gridSpan w:val="2"/>
          </w:tcPr>
          <w:p>
            <w:pPr>
              <w:jc w:val="right"/>
              <w:ind w:right="678"/>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Remaining Useful</w:t>
            </w:r>
          </w:p>
        </w:tc>
      </w:tr>
      <w:tr>
        <w:trPr>
          <w:trHeight w:val="161"/>
        </w:trPr>
        <w:tc>
          <w:tcPr>
            <w:tcW w:w="5260" w:type="dxa"/>
            <w:vAlign w:val="bottom"/>
          </w:tcPr>
          <w:p>
            <w:pPr>
              <w:spacing w:after="0"/>
              <w:rPr>
                <w:sz w:val="14"/>
                <w:szCs w:val="14"/>
                <w:color w:val="auto"/>
              </w:rPr>
            </w:pPr>
          </w:p>
        </w:tc>
        <w:tc>
          <w:tcPr>
            <w:tcW w:w="14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3"/>
              </w:rPr>
              <w:t>Gross</w:t>
            </w:r>
          </w:p>
        </w:tc>
        <w:tc>
          <w:tcPr>
            <w:tcW w:w="1540" w:type="dxa"/>
            <w:vAlign w:val="bottom"/>
            <w:gridSpan w:val="2"/>
          </w:tcPr>
          <w:p>
            <w:pPr>
              <w:jc w:val="right"/>
              <w:ind w:right="678"/>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36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 (in years)</w:t>
            </w: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 rights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11,624</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(2,207</w:t>
            </w:r>
          </w:p>
        </w:tc>
        <w:tc>
          <w:tcPr>
            <w:tcW w:w="760" w:type="dxa"/>
            <w:vAlign w:val="bottom"/>
            <w:tcBorders>
              <w:top w:val="single" w:sz="8" w:color="CCEEFF"/>
            </w:tcBorders>
            <w:shd w:val="clear" w:color="auto" w:fill="CCEEFF"/>
          </w:tcPr>
          <w:p>
            <w:pPr>
              <w:jc w:val="right"/>
              <w:ind w:right="618"/>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9,417</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80" w:type="dxa"/>
            <w:vAlign w:val="bottom"/>
            <w:tcBorders>
              <w:top w:val="single" w:sz="8" w:color="CCEEFF"/>
            </w:tcBorders>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Amortization expense for each of the years ended December 31, 2015 and 2014 was $0.6 million and is included in research and development expense. Estimated future amortization expense, based upon the Company’s intangible assets as of December 31, 2015 is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5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5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w:t>
            </w: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6,187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0" w:type="dxa"/>
            <w:vAlign w:val="bottom"/>
            <w:gridSpan w:val="2"/>
            <w:shd w:val="clear" w:color="auto" w:fill="CCEEFF"/>
          </w:tcPr>
          <w:p>
            <w:pPr>
              <w:ind w:left="550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9,417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approval of Vascepa on July 26, 2012 by the FDA, the Company began capitalizing its purchases of saleable inventory of Vascepa from suppliers that have been qualified by the FDA. Inventories as of December 31, 2015 and 2014 consist of the following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2440" w:type="dxa"/>
            <w:vAlign w:val="bottom"/>
            <w:gridSpan w:val="4"/>
          </w:tcPr>
          <w:p>
            <w:pPr>
              <w:ind w:left="1240"/>
              <w:spacing w:after="0"/>
              <w:rPr>
                <w:sz w:val="20"/>
                <w:szCs w:val="20"/>
                <w:color w:val="auto"/>
              </w:rPr>
            </w:pPr>
            <w:r>
              <w:rPr>
                <w:rFonts w:ascii="Arial" w:cs="Arial" w:eastAsia="Arial" w:hAnsi="Arial"/>
                <w:sz w:val="14"/>
                <w:szCs w:val="14"/>
                <w:b w:val="1"/>
                <w:bCs w:val="1"/>
                <w:color w:val="auto"/>
                <w:w w:val="93"/>
              </w:rPr>
              <w:t>December 31, 2014</w:t>
            </w:r>
          </w:p>
        </w:tc>
      </w:tr>
      <w:tr>
        <w:trPr>
          <w:trHeight w:val="210"/>
        </w:trPr>
        <w:tc>
          <w:tcPr>
            <w:tcW w:w="2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1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Work in process</w:t>
            </w:r>
          </w:p>
        </w:tc>
        <w:tc>
          <w:tcPr>
            <w:tcW w:w="2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1,640</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Total inventory</w:t>
            </w:r>
          </w:p>
        </w:tc>
        <w:tc>
          <w:tcPr>
            <w:tcW w:w="284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18,985</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2840" w:type="dxa"/>
            <w:vAlign w:val="bottom"/>
            <w:gridSpan w:val="2"/>
          </w:tcPr>
          <w:p>
            <w:pPr>
              <w:jc w:val="right"/>
              <w:ind w:right="923"/>
              <w:spacing w:after="0"/>
              <w:rPr>
                <w:sz w:val="20"/>
                <w:szCs w:val="20"/>
                <w:color w:val="auto"/>
              </w:rPr>
            </w:pPr>
            <w:r>
              <w:rPr>
                <w:rFonts w:ascii="Arial" w:cs="Arial" w:eastAsia="Arial" w:hAnsi="Arial"/>
                <w:sz w:val="18"/>
                <w:szCs w:val="18"/>
                <w:color w:val="auto"/>
              </w:rPr>
              <w:t>F-22</w:t>
            </w: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as of December 31, 2015 and 2014 consist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7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 2015</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Computer equipment</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Software</w:t>
            </w:r>
          </w:p>
        </w:tc>
        <w:tc>
          <w:tcPr>
            <w:tcW w:w="1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20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each of the years ended December 31, 2015, 2014, and 2013 was $0.2 million.</w:t>
      </w:r>
    </w:p>
    <w:p>
      <w:pPr>
        <w:spacing w:after="0" w:line="24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as of December 31, 2015 and 2014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payroll-related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accruals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Accrued revenue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10,732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3"/>
              </w:rPr>
              <w:t>24,226</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16,387</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7740" w:hanging="232"/>
        <w:spacing w:after="0" w:line="391" w:lineRule="auto"/>
        <w:tabs>
          <w:tab w:leader="none" w:pos="389"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Warrant Derivative Liability </w:t>
      </w:r>
      <w:r>
        <w:rPr>
          <w:rFonts w:ascii="Arial" w:cs="Arial" w:eastAsia="Arial" w:hAnsi="Arial"/>
          <w:sz w:val="16"/>
          <w:szCs w:val="16"/>
          <w:i w:val="1"/>
          <w:iCs w:val="1"/>
          <w:u w:val="single" w:color="auto"/>
          <w:color w:val="auto"/>
        </w:rPr>
        <w:t>October 2009 Warrants Derivative Liability</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(one half)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(one half) of an ADS at an exercise price of $1.50 per ADS. The total number of warrants issued in conjunction with the financing was 35.2 million.</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were not considered to be indexed to the Company’s common stock. Accordingly, the warrants did not qualify for the exception to classify the warrants within equity and were classified as a derivative liability.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fair value of this warrant derivative liability was remeasured at each reporting period, with changes in fair value recognized in the statement of operations. Upon exercise, the fair value of the warrants exercised was remeasured and reclassified from warrant derivative liability to additional paid-in-capital. Although the warrants contained a pricing variability feature, the number of warrants issuable remained fixed. Therefore, the maximum number of common shares issuable as a result of the October 2009 private placement was 36.1 million. The change in fair value of the warrant derivative liability is discussed in Note 2.</w:t>
      </w:r>
    </w:p>
    <w:p>
      <w:pPr>
        <w:spacing w:after="0" w:line="113"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In October 2014, the Company and the holders of the remaining October 2009 warrants mutually agreed to extend the expiration date of such warrants from October 16, 2014 to February 27, 2015. Of the 8,087,388 warrants outstanding as of December 31, 2014, 1,844,585 warrants were exercised, resulting in net proceeds to the Company of $2.7 million, and the remaining 6,242,803 warrants expired on February 27, 2015. As such, no warrants were outstanding as of December 31,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Company issued several warrants in July 2009. As of December 31, 2015 and 2014, there were no July 2009 warrants outstanding. During the year ended December 31, 2014, 1,684,888 of the July 2009 warrants were exercised, resulting in proceeds to the Company of $1.7 million.</w:t>
      </w:r>
    </w:p>
    <w:p>
      <w:pPr>
        <w:spacing w:after="0" w:line="160"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Long-Term Debt—December 2012 Financing</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In the agreement, the Company agreed to repay BioPharma up to $150 million with such repayment based on a portion of revenues and receivables generated from Vascepa.</w:t>
      </w:r>
    </w:p>
    <w:p>
      <w:pPr>
        <w:spacing w:after="0" w:line="12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As of December 31, 2015, the remaining amount to be repaid to BioPharma is $137.3 million. During the year ended December 31, 2015, the Company made repayments under the agreement of $7.1 million to BioPharma and an additional $2.6 million is scheduled to be paid in February 2016 for the fourth quarter of 2015. These payments were calculated based on the threshold limitation, as described below, as opposed to the scheduled quarterly repayments. Additional quarterly repayments, subject to the threshold limitation, are scheduled to be paid.</w:t>
      </w:r>
    </w:p>
    <w:p>
      <w:pPr>
        <w:spacing w:after="0" w:line="11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maximum quarterly amounts which could be due for payment, except upon a change of control and subject each quarter to the threshold limitation, are in accordance with the following schedule: $15.0 million in the second quarter of 2016 and in each of the next three quarters, and a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with the reduction carried forward without interest for payment in a future period. The payment of any carried forward amount is subject to similarly calculated threshold repayment amounts based on Vascepa revenue levels. Except upon a change of control in Amarin, the agreement does not expire until $150 million in aggregate has been repaid. Except in the event of the Company’s default, there is no compounding of interest and no scheduled cliff payment due under this agreement. Rather, payment will be made, subject to the threshold limitation, until $150 million in aggregate has been repaid, including payments made previously. The Company can prepay an amount equal to $150 million less any previously repaid amount.</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The Company recognized a loss on change in fair value of derivative liability of $0.7 million and a gain on change in fair value of derivative liability of $6.3 million during the years ended December 31, 2015 and 2014, respectively.</w:t>
      </w:r>
    </w:p>
    <w:p>
      <w:pPr>
        <w:spacing w:after="0" w:line="11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year ended December 31, 2015, the Company recorded $6.6 million and $1.9 million of cash and non-cash interest expense, respectively, in connection with the BioPharma debt. During the year ended December 31, 2014, the Company recorded $7.2 million and $1.9 million of cash and non-cash interest expense, respectively. The Company will periodically evaluate the remaining term of the agreement and the effective interest rate is recalculated each period based on the Company’s most current estimate of repayment.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12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Under the Purchase and Sale Agreement with BioPharma, the Company is restricted from paying dividends on its common shares, unless it has cash and cash equivalents in excess of a specified amount after such payment.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January 2012, the Company issued $150.0 million in principal amount of 3.5% exchangeable senior notes due 2032, a portion of which were subsequently exchanged and a portion of which was extinguished (see discussion of May 2014 and November 2015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 1,714,270. Based on the closing price of the Company’s stock as of December 31, 2015, the principal amount of the 2012 Notes would exceed the value of the shares if converted on that date by $11.9 million.</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2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December 31, 2015 and 2014, the discount created from the allocation of the proceeds to the conversion option was fully amortized and the carrying amount of the conversion option was $11.5 million and $12.8 million, respectively. The conversion option will not be subsequently remeasured as long as it continues to meet the criteria for equity classification.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December 31, 2015 and 2014, the debt discount was fully amortized and the carrying value of the 2012 Notes was $15.1 million and $31.3 million, respectively, after an exchange and repayment of a portion of the 2012 Notes (see below for further discussion of the May 2014 Notes and November 2015 Notes).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 3.5% May 2014 Exchangeable Senior Notes due 2032, following which $31.3 million in aggregate principal amount of the 2012 Notes remained outstanding with terms unchanged (the 2012 Notes and 2014 Notes are referred to collectively as the “Notes”).</w:t>
      </w:r>
    </w:p>
    <w:p>
      <w:pPr>
        <w:spacing w:after="0" w:line="143"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initial exchange rate is</w:t>
      </w:r>
    </w:p>
    <w:p>
      <w:pPr>
        <w:spacing w:after="0" w:line="5"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 Based on the closing price of the Company’s stock as of December 31, 2015, the principal amount of the 2014 Notes would exceed the value of the shares if converted on that date by $32.4 million.</w:t>
      </w:r>
    </w:p>
    <w:p>
      <w:pPr>
        <w:spacing w:after="0" w:line="11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recognized those costs as deferred assets. The Company further allocated $3.5 million of the $90.8 million fair value of the 2014 Notes to the derivative liability related to the fundamental change redemption feature (as described above), which will be measured at fair value on an ongoing basis. During the years ended December 31, 2015 and 2014, the Company recognized a gain on the change in fair value of the redemption feature of $0.5 million and $0.9 million, respectively.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w:t>
      </w:r>
    </w:p>
    <w:p>
      <w:pPr>
        <w:spacing w:after="0" w:line="12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December 31, 2015 and 2014, the carrying value of the 2014 Notes, net of the unamortized debt discount, was $96.4 million and $90.6 million, respectively. During the year ended December 31, 2015, the Company recognized aggregate interest expense of $11.4 million related to the Notes, of which $6.2 million represents non-cash interest and $5.2 million represents contractual coupon interest. During the year ended December 31, 2014, the Company recognized aggregate interest expense of $9.5 million related to the Notes, of which $4.2 million represents non-cash interest and $5.3 million represents contractual coupon interest.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November 2015 Exchangeable Senior Notes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November 2015, the Company entered into a privately negotiated subscription agreement with one of its existing investors (the “Investor”), pursuant to which the Investor agreed to purchase approximately $31.3 million in aggregate principal amount of new 3.5% November 2015 Exchangeable Senior Notes due 2032 (the “2015 Notes”) for approximately $27.5 million. Approximately $15.9 million of such proceeds were used to finance the repayment of a portion of the 2012 Notes and the remainder will be used for working capital and general corporate purposes. The 2015 Notes have substantially identical terms to the 2014 Notes, except that the 2015 Notes were issued by Amarin Corporation plc and are not guaranteed by any entity. In the event of physical settlement, the 2015 Notes would be exchangeable into 12,025,385 ADSs. The initial exchange rate is 384.6154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ADSs per $1,000 principal amount of 2015 Notes (equivalent to an initial exchange price of approximately $2.60 per ADS), provided that exchanges will be prohibited if, as a result, the holder of such 2015 Notes and its affiliates would beneficially own more than 4.99% of the total number of the Company’s ordinary shares or ADSs outstanding following such exchange (the “Beneficial Ownership Limitation”). By written notice to the Company, a holder may from time to time increase or decrease the Beneficial Ownership Limitation to any other percentage not in excess of 19.9% (the “Beneficial Ownership Cap”) specified in such notice; provided that any such increase will not be effective until the sixty-first (61st) day after such notice is delivered to the Company. The exchange rate is subject to adjustment from time to time upon the occurrence of certain events, including, but not limited to, the payment of cash dividends. Based on the closing price of the Company’s stock as of December 31, 2015, the principal amount of the 2015 Notes would exceed the value of the shares if converted on that date by $8.5 million.</w:t>
      </w:r>
    </w:p>
    <w:p>
      <w:pPr>
        <w:spacing w:after="0" w:line="145"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The 2015 Notes are the senior unsecured obligations of the Company. The 2015 Notes bear interest at a rate of 3.5% per annum from, and including, November 24, 2015, payable semi-annually in arrears on January 15 and July 15 of each year, beginning on January 15, 2016. The 2015 Notes mature on January 15, 2032, unless earlier repurchased or redeemed by the Company or exchanged by the holders.</w:t>
      </w:r>
    </w:p>
    <w:p>
      <w:pPr>
        <w:spacing w:after="0" w:line="10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2015 Notes were recorded at fair value of $27.5 million representing a $3.8 million discount to par. In addition, the Company recognized $0.1 million in offering costs and recognized those costs as deferred assets. The Company further allocated $0.5 million of the $27.5 million fair value of the 2015 Notes to the derivative liability related to the fundamental change redemption feature (as described under the 2014 Notes above), which will be measured at fair value on an ongoing basis. During the year ended December 31, 2015, the Company recognized a loss on the change in fair value of the redemption feature of $0.1 million.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w:t>
      </w:r>
    </w:p>
    <w:p>
      <w:pPr>
        <w:spacing w:after="0" w:line="12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Because the conversion option in the 2015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2015 Notes and recognized in the statement of operations as interest expense. As of December 31, 2015, the carrying value of the 2015 Notes, net of the unamortized debt discount, was $27.1 million. During the year ended December 31, 2015, the Company recognized aggregate interest expense of $0.2 million related to the Notes, of which $0.1 million represents non-cash interest and $0.1 million represents contractual coupon interest.</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Concurrent with the issuance of the 2015 Notes, Corsicanto Limited and the Company entered into separate, privately negotiated purchase agreements with certain holders of the 2012 Notes pursuant to which the Company purchased (the “2012 Notes Purchase”) approximately $16.2 million in aggregate principal amount of the 2012 Notes for $15.9 million, which includes accrued but unpaid interest on such 2012 Notes. The 2012 Notes Purchase was funded by the issuance of the 2015 Notes. Following the closing of the 2012 Notes Purchase, Corsicanto had approximately $15.1 million in aggregate principal amount of 2012 Notes outstanding. The 2012 Notes Purchase was accounted for as an extinguishment of debt and the Company recorded a gain of $1.3 million upon extinguishment, which represents the reacquisition of the conversion option at fair value and a negotiated discount on the purchase of the notes partially offset by legal and transaction advisory costs incurred.</w:t>
      </w:r>
    </w:p>
    <w:p>
      <w:pPr>
        <w:spacing w:after="0" w:line="11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December 31, 2015, the Company had total accrued interest on the Notes and the November 2015 Notes of $2.3 million, which is included in other current liabilities. As of December 31, 2014, the Company had total accrued interest on the Notes of $2.4 million. The Company made the contractual interest payments due on the Notes during the years ended December 31, 2015 and 2014.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8540" w:hanging="232"/>
        <w:spacing w:after="0" w:line="347" w:lineRule="auto"/>
        <w:tabs>
          <w:tab w:leader="none" w:pos="39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spacing w:after="0" w:line="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On May 7, 2015, the Company and a group of independent physicians filed a federal lawsuit to permit the Company to share truthful and non-misleading information, including, but not limited to, the ANCHOR trial clinical data, with healthcare professionals in the United States about certain uses of Vascepa not included with approved FDA labeling of Vascepa and thus not permitted under the FDA’s interpretation of applicable law. The lawsuit,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Pharma, Inc., et al. v. Food &amp; Drug Administration, et al. </w:t>
      </w:r>
      <w:r>
        <w:rPr>
          <w:rFonts w:ascii="Arial" w:cs="Arial" w:eastAsia="Arial" w:hAnsi="Arial"/>
          <w:sz w:val="16"/>
          <w:szCs w:val="16"/>
          <w:color w:val="auto"/>
        </w:rPr>
        <w:t>(1:15-cv-03588-PAE), was filed in the United States District Court for the Southern District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York and seeks a judicial declaration based on several legal theories. On August 7, 2015, the Court granted the Company’s request for preliminary relief in this litigation through a declaratory judgment that confirmed the Company may engage in truthful and non-misleading speech with healthcare professionals promoting the off-label use of Vascepa, i.e., to treat patients with persistently high triglycerides, and such speech may not form the basis of a misbranding action under the Federal Food and Drug Cosmetic Act. FDA did not appeal the Court’s preliminary ruling prior to the October 6, 2015 deadline for appeal. The underlying litigation has been stayed for settlement discussion and the parties are working toward settlement. The Company cannot predict the outcome of settlement negotiations or this litigation. On May 28, 2015, the U.S. District Court for the District of Columbia granted the Company’s motion for summary judgment in its lawsuit against the FDA, captioned </w:t>
      </w:r>
      <w:r>
        <w:rPr>
          <w:rFonts w:ascii="Arial" w:cs="Arial" w:eastAsia="Arial" w:hAnsi="Arial"/>
          <w:sz w:val="16"/>
          <w:szCs w:val="16"/>
          <w:i w:val="1"/>
          <w:iCs w:val="1"/>
          <w:color w:val="auto"/>
        </w:rPr>
        <w:t>Amarin Pharmaceuticals Ireland Ltd. v. Food &amp; Drug Administration, et al.</w:t>
      </w:r>
      <w:r>
        <w:rPr>
          <w:rFonts w:ascii="Arial" w:cs="Arial" w:eastAsia="Arial" w:hAnsi="Arial"/>
          <w:sz w:val="16"/>
          <w:szCs w:val="16"/>
          <w:color w:val="auto"/>
        </w:rPr>
        <w:t>, Civ. A. No. 14-0324 (D.D.C.). This lawsuit sought an order requiring FDA to recognize five-year, New Chemical Entity (“NCE”) marketing exclusivity for Vascepa. The decision vacated the FDA’s denial of the Company’s claim for such exclusivity and remanded to the FDA for proceedings consistent with the decision. FDA did not appeal the Court’s decision prior to the July 28, 2015 deadline for appeal. On July 22, 2015, Watson Laboratories Inc., the purported first Vascepa ANDA filer, sought to intervene and appeal the Court’s decision. The Company and FDA opposed this intervention effort. The applicable courts denied Watson the relief sought and appeal periods have expired. A new exclusivity determination by FDA has been pending since the May 28, 2015 District of Columbia court order setting aside FDA’s denial of NCE exclusivity for Vascepa. The Company believes Vascepa is entitled to NCE exclusivity, but cannot predict the outcome of FDA’s determination.</w:t>
      </w:r>
    </w:p>
    <w:p>
      <w:pPr>
        <w:spacing w:after="0" w:line="12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In March, April, and May 2014, the Company received paragraph IV certification notices from six companies contending to varying degrees that certain of its patents are invalid, unenforceable and/or will not be infringed by the manufacture, use, sale or offer for sale of a generic form of Vascepa as described in those companies’ abbreviated new drug applications, or ANDAs. The Company commenced patent infringement lawsuits against each of these ANDA applicants. In each of the lawsuits, Amarin sought, among other remedies, an order enjoining the defendants from marketing generic versions of Vascepa before the last to expire of the asserted patents expires in 2030. A summary of the lawsuits is below:</w:t>
      </w:r>
    </w:p>
    <w:p>
      <w:pPr>
        <w:spacing w:after="0" w:line="35" w:lineRule="exact"/>
        <w:rPr>
          <w:sz w:val="20"/>
          <w:szCs w:val="20"/>
          <w:color w:val="auto"/>
        </w:rPr>
      </w:pPr>
    </w:p>
    <w:p>
      <w:pPr>
        <w:ind w:left="900" w:right="120" w:hanging="325"/>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April 2014, Amarin filed lawsuits against Apotex, Inc. and Apotex Corporation, or collectively, Apotex, in the U.S. District Court for the District of New Jersey and the U.S. District Court for the Northern District of Illinois. The cases against Apotex are captioned </w:t>
      </w:r>
      <w:r>
        <w:rPr>
          <w:rFonts w:ascii="Arial" w:cs="Arial" w:eastAsia="Arial" w:hAnsi="Arial"/>
          <w:sz w:val="18"/>
          <w:szCs w:val="18"/>
          <w:i w:val="1"/>
          <w:iCs w:val="1"/>
          <w:color w:val="auto"/>
        </w:rPr>
        <w:t>Amarin Pharma, Inc. et al. v.</w:t>
      </w:r>
      <w:r>
        <w:rPr>
          <w:rFonts w:ascii="Arial" w:cs="Arial" w:eastAsia="Arial" w:hAnsi="Arial"/>
          <w:sz w:val="18"/>
          <w:szCs w:val="18"/>
          <w:color w:val="auto"/>
        </w:rPr>
        <w:t xml:space="preserve"> </w:t>
      </w:r>
      <w:r>
        <w:rPr>
          <w:rFonts w:ascii="Arial" w:cs="Arial" w:eastAsia="Arial" w:hAnsi="Arial"/>
          <w:sz w:val="18"/>
          <w:szCs w:val="18"/>
          <w:i w:val="1"/>
          <w:iCs w:val="1"/>
          <w:color w:val="auto"/>
        </w:rPr>
        <w:t>Apotex, Inc. et al</w:t>
      </w:r>
      <w:r>
        <w:rPr>
          <w:rFonts w:ascii="Arial" w:cs="Arial" w:eastAsia="Arial" w:hAnsi="Arial"/>
          <w:sz w:val="18"/>
          <w:szCs w:val="18"/>
          <w:color w:val="auto"/>
        </w:rPr>
        <w:t>., Civ. A. No. 14-2550 (D.N.J) and</w:t>
      </w:r>
      <w:r>
        <w:rPr>
          <w:rFonts w:ascii="Arial" w:cs="Arial" w:eastAsia="Arial" w:hAnsi="Arial"/>
          <w:sz w:val="18"/>
          <w:szCs w:val="18"/>
          <w:i w:val="1"/>
          <w:iCs w:val="1"/>
          <w:color w:val="auto"/>
        </w:rPr>
        <w:t xml:space="preserve"> Amarin Pharma, Inc. et al. v. Apotex, Inc. et al</w:t>
      </w:r>
      <w:r>
        <w:rPr>
          <w:rFonts w:ascii="Arial" w:cs="Arial" w:eastAsia="Arial" w:hAnsi="Arial"/>
          <w:sz w:val="18"/>
          <w:szCs w:val="18"/>
          <w:color w:val="auto"/>
        </w:rPr>
        <w:t>., Civ. A. No. 14-2958 (N.D. Ill.). On August 27,</w:t>
      </w:r>
      <w:r>
        <w:rPr>
          <w:rFonts w:ascii="Arial" w:cs="Arial" w:eastAsia="Arial" w:hAnsi="Arial"/>
          <w:sz w:val="18"/>
          <w:szCs w:val="18"/>
          <w:i w:val="1"/>
          <w:iCs w:val="1"/>
          <w:color w:val="auto"/>
        </w:rPr>
        <w:t xml:space="preserve"> </w:t>
      </w:r>
      <w:r>
        <w:rPr>
          <w:rFonts w:ascii="Arial" w:cs="Arial" w:eastAsia="Arial" w:hAnsi="Arial"/>
          <w:sz w:val="18"/>
          <w:szCs w:val="18"/>
          <w:color w:val="auto"/>
        </w:rPr>
        <w:t>2014, Amarin voluntarily dismissed the Northern District of Illinois case against Apotex in favor of the New Jersey case, which concerns identical allegations of patent infringement against Apotex.</w:t>
      </w:r>
    </w:p>
    <w:p>
      <w:pPr>
        <w:spacing w:after="0" w:line="61" w:lineRule="exact"/>
        <w:rPr>
          <w:rFonts w:ascii="Arial" w:cs="Arial" w:eastAsia="Arial" w:hAnsi="Arial"/>
          <w:sz w:val="18"/>
          <w:szCs w:val="18"/>
          <w:color w:val="auto"/>
        </w:rPr>
      </w:pPr>
    </w:p>
    <w:p>
      <w:pPr>
        <w:ind w:left="900" w:right="200" w:hanging="325"/>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 April 2014, Amarin filed lawsuits against Roxane Laboratories, Inc., or Roxane, in the U.S. District Court for the District of New Jersey and the U.S. District Court for the Northern District of Ohio. The cases against Roxane are captioned </w:t>
      </w:r>
      <w:r>
        <w:rPr>
          <w:rFonts w:ascii="Arial" w:cs="Arial" w:eastAsia="Arial" w:hAnsi="Arial"/>
          <w:sz w:val="18"/>
          <w:szCs w:val="18"/>
          <w:i w:val="1"/>
          <w:iCs w:val="1"/>
          <w:color w:val="auto"/>
        </w:rPr>
        <w:t>Amarin Pharma, Inc. et al. v. Roxane Laboratories,</w:t>
      </w:r>
      <w:r>
        <w:rPr>
          <w:rFonts w:ascii="Arial" w:cs="Arial" w:eastAsia="Arial" w:hAnsi="Arial"/>
          <w:sz w:val="18"/>
          <w:szCs w:val="18"/>
          <w:color w:val="auto"/>
        </w:rPr>
        <w:t xml:space="preserve"> </w:t>
      </w:r>
      <w:r>
        <w:rPr>
          <w:rFonts w:ascii="Arial" w:cs="Arial" w:eastAsia="Arial" w:hAnsi="Arial"/>
          <w:sz w:val="18"/>
          <w:szCs w:val="18"/>
          <w:i w:val="1"/>
          <w:iCs w:val="1"/>
          <w:color w:val="auto"/>
        </w:rPr>
        <w:t>Inc.</w:t>
      </w:r>
      <w:r>
        <w:rPr>
          <w:rFonts w:ascii="Arial" w:cs="Arial" w:eastAsia="Arial" w:hAnsi="Arial"/>
          <w:sz w:val="18"/>
          <w:szCs w:val="18"/>
          <w:color w:val="auto"/>
        </w:rPr>
        <w:t>, Civ. A. No. 14-2551 (D.N.J) and</w:t>
      </w:r>
      <w:r>
        <w:rPr>
          <w:rFonts w:ascii="Arial" w:cs="Arial" w:eastAsia="Arial" w:hAnsi="Arial"/>
          <w:sz w:val="18"/>
          <w:szCs w:val="18"/>
          <w:i w:val="1"/>
          <w:iCs w:val="1"/>
          <w:color w:val="auto"/>
        </w:rPr>
        <w:t xml:space="preserve"> Amarin Pharma, Inc. et al. v. Roxane Laboratories, Inc</w:t>
      </w:r>
      <w:r>
        <w:rPr>
          <w:rFonts w:ascii="Arial" w:cs="Arial" w:eastAsia="Arial" w:hAnsi="Arial"/>
          <w:sz w:val="18"/>
          <w:szCs w:val="18"/>
          <w:color w:val="auto"/>
        </w:rPr>
        <w:t>., Civ. A. No. 14-901 (N.D. Ohio). On May 7, 2014,</w:t>
      </w:r>
      <w:r>
        <w:rPr>
          <w:rFonts w:ascii="Arial" w:cs="Arial" w:eastAsia="Arial" w:hAnsi="Arial"/>
          <w:sz w:val="18"/>
          <w:szCs w:val="18"/>
          <w:i w:val="1"/>
          <w:iCs w:val="1"/>
          <w:color w:val="auto"/>
        </w:rPr>
        <w:t xml:space="preserve"> </w:t>
      </w:r>
      <w:r>
        <w:rPr>
          <w:rFonts w:ascii="Arial" w:cs="Arial" w:eastAsia="Arial" w:hAnsi="Arial"/>
          <w:sz w:val="18"/>
          <w:szCs w:val="18"/>
          <w:color w:val="auto"/>
        </w:rPr>
        <w:t>Amarin voluntarily dismissed the Northern District of Ohio case against Roxane in favor of the New Jersey case, which concerns identical allegations of patent infringement against Roxane.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April 2014, Amarin also filed a lawsuit against Dr. Reddy’s Laboratories, Inc. and Dr. Reddy’s Laboratories, Ltd., or collectively, Dr. Reddy’s, in the U.S. District Court for the District of New Jersey. The case against Dr. Reddy’s is captioned </w:t>
      </w:r>
      <w:r>
        <w:rPr>
          <w:rFonts w:ascii="Arial" w:cs="Arial" w:eastAsia="Arial" w:hAnsi="Arial"/>
          <w:sz w:val="18"/>
          <w:szCs w:val="18"/>
          <w:i w:val="1"/>
          <w:iCs w:val="1"/>
          <w:color w:val="auto"/>
        </w:rPr>
        <w:t>Amarin Pharma, Inc. et al. v. Dr. Reddy’s</w:t>
      </w:r>
      <w:r>
        <w:rPr>
          <w:rFonts w:ascii="Arial" w:cs="Arial" w:eastAsia="Arial" w:hAnsi="Arial"/>
          <w:sz w:val="18"/>
          <w:szCs w:val="18"/>
          <w:color w:val="auto"/>
        </w:rPr>
        <w:t xml:space="preserve"> </w:t>
      </w:r>
      <w:r>
        <w:rPr>
          <w:rFonts w:ascii="Arial" w:cs="Arial" w:eastAsia="Arial" w:hAnsi="Arial"/>
          <w:sz w:val="18"/>
          <w:szCs w:val="18"/>
          <w:i w:val="1"/>
          <w:iCs w:val="1"/>
          <w:color w:val="auto"/>
        </w:rPr>
        <w:t>Laboratories, Inc. et al</w:t>
      </w:r>
      <w:r>
        <w:rPr>
          <w:rFonts w:ascii="Arial" w:cs="Arial" w:eastAsia="Arial" w:hAnsi="Arial"/>
          <w:sz w:val="18"/>
          <w:szCs w:val="18"/>
          <w:color w:val="auto"/>
        </w:rPr>
        <w:t>., Civ. A. No. 14-2760 (D.N.J.).</w:t>
      </w:r>
    </w:p>
    <w:p>
      <w:pPr>
        <w:spacing w:after="0" w:line="59"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May 2014, Amarin also filed a lawsuit against Watson Laboratories, Inc. and Actavis, Inc., or Watson, in the U.S. District Court for the District of New Jersey. One of the Company’s directors, Patrick J. O’Sullivan, is also a director of Actavis, Inc. The case against Watson is captioned </w:t>
      </w:r>
      <w:r>
        <w:rPr>
          <w:rFonts w:ascii="Arial" w:cs="Arial" w:eastAsia="Arial" w:hAnsi="Arial"/>
          <w:sz w:val="16"/>
          <w:szCs w:val="16"/>
          <w:i w:val="1"/>
          <w:iCs w:val="1"/>
          <w:color w:val="auto"/>
        </w:rPr>
        <w:t>Amarin</w:t>
      </w:r>
      <w:r>
        <w:rPr>
          <w:rFonts w:ascii="Arial" w:cs="Arial" w:eastAsia="Arial" w:hAnsi="Arial"/>
          <w:sz w:val="16"/>
          <w:szCs w:val="16"/>
          <w:color w:val="auto"/>
        </w:rPr>
        <w:t xml:space="preserve"> </w:t>
      </w:r>
      <w:r>
        <w:rPr>
          <w:rFonts w:ascii="Arial" w:cs="Arial" w:eastAsia="Arial" w:hAnsi="Arial"/>
          <w:sz w:val="16"/>
          <w:szCs w:val="16"/>
          <w:i w:val="1"/>
          <w:iCs w:val="1"/>
          <w:color w:val="auto"/>
        </w:rPr>
        <w:t>Pharma, Inc. et al. v. Watson Laboratories, Inc</w:t>
      </w:r>
      <w:r>
        <w:rPr>
          <w:rFonts w:ascii="Arial" w:cs="Arial" w:eastAsia="Arial" w:hAnsi="Arial"/>
          <w:sz w:val="16"/>
          <w:szCs w:val="16"/>
          <w:color w:val="auto"/>
        </w:rPr>
        <w:t>. et al., Civ. A. No. 14-3259 (D.N.J). On July 17, 2014, Amarin agreed to dismiss Actavis, Inc.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and the Court accordingly dismissed Actavis, Inc. on November 3, 2014.</w:t>
      </w:r>
    </w:p>
    <w:p>
      <w:pPr>
        <w:spacing w:after="0" w:line="31" w:lineRule="exact"/>
        <w:rPr>
          <w:rFonts w:ascii="Arial" w:cs="Arial" w:eastAsia="Arial" w:hAnsi="Arial"/>
          <w:sz w:val="16"/>
          <w:szCs w:val="16"/>
          <w:color w:val="auto"/>
        </w:rPr>
      </w:pPr>
    </w:p>
    <w:p>
      <w:pPr>
        <w:ind w:left="900" w:right="20" w:hanging="325"/>
        <w:spacing w:after="0" w:line="332"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June 2014, Amarin also filed a case against Teva Pharmaceuticals USA, Inc., or Teva, in the U.S. District Court for the District of New Jersey. The case against Teva is captioned </w:t>
      </w:r>
      <w:r>
        <w:rPr>
          <w:rFonts w:ascii="Arial" w:cs="Arial" w:eastAsia="Arial" w:hAnsi="Arial"/>
          <w:sz w:val="16"/>
          <w:szCs w:val="16"/>
          <w:i w:val="1"/>
          <w:iCs w:val="1"/>
          <w:color w:val="auto"/>
        </w:rPr>
        <w:t>Amarin Pharma, Inc. et al. v. Teva Pharmaceuticals USA, Inc</w:t>
      </w:r>
      <w:r>
        <w:rPr>
          <w:rFonts w:ascii="Arial" w:cs="Arial" w:eastAsia="Arial" w:hAnsi="Arial"/>
          <w:sz w:val="16"/>
          <w:szCs w:val="16"/>
          <w:color w:val="auto"/>
        </w:rPr>
        <w:t>., Civ. A. No. 14-3558 (D.N.J.).</w:t>
      </w:r>
    </w:p>
    <w:p>
      <w:pPr>
        <w:spacing w:after="0" w:line="4" w:lineRule="exact"/>
        <w:rPr>
          <w:rFonts w:ascii="Arial" w:cs="Arial" w:eastAsia="Arial" w:hAnsi="Arial"/>
          <w:sz w:val="16"/>
          <w:szCs w:val="16"/>
          <w:color w:val="auto"/>
        </w:rPr>
      </w:pPr>
    </w:p>
    <w:p>
      <w:pPr>
        <w:jc w:val="both"/>
        <w:ind w:left="900" w:right="12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In June 2014, Amarin also filed a lawsuit against Andrx Labs, LLC, Andrx Corporation, and Actavis plc, or collectively, Andrx, in the U.S. District Court for the District of New Jersey. The case against Andrx is captioned </w:t>
      </w:r>
      <w:r>
        <w:rPr>
          <w:rFonts w:ascii="Arial" w:cs="Arial" w:eastAsia="Arial" w:hAnsi="Arial"/>
          <w:sz w:val="18"/>
          <w:szCs w:val="18"/>
          <w:i w:val="1"/>
          <w:iCs w:val="1"/>
          <w:color w:val="auto"/>
        </w:rPr>
        <w:t>Amarin Pharma, Inc. et al v. Andrx Labs, LLC et. al</w:t>
      </w:r>
      <w:r>
        <w:rPr>
          <w:rFonts w:ascii="Arial" w:cs="Arial" w:eastAsia="Arial" w:hAnsi="Arial"/>
          <w:sz w:val="18"/>
          <w:szCs w:val="18"/>
          <w:color w:val="auto"/>
        </w:rPr>
        <w:t>., Civ. A. No. 14-3924 (D.N.J.).</w:t>
      </w:r>
    </w:p>
    <w:p>
      <w:pPr>
        <w:spacing w:after="0" w:line="14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As a result of the 30-month stay associated with the filing of these lawsuits under the Hatch-Waxman Act, the FDA cannot grant final approval to any ANDA before September 2016, unless there is an earlier court decision holding that the subject patents are not infringed and/or are invalid.</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Based on the May 28, 2015 U.S. District Court for the District of Columbia order granting the Company’s motion for summary judgment in the NCE litigation, on June 26, 2015, the parties to the related ANDA litigation identified above agreed to a full stay of proceedings. FDA subsequently notified the ANDA filers that FDA had changed the status of their ANDAs to submitted, but no longer accepted. In rescinding acceptance of the ANDAs, the Company believed the statutory basis for the ANDA-related patent litigation (accepted ANDAs) no longer existed. Thus, on July 24, 2015, the Company moved to dismiss the pending patent infringement lawsuits against each of the Vascepa ANDA applicants in the U.S. District Court for the District of New Jersey. On January 22, 2016, the U.S. District Court for the District of New Jersey granted Amarin’s motion to dismiss all patent infringement litigation related to the 2014 acceptance by the FDA of ANDAs to Vascepa. With this dismissal, there is no pending patent litigation related to Vascepa. A notice of appeal of the court’s dismissal was filed by one ANDA filer in this case and the Company intends to continue to litigate vigorously in support of the court’s dismissal. The Company cannot predict the outcome of this litigation.</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 new exclusivity determination by FDA has been pending since the May 28, 2015 District of Columbia court order setting aside FDA’s denial of NCE exclusivity for Vascepa. The Company believes Vascepa is entitled to NCE exclusivity, but cannot predict the outcome of FDA’s determination. The legal process can also be costly and time-consuming. The Company plans to defend the exclusivity of Vascepa through patent litigation after notification that FDA has accepted an ANDA application related to Vascepa. Assuming an NCE exclusivity determination from the FDA or no exclusivity determination, the Company expects notification of new ANDA submissions no sooner than in late July 2016, after the expiration of four years from the 2012 approval of Vascepa.</w:t>
      </w:r>
    </w:p>
    <w:p>
      <w:pPr>
        <w:spacing w:after="0" w:line="1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Leases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The Company leases office space under operating leases. Future minimum lease payments under these leases, net of sublease rental income, as of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 are as follows (in thousands):</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100" w:type="dxa"/>
            <w:vAlign w:val="bottom"/>
            <w:gridSpan w:val="4"/>
          </w:tcPr>
          <w:p>
            <w:pPr>
              <w:ind w:left="5400"/>
              <w:spacing w:after="0"/>
              <w:rPr>
                <w:sz w:val="20"/>
                <w:szCs w:val="20"/>
                <w:color w:val="auto"/>
              </w:rPr>
            </w:pPr>
            <w:r>
              <w:rPr>
                <w:rFonts w:ascii="Arial" w:cs="Arial" w:eastAsia="Arial" w:hAnsi="Arial"/>
                <w:sz w:val="14"/>
                <w:szCs w:val="14"/>
                <w:b w:val="1"/>
                <w:bCs w:val="1"/>
                <w:color w:val="auto"/>
              </w:rPr>
              <w:t>Operating</w:t>
            </w: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5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5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2019-2020</w:t>
            </w:r>
          </w:p>
        </w:tc>
        <w:tc>
          <w:tcPr>
            <w:tcW w:w="5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54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On September 30, 2011, the Company entered into an agreement for 320 square feet of office space at 2 Pembroke House, Upper Pembroke Street 28-32 in Dublin, Ireland. The office space was subsequently reduced to 270 square feet, effective November 1, 2013. The agreement began November 1, 2011 and terminates on October 31, 2016 and can be extended automatically for successive one year periods. Monthly rent is approximately €2,900 (approximately $3,200). The agreement can be terminated by either party with three months prior written notice.</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July 1, 2011, the Company leased 9,747 square feet of office space in Bedminster, New Jersey. The lease, as amended, terminates on March 31, 2018, and may also be terminated with six months prior notice. On December 6, 2011 the Company leased an additional 2,142 square feet of space in the same location. On December 15, 2012 and May 8, 2013, the Company leased an additional 2,601 and 10,883 square feet of space, respectively, in the same location. In January 2014 and April 2014, the Company entered into separate transactions with the landlord of this property to vacate approximately 2,142 and 2,000 square feet of space in exchange for discounts on contractual future rent payments. In January 2015, the Company executed an agreement to sublease approximately 4,700 square feet of this property to a third party, effective April 1, 2015. Additionally, in June 2015, the Company executed an agreement to sublease approximately 2,500 square feet of this property to a separate third party, effective June 16,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during the years ended 2015, 2014 and 2013 was approximately $0.8 million, $1.0 million, and $1.0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as detailed below.</w:t>
      </w:r>
    </w:p>
    <w:p>
      <w:pPr>
        <w:spacing w:after="0" w:line="8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entered into its initial Vascepa API supply agreement with Nisshin Pharma, Inc., or Nisshin, in 2010. In 2011, the Company entered into agreements with two additional suppliers, Chemport, Inc., or Chemport, and BASF (formerly Equateq Limited) for the supply of API. In 2012, the Company agreed to terms with a fourth API supplier, a consortium of companies led by Slanmhor Pharmaceutical, Inc. (Slanmhor). The API supply agreement with BASF terminated in February 2014. In July 2014, the Company terminated the supply agreement with Slanmhor and subsequently, in July 2015, entered into a new supply agreement with Finorga SAS (Novasep), a French company. These agreements included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 as described below.</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Nisshin, Chemport and Novasep are currently the three manufacturers from which the Company purchases API. As of December 31, 2015, the Company has no royalty, milestone or minimum purchase commitments with Nisshin.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Chemport was approved by the FDA to manufacture API for commercial sale in April 2013 and the Company began purchasing commercial supply from Chemport in 2013. The agreement with Chemport contains a provision requiring the Company to pay Chemport in cash for any shortfall in the minimum purchase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purchasing commercial supply from Novasep in 2015. API manufactured by Novasep was previously approved by the FDA in July 2014.</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2015 supply agreement with Novasep includes commitments for the Company to fund API purchases and contains a provision requiring the Company to pay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Novasep a cash remedy for any shortfall in the minimum purchase obligations.</w:t>
      </w:r>
    </w:p>
    <w:p>
      <w:pPr>
        <w:spacing w:after="0" w:line="16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the supply agreements, there is a total of $44.7 million that is potentially payable over the term of such agreements based on minimum purchase obligations. The Company continues to meet its contractual volume obligations.</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Under the 2004 share repurchase agreement with Laxdale Limited, or Laxdale, upon receipt of marketing approval in Europe for the first indication for Vascepa (or first indication of any product containing Amarin Neurosciences Limited intellectual property acquired from Laxdale in 2004), the Company must make an aggregate stock or cash payment to the former shareholders of Laxdale (at the sole option of each of the sellers) of £7.5 million (approximately $11.1 million as of December 31, 2015). Also under the Laxdale agreement, upon receipt of a marketing approval in the United States or Europe for a further indication of Vascepa (or further indication of any other product using Amarin Neurosciences Limited intellectual property), the Company must make an aggregate stock or cash payment (at the sole option of each of the sellers) of £5 million (approximately $7.4 million as of December 31, 2015) for each of the two potential market approvals (i.e., £10 million maximum, or approximately $14.8 million as of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able to be estimated as of December 31, 2015.</w:t>
      </w:r>
    </w:p>
    <w:p>
      <w:pPr>
        <w:spacing w:after="0" w:line="269" w:lineRule="exact"/>
        <w:rPr>
          <w:sz w:val="20"/>
          <w:szCs w:val="20"/>
          <w:color w:val="auto"/>
        </w:rPr>
      </w:pPr>
    </w:p>
    <w:p>
      <w:pPr>
        <w:ind w:left="480" w:hanging="472"/>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Warrants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the year ended December 31, 2015, the Company issued 1,844,585 shares upon the exercise of warrants, resulting in gross and net proceeds of $2.8 million and $2.7 million, respectively. During the year ended December 31, 2014, the Company issued 1,684,888 shares upon the exercise of warrants, resulting in gross and net proceeds of $1.7 million. No warrants remained outstanding as of December 31, 2015.</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90"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As of December 31, 2015, there were an aggregate of 17,818,053 stock options and 10,886,523 restricted stock units (“RSUs”) outstanding, representing approximately 7% and 4%, respectively, of outstanding shares (including common and preferred shares) on a fully diluted basis.</w:t>
      </w:r>
    </w:p>
    <w:p>
      <w:pPr>
        <w:spacing w:after="0" w:line="8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During the years ended December 31, 2015 and 2014, the Company issued 18,020 and 234,500 shares, respectively, as a result of the exercise of stock options, resulting in gross and net proceeds of $31 thousand during the year ended December 31, 2015 and $0.3 million during the year ended December 31, 2014.</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6, 2015, the Company granted a total of 1,455,000 RSUs and 5,470,000 stock options to employees under the Amarin Corporation plc Stock Incentive Plan (the “2011 Plan”). The RSUs granted vest over a four year period. Of the total stock options granted, 3,670,000 stock options vest over a four year period while the remaining 1,800,000 stock options vest upon the achievement of certain performance conditions. During the year ended December 31, 2015, the Company issued 181,876 common shares related to the vesting of these RSUs, of which 40,165 shares were retained as treasury shares as settlement of employee tax obligations.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Also on July 6, 2015, the Company granted a total of 413,500 RSUs and 288,657 stock options to members of the Company’s Board of Directors under the 2011 Plan. Of the total awards granted, 283,500 RSUs and 121,506 stock options vest in equal installments over a three year period upon the earlier of the one-year anniversary of the grant date or the Company’s annual general meeting of shareholders in such anniversary year, while the remaining 130,000 RSUs and 167,151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29, 2015, the Company granted a total of 2,564,251 RSUs and 1,622,500 stock options to employees under the 2011 Plan. The RSUs vest annually over a three year period and the stock options vest over a four year period. Also on January 29, 2015, the Company granted 5,455,500 RSUs to employees under the 2011 Plan that vest upon the achievement of certain performance conditions. The issuance of these performance RSUs was contingent upon shareholder approval to increase the aggregate number of shares authorized for issuance under the 2011 Plan, which was obtained at the Company’s Annual General Meeting of Shareholders held on July 6, 2015.</w:t>
      </w:r>
    </w:p>
    <w:p>
      <w:pPr>
        <w:spacing w:after="0" w:line="14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March 11, 2014, the Company granted a total of 173,348 RSUs and 205,890 stock options to members of the Company’s Board of Directors under the 2011 Plan. Upon termination of service to the Company or upon a change of control, each Director shall be entitled to a payment equal to the fair market value of one share of Amarin common stock, which is required to be made in shares. The RSUs vest in equal installments over a three year period upon the earlier of the anniversary of the grant date or the Company’s annual general meeting of shareholders in such anniversary year. The stock options vest in full upon the earlier of the anniversary of the grant date or the Company’s annual general meeting of shareholders in such anniversary year.</w:t>
      </w:r>
    </w:p>
    <w:p>
      <w:pPr>
        <w:spacing w:after="0" w:line="116" w:lineRule="exact"/>
        <w:rPr>
          <w:sz w:val="20"/>
          <w:szCs w:val="20"/>
          <w:color w:val="auto"/>
        </w:rPr>
      </w:pPr>
    </w:p>
    <w:p>
      <w:pPr>
        <w:jc w:val="both"/>
        <w:ind w:right="340"/>
        <w:spacing w:after="0" w:line="335" w:lineRule="auto"/>
        <w:rPr>
          <w:sz w:val="20"/>
          <w:szCs w:val="20"/>
          <w:color w:val="auto"/>
        </w:rPr>
      </w:pPr>
      <w:r>
        <w:rPr>
          <w:rFonts w:ascii="Arial" w:cs="Arial" w:eastAsia="Arial" w:hAnsi="Arial"/>
          <w:sz w:val="15"/>
          <w:szCs w:val="15"/>
          <w:color w:val="auto"/>
        </w:rPr>
        <w:t>On January 8, 2014, the Company granted a total of 2,082,000 RSUs and 2,605,500 stock options to employees under the 2011 Plan. The RSUs vest annually over a three year period and the stock options vest monthly over a four year period. During the year ended December 31, 2015, the Company issued 639,500 common shares related to the vesting of these RSUs, of which 114,258 shares were retained as treasury shares as settlement of employee tax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Note 12—Stock Incentive Plans and Stock Based Compensation for further information regarding the Company’s incentive equity awards.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Tax Refund</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 ended December 31, 2014, the Company received a refund of $3.2 million for UK stamp duty taxes paid in prior periods related to the issuance of common stock. Such proceeds were recorded as an increase to additional paid-in capital.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consolidated balance sheets.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year ended December 31,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inclusive of the shares issued in July 2015 as discussed below, subject to certain adjustments for dilutive events.</w:t>
      </w:r>
    </w:p>
    <w:p>
      <w:pPr>
        <w:spacing w:after="0" w:line="1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restricted American Depositary Shares and Series A Preference Shares have not been registered under the Securities Act of 1933, as amended (the “Securities Act”), or state securities laws and may not be offered or sold in the United States absent registration with the Securities and Exchange Commission (SEC) or an applicable exemption from registration requirements.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In addition, the Company agreed to use its commercially reasonable best efforts to effect and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 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is therefore reflected as an adjustment to net loss applicable to common shareholders for earnings per common share purposes in accordance with GAAP.</w:t>
      </w:r>
    </w:p>
    <w:p>
      <w:pPr>
        <w:spacing w:after="0" w:line="14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Dr. James Healy, a member of the Company’s Board, is a managing member of Sofinnova Management VII, L.L.C. and a general partner of Sofinnova.</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existence of this preferred stock purchase option was determined to be a derivative liability effective March 5, 2015, the date on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(loss) gain on change in fair value of derivatives. The liability of $1.8 million was reclassified to permanent equity (additional paid-in capital) on such date. Subsequent to approval of the Second Private Placement,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w:t>
      </w:r>
    </w:p>
    <w:p>
      <w:pPr>
        <w:spacing w:after="0" w:line="193"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and penalties related to any uncertain tax positions have historically been insignificant. The Company recognizes interest and penalties related to uncertain tax positions within the provision for income taxes. The total amount of unrecognized tax benefits that would affect the Company’s effective tax rate if recognized is $1.4 million as of December 31, 2015 and December 31, 2014.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total amounts of unrecognized tax benefits for the years ended December 31, 2015, 2014 and 2013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7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uncertain tax benefits</w:t>
            </w:r>
          </w:p>
        </w:tc>
        <w:tc>
          <w:tcPr>
            <w:tcW w:w="7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$2,487</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$1,674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Prior year—increases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Prior year—decreases</w:t>
            </w: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Current year—increases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Current year—decreases for lapses in statutes of limitations</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1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Ending uncertain tax benefits</w:t>
            </w:r>
          </w:p>
        </w:tc>
        <w:tc>
          <w:tcPr>
            <w:tcW w:w="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vMerge w:val="continue"/>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1,550</w:t>
            </w: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w:t>
            </w:r>
          </w:p>
        </w:tc>
        <w:tc>
          <w:tcPr>
            <w:tcW w:w="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160"/>
              <w:spacing w:after="0"/>
              <w:rPr>
                <w:sz w:val="20"/>
                <w:szCs w:val="20"/>
                <w:color w:val="auto"/>
              </w:rPr>
            </w:pPr>
            <w:r>
              <w:rPr>
                <w:rFonts w:ascii="Arial" w:cs="Arial" w:eastAsia="Arial" w:hAnsi="Arial"/>
                <w:sz w:val="18"/>
                <w:szCs w:val="18"/>
                <w:color w:val="auto"/>
              </w:rPr>
              <w:t>F-36</w:t>
            </w: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2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files income tax returns in the United States, Ireland and United Kingdom, or UK. The Company remains subject to tax examinations in the following jurisdictions as of December 31, 2015:</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Jurisdiction</w:t>
            </w:r>
          </w:p>
        </w:tc>
        <w:tc>
          <w:tcPr>
            <w:tcW w:w="5920" w:type="dxa"/>
            <w:vAlign w:val="bottom"/>
          </w:tcPr>
          <w:p>
            <w:pPr>
              <w:spacing w:after="0"/>
              <w:rPr>
                <w:sz w:val="15"/>
                <w:szCs w:val="15"/>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Tax Years</w:t>
            </w:r>
          </w:p>
        </w:tc>
      </w:tr>
      <w:tr>
        <w:trPr>
          <w:trHeight w:val="203"/>
        </w:trPr>
        <w:tc>
          <w:tcPr>
            <w:tcW w:w="6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 (Federal and State)</w:t>
            </w:r>
          </w:p>
        </w:tc>
        <w:tc>
          <w:tcPr>
            <w:tcW w:w="10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8"/>
              </w:rPr>
              <w:t>2012-2015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000" w:type="dxa"/>
            <w:vAlign w:val="bottom"/>
          </w:tcPr>
          <w:p>
            <w:pPr>
              <w:ind w:left="220"/>
              <w:spacing w:after="0"/>
              <w:rPr>
                <w:sz w:val="20"/>
                <w:szCs w:val="20"/>
                <w:color w:val="auto"/>
              </w:rPr>
            </w:pPr>
            <w:r>
              <w:rPr>
                <w:rFonts w:ascii="Arial" w:cs="Arial" w:eastAsia="Arial" w:hAnsi="Arial"/>
                <w:sz w:val="18"/>
                <w:szCs w:val="18"/>
                <w:color w:val="auto"/>
                <w:w w:val="88"/>
              </w:rPr>
              <w:t>2010-2015</w:t>
            </w:r>
          </w:p>
        </w:tc>
        <w:tc>
          <w:tcPr>
            <w:tcW w:w="12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2014-2015</w:t>
            </w:r>
          </w:p>
        </w:tc>
        <w:tc>
          <w:tcPr>
            <w:tcW w:w="1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gross liabilities of $579,000 to expire in 2016 based on statutory lapses.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loss from operations before taxes were as follows for the years ended December 31, 2015, 2014 and 2013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Borders>
              <w:bottom w:val="single" w:sz="8" w:color="CCEEFF"/>
            </w:tcBorders>
          </w:tcPr>
          <w:p>
            <w:pPr>
              <w:spacing w:after="0"/>
              <w:rPr>
                <w:sz w:val="14"/>
                <w:szCs w:val="14"/>
                <w:color w:val="auto"/>
              </w:rPr>
            </w:pPr>
          </w:p>
        </w:tc>
        <w:tc>
          <w:tcPr>
            <w:tcW w:w="1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(7,331)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12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Ireland and United Kingdom</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(108,153)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(51,870)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(160,187)</w:t>
            </w:r>
          </w:p>
        </w:tc>
      </w:tr>
      <w:tr>
        <w:trPr>
          <w:trHeight w:val="27"/>
        </w:trPr>
        <w:tc>
          <w:tcPr>
            <w:tcW w:w="37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(118,290)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(59,201)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(169,421)</w:t>
            </w:r>
          </w:p>
        </w:tc>
      </w:tr>
      <w:tr>
        <w:trPr>
          <w:trHeight w:val="20"/>
        </w:trPr>
        <w:tc>
          <w:tcPr>
            <w:tcW w:w="3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benefit from income taxes shown in the accompanying consolidated statements of operations consists of the following for fiscal 2015,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$ 1,053</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1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$ 1,166</w:t>
            </w:r>
          </w:p>
        </w:tc>
        <w:tc>
          <w:tcPr>
            <w:tcW w:w="32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777</w:t>
            </w:r>
          </w:p>
        </w:tc>
        <w:tc>
          <w:tcPr>
            <w:tcW w:w="32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5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Federal-U.S.</w:t>
            </w:r>
          </w:p>
        </w:tc>
        <w:tc>
          <w:tcPr>
            <w:tcW w:w="2380" w:type="dxa"/>
            <w:vAlign w:val="bottom"/>
            <w:gridSpan w:val="3"/>
          </w:tcPr>
          <w:p>
            <w:pPr>
              <w:jc w:val="right"/>
              <w:ind w:right="280"/>
              <w:spacing w:after="0"/>
              <w:rPr>
                <w:sz w:val="20"/>
                <w:szCs w:val="20"/>
                <w:color w:val="auto"/>
              </w:rPr>
            </w:pPr>
            <w:r>
              <w:rPr>
                <w:rFonts w:ascii="Arial" w:cs="Arial" w:eastAsia="Arial" w:hAnsi="Arial"/>
                <w:sz w:val="18"/>
                <w:szCs w:val="18"/>
                <w:color w:val="auto"/>
              </w:rPr>
              <w:t>(3,343)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State-U.S.</w:t>
            </w:r>
          </w:p>
        </w:tc>
        <w:tc>
          <w:tcPr>
            <w:tcW w:w="2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Ireland and United Kingdom</w:t>
            </w:r>
          </w:p>
        </w:tc>
        <w:tc>
          <w:tcPr>
            <w:tcW w:w="2380" w:type="dxa"/>
            <w:vAlign w:val="bottom"/>
            <w:gridSpan w:val="3"/>
          </w:tcPr>
          <w:p>
            <w:pPr>
              <w:jc w:val="right"/>
              <w:ind w:right="280"/>
              <w:spacing w:after="0"/>
              <w:rPr>
                <w:sz w:val="20"/>
                <w:szCs w:val="20"/>
                <w:color w:val="auto"/>
              </w:rPr>
            </w:pPr>
            <w:r>
              <w:rPr>
                <w:rFonts w:ascii="Arial" w:cs="Arial" w:eastAsia="Arial" w:hAnsi="Arial"/>
                <w:sz w:val="18"/>
                <w:szCs w:val="18"/>
                <w:color w:val="auto"/>
              </w:rPr>
              <w:t>(9,023)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3,335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(33,106)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allowance</w:t>
            </w: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(3,034)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Total deferred</w:t>
            </w:r>
          </w:p>
        </w:tc>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238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(4,252)</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(3,614)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(2,837)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benefit from income taxes differs from the amount computed by applying the statutory income tax rate to income before taxes due to the following for fiscal 2015,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4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210"/>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from taxes at statutory rate</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(29,572)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(14,786)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(42,355)</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Rate differential</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8,572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18,494</w:t>
            </w:r>
          </w:p>
        </w:tc>
        <w:tc>
          <w:tcPr>
            <w:tcW w:w="12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33,106</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(2,706)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(11,984)</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(2,008)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Tax return to provision adjustments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10,026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Cumulative translation adjustment</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7,811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8,061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Permanent and other</w:t>
            </w:r>
          </w:p>
        </w:tc>
        <w:tc>
          <w:tcPr>
            <w:tcW w:w="2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shd w:val="clear" w:color="auto" w:fill="CCEEFF"/>
          </w:tcPr>
          <w:p>
            <w:pPr>
              <w:spacing w:after="0"/>
              <w:rPr>
                <w:sz w:val="18"/>
                <w:szCs w:val="18"/>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(3,086)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(3,194)</w:t>
            </w:r>
          </w:p>
        </w:tc>
      </w:tr>
      <w:tr>
        <w:trPr>
          <w:trHeight w:val="20"/>
        </w:trPr>
        <w:tc>
          <w:tcPr>
            <w:tcW w:w="3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340" w:type="dxa"/>
            <w:vAlign w:val="bottom"/>
          </w:tcPr>
          <w:p>
            <w:pPr>
              <w:spacing w:after="0"/>
              <w:rPr>
                <w:sz w:val="24"/>
                <w:szCs w:val="24"/>
                <w:color w:val="auto"/>
              </w:rPr>
            </w:pPr>
          </w:p>
        </w:tc>
        <w:tc>
          <w:tcPr>
            <w:tcW w:w="2140" w:type="dxa"/>
            <w:vAlign w:val="bottom"/>
            <w:gridSpan w:val="2"/>
          </w:tcPr>
          <w:p>
            <w:pPr>
              <w:jc w:val="right"/>
              <w:ind w:right="903"/>
              <w:spacing w:after="0"/>
              <w:rPr>
                <w:sz w:val="20"/>
                <w:szCs w:val="20"/>
                <w:color w:val="auto"/>
              </w:rPr>
            </w:pPr>
            <w:r>
              <w:rPr>
                <w:rFonts w:ascii="Arial" w:cs="Arial" w:eastAsia="Arial" w:hAnsi="Arial"/>
                <w:sz w:val="18"/>
                <w:szCs w:val="18"/>
                <w:color w:val="auto"/>
              </w:rPr>
              <w:t>F-37</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2015, the Company recorded adjustments to its deferred tax accounts related to the impact of foreign exchange rate changes and to reconcile the financial statement accounts to the amounts reported on its filed 2014 foreign tax returns, primarily for the impact of US GAAP to local statutory adjustments. These adjustments were fully offset with valuation allowances based on the Company’s position with respect to the realizability of its recorded deferred tax assets for non-U.S. entities. The Company is subject to corporate tax rate in Ireland of 25% for non-trading activities and 12.5% for trading activities. For the years ended December 31, 2015, 2014 and 2013, the Company applied the statutory corporate tax rate of 25% for Amarin Corporation plc, reflecting the non-trading tax rate in Ireland. However, for Amarin Pharmaceuticals Ireland Limited, a wholly-owned subsidiary of Amarin Corporation plc, the Company applied the 12.5% Irish trading tax rate.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effect of each type of temporary difference comprising the net deferred tax asset as of December 31, 2015 and 2014 is as follows (in thousands):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Net operating losses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88,996</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80,096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17,975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 reserves and accrued liabilities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112,917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99,455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(94,684)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(85,965)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18,233</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assesses whether it is more-likely-than-not that the Company will realize its deferred tax assets. The Company determined that it was more-likely-than-not that the Irish, UK, and Israeli net operating losses and the related deferred tax assets would not be realized in future periods and a full valuation allowance has been provided for all periods. As of December 31, 2015, deferred tax assets of approximately $3.0 million relate to certain tax credit carryforwards resulting from excess tax benefits of stock-based compensation using the with-and-without approach, the tax benefit of which, when recognized, will be accounted for as a credit to additional paid-in capital rather than a reduction to the income tax provision. Such amount has been netted with the tax credits line in the table above.</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which changes how deferred taxes are classified on organizations’ balance sheets. The ASU eliminates the current requirement for organizations to present deferred tax liabilities and assets as current and non-current in a classified balance sheet. Instead, organizations will be required to classify all deferred tax assets and liabilities as non-current. The amendments in this ASU are effective for fiscal years beginning after December 15, 2016, including interim periods within those fiscal years. The Company early adopted ASU 2015-17 effective December 31, 2015 on a prospective basis. Adoption of this ASU resulted in a reclassification of $0.9 million of the net current deferred tax asset to the net non-current deferred tax asset in the consolidated balance sheet as of December 31, 2015. No prior periods were retrospectively adjusted.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activity in the valuation allowance for the years ended December 31, 2015 and 2014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7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valuation allowance</w:t>
            </w:r>
          </w:p>
        </w:tc>
        <w:tc>
          <w:tcPr>
            <w:tcW w:w="3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$85,965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$88,999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Increase as reflected in income tax expense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16,291</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3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(8,115)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color w:val="auto"/>
              </w:rPr>
              <w:t>Ending valuation allowance</w:t>
            </w:r>
          </w:p>
        </w:tc>
        <w:tc>
          <w:tcPr>
            <w:tcW w:w="3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vMerge w:val="continue"/>
          </w:tcPr>
          <w:p>
            <w:pPr>
              <w:spacing w:after="0"/>
              <w:rPr>
                <w:sz w:val="19"/>
                <w:szCs w:val="19"/>
                <w:color w:val="auto"/>
              </w:rPr>
            </w:pPr>
          </w:p>
        </w:tc>
        <w:tc>
          <w:tcPr>
            <w:tcW w:w="3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94,684</w:t>
            </w:r>
          </w:p>
        </w:tc>
        <w:tc>
          <w:tcPr>
            <w:tcW w:w="3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4100" w:type="dxa"/>
            <w:vAlign w:val="bottom"/>
            <w:gridSpan w:val="3"/>
          </w:tcPr>
          <w:p>
            <w:pPr>
              <w:jc w:val="right"/>
              <w:ind w:right="3200"/>
              <w:spacing w:after="0"/>
              <w:rPr>
                <w:sz w:val="20"/>
                <w:szCs w:val="20"/>
                <w:color w:val="auto"/>
              </w:rPr>
            </w:pPr>
            <w:r>
              <w:rPr>
                <w:rFonts w:ascii="Arial" w:cs="Arial" w:eastAsia="Arial" w:hAnsi="Arial"/>
                <w:sz w:val="18"/>
                <w:szCs w:val="18"/>
                <w:color w:val="auto"/>
              </w:rPr>
              <w:t>F-38</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The Company has combined Irish, UK, and Israeli net operating loss carryforwards of $565.7 million, which do not expire. The total net operating loss carryforwards increased by approximately $52.4 million from the prior year primarily as a result of current year losses generated by the Company’s Irish subsidiaries, partially offset by</w:t>
      </w:r>
    </w:p>
    <w:p>
      <w:pPr>
        <w:ind w:right="220"/>
        <w:spacing w:after="0" w:line="254" w:lineRule="auto"/>
        <w:rPr>
          <w:sz w:val="20"/>
          <w:szCs w:val="20"/>
          <w:color w:val="auto"/>
        </w:rPr>
      </w:pPr>
      <w:r>
        <w:rPr>
          <w:rFonts w:ascii="Arial" w:cs="Arial" w:eastAsia="Arial" w:hAnsi="Arial"/>
          <w:sz w:val="18"/>
          <w:szCs w:val="18"/>
          <w:color w:val="auto"/>
        </w:rPr>
        <w:t>the impact of foreign exchange rate changes and adjustments to reconcile the financial statement accounts to the amounts reported on the filed 2014 foreign tax returns. In addition, the Company has available U.S. federal tax credit carryforwards of $5.8 million and state tax credit carryforwards of $1.6 million. These amounts exclude the impact of any unrecognized tax benefits. These carryforwards, which will expire starting between 2022 and 2035, may be used to offset future taxable income, if any.</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recognized a tax benefit related to the extension of the research and development credits retroactively enacted during the fourth quarter of 2015 and recorded a benefit of approximately $1.3 million for the credit generated during the year.</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December 31, 2015, earnings of $20.6 million have been retained indefinitely for reinvestment by foreign subsidiary or there is an expectation that any reinvestment can be recovered tax-free without significant cost, and the entity expects to ultimately use that means of recovery for domestic subsidiary companies; therefore, no provision has been made for income taxes that would be payable upon the distribution of such earnings and it would not be practicable to determine the amount of the related unrecognized deferred income tax liability.</w:t>
      </w:r>
    </w:p>
    <w:p>
      <w:pPr>
        <w:spacing w:after="0" w:line="218"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 and Stock Based Compensation</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On April 29, 2011 the Board, upon the recommendation of the Remuneration Committee, adopted the 2011 Stock Incentive Plan (“2011 Plan”), which was approved by the Company’s shareholders on July 12, 2011. The 2011 Plan replaced the Company’s 2002 Stock Option Plan (“2002 Plan”), which expired on January 1, 2012. The maximum number of the Company’s Ordinary Shares of £0.50 each or any ADS’s, as to be issued under the 2011 Plan shall not exceed the sum of (i) 31.5 million newly authorized Shares available for award and (ii) the number of Shares that remained available for grants under the Company’s 2002 Plan and (iii) the number of Shares underlying then outstanding awards under the 2002 Plan that could be subsequently forfeited, cancelled, expire or are otherwise terminated. The award of stock options (both incentive and non-qualified options) and restricted stock units, and awards of unrestricted Shares to Directors are permitted. The 2011 Plan is administered by the Remuneration Committee of the Company’s Board of Directors and expires on July 12, 2021.</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to the grants under the 2011 Plan, the Company grants non-qualified stock options to employees to purchase the Company’s ordinary shares. These grants are made pursuant to employment agreements on terms consistent with the 2011 Plan.</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Under the terms of the 2011 Plan, and grants made pursuant to employment agreements, options typically vest over a four year period, expire after a ten-year term and are granted at an exercise price equal to the closing price of the Company’s American Depository Shares on the grant date. The following table summarizes all stock option activity for the year ended December 31, 2015 (in thousands, except for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Weighted</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Exercise</w:t>
            </w: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Price</w:t>
            </w: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Term</w:t>
            </w:r>
          </w:p>
        </w:tc>
        <w:tc>
          <w:tcPr>
            <w:tcW w:w="10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January 1, 2015</w:t>
            </w:r>
          </w:p>
        </w:tc>
        <w:tc>
          <w:tcPr>
            <w:tcW w:w="27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Granted</w:t>
            </w:r>
          </w:p>
        </w:tc>
        <w:tc>
          <w:tcPr>
            <w:tcW w:w="3860" w:type="dxa"/>
            <w:vAlign w:val="bottom"/>
            <w:gridSpan w:val="3"/>
          </w:tcPr>
          <w:p>
            <w:pPr>
              <w:jc w:val="right"/>
              <w:ind w:right="520"/>
              <w:spacing w:after="0"/>
              <w:rPr>
                <w:sz w:val="20"/>
                <w:szCs w:val="20"/>
                <w:color w:val="auto"/>
              </w:rPr>
            </w:pPr>
            <w:r>
              <w:rPr>
                <w:rFonts w:ascii="Arial" w:cs="Arial" w:eastAsia="Arial" w:hAnsi="Arial"/>
                <w:sz w:val="18"/>
                <w:szCs w:val="18"/>
                <w:color w:val="auto"/>
              </w:rPr>
              <w:t>7,976</w:t>
            </w: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2.16</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Cancelled/Expired</w:t>
            </w:r>
          </w:p>
        </w:tc>
        <w:tc>
          <w:tcPr>
            <w:tcW w:w="3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3.75</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Exercised</w:t>
            </w:r>
          </w:p>
        </w:tc>
        <w:tc>
          <w:tcPr>
            <w:tcW w:w="27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1.76</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2015</w:t>
            </w:r>
          </w:p>
        </w:tc>
        <w:tc>
          <w:tcPr>
            <w:tcW w:w="2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17,818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3.76</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8.0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2015</w:t>
            </w:r>
          </w:p>
        </w:tc>
        <w:tc>
          <w:tcPr>
            <w:tcW w:w="2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w w:val="91"/>
              </w:rPr>
              <w:t>6.9 years</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3860" w:type="dxa"/>
            <w:vAlign w:val="bottom"/>
            <w:gridSpan w:val="3"/>
          </w:tcPr>
          <w:p>
            <w:pPr>
              <w:jc w:val="right"/>
              <w:ind w:right="520"/>
              <w:spacing w:after="0"/>
              <w:rPr>
                <w:sz w:val="20"/>
                <w:szCs w:val="20"/>
                <w:color w:val="auto"/>
              </w:rPr>
            </w:pPr>
            <w:r>
              <w:rPr>
                <w:rFonts w:ascii="Arial" w:cs="Arial" w:eastAsia="Arial" w:hAnsi="Arial"/>
                <w:sz w:val="18"/>
                <w:szCs w:val="18"/>
                <w:color w:val="auto"/>
              </w:rPr>
              <w:t>9,406</w:t>
            </w:r>
          </w:p>
        </w:tc>
        <w:tc>
          <w:tcPr>
            <w:tcW w:w="1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5.02</w:t>
            </w:r>
          </w:p>
        </w:tc>
        <w:tc>
          <w:tcPr>
            <w:tcW w:w="12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December 31, 2015</w:t>
            </w:r>
          </w:p>
        </w:tc>
        <w:tc>
          <w:tcPr>
            <w:tcW w:w="27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4.04</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8.1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 as of December 31, 2015</w:t>
            </w:r>
          </w:p>
        </w:tc>
        <w:tc>
          <w:tcPr>
            <w:tcW w:w="2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8,960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60" w:type="dxa"/>
            <w:vAlign w:val="bottom"/>
            <w:gridSpan w:val="3"/>
          </w:tcPr>
          <w:p>
            <w:pPr>
              <w:jc w:val="right"/>
              <w:ind w:right="2560"/>
              <w:spacing w:after="0"/>
              <w:rPr>
                <w:sz w:val="20"/>
                <w:szCs w:val="20"/>
                <w:color w:val="auto"/>
              </w:rPr>
            </w:pPr>
            <w:r>
              <w:rPr>
                <w:rFonts w:ascii="Arial" w:cs="Arial" w:eastAsia="Arial" w:hAnsi="Arial"/>
                <w:sz w:val="18"/>
                <w:szCs w:val="18"/>
                <w:color w:val="auto"/>
              </w:rPr>
              <w:t>F-39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weighted average fair value of the stock options granted during the years ended December 31, 2015, 2014 and 2013 was $2.16, $1.58 and $6.18, respectively.</w:t>
      </w:r>
    </w:p>
    <w:p>
      <w:pPr>
        <w:spacing w:after="0" w:line="20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years ended December 31, 2015 and 2014, the Company received cash of $31 thousand and $0.3 million from the exercise of options. The intrinsic value of options exercised during 2015 was $6 thousand and $0.2 million during 2014. As of December 31, 2015 and 2014, there was $14.1 million and $9.4 million of unrecognized stock-based compensation expense related to unvested stock option share-based compensation arrangements granted under the Company’s stock award plans. This expense is expected to be recognized over a weighted-average period of approximately 3.0 years. There was a benefit of $0.7 million and a provision of $2.3 million for the years ended December 31, 2015 and 2014, respectively, reflected within the consolidated statement of cash flows related to excess tax provision on the U.S. federal level that have been realized as an increase in taxes payable. The Company recognizes compensation expense for the fair values of those awards which have graded vesting on a straight line basis.</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fair value of options on the date of grant was estimated using the Black-Scholes option pricing model. Use of a valuation model requires management to make certain assumptions with respect to selected model inputs. Expected stock price volatility was calculated based on the historical volatility of the Company’s common stock over the expected life of the option. The expected life was determined based on the short-cut method based on the term and vesting period. The risk-free interest rate is based on zero-coupon U.S. Treasury securities with a maturity term approximating the expected life of the option at the date of grant. No dividend yield has been assumed as the Company does not currently pay dividends on its common stock and does not anticipate doing so in the foreseeable future. Estimated forfeitures are based on the Company’s historical forfeiture activity.</w:t>
      </w:r>
    </w:p>
    <w:p>
      <w:pPr>
        <w:spacing w:after="0" w:line="120"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Employee stock options granted prior to June 30, 2009 generally vested over a three-year service period. Employee stock options granted after June 30, 2009 generally vest over a four-year service period and all stock options are settled by the issuance of new shares. Compensation expense recognized for all option grants is net of estimated forfeitures and is recognized over the awards’ respective requisite service periods. The vesting of certain stock options is contingent upon the attainment of performance criteria. The probability that such criteria will be achieved is assessed by management and compensation expense for such awards is only recorded to the extent that the attainment of the performance criteria is deemed to be probable. The Company recorded compensation expense in relation to stock options of $7.9 million, $7.7 million and $14.3 million for the years ended December 31, 2015, 2014 and 2013,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For 2015, 2014 and 2013, the Company used the following assumptions to estimate the fair value of share-based payment awards: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8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10"/>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 free interest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 - 1.68%</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1.37% - 1.68%</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0.91% - 2.07%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3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0.00%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86% - 97%</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97% - 109%</w:t>
            </w:r>
          </w:p>
        </w:tc>
        <w:tc>
          <w:tcPr>
            <w:tcW w:w="38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91% - 110%</w:t>
            </w:r>
          </w:p>
        </w:tc>
      </w:tr>
      <w:tr>
        <w:trPr>
          <w:trHeight w:val="356"/>
        </w:trPr>
        <w:tc>
          <w:tcPr>
            <w:tcW w:w="450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color w:val="auto"/>
              </w:rPr>
              <w:t>F-40</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2011 Plan also allows for granting of restricted stock unit awards under the terms of the Plan. The restricted stock units vest based upon a time-based service condition, a performance condition, or both. The probability that any performance criteria will be achieved is assessed by management and compensation expense for such awards is only recorded to the extent that the attainment of the performance criteria is deemed to be probable. Restricted stock units are recorded as compensation expense based on fair value, representing the market value of the Company’s common stock on the date of grant. The fair value of restricted stock units is amortized on a straight-line basis through the statement of operations over the service period until the shares have vested. The following table presents the restricted stock unit activity for the years ended December 31, 2015 and 2014 (in thousands, except for weighted average amounts):</w:t>
      </w:r>
    </w:p>
    <w:p>
      <w:pPr>
        <w:spacing w:after="0" w:line="14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Grant Date Fair</w:t>
            </w: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Shares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Outstanding—as of January 1, 2014</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rPr>
              <w:t>2,255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December 31, 2014</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rPr>
              <w:t>9,888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(436)</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Outstanding—as of December 31, 2015</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10,887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recorded compensation expense in relation to restricted stock units of $6.0 million, $1.4 million and $0.4 million for the years ended December 31, 2015, 2014 and 2013 respectively.</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presents the stock-based compensation expense related to stock based awards for the years ended December 31, 2015, 2014 and 2013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2015</w:t>
            </w: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$2,701</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10,609</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11,848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13,889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makes available a 401(k) plan for its U.S. employees to which it made contributions in prior years. The Company did not make any contributions in 2015, 2014 or 2013.</w:t>
      </w:r>
    </w:p>
    <w:p>
      <w:pPr>
        <w:spacing w:after="0" w:line="207" w:lineRule="exact"/>
        <w:rPr>
          <w:sz w:val="20"/>
          <w:szCs w:val="20"/>
          <w:color w:val="auto"/>
        </w:rPr>
      </w:pPr>
    </w:p>
    <w:p>
      <w:pPr>
        <w:jc w:val="both"/>
        <w:ind w:left="240" w:right="8840" w:hanging="232"/>
        <w:spacing w:after="0" w:line="391" w:lineRule="auto"/>
        <w:tabs>
          <w:tab w:leader="none" w:pos="48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u w:val="single" w:color="auto"/>
          <w:color w:val="auto"/>
        </w:rPr>
        <w:t>October 2009 Private Placement</w:t>
      </w:r>
    </w:p>
    <w:p>
      <w:pPr>
        <w:spacing w:after="0" w:line="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Several of Amarin’s current and former directors and funds connected with them purchased approximately 36.0 million of its ADSs (in the form of common stock) in the October 2009 private placement, including: (i) 17 million ADSs purchased by funds managed by Abingworth LLP, where Dr. Joseph Anderson, a former Director of Amarin, is a partner; (ii) 7 million ADSs purchased by Orbimed Advisors LLC, where Dr. Carl L. Gordon, a former Director of Amarin, is a General Partner; (iii) 7 million ADSs purchased by Sofinnova Venture Partners VII, L.P., where Dr. James I. Healy, a Director of Amarin, is a Managing General Partner; and (iv) 5 million ADSs purchased by Fountain Healthcare Partners Fund 1, L.P. Fountain Healthcare Partners Ltd. 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sole General Partner of Fountain Healthcare Partners Fund 1, L.P. Dr. Manus Rogan is a Managing Partner of Fountain Healthcare Partners Ltd. and until December 2011 was a non-executive director of Amarin. In addition, for every ADS purchased, the investor received warrants to purchase 0.5 (one half) of an ADS. No warrants remained outstanding as of December 31, 2015. Therefore, the fair value of the warrants held by the current and former directors of the Company and their related investment funds amounted to zero.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March 2015 Private Placement</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March 30, 2015, in connection with the closing of the initial private placement described in Note 10, and pursuant to a pre-existing contractual right to participate in certain private placement transactions effected by the Company, the Company entered into a separate subscription agreement with an existing investor, Sofinnova.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as-if-converted-to-ordinary-shares basis) resulting in gross proceeds to the Company of $5.8 million. The shares are owned directly by Sofinnova. Dr. James Healy (“Healy”), a member of the Company’s Board and a managing member of Sofinnova Management VII, L.L.C., is a general partner of Sofinnova and may be deemed to have shared voting and dispositive power over the shares owned by Sofinnova. Healy disclaims beneficial ownership over the shares owned by Sofinnova except to the extent of any pecuniary interest therein.</w:t>
      </w:r>
    </w:p>
    <w:p>
      <w:pPr>
        <w:spacing w:after="0" w:line="193"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Summarized Financial Information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10"/>
          </w:tcPr>
          <w:p>
            <w:pPr>
              <w:jc w:val="right"/>
              <w:ind w:right="660"/>
              <w:spacing w:after="0"/>
              <w:rPr>
                <w:sz w:val="20"/>
                <w:szCs w:val="20"/>
                <w:color w:val="auto"/>
              </w:rPr>
            </w:pPr>
            <w:r>
              <w:rPr>
                <w:rFonts w:ascii="Arial" w:cs="Arial" w:eastAsia="Arial" w:hAnsi="Arial"/>
                <w:sz w:val="14"/>
                <w:szCs w:val="14"/>
                <w:b w:val="1"/>
                <w:bCs w:val="1"/>
                <w:color w:val="auto"/>
                <w:w w:val="93"/>
              </w:rPr>
              <w:t>Fiscal years ended December 31, 2015 and 2014</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78"/>
              </w:rPr>
              <w:t>1st</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2nd</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3rd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75"/>
              </w:rPr>
              <w:t>4th</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8"/>
              </w:rPr>
              <w:t>Quarter</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8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60" w:type="dxa"/>
            <w:vAlign w:val="bottom"/>
            <w:gridSpan w:val="10"/>
          </w:tcPr>
          <w:p>
            <w:pPr>
              <w:ind w:left="440"/>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15,933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10,967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w w:val="98"/>
              </w:rPr>
              <w:t>17,707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12,606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98"/>
              </w:rPr>
              <w:t>21,483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14,149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26,633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16,480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w w:val="93"/>
              </w:rPr>
              <w:t>Net (loss) income applicable to common shareholders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(31,994)</w:t>
            </w:r>
          </w:p>
        </w:tc>
        <w:tc>
          <w:tcPr>
            <w:tcW w:w="3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(25,980)</w:t>
            </w:r>
          </w:p>
        </w:tc>
        <w:tc>
          <w:tcPr>
            <w:tcW w:w="8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Arial" w:cs="Arial" w:eastAsia="Arial" w:hAnsi="Arial"/>
                <w:sz w:val="18"/>
                <w:szCs w:val="18"/>
                <w:color w:val="auto"/>
                <w:w w:val="89"/>
              </w:rPr>
              <w:t>(62,853)</w:t>
            </w: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15,323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41"/>
              <w:spacing w:after="0"/>
              <w:rPr>
                <w:sz w:val="20"/>
                <w:szCs w:val="20"/>
                <w:color w:val="auto"/>
              </w:rPr>
            </w:pPr>
            <w:r>
              <w:rPr>
                <w:rFonts w:ascii="Arial" w:cs="Arial" w:eastAsia="Arial" w:hAnsi="Arial"/>
                <w:sz w:val="18"/>
                <w:szCs w:val="18"/>
                <w:color w:val="auto"/>
                <w:w w:val="89"/>
              </w:rPr>
              <w:t>(32,321)</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(26,050)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(21,891)</w:t>
            </w:r>
          </w:p>
        </w:tc>
        <w:tc>
          <w:tcPr>
            <w:tcW w:w="3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(19,657)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3"/>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1"/>
              <w:spacing w:after="0"/>
              <w:rPr>
                <w:sz w:val="20"/>
                <w:szCs w:val="20"/>
                <w:color w:val="auto"/>
              </w:rPr>
            </w:pPr>
            <w:r>
              <w:rPr>
                <w:rFonts w:ascii="Arial" w:cs="Arial" w:eastAsia="Arial" w:hAnsi="Arial"/>
                <w:sz w:val="18"/>
                <w:szCs w:val="18"/>
                <w:color w:val="auto"/>
              </w:rPr>
              <w:t>(0.18)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bl>
    <w:p>
      <w:pPr>
        <w:spacing w:after="0" w:line="229"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1"/>
          <w:szCs w:val="11"/>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exchange for Kowa Pharmaceuticals America, Inc.’s co-promotional services, Kowa Pharmaceuticals America, Inc. is entitled to a quarterly co-promotion fee based on a percentage of Vascepa gross margin that increases during the Agreement’s term, from the high single digits in 2014 to the low twenty percent level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co-promotion fee in effect prior to such expiration or termination for periods ranging from one to three years following such expiration or termination.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2015 and 2014, the Company had a net payable of $2.5 million and a net receivable of $0.6 million, respectively, from Kowa Pharmaceuticals America, Inc. representing co-promotion fees payable to Kowa Pharmaceuticals America, Inc. net of reimbursable amounts incurred for samples and other marketing expenses.</w:t>
      </w:r>
    </w:p>
    <w:p>
      <w:pPr>
        <w:spacing w:after="0" w:line="215"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Consequently, the Company recognized $0.8 million of the up-front payment as licensing revenue during the year ended December 31, 2015 and recorded $14.2 million as deferred revenue as of December 31, 2015.</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non-refundable, up-front payment, the Company is entitled to receive certain regulatory and sales-based milestone payments of up to an additional $154.0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sales-based milestone events occur when annual aggregate net sales of Vascepa in the territory equals or exceeds certain specified thresholds. Each such milestone payment shall be payable only once regardless of how many times the sales milestone event is achieved. Each such milestone payment is non-refundable and non-creditable against any other milestone payments. The Company recognizes contingent consideration from activities that is earned upon the achievement of a substantive milestone in the period in which the milestone is achieved.</w:t>
      </w:r>
    </w:p>
    <w:p>
      <w:pPr>
        <w:spacing w:after="0" w:line="193" w:lineRule="exact"/>
        <w:rPr>
          <w:sz w:val="20"/>
          <w:szCs w:val="20"/>
          <w:color w:val="auto"/>
        </w:rPr>
      </w:pPr>
    </w:p>
    <w:p>
      <w:pPr>
        <w:ind w:left="480" w:hanging="472"/>
        <w:spacing w:after="0"/>
        <w:tabs>
          <w:tab w:leader="none" w:pos="4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from December 31, 2015 through the date of the issuance of these consolidated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60" w:right="25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460" w:type="dxa"/>
            <w:vAlign w:val="bottom"/>
            <w:gridSpan w:val="3"/>
          </w:tcPr>
          <w:p>
            <w:pPr>
              <w:ind w:left="400"/>
              <w:spacing w:after="0"/>
              <w:rPr>
                <w:sz w:val="20"/>
                <w:szCs w:val="20"/>
                <w:color w:val="auto"/>
              </w:rPr>
            </w:pPr>
            <w:r>
              <w:rPr>
                <w:rFonts w:ascii="Arial" w:cs="Arial" w:eastAsia="Arial" w:hAnsi="Arial"/>
                <w:sz w:val="18"/>
                <w:szCs w:val="18"/>
                <w:b w:val="1"/>
                <w:bCs w:val="1"/>
                <w:color w:val="auto"/>
                <w:w w:val="86"/>
              </w:rPr>
              <w:t>Subsidiaries of the Registrant as of December 31, 2015</w:t>
            </w:r>
          </w:p>
        </w:tc>
      </w:tr>
      <w:tr>
        <w:trPr>
          <w:trHeight w:val="353"/>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2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Jurisdiction</w:t>
            </w:r>
          </w:p>
        </w:tc>
        <w:tc>
          <w:tcPr>
            <w:tcW w:w="1020" w:type="dxa"/>
            <w:vAlign w:val="bottom"/>
          </w:tcPr>
          <w:p>
            <w:pPr>
              <w:spacing w:after="0"/>
              <w:rPr>
                <w:sz w:val="24"/>
                <w:szCs w:val="24"/>
                <w:color w:val="auto"/>
              </w:rPr>
            </w:pPr>
          </w:p>
        </w:tc>
      </w:tr>
      <w:tr>
        <w:trPr>
          <w:trHeight w:val="201"/>
        </w:trPr>
        <w:tc>
          <w:tcPr>
            <w:tcW w:w="3280" w:type="dxa"/>
            <w:vAlign w:val="bottom"/>
            <w:gridSpan w:val="2"/>
          </w:tcPr>
          <w:p>
            <w:pPr>
              <w:spacing w:after="0" w:line="201" w:lineRule="exact"/>
              <w:rPr>
                <w:sz w:val="20"/>
                <w:szCs w:val="20"/>
                <w:color w:val="auto"/>
              </w:rPr>
            </w:pPr>
            <w:r>
              <w:rPr>
                <w:rFonts w:ascii="Arial" w:cs="Arial" w:eastAsia="Arial" w:hAnsi="Arial"/>
                <w:sz w:val="18"/>
                <w:szCs w:val="18"/>
                <w:color w:val="auto"/>
              </w:rPr>
              <w:t>Amarin Pharmaceuticals Ireland Limited</w:t>
            </w:r>
          </w:p>
        </w:tc>
        <w:tc>
          <w:tcPr>
            <w:tcW w:w="2780" w:type="dxa"/>
            <w:vAlign w:val="bottom"/>
          </w:tcPr>
          <w:p>
            <w:pPr>
              <w:spacing w:after="0"/>
              <w:rPr>
                <w:sz w:val="17"/>
                <w:szCs w:val="17"/>
                <w:color w:val="auto"/>
              </w:rPr>
            </w:pPr>
          </w:p>
        </w:tc>
        <w:tc>
          <w:tcPr>
            <w:tcW w:w="660" w:type="dxa"/>
            <w:vAlign w:val="bottom"/>
          </w:tcPr>
          <w:p>
            <w:pPr>
              <w:spacing w:after="0" w:line="201" w:lineRule="exact"/>
              <w:rPr>
                <w:sz w:val="20"/>
                <w:szCs w:val="20"/>
                <w:color w:val="auto"/>
              </w:rPr>
            </w:pPr>
            <w:r>
              <w:rPr>
                <w:rFonts w:ascii="Arial" w:cs="Arial" w:eastAsia="Arial" w:hAnsi="Arial"/>
                <w:sz w:val="18"/>
                <w:szCs w:val="18"/>
                <w:color w:val="auto"/>
              </w:rPr>
              <w:t>Ireland</w:t>
            </w:r>
          </w:p>
        </w:tc>
        <w:tc>
          <w:tcPr>
            <w:tcW w:w="1020" w:type="dxa"/>
            <w:vAlign w:val="bottom"/>
          </w:tcPr>
          <w:p>
            <w:pPr>
              <w:spacing w:after="0"/>
              <w:rPr>
                <w:sz w:val="17"/>
                <w:szCs w:val="17"/>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Amarin Pharma, Inc.</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Amarin Neuroscience Limited</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Scotland</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Corsicanto Ltd.</w:t>
            </w:r>
          </w:p>
        </w:tc>
        <w:tc>
          <w:tcPr>
            <w:tcW w:w="278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Ester Neurosciences Limited</w:t>
            </w:r>
          </w:p>
        </w:tc>
        <w:tc>
          <w:tcPr>
            <w:tcW w:w="27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Israel</w:t>
            </w:r>
          </w:p>
        </w:tc>
      </w:tr>
    </w:tbl>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9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F-1 No. 333-163704) of Amarin Corporation plc,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S-3 No. 333-197936) of Amarin Corporation plc,</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S-8 Nos. 333-146839, 333-143358, 333-132520, 333-110704, 333-101775, and 333-168055) pertaining to the 2002 Stock Option Plan of Amarin Corporation plc,</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S-8 No. 333-168054) pertaining to the 2008 Long Term Incentive Award dated May 20, 2008 issued to Mr. Tom Maher, Mr. Alan Cooke, and Dr. Declan Doogan of Amarin Corporation plc,</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Registration Statement (Form S-8 Nos. 333-176877, 333-183160, and 333-205863) pertaining to the 2011 Stock Incentive Plan of Amarin Corporation plc,</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S-8 No. 333-180180) ) pertaining to the Employment Inducement Award of Amarin Corporation plc,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S-8 No. 333-84152),</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S-3 No. 333-203312) of Amarin Corporation plc,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Registration Statement (Form S-3 No. 333-205861) of Amarin Corporation plc;</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our reports dated February 25, 2016, with respect to the consolidated financial statements of Amarin Corporation plc, and the effectiveness of internal control over financial reporting of Amarin Corporation plc included in this Annual Report (Form 10-K) of Amarin Corporation plc for the year ended December 31,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MetroPark,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 333-163704 on Form F-1, Registration Statement Nos. 333-197936, 333-203312 and 333-205861 on Form S-3 and Registration Statement Nos. 333-146839, 333-143358, 333-132520, 333-110704, 333-101775, 333-168055, 333-168054, 333-176877, 333-183160, 333-205863, 333-180180 and 333-84152 on Form S-8 of our report dated February 27, 2014, relating to the consolidated financial statements for the year ended December 31, 2013 of Amarin Corporation plc and subsidiaries, appearing in this Annual Report on Form 10-K of Amarin Corporation plc for the year ended December 31,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Date: February 25, 2016</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10795</wp:posOffset>
            </wp:positionV>
            <wp:extent cx="38246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6"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9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Date: February 25, 2016</w:t>
            </w:r>
          </w:p>
        </w:tc>
        <w:tc>
          <w:tcPr>
            <w:tcW w:w="62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0"/>
              </w:rPr>
              <w:t>/s/ Michael J. Farrell</w:t>
            </w:r>
          </w:p>
        </w:tc>
      </w:tr>
      <w:tr>
        <w:trPr>
          <w:trHeight w:val="202"/>
        </w:trPr>
        <w:tc>
          <w:tcPr>
            <w:tcW w:w="5180" w:type="dxa"/>
            <w:vAlign w:val="bottom"/>
          </w:tcPr>
          <w:p>
            <w:pPr>
              <w:spacing w:after="0"/>
              <w:rPr>
                <w:sz w:val="17"/>
                <w:szCs w:val="17"/>
                <w:color w:val="auto"/>
              </w:rPr>
            </w:pPr>
          </w:p>
        </w:tc>
        <w:tc>
          <w:tcPr>
            <w:tcW w:w="624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1"/>
              </w:rPr>
              <w:t>Michael J. Farrell</w:t>
            </w:r>
          </w:p>
        </w:tc>
      </w:tr>
      <w:tr>
        <w:trPr>
          <w:trHeight w:val="216"/>
        </w:trPr>
        <w:tc>
          <w:tcPr>
            <w:tcW w:w="5180" w:type="dxa"/>
            <w:vAlign w:val="bottom"/>
          </w:tcPr>
          <w:p>
            <w:pPr>
              <w:spacing w:after="0"/>
              <w:rPr>
                <w:sz w:val="18"/>
                <w:szCs w:val="18"/>
                <w:color w:val="auto"/>
              </w:rPr>
            </w:pPr>
          </w:p>
        </w:tc>
        <w:tc>
          <w:tcPr>
            <w:tcW w:w="6240" w:type="dxa"/>
            <w:vAlign w:val="bottom"/>
          </w:tcPr>
          <w:p>
            <w:pPr>
              <w:jc w:val="center"/>
              <w:ind w:left="132"/>
              <w:spacing w:after="0"/>
              <w:rPr>
                <w:sz w:val="20"/>
                <w:szCs w:val="20"/>
                <w:color w:val="auto"/>
              </w:rPr>
            </w:pPr>
            <w:r>
              <w:rPr>
                <w:rFonts w:ascii="Arial" w:cs="Arial" w:eastAsia="Arial" w:hAnsi="Arial"/>
                <w:sz w:val="18"/>
                <w:szCs w:val="18"/>
                <w:color w:val="auto"/>
                <w:w w:val="87"/>
              </w:rPr>
              <w:t>Vice President, Finance</w:t>
            </w:r>
          </w:p>
        </w:tc>
      </w:tr>
      <w:tr>
        <w:trPr>
          <w:trHeight w:val="222"/>
        </w:trPr>
        <w:tc>
          <w:tcPr>
            <w:tcW w:w="5180" w:type="dxa"/>
            <w:vAlign w:val="bottom"/>
          </w:tcPr>
          <w:p>
            <w:pPr>
              <w:spacing w:after="0"/>
              <w:rPr>
                <w:sz w:val="19"/>
                <w:szCs w:val="19"/>
                <w:color w:val="auto"/>
              </w:rPr>
            </w:pPr>
          </w:p>
        </w:tc>
        <w:tc>
          <w:tcPr>
            <w:tcW w:w="6240" w:type="dxa"/>
            <w:vAlign w:val="bottom"/>
          </w:tcPr>
          <w:p>
            <w:pPr>
              <w:jc w:val="center"/>
              <w:ind w:left="132"/>
              <w:spacing w:after="0"/>
              <w:rPr>
                <w:sz w:val="20"/>
                <w:szCs w:val="20"/>
                <w:color w:val="auto"/>
              </w:rPr>
            </w:pPr>
            <w:r>
              <w:rPr>
                <w:rFonts w:ascii="Arial" w:cs="Arial" w:eastAsia="Arial" w:hAnsi="Arial"/>
                <w:sz w:val="18"/>
                <w:szCs w:val="18"/>
                <w:color w:val="auto"/>
                <w:w w:val="91"/>
              </w:rPr>
              <w:t>(Principal Financial Officer)</w:t>
            </w:r>
          </w:p>
        </w:tc>
      </w:tr>
    </w:tbl>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John F. Thero, President and Chief Executive Officer (Principal Executive Officer) of Amarin Corporation plc (the “Company”) and Michael J. Farrell, Vice President, Finance (Principal Financial Officer) of the Company, each hereby certifies that, to the best of his knowledge:</w:t>
      </w:r>
    </w:p>
    <w:p>
      <w:pPr>
        <w:spacing w:after="0" w:line="62" w:lineRule="exact"/>
        <w:rPr>
          <w:sz w:val="20"/>
          <w:szCs w:val="20"/>
          <w:color w:val="auto"/>
        </w:rPr>
      </w:pPr>
    </w:p>
    <w:p>
      <w:pPr>
        <w:ind w:left="460" w:right="6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2015, to which this Certification is attached as Exhibit 32.1 (the “Annual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25, 2016</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February 25, 2016</w:t>
            </w:r>
          </w:p>
        </w:tc>
        <w:tc>
          <w:tcPr>
            <w:tcW w:w="560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Finance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incorporated by reference into any filing of Amarin Corporation plc under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lowerRoman"/>
      <w:start w:val="4"/>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1)"/>
      <w:numFmt w:val="decimal"/>
      <w:start w:val="1"/>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lowerRoman"/>
      <w:start w:val="1"/>
    </w:lvl>
  </w:abstractNum>
  <w:abstractNum w:abstractNumId="28">
    <w:nsid w:val="38437FDB"/>
    <w:multiLevelType w:val="hybridMultilevel"/>
    <w:lvl w:ilvl="0">
      <w:lvlJc w:val="left"/>
      <w:lvlText w:val="(%1)"/>
      <w:numFmt w:val="decimal"/>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1"/>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1)"/>
      <w:numFmt w:val="lowerRoman"/>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01"/>
    </w:lvl>
  </w:abstractNum>
  <w:abstractNum w:abstractNumId="37">
    <w:nsid w:val="75C6C33A"/>
    <w:multiLevelType w:val="hybridMultilevel"/>
    <w:lvl w:ilvl="0">
      <w:lvlJc w:val="left"/>
      <w:lvlText w:val="%1"/>
      <w:numFmt w:val="decimal"/>
      <w:start w:val="101"/>
    </w:lvl>
  </w:abstractNum>
  <w:abstractNum w:abstractNumId="38">
    <w:nsid w:val="12E685FB"/>
    <w:multiLevelType w:val="hybridMultilevel"/>
    <w:lvl w:ilvl="0">
      <w:lvlJc w:val="left"/>
      <w:lvlText w:val="%1"/>
      <w:numFmt w:val="decimal"/>
      <w:start w:val="10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2"/>
    </w:lvl>
  </w:abstractNum>
  <w:abstractNum w:abstractNumId="43">
    <w:nsid w:val="23F9C13C"/>
    <w:multiLevelType w:val="hybridMultilevel"/>
    <w:lvl w:ilvl="0">
      <w:lvlJc w:val="left"/>
      <w:lvlText w:val="(%1)"/>
      <w:numFmt w:val="lowerRoman"/>
      <w:start w:val="5"/>
    </w:lvl>
  </w:abstractNum>
  <w:abstractNum w:abstractNumId="44">
    <w:nsid w:val="649BB77C"/>
    <w:multiLevelType w:val="hybridMultilevel"/>
    <w:lvl w:ilvl="0">
      <w:lvlJc w:val="left"/>
      <w:lvlText w:val="(%1)"/>
      <w:numFmt w:val="lowerRoman"/>
      <w:start w:val="3"/>
    </w:lvl>
  </w:abstractNum>
  <w:abstractNum w:abstractNumId="45">
    <w:nsid w:val="275AC794"/>
    <w:multiLevelType w:val="hybridMultilevel"/>
    <w:lvl w:ilvl="0">
      <w:lvlJc w:val="left"/>
      <w:lvlText w:val="(%1)"/>
      <w:numFmt w:val="decimal"/>
      <w:start w:val="3"/>
    </w:lvl>
  </w:abstractNum>
  <w:abstractNum w:abstractNumId="46">
    <w:nsid w:val="39386575"/>
    <w:multiLevelType w:val="hybridMultilevel"/>
    <w:lvl w:ilvl="0">
      <w:lvlJc w:val="left"/>
      <w:lvlText w:val="(%1)"/>
      <w:numFmt w:val="decimal"/>
      <w:start w:val="4"/>
    </w:lvl>
  </w:abstractNum>
  <w:abstractNum w:abstractNumId="47">
    <w:nsid w:val="1CF10FD8"/>
    <w:multiLevelType w:val="hybridMultilevel"/>
    <w:lvl w:ilvl="0">
      <w:lvlJc w:val="left"/>
      <w:lvlText w:val="(%1)"/>
      <w:numFmt w:val="decimal"/>
      <w:start w:val="5"/>
    </w:lvl>
  </w:abstractNum>
  <w:abstractNum w:abstractNumId="48">
    <w:nsid w:val="180115BE"/>
    <w:multiLevelType w:val="hybridMultilevel"/>
    <w:lvl w:ilvl="0">
      <w:lvlJc w:val="left"/>
      <w:lvlText w:val="(%1)"/>
      <w:numFmt w:val="decimal"/>
      <w:start w:val="7"/>
    </w:lvl>
  </w:abstractNum>
  <w:abstractNum w:abstractNumId="49">
    <w:nsid w:val="235BA861"/>
    <w:multiLevelType w:val="hybridMultilevel"/>
    <w:lvl w:ilvl="0">
      <w:lvlJc w:val="left"/>
      <w:lvlText w:val="(%1)"/>
      <w:numFmt w:val="decimal"/>
      <w:start w:val="8"/>
    </w:lvl>
  </w:abstractNum>
  <w:abstractNum w:abstractNumId="50">
    <w:nsid w:val="47398C89"/>
    <w:multiLevelType w:val="hybridMultilevel"/>
    <w:lvl w:ilvl="0">
      <w:lvlJc w:val="left"/>
      <w:lvlText w:val="(%1)"/>
      <w:numFmt w:val="decimal"/>
      <w:start w:val="9"/>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0"/>
    </w:lvl>
  </w:abstractNum>
  <w:abstractNum w:abstractNumId="54">
    <w:nsid w:val="D34B6A8"/>
    <w:multiLevelType w:val="hybridMultilevel"/>
    <w:lvl w:ilvl="0">
      <w:lvlJc w:val="left"/>
      <w:lvlText w:val="(%1)"/>
      <w:numFmt w:val="decimal"/>
      <w:start w:val="11"/>
    </w:lvl>
  </w:abstractNum>
  <w:abstractNum w:abstractNumId="55">
    <w:nsid w:val="10233C99"/>
    <w:multiLevelType w:val="hybridMultilevel"/>
    <w:lvl w:ilvl="0">
      <w:lvlJc w:val="left"/>
      <w:lvlText w:val="(%1)"/>
      <w:numFmt w:val="decimal"/>
      <w:start w:val="12"/>
    </w:lvl>
  </w:abstractNum>
  <w:abstractNum w:abstractNumId="56">
    <w:nsid w:val="3F6AB60F"/>
    <w:multiLevelType w:val="hybridMultilevel"/>
    <w:lvl w:ilvl="0">
      <w:lvlJc w:val="left"/>
      <w:lvlText w:val="(%1)"/>
      <w:numFmt w:val="decimal"/>
      <w:start w:val="13"/>
    </w:lvl>
  </w:abstractNum>
  <w:abstractNum w:abstractNumId="57">
    <w:nsid w:val="61574095"/>
    <w:multiLevelType w:val="hybridMultilevel"/>
    <w:lvl w:ilvl="0">
      <w:lvlJc w:val="left"/>
      <w:lvlText w:val="(%1)"/>
      <w:numFmt w:val="decimal"/>
      <w:start w:val="14"/>
    </w:lvl>
  </w:abstractNum>
  <w:abstractNum w:abstractNumId="58">
    <w:nsid w:val="7E0C57B1"/>
    <w:multiLevelType w:val="hybridMultilevel"/>
    <w:lvl w:ilvl="0">
      <w:lvlJc w:val="left"/>
      <w:lvlText w:val="(%1)"/>
      <w:numFmt w:val="decimal"/>
      <w:start w:val="15"/>
    </w:lvl>
  </w:abstractNum>
  <w:abstractNum w:abstractNumId="59">
    <w:nsid w:val="77AE35EB"/>
    <w:multiLevelType w:val="hybridMultilevel"/>
    <w:lvl w:ilvl="0">
      <w:lvlJc w:val="left"/>
      <w:lvlText w:val="(%1)"/>
      <w:numFmt w:val="decimal"/>
      <w:start w:val="16"/>
    </w:lvl>
  </w:abstractNum>
  <w:abstractNum w:abstractNumId="60">
    <w:nsid w:val="579BE4F1"/>
    <w:multiLevelType w:val="hybridMultilevel"/>
    <w:lvl w:ilvl="0">
      <w:lvlJc w:val="left"/>
      <w:lvlText w:val="(%1)"/>
      <w:numFmt w:val="decimal"/>
      <w:start w:val="17"/>
    </w:lvl>
  </w:abstractNum>
  <w:abstractNum w:abstractNumId="61">
    <w:nsid w:val="310C50B3"/>
    <w:multiLevelType w:val="hybridMultilevel"/>
    <w:lvl w:ilvl="0">
      <w:lvlJc w:val="left"/>
      <w:lvlText w:val="(%1)"/>
      <w:numFmt w:val="decimal"/>
      <w:start w:val="18"/>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2019-12-29T13:24:15Z</dcterms:created>
  <dcterms:modified xsi:type="dcterms:W3CDTF">2019-12-29T13:24:15Z</dcterms:modified>
</cp:coreProperties>
</file>