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1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5"/>
              </w:rPr>
              <w:t>Incorporation or Organization)</w:t>
            </w:r>
          </w:p>
        </w:tc>
        <w:tc>
          <w:tcPr>
            <w:tcW w:w="3000" w:type="dxa"/>
            <w:vAlign w:val="bottom"/>
          </w:tcPr>
          <w:p>
            <w:pPr>
              <w:jc w:val="center"/>
              <w:ind w:right="156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right="1541"/>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7940" w:type="dxa"/>
            <w:vAlign w:val="bottom"/>
            <w:gridSpan w:val="3"/>
          </w:tcPr>
          <w:p>
            <w:pPr>
              <w:ind w:left="3500"/>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3000" w:type="dxa"/>
            <w:vAlign w:val="bottom"/>
          </w:tcPr>
          <w:p>
            <w:pPr>
              <w:spacing w:after="0"/>
              <w:rPr>
                <w:sz w:val="23"/>
                <w:szCs w:val="23"/>
                <w:color w:val="auto"/>
              </w:rPr>
            </w:pPr>
          </w:p>
        </w:tc>
      </w:tr>
      <w:tr>
        <w:trPr>
          <w:trHeight w:val="134"/>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3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18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296,348,903 common shares were outstanding as of July 30, 2018, including 293,569,971 shares held as American Depositary Shares (ADSs), each representing one Ordinary Share, 50 pence par value per share and 365,405 Ordinary Shares. In addition, 32,818,464 ordinary share equivalents were issuable in exchange for outstanding preferred shares as of July 30, 2018, for a total of 329,167,367 ordinary shares and ordinary share equivalents outstanding as of July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14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2018 and December 31, 2017</w:t>
              </w:r>
            </w:hyperlink>
          </w:p>
        </w:tc>
        <w:tc>
          <w:tcPr>
            <w:tcW w:w="2880" w:type="dxa"/>
            <w:vAlign w:val="bottom"/>
            <w:gridSpan w:val="5"/>
          </w:tcPr>
          <w:p>
            <w:pPr>
              <w:spacing w:after="0"/>
              <w:rPr>
                <w:sz w:val="16"/>
                <w:szCs w:val="16"/>
                <w:color w:val="auto"/>
              </w:rPr>
            </w:pPr>
          </w:p>
        </w:tc>
        <w:tc>
          <w:tcPr>
            <w:tcW w:w="10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2018 and 2017</w:t>
              </w:r>
            </w:hyperlink>
          </w:p>
        </w:tc>
        <w:tc>
          <w:tcPr>
            <w:tcW w:w="106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Stockholders’ Deficit for the six months ended June 30, 2018</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2018 and 2017</w:t>
              </w:r>
            </w:hyperlink>
          </w:p>
        </w:tc>
        <w:tc>
          <w:tcPr>
            <w:tcW w:w="760" w:type="dxa"/>
            <w:vAlign w:val="bottom"/>
            <w:tcBorders>
              <w:top w:val="single" w:sz="8" w:color="0000EE"/>
            </w:tcBorders>
            <w:gridSpan w:val="2"/>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20" w:type="dxa"/>
            <w:vAlign w:val="bottom"/>
            <w:gridSpan w:val="10"/>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472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1"/>
          </w:tcPr>
          <w:p>
            <w:pPr>
              <w:jc w:val="center"/>
              <w:ind w:right="3400"/>
              <w:spacing w:after="0"/>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4"/>
          </w:tcPr>
          <w:p>
            <w:pPr>
              <w:spacing w:after="0"/>
              <w:rPr>
                <w:sz w:val="24"/>
                <w:szCs w:val="24"/>
                <w:color w:val="auto"/>
              </w:rPr>
            </w:pPr>
          </w:p>
        </w:tc>
        <w:tc>
          <w:tcPr>
            <w:tcW w:w="3400" w:type="dxa"/>
            <w:vAlign w:val="bottom"/>
            <w:gridSpan w:val="7"/>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020" w:type="dxa"/>
            <w:vAlign w:val="bottom"/>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4680" w:type="dxa"/>
            <w:vAlign w:val="bottom"/>
            <w:gridSpan w:val="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0"/>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2017</w:t>
            </w:r>
          </w:p>
        </w:tc>
      </w:tr>
      <w:tr>
        <w:trPr>
          <w:trHeight w:val="223"/>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102,257</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73,637</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45,318</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Inventory, net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30,260</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assets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153,270</w:t>
            </w:r>
          </w:p>
        </w:tc>
        <w:tc>
          <w:tcPr>
            <w:tcW w:w="12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Intangible asset, net</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120" w:type="dxa"/>
            <w:vAlign w:val="bottom"/>
            <w:shd w:val="clear" w:color="auto" w:fill="CFF0FC"/>
          </w:tcPr>
          <w:p>
            <w:pPr>
              <w:spacing w:after="0"/>
              <w:rPr>
                <w:sz w:val="19"/>
                <w:szCs w:val="19"/>
                <w:color w:val="auto"/>
              </w:rPr>
            </w:pPr>
          </w:p>
        </w:tc>
      </w:tr>
      <w:tr>
        <w:trPr>
          <w:trHeight w:val="263"/>
        </w:trPr>
        <w:tc>
          <w:tcPr>
            <w:tcW w:w="714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204,131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161,598</w:t>
            </w:r>
          </w:p>
        </w:tc>
        <w:tc>
          <w:tcPr>
            <w:tcW w:w="120" w:type="dxa"/>
            <w:vAlign w:val="bottom"/>
            <w:tcBorders>
              <w:bottom w:val="single" w:sz="8" w:color="CFF0FC"/>
            </w:tcBorders>
          </w:tcPr>
          <w:p>
            <w:pPr>
              <w:spacing w:after="0"/>
              <w:rPr>
                <w:sz w:val="22"/>
                <w:szCs w:val="22"/>
                <w:color w:val="auto"/>
              </w:rPr>
            </w:pP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34,471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25,155</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58,902</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exchangeable senior notes, net of discount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22,348</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liabilities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108,530</w:t>
            </w:r>
          </w:p>
        </w:tc>
        <w:tc>
          <w:tcPr>
            <w:tcW w:w="12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Liabilities: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Exchangeable senior notes, net of discount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28,992</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70,834</w:t>
            </w: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500"/>
              <w:spacing w:after="0"/>
              <w:rPr>
                <w:sz w:val="20"/>
                <w:szCs w:val="20"/>
                <w:color w:val="auto"/>
              </w:rPr>
            </w:pPr>
            <w:r>
              <w:rPr>
                <w:rFonts w:ascii="Arial" w:cs="Arial" w:eastAsia="Arial" w:hAnsi="Arial"/>
                <w:sz w:val="18"/>
                <w:szCs w:val="18"/>
                <w:color w:val="auto"/>
              </w:rPr>
              <w:t>Deferred revenue, long-term</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17,192</w:t>
            </w:r>
          </w:p>
        </w:tc>
        <w:tc>
          <w:tcPr>
            <w:tcW w:w="120" w:type="dxa"/>
            <w:vAlign w:val="bottom"/>
          </w:tcPr>
          <w:p>
            <w:pPr>
              <w:spacing w:after="0"/>
              <w:rPr>
                <w:sz w:val="19"/>
                <w:szCs w:val="19"/>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r>
      <w:tr>
        <w:trPr>
          <w:trHeight w:val="223"/>
        </w:trPr>
        <w:tc>
          <w:tcPr>
            <w:tcW w:w="71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liabilities</w:t>
            </w:r>
          </w:p>
        </w:tc>
        <w:tc>
          <w:tcPr>
            <w:tcW w:w="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226,698</w:t>
            </w:r>
          </w:p>
        </w:tc>
        <w:tc>
          <w:tcPr>
            <w:tcW w:w="120" w:type="dxa"/>
            <w:vAlign w:val="bottom"/>
            <w:tcBorders>
              <w:bottom w:val="single" w:sz="8" w:color="CFF0FC"/>
            </w:tcBorders>
          </w:tcPr>
          <w:p>
            <w:pPr>
              <w:spacing w:after="0"/>
              <w:rPr>
                <w:sz w:val="19"/>
                <w:szCs w:val="19"/>
                <w:color w:val="auto"/>
              </w:rPr>
            </w:pPr>
          </w:p>
        </w:tc>
      </w:tr>
      <w:tr>
        <w:trPr>
          <w:trHeight w:val="223"/>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and contingencies (Note 6)</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Stockholders’ Deficit:</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Convertible Preferred Stock, £0.05 par, unlimited authorized;</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328,184,640 shares issued and outstanding as of June 30, 2018 and</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2017 (equivalent to 32,818,464 ordinary shares upon</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future consolidation and redesignation at a 10:1 ratio)</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24,364</w:t>
            </w:r>
          </w:p>
        </w:tc>
        <w:tc>
          <w:tcPr>
            <w:tcW w:w="120" w:type="dxa"/>
            <w:vAlign w:val="bottom"/>
            <w:shd w:val="clear" w:color="auto" w:fill="CFF0FC"/>
          </w:tcPr>
          <w:p>
            <w:pPr>
              <w:spacing w:after="0"/>
              <w:rPr>
                <w:sz w:val="20"/>
                <w:szCs w:val="20"/>
                <w:color w:val="auto"/>
              </w:rPr>
            </w:pPr>
          </w:p>
        </w:tc>
      </w:tr>
      <w:tr>
        <w:trPr>
          <w:trHeight w:val="215"/>
        </w:trPr>
        <w:tc>
          <w:tcPr>
            <w:tcW w:w="7140" w:type="dxa"/>
            <w:vAlign w:val="bottom"/>
          </w:tcPr>
          <w:p>
            <w:pPr>
              <w:ind w:left="500"/>
              <w:spacing w:after="0"/>
              <w:rPr>
                <w:sz w:val="20"/>
                <w:szCs w:val="20"/>
                <w:color w:val="auto"/>
              </w:rPr>
            </w:pPr>
            <w:r>
              <w:rPr>
                <w:rFonts w:ascii="Arial" w:cs="Arial" w:eastAsia="Arial" w:hAnsi="Arial"/>
                <w:sz w:val="18"/>
                <w:szCs w:val="18"/>
                <w:color w:val="auto"/>
              </w:rPr>
              <w:t>Common stock, £0.50 par, unlimited authorized; 296,348,903 issued, 293,935,376</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40" w:type="dxa"/>
            <w:vAlign w:val="bottom"/>
          </w:tcPr>
          <w:p>
            <w:pPr>
              <w:ind w:left="640"/>
              <w:spacing w:after="0"/>
              <w:rPr>
                <w:sz w:val="20"/>
                <w:szCs w:val="20"/>
                <w:color w:val="auto"/>
              </w:rPr>
            </w:pPr>
            <w:r>
              <w:rPr>
                <w:rFonts w:ascii="Arial" w:cs="Arial" w:eastAsia="Arial" w:hAnsi="Arial"/>
                <w:sz w:val="18"/>
                <w:szCs w:val="18"/>
                <w:color w:val="auto"/>
              </w:rPr>
              <w:t>outstanding as of June 30, 2018; 272,719,044 issued, 271,022,011 outstanding</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40" w:type="dxa"/>
            <w:vAlign w:val="bottom"/>
          </w:tcPr>
          <w:p>
            <w:pPr>
              <w:ind w:left="640"/>
              <w:spacing w:after="0"/>
              <w:rPr>
                <w:sz w:val="20"/>
                <w:szCs w:val="20"/>
                <w:color w:val="auto"/>
              </w:rPr>
            </w:pPr>
            <w:r>
              <w:rPr>
                <w:rFonts w:ascii="Arial" w:cs="Arial" w:eastAsia="Arial" w:hAnsi="Arial"/>
                <w:sz w:val="18"/>
                <w:szCs w:val="18"/>
                <w:color w:val="auto"/>
              </w:rPr>
              <w:t>as of December 31, 2017</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225,507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208,768</w:t>
            </w:r>
          </w:p>
        </w:tc>
        <w:tc>
          <w:tcPr>
            <w:tcW w:w="120" w:type="dxa"/>
            <w:vAlign w:val="bottom"/>
          </w:tcPr>
          <w:p>
            <w:pPr>
              <w:spacing w:after="0"/>
              <w:rPr>
                <w:sz w:val="20"/>
                <w:szCs w:val="20"/>
                <w:color w:val="auto"/>
              </w:rPr>
            </w:pP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1,040,743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977,866</w:t>
            </w:r>
          </w:p>
        </w:tc>
        <w:tc>
          <w:tcPr>
            <w:tcW w:w="120" w:type="dxa"/>
            <w:vAlign w:val="bottom"/>
            <w:shd w:val="clear" w:color="auto" w:fill="CFF0FC"/>
          </w:tcPr>
          <w:p>
            <w:pPr>
              <w:spacing w:after="0"/>
              <w:rPr>
                <w:sz w:val="19"/>
                <w:szCs w:val="19"/>
                <w:color w:val="auto"/>
              </w:rPr>
            </w:pPr>
          </w:p>
        </w:tc>
      </w:tr>
      <w:tr>
        <w:trPr>
          <w:trHeight w:val="215"/>
        </w:trPr>
        <w:tc>
          <w:tcPr>
            <w:tcW w:w="7140" w:type="dxa"/>
            <w:vAlign w:val="bottom"/>
          </w:tcPr>
          <w:p>
            <w:pPr>
              <w:ind w:left="500"/>
              <w:spacing w:after="0"/>
              <w:rPr>
                <w:sz w:val="20"/>
                <w:szCs w:val="20"/>
                <w:color w:val="auto"/>
              </w:rPr>
            </w:pPr>
            <w:r>
              <w:rPr>
                <w:rFonts w:ascii="Arial" w:cs="Arial" w:eastAsia="Arial" w:hAnsi="Arial"/>
                <w:sz w:val="18"/>
                <w:szCs w:val="18"/>
                <w:color w:val="auto"/>
              </w:rPr>
              <w:t>Treasury stock; 2,413,527 shares as of June 30, 2018; 1,697,033 shares as of</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40" w:type="dxa"/>
            <w:vAlign w:val="bottom"/>
          </w:tcPr>
          <w:p>
            <w:pPr>
              <w:ind w:left="640"/>
              <w:spacing w:after="0"/>
              <w:rPr>
                <w:sz w:val="20"/>
                <w:szCs w:val="20"/>
                <w:color w:val="auto"/>
              </w:rPr>
            </w:pPr>
            <w:r>
              <w:rPr>
                <w:rFonts w:ascii="Arial" w:cs="Arial" w:eastAsia="Arial" w:hAnsi="Arial"/>
                <w:sz w:val="18"/>
                <w:szCs w:val="18"/>
                <w:color w:val="auto"/>
              </w:rPr>
              <w:t>December 31, 2017</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(6,909)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(4,229)</w:t>
            </w:r>
          </w:p>
        </w:tc>
      </w:tr>
      <w:tr>
        <w:trPr>
          <w:trHeight w:val="230"/>
        </w:trPr>
        <w:tc>
          <w:tcPr>
            <w:tcW w:w="7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(1,330,392)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(1,271,869)</w:t>
            </w:r>
          </w:p>
        </w:tc>
      </w:tr>
      <w:tr>
        <w:trPr>
          <w:trHeight w:val="223"/>
        </w:trPr>
        <w:tc>
          <w:tcPr>
            <w:tcW w:w="71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stockholders’ deficit</w:t>
            </w:r>
          </w:p>
        </w:tc>
        <w:tc>
          <w:tcPr>
            <w:tcW w:w="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(65,100)</w:t>
            </w:r>
          </w:p>
        </w:tc>
        <w:tc>
          <w:tcPr>
            <w:tcW w:w="120" w:type="dxa"/>
            <w:vAlign w:val="bottom"/>
            <w:tcBorders>
              <w:bottom w:val="single" w:sz="8" w:color="CFF0FC"/>
            </w:tcBorders>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LIABILITIES AND STOCKHOLDERS’ DEFICIT</w:t>
            </w:r>
          </w:p>
        </w:tc>
        <w:tc>
          <w:tcPr>
            <w:tcW w:w="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(1,773)</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(4,025)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1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(58,305)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293,662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270,725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289,458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456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8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Treasury</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Stock</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272,719,044</w:t>
            </w:r>
          </w:p>
        </w:tc>
        <w:tc>
          <w:tcPr>
            <w:tcW w:w="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(1,697,033)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$ 208,768</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977,866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(4,229)</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(1,271,869)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 (65,100)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w w:val="98"/>
              </w:rPr>
              <w:t>Cumulative-effect adjustment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272,719,044</w:t>
            </w:r>
          </w:p>
        </w:tc>
        <w:tc>
          <w:tcPr>
            <w:tcW w:w="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(1,697,033)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24,364</w:t>
            </w: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$ 208,768</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977,866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(4,229)</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(1,272,087)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 (65,318)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60"/>
              <w:spacing w:after="0"/>
              <w:rPr>
                <w:sz w:val="20"/>
                <w:szCs w:val="20"/>
                <w:color w:val="auto"/>
              </w:rPr>
            </w:pPr>
            <w:r>
              <w:rPr>
                <w:rFonts w:ascii="Arial" w:cs="Arial" w:eastAsia="Arial" w:hAnsi="Arial"/>
                <w:sz w:val="18"/>
                <w:szCs w:val="18"/>
                <w:color w:val="auto"/>
              </w:rPr>
              <w:t>net of transaction costs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20,616,438</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14,635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under employee stock</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127,872</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956,232</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units</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1,929,317</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(716,494)</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(2,680)</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(58,305)</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(58,305)</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b w:val="1"/>
                <w:bCs w:val="1"/>
                <w:color w:val="auto"/>
              </w:rPr>
              <w:t>June 30,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296,348,903</w:t>
            </w: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(2,413,527</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24,364</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$ 225,507</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1,040,743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(6,909</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(1,330,392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(46,687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(58,305)</w:t>
            </w:r>
          </w:p>
        </w:tc>
        <w:tc>
          <w:tcPr>
            <w:tcW w:w="102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(34,575)</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(4,991)</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(17,490)</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(9,833)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(34,243)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Purchases of equipment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exchangeable debt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Payment of debt issuance costs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Repurchase of exchangeable senior notes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(15,107)</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Payment on long-term debt from royalty-bearing instrument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(6,713)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stock-based awards</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w w:val="99"/>
              </w:rPr>
              <w:t>NET INCREASE (DECREASE) IN CASH AND CASH EQUIVALENTS AND RESTRICTED CASH</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102,857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year for:</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3"/>
                <w:szCs w:val="23"/>
                <w:color w:val="auto"/>
              </w:rPr>
            </w:pPr>
          </w:p>
        </w:tc>
        <w:tc>
          <w:tcPr>
            <w:tcW w:w="880" w:type="dxa"/>
            <w:vAlign w:val="bottom"/>
          </w:tcPr>
          <w:p>
            <w:pPr>
              <w:jc w:val="right"/>
              <w:ind w:right="69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10,251</w:t>
            </w:r>
          </w:p>
        </w:tc>
        <w:tc>
          <w:tcPr>
            <w:tcW w:w="180" w:type="dxa"/>
            <w:vAlign w:val="bottom"/>
          </w:tcPr>
          <w:p>
            <w:pPr>
              <w:spacing w:after="0"/>
              <w:rPr>
                <w:sz w:val="23"/>
                <w:szCs w:val="23"/>
                <w:color w:val="auto"/>
              </w:rPr>
            </w:pPr>
          </w:p>
        </w:tc>
        <w:tc>
          <w:tcPr>
            <w:tcW w:w="102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7,546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460" w:hanging="512"/>
        <w:spacing w:after="0" w:line="378" w:lineRule="auto"/>
        <w:tabs>
          <w:tab w:leader="none" w:pos="5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ind w:right="8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Company’s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hypertriglyceridemia. Vascepa is available in the United States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9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 The Company anticipates that results of the REDUCE-IT study will be available and made public before the end of the third quarter of 2018, followed by broader reporting of results targeted for a scientific conference in the fourth quarter of 2018.</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of approximately 170 sales professionals, including sales representatives and their managers, and through a co-promotion agreement with Kowa Pharmaceuticals America, Inc. Under this co-promotion agreement, which commenced in May 2014 and extends until the end of 2018, Kowa Pharmaceuticals America, Inc. co-promotes Vascepa in conjunction with its promotion of its primary product, a branded statin for patients with high cholesterol. The Company operates in one business segment.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2017, or the 2017 Form 10-K, filed with the SEC. The balance sheet amounts at December 31, 2017 in this report were derived from the Company’s audited 2017 consolidated financial statements included in the 2017 Form 10-K.</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2018 and 2017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Certain prior year balances related to beginning and ending cash and cash equivalents and restricted cash in the condensed consolidated statements of cash flows have been conformed to the current year presentation.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both"/>
        <w:ind w:right="40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2018, the Company had current assets of $196.1 million, including cash and cash equivalents of $102.3 million. The Company’s condensed consolidated balance sheets also include long-term debt from royalty-bearing instrument and exchangeable senior notes. In January 2017, the Company issued $30.0 million in aggregate principal amount of January 2017 3.5% exchangeable senior notes due 2047, or the 2017 Notes. The terms of the 2017 Notes are such that they may be redeemed by the Company for cash on or after January 19, 2021 and may be put back to the Company by the holders on January 19, 2022 for cash equal to 100% of the principal amount plus any accrued and unpaid interest. The 2017 Notes are exchangeable into American Depositary Shares (“ADSs”) at the option of holders at any time after issuance and prior to maturity and are exchangeable into ADSs at the option of the Company upon satisfaction of certain equity conditions. Accordingly, the exchangeable senior notes do not represent a short-term claim on the liquid assets of the Company as of June 30, 2018.</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through the results of the REDUCE-IT study, which the Company anticipates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following anticipated successful results of the REDUCE-IT study. If additional capital is required and the Company is unable to obtain additional capital, the Company may be forced to delay, limit or eliminate all or a portion of the expanded promotional activities planned following successful results of the REDUCE-IT study. The Company anticipates that quarterly net cash outflows in future periods will be variable.</w:t>
      </w:r>
    </w:p>
    <w:p>
      <w:pPr>
        <w:spacing w:after="0" w:line="293" w:lineRule="exact"/>
        <w:rPr>
          <w:sz w:val="20"/>
          <w:szCs w:val="20"/>
          <w:color w:val="auto"/>
        </w:rPr>
      </w:pPr>
    </w:p>
    <w:p>
      <w:pPr>
        <w:ind w:left="520" w:right="8520" w:hanging="512"/>
        <w:spacing w:after="0" w:line="453" w:lineRule="auto"/>
        <w:tabs>
          <w:tab w:leader="none" w:pos="51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Effective January 1, 2018, the Company adopted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method. Under this method, the Company revised its opening retained earnings balance with a cumulative-effect adjustment as of January 1, 2018. This standard applies to all contracts with customers except for contracts that are within the scope of other standards, such as leases, insurance, and financial instruments.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80"/>
        <w:spacing w:after="0" w:line="254" w:lineRule="auto"/>
        <w:rPr>
          <w:sz w:val="20"/>
          <w:szCs w:val="20"/>
          <w:color w:val="auto"/>
        </w:rPr>
      </w:pPr>
      <w:r>
        <w:rPr>
          <w:rFonts w:ascii="Arial" w:cs="Arial" w:eastAsia="Arial" w:hAnsi="Arial"/>
          <w:sz w:val="18"/>
          <w:szCs w:val="18"/>
          <w:color w:val="auto"/>
        </w:rPr>
        <w:t>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9—Revenue Recognition.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June 30,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Trade allowances</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3 - 5 years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42" w:lineRule="exact"/>
        <w:rPr>
          <w:sz w:val="20"/>
          <w:szCs w:val="20"/>
          <w:color w:val="auto"/>
        </w:rPr>
      </w:pPr>
    </w:p>
    <w:p>
      <w:pPr>
        <w:ind w:right="440" w:firstLine="518"/>
        <w:spacing w:after="0" w:line="381" w:lineRule="auto"/>
        <w:rPr>
          <w:sz w:val="20"/>
          <w:szCs w:val="20"/>
          <w:color w:val="auto"/>
        </w:rPr>
      </w:pPr>
      <w:r>
        <w:rPr>
          <w:rFonts w:ascii="Arial" w:cs="Arial" w:eastAsia="Arial" w:hAnsi="Arial"/>
          <w:sz w:val="15"/>
          <w:szCs w:val="15"/>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6—Commitments and Contingencies for further information regarding other obligations related to the acquisition of Laxdale Limited.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22, 2017, the U.S. enacted the Tax Cuts and Jobs Act (the “Act”) which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The Company is applying the guidance in SAB 118 when accounting for the enactment-date effects of the Act. As of December 31, 2017,</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auto"/>
        </w:rPr>
        <w:t>the Company had recorded provisional amounts to account for the impact of tax effects of the Act related to the change in corporate tax rate from 34% to 21% and the changes to executive compensation deductibility. As of June 30, 2018, the Company has not completed its accounting for all of the tax effects of the Act. The Company will continue to make and refine its calculations as additional analysis is completed. The Company’s estimates may also be affected as it gains a more thorough understanding of the tax law. The Company will disclose the impact to the provisional amounts in the reporting period in which the accounting analysis is completed, which will not exceed one year from the date of enactment. Any changes are not expected to have an impact to the tax provision or condensed consolidated financial statements.</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and deficiencies are classified as cash flows from operating activities and cash paid to taxing authorities arising from the withholding of shares from employees are classified as cash flows from financing activities.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undergoing federal and state audits, including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8"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six months ended June 30, 2018 and 2017 are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293,662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270,725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289,458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and six months ended June 30, 2018 and 2017, the following potentially dilutive securities were not included in the computation of net loss per share because the effect would be anti-dilutive: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tbl>
      <w:tblPr>
        <w:tblLayout w:type="fixed"/>
        <w:tblInd w:w="920" w:type="dxa"/>
        <w:tblCellMar>
          <w:top w:w="0" w:type="dxa"/>
          <w:left w:w="0" w:type="dxa"/>
          <w:bottom w:w="0" w:type="dxa"/>
          <w:right w:w="0" w:type="dxa"/>
        </w:tblCellMar>
      </w:tblPr>
      <w:tr>
        <w:trPr>
          <w:trHeight w:val="171"/>
        </w:trPr>
        <w:tc>
          <w:tcPr>
            <w:tcW w:w="4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48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CFF0FC"/>
            </w:tcBorders>
            <w:vMerge w:val="continue"/>
          </w:tcPr>
          <w:p>
            <w:pPr>
              <w:spacing w:after="0"/>
              <w:rPr>
                <w:sz w:val="13"/>
                <w:szCs w:val="13"/>
                <w:color w:val="auto"/>
              </w:rPr>
            </w:pPr>
          </w:p>
        </w:tc>
        <w:tc>
          <w:tcPr>
            <w:tcW w:w="11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25,282</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25,282</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12,249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12,249</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(if converted)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140" w:type="dxa"/>
            <w:vAlign w:val="bottom"/>
          </w:tcPr>
          <w:p>
            <w:pPr>
              <w:jc w:val="right"/>
              <w:spacing w:after="0"/>
              <w:rPr>
                <w:sz w:val="20"/>
                <w:szCs w:val="20"/>
                <w:color w:val="auto"/>
              </w:rPr>
            </w:pPr>
            <w:r>
              <w:rPr>
                <w:rFonts w:ascii="Arial" w:cs="Arial" w:eastAsia="Arial" w:hAnsi="Arial"/>
                <w:sz w:val="18"/>
                <w:szCs w:val="18"/>
                <w:color w:val="auto"/>
              </w:rPr>
              <w:t>32,818</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32,818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32,818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The Company records debt issuance costs related to a recognized debt liability in the condensed consolidated balance sheets as a direct deduction from the carrying amount of that debt liability and amortized to interest expense using the effective interest method over the expected term of the related debt. Unamortized debt issuance costs related to the extinguishment of debt are expensed at the time the debt is extinguished and recorded in other (expense) income, net, in the condensed consolidated statements of operations. If the Company issues shares to discharge the liability, the debt obligation is derecognized and common stock and additional paid-in capital are recognized upon the issuance of those shares.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2017 Notes can only be settled in ADSs upon conversion. The terms of the 2017 Notes also allow for repurchase in cash by the Company at the option of the holders as well as redemption by the Company for cash at specified times. The conversion feature in the 2017 Notes qualifies for the exception from derivative accounting in accordance with ASC 815-40 and is therefore accounted for as part of the debt host. The conversion feature in the 2017 Notes will continue to be evaluated on a quarterly basis to determine if it still receives an exception from derivative accounting in accordance with ASC 815-40. The 2017 Notes were recognized at par of $30.0 million. The Company also recognized a $1.2 million discount related to placement agent fees and offering expenses. This discount is being amortized through interest expense over the expected term of the 2017 Notes, through the first optional put date in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5—Debt for further discussion.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estimates the level of forfeitures expected to occur based on its historical data and records compensation cost only for those awards that are ultimately expected to vest.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27%, 31%, and 31%, respectively, of gross product sales for the six months ended June 30, 2018, and represented 33%, 37%, and 22%, respectively, of the gross accounts receivable balance as of June 30, 2018. Customers A, B, and C accounted for 30%, 27%, and 35%, respectively, of gross product sales for the six months ended June 30, 2017 and represented 37%, 24%, and 25%, respectively, of the gross accounts receivable balance as of June 30, 2017. The Company has not experienced any significant write-offs of its accounts receivable.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currently has manufacturing agreements with three independent FDA-approved commercial API manufacturers and three independent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condensed consolidated statements of operations. For transactions settled during the applicable period, gains and losses are included in other (expense) income,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June 30, 2018 and December 31, 2017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119"/>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9,388</w:t>
            </w:r>
          </w:p>
        </w:tc>
        <w:tc>
          <w:tcPr>
            <w:tcW w:w="2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9,388</w:t>
            </w:r>
          </w:p>
        </w:tc>
        <w:tc>
          <w:tcPr>
            <w:tcW w:w="2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9,317</w:t>
            </w:r>
          </w:p>
        </w:tc>
        <w:tc>
          <w:tcPr>
            <w:tcW w:w="2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9,317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3" w:name="page14"/>
    <w:bookmarkEnd w:id="13"/>
    <w:p>
      <w:pPr>
        <w:ind w:right="52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June 30, 2018 and December 31, 2017 are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w w:val="98"/>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Current portion of long-term debt from royalty-bearing instrument, net</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accrued interest</w:t>
            </w: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86,718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2017 Notes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estimated fair value of the long-term debt from royalty-bearing instrument pursuant to the December 2012 financing is calculated utilizing the same Level 3 inputs utilized in valuing the related derivative liability (see Derivative Liabilities below). The estimated fair value of the 2017 Notes is calculated based on Level 1 quoted bond prices or, in the absence of quoted bond prices, is calculated using a Level 3 binomial model. The carrying value of the 2017 Notes as of June 30, 2018 and December 31, 2017 includes a debt discount of $0.9 million and $1.0 million, respectively, which is being amortized as non-cash interest expense over the expected term of the 2017 Notes, through the first optional put date in January 2022.</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Redemption Feature</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June 30, 2018, the fair value of the derivative was determined to be nil, and the debt was valued by comparing debt issues of similar companies with (i) remaining terms of between 1.8 and 4.6 years, (ii) coupon rates of between 5.4% and 10.8% and (iii) market yields of between 7.6% and 14.0%. As of December 31, 2017, the fair value of the derivative was determined to be nil based on underlying assumptions, and the debt was valued by comparing debt issues of similar companies with</w:t>
      </w:r>
    </w:p>
    <w:p>
      <w:pPr>
        <w:spacing w:after="0" w:line="6" w:lineRule="exact"/>
        <w:rPr>
          <w:sz w:val="20"/>
          <w:szCs w:val="20"/>
          <w:color w:val="auto"/>
        </w:rPr>
      </w:pPr>
    </w:p>
    <w:p>
      <w:pPr>
        <w:jc w:val="both"/>
        <w:ind w:right="4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remaining terms of between 2.3 and 4.3 years, (ii) coupon rates of between 5.8% and 10.8% and (iii) market yields of between 10.2% and 18.4%. As such, the Company recognized no gain or loss on change in fair value of derivative liability for the six months ended June 30, 2018. The Company also recognized no gain or loss on change in fair value of derivative liability for the six months ended June 30, 2017.</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May 2014, the FASB issued Accounting Standards Update (“ASU”), No. 2014-09, which amends the guidance for accounting for revenue from contracts with customers. This ASU supersedes the revenue recognition requirements in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creates a new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In 2015 and 2016, the FASB issued additional ASUs related to Topic 606 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standard effective January 1, 2018 using the modified retrospective transition method.</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as a result of adopting Topic 606 on January 1, 2018, has adjusted its opening retained earnings and deferred revenue balances by $0.2 million. The adjustment relates solely to the Company’s licensing revenues and the timing over which certain non-refundable upfront and milestone payments received from Eddingpharm (Asia) Macao Commercial Offshore Limited and HLS Therapeutics Inc. are recognized under Topic 606. No practical expedients associated with the adoption of Topic 606 were applied.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Scope of Modification Accounting</w:t>
      </w:r>
      <w:r>
        <w:rPr>
          <w:rFonts w:ascii="Arial" w:cs="Arial" w:eastAsia="Arial" w:hAnsi="Arial"/>
          <w:sz w:val="17"/>
          <w:szCs w:val="17"/>
          <w:color w:val="auto"/>
        </w:rPr>
        <w:t>. The amendments in ASU No. 2017-09 provide guidance about which changes to the terms or conditions of a share-based payment award require an entity to apply modification accounting in Topic 718. The Company adopted this standard effective January 1, 2018 and, in accordance with the ASU, will apply it prospectively. The Company does not expect it to have a material impact on the Company’s condensed consolidated financial statements.</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requires the recognition of income tax consequences of an intra-entity transfer of an asset, other than inventory, when the transfer occurs. The Company adopted this standard effective January 1, 2018, which had no impact on the Company’s condensed consolidated financial statements.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the statement of cash flows explain the change during the period in the total of cash, cash equivalents, and amounts generally described as restricted cash or restricted cash equivalents. The Company adopted this standard effective January 1, 2018 and, in accordance with the ASUs, applied them using a retrospective transition method to each period presented. Adoption of these ASUs did not have a material impact on the Company’s condensed consolidated financial statements.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In February 2018, the FASB issued ASU No. 2018-03, </w:t>
      </w:r>
      <w:r>
        <w:rPr>
          <w:rFonts w:ascii="Arial" w:cs="Arial" w:eastAsia="Arial" w:hAnsi="Arial"/>
          <w:sz w:val="16"/>
          <w:szCs w:val="16"/>
          <w:i w:val="1"/>
          <w:iCs w:val="1"/>
          <w:color w:val="auto"/>
        </w:rPr>
        <w:t>Technical Corrections and Improvements to Financial Instruments—Overall (Subtopic 825-10): Recognition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Financial Assets and Financial Liabilities, </w:t>
      </w:r>
      <w:r>
        <w:rPr>
          <w:rFonts w:ascii="Arial" w:cs="Arial" w:eastAsia="Arial" w:hAnsi="Arial"/>
          <w:sz w:val="16"/>
          <w:szCs w:val="16"/>
          <w:color w:val="auto"/>
        </w:rPr>
        <w:t>which is intended to clarify certain aspects of the guidance issued in ASU 2016-01.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these standards effective January 1, 2018, which had no impact on the Company’s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June 30, 2018:</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to nonemployees by aligning it with the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employees, with certain exceptions. The new guidance is effective for fiscal years beginning after December 15, 2018, including interim periods within those fiscal years. Early adoption is permitted.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ind w:right="640"/>
        <w:spacing w:after="0" w:line="277" w:lineRule="auto"/>
        <w:rPr>
          <w:sz w:val="20"/>
          <w:szCs w:val="20"/>
          <w:color w:val="auto"/>
        </w:rPr>
      </w:pPr>
      <w:r>
        <w:rPr>
          <w:rFonts w:ascii="Arial" w:cs="Arial" w:eastAsia="Arial" w:hAnsi="Arial"/>
          <w:sz w:val="18"/>
          <w:szCs w:val="18"/>
          <w:color w:val="auto"/>
        </w:rPr>
        <w:t>Company has evaluated the accounting, transition and disclosure requirements of this standard and does not expect it to have a material impact on the Company’s consolidated financial statements.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9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5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 consists of the historical acquisition cost of certain technology rights for Vascepa and has an estimated weighted-average remaining useful life of 12.1 years. The carrying value as of June 30, 2018 and December 31, 2017 is as follows:</w:t>
      </w:r>
    </w:p>
    <w:p>
      <w:pPr>
        <w:spacing w:after="0" w:line="163"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(3,821)</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June 30, 2018 and December 31, 2017 consist of the following:</w:t>
      </w:r>
    </w:p>
    <w:p>
      <w:pPr>
        <w:spacing w:after="0" w:line="163"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7,044</w:t>
            </w:r>
          </w:p>
        </w:tc>
        <w:tc>
          <w:tcPr>
            <w:tcW w:w="8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10,844</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12,372</w:t>
            </w:r>
          </w:p>
        </w:tc>
        <w:tc>
          <w:tcPr>
            <w:tcW w:w="8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40,509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30,260</w:t>
            </w:r>
          </w:p>
        </w:tc>
        <w:tc>
          <w:tcPr>
            <w:tcW w:w="8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Inventory reserve</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Inventory,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30,260</w:t>
            </w:r>
          </w:p>
        </w:tc>
        <w:tc>
          <w:tcPr>
            <w:tcW w:w="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80"/>
        <w:spacing w:after="0" w:line="257" w:lineRule="auto"/>
        <w:rPr>
          <w:sz w:val="20"/>
          <w:szCs w:val="20"/>
          <w:color w:val="auto"/>
        </w:rPr>
      </w:pPr>
      <w:r>
        <w:rPr>
          <w:rFonts w:ascii="Arial" w:cs="Arial" w:eastAsia="Arial" w:hAnsi="Arial"/>
          <w:sz w:val="18"/>
          <w:szCs w:val="18"/>
          <w:color w:val="auto"/>
        </w:rPr>
        <w:t>As of June 30, 2018, the remaining amount to be repaid to CPPIB is $99.4 million. During the three and six months ended June 30, 2018, the Company made repayments under the agreement of $4.4 million and $9.7 million, respectively, to CPPIB and an additional $5.3 million is scheduled to be paid in August 2018 for the second quarter of 2018. These payments were calculated based on the threshold limitation, as described below, as opposed to the scheduled quarterly repayments. Additional quarterly repayments, subject to the threshold limitation, are scheduled to be paid. All such payments reduce the remainder of the $150.0 million in aggregate payments to CPPIB.</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These quarterly payments are subject to a quarterly threshold amount whereby, if a calculated threshold, based on quarterly Vascepa net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net revenue levels. 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each quarterly period since the inception of the debt, net revenues were below the contractual threshold amount such that cash payments were calculated for each period reflecting the optional reduction amount as opposed to the contractual threshold payment due for each quarterly period. In accordance with the agreement, quarterly differences between the calculated optional reduction amounts and the repayment schedule amounts were rescheduled for payment beginning in the second quarter of 2017. Any such deferred repayments will remain subject to continued application of the quarterly ceiling in amounts due established by the calculated threshold limitation based on quarterly Vascepa net revenues. No additional interest expense or liability is incurred as a result of such deferred repayments. These estimates are reevaluated each reporting period by the Company and adjusted if necessary, prospectively.</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six months ended June 30, 2018 and 2017.</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2018 and December 31, 2017, the carrying value of the royalty-bearing instrument, net of the unamortized debt discount and issuance costs, was $86.7 million and $92.4 million, respectively. During the six months ended June 30, 2018, the Company recorded cash and non-cash interest expense of $3.0 million and $1.0 million, respectively, in connection with the royalty-bearing instrument. During the six months ended June 30, 2017, the Company recorded $3.2 million and $1.1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2012, May 2014, and November 2015 Exchangeable Senior Notes</w:t>
      </w:r>
    </w:p>
    <w:p>
      <w:pPr>
        <w:spacing w:after="0" w:line="11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2012, 2014 and 2015, the Company and its subsidiaries entered into a series of transactions pertaining to exchangeable notes. In January 2017, holders of the 3.5% exchangeable senior notes due 2032 (the “2012 Notes”) exercised their option to put approximately</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$15.0 million in aggregate principal amount of 2012 Notes to the Company for cash and, in March 2017, the Company redeemed the entirety of the remaining $0.1 million in aggregate principal amount of 2012 Notes, such that no 2012 Notes remained outstanding as of June 30, 2017. The carrying value of the related conversion option will remain in equity hereafter as a result of the repayment 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300"/>
        <w:spacing w:after="0" w:line="277" w:lineRule="auto"/>
        <w:rPr>
          <w:sz w:val="20"/>
          <w:szCs w:val="20"/>
          <w:color w:val="auto"/>
        </w:rPr>
      </w:pPr>
      <w:r>
        <w:rPr>
          <w:rFonts w:ascii="Arial" w:cs="Arial" w:eastAsia="Arial" w:hAnsi="Arial"/>
          <w:sz w:val="18"/>
          <w:szCs w:val="18"/>
          <w:color w:val="auto"/>
        </w:rPr>
        <w:t>full of the related debt instrument. As of June 30, 2018 and December 31, 2017, all debt issued in these transactions was exchanged or redeemed such that none remained outstanding.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20, 2017, the Company and Corsicanto II DAC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(the “2017 Notes”) at an issue price of 100%. The net proceeds from the offering were $28.8 million after deducting placement agent fees and offering expenses payable by the Company. The offering of the 2017 Notes closed on January 25, 2017. Corsicanto II has no assets, operations, revenues or cash flows other than those related to the issuance, administration and repayment of the 2017 Notes.</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2017 Notes were issued pursuant to an Indenture (the “Indenture”) entered into by the Company, Corsicanto II and Wilmington Trust, National Association, as trustee (the “Trustee”). The 2017 Notes are the senior unsecured obligations of Corsicanto II and are guaranteed by the Company. The 2017 Notes bear interest at a rate of 3.5% per annum from, and including, January 25, 2017, payable semi-annually in arrears on January 15 and July 15 of each year, beginning on July 15, 2017 and ending upon the 2017 Notes’ maturity date of January 15, 2047, unless earlier repurchased, redeemed or exchanged.</w:t>
      </w:r>
    </w:p>
    <w:p>
      <w:pPr>
        <w:spacing w:after="0" w:line="15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exchange rate is 257.2016 ADSs per $1,000 principal amount of the 2017 Notes (equivalent to an initial exchange price of approximately $3.89 per ADS (the “Exchange Price”)),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Based on the closing price of the Company’s stock as of June 30, 2018, the value of the shares if converted on that date did not exceed the principal value of the 2017 Notes.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2021, Corsicanto II may not redeem the 2017 Notes at its option other than in connection with certain changes in the tax law of a relevant taxing jurisdiction that results in additional amounts (as defined 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(which quotient equals approximately $5.05 on the date hereof)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Indenture contains customary terms and covenants and events of default. If an event of default (other than certain events of bankruptcy, insolvency or reorganization involving Corsicanto II) occurs and is continuing, the Trustee by notice to Corsicanto II, or the holders of at least 25% in principal amount of the outstanding 2017 Notes by notice to Corsicanto II and the Trustee, may declare 100% of the principal of and accrued and unpaid interest, if any, on all of the 2017 Notes to be due and payable. Upon such a declaration of acceleration, such principal and accrued and unpaid interest, if any, will be due and payable immediately. Upon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60"/>
        <w:spacing w:after="0" w:line="302" w:lineRule="auto"/>
        <w:rPr>
          <w:sz w:val="20"/>
          <w:szCs w:val="20"/>
          <w:color w:val="auto"/>
        </w:rPr>
      </w:pPr>
      <w:r>
        <w:rPr>
          <w:rFonts w:ascii="Arial" w:cs="Arial" w:eastAsia="Arial" w:hAnsi="Arial"/>
          <w:sz w:val="16"/>
          <w:szCs w:val="16"/>
          <w:color w:val="auto"/>
        </w:rPr>
        <w:t>occurrence of certain events of bankruptcy, insolvency or reorganization involving Corsicanto II, 100% of the principal of and accrued and unpaid interest, if any, on all of the 2017 Notes will become due and payable automatically. Notwithstanding the foregoing, the Indenture will provide that, to the extent Corsicanto II elects and for up to 360 days, the sole remedy for an event of default relating to certain failures by Corsicanto II or the Company, as the case may be, to comply with certain reporting covenants in the Indenture consists exclusively of the right to receive additional interest on the 2017 Notes.</w:t>
      </w:r>
    </w:p>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Corsicanto II agreed to use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was the first interest payment date for the 2017 Notes.</w:t>
      </w:r>
    </w:p>
    <w:p>
      <w:pPr>
        <w:spacing w:after="0" w:line="18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2017 Notes were recorded at par of $30.0 million. In addition, the Company recorded a discount of $1.2 million in placement agent fees and offering expenses. Such costs are presented as a direct deduction from the debt liability on the condensed consolidated balance sheets. This discount is being amortized as interest expense over the estimated life of the 2017 Notes, through the first optional put date in January 2022. As of June 30, 2018 and December 31, 2017, the carrying value of the 2017 Notes, net of unamortized discount, was $29.1 million and $29.0 million, respectively.</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Because the conversion option in the 2017 Notes receives an exception from derivative accounting and only requires gross physical settlement in shares, the embedded option does not require separate accounting and is therefore accounted for as part of the debt host at amortized cost. In addition, the Company determined that the fundamental change redemption feature is clearly and closely related to the debt host in accordance with ASC 815-15 and therefore does not require bifurcation.</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six months ended June 30, 2018, the Company recognized interest expense of $0.6 million related to the 2017 Notes, of which $0.1 million represents non-cash interest and $0.5 million represents contractual coupon interest. During the six months ended June 30, 2017, the Company recognized interest expense of $0.5 million related to the 2017 Notes, of which less than $0.1 million represents non-cash interest and $0.5 million represents contractual coupon interest. As of both June 30, 2018 and December 31, 2017, the Company had accrued interest of $0.5 million related to the 2017 Notes, which is presented as current portion of exchangeable senior notes, net of discount, on the condensed consolidated balance sheets. The Company made the contractual interest payment due on the 2017 Notes during the six months ended June 30, 2018 of $0.5 million.</w:t>
      </w:r>
    </w:p>
    <w:p>
      <w:pPr>
        <w:spacing w:after="0" w:line="283"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2017 and “Item 1. Legal Proceedings” of the Company’s Quarterly Report on Form 10-Q for the quarter ended March 31, 2018 include discussions of the Company’s current legal proceedings. There have been no material changes to the matters described in those disclosures as of the date of this filing, other than as set forth below.</w:t>
      </w:r>
    </w:p>
    <w:p>
      <w:pPr>
        <w:spacing w:after="0" w:line="18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May 24, 2018, the Company entered into a settlement agreement with Teva Pharmaceuticals USA, Inc. (“Teva”) that resolves its previously reported abbreviated new drug application (“ANDA”) patent litigation as it relates to Teva’s ANDA seeking FDA approval of generic forms of both the 1-gram and</w:t>
      </w:r>
    </w:p>
    <w:p>
      <w:pPr>
        <w:spacing w:after="0" w:line="290" w:lineRule="auto"/>
        <w:rPr>
          <w:sz w:val="20"/>
          <w:szCs w:val="20"/>
          <w:color w:val="auto"/>
        </w:rPr>
      </w:pPr>
      <w:r>
        <w:rPr>
          <w:rFonts w:ascii="Arial" w:cs="Arial" w:eastAsia="Arial" w:hAnsi="Arial"/>
          <w:sz w:val="16"/>
          <w:szCs w:val="16"/>
          <w:color w:val="auto"/>
        </w:rPr>
        <w:t>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the Company certain royalties on its generic Vascepa products. Under the agreement, the Company paid Teva $2.0 million in recognition of the savings to the Company in the avoidance of costs, expenditure of time and resources, disruption and burden associated with continued litigation with Teva. This patent litigation continues in the United States District Court for the District of Nevada with parties West-Ward Pharmaceuticals Corp. and Dr. Reddy’s Laboratories, Inc. and their affiliated entities as it relates to such parties’ ANDAs seeking FDA approval of generic forms of Vascepa.</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right="140"/>
        <w:spacing w:after="0" w:line="302" w:lineRule="auto"/>
        <w:rPr>
          <w:sz w:val="20"/>
          <w:szCs w:val="20"/>
          <w:color w:val="auto"/>
        </w:rPr>
      </w:pPr>
      <w:r>
        <w:rPr>
          <w:rFonts w:ascii="Arial" w:cs="Arial" w:eastAsia="Arial" w:hAnsi="Arial"/>
          <w:sz w:val="16"/>
          <w:szCs w:val="16"/>
          <w:color w:val="auto"/>
        </w:rPr>
        <w:t>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June 30, 2018, the Company has no royalty, milestone or minimum purchase commitments with Nisshin.</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certain cash remedy for any shortfall in the minimum purchase obligations. The Company continues to meet its contractual purchase obligations.</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$9.9 million as of June 30, 2018).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$6.6 million as of June 30, 2018) for each of the two potential market approvals (i.e. £10 million maximum, or approximately $13.2 million as of June 30, 2018).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as of June 30, 2018.</w:t>
      </w:r>
    </w:p>
    <w:p>
      <w:pPr>
        <w:spacing w:after="0" w:line="341" w:lineRule="exact"/>
        <w:rPr>
          <w:sz w:val="20"/>
          <w:szCs w:val="20"/>
          <w:color w:val="auto"/>
        </w:rPr>
      </w:pPr>
    </w:p>
    <w:p>
      <w:pPr>
        <w:ind w:left="520" w:right="9780" w:hanging="512"/>
        <w:spacing w:after="0" w:line="425" w:lineRule="auto"/>
        <w:tabs>
          <w:tab w:leader="none" w:pos="51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as of June 30, 2018, inclusive of the shares issued in July 2015 as discussed below, subject to certain adjustments for dilutive events.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color w:val="auto"/>
        </w:rPr>
        <w:t>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At the time of the transaction, Dr. James Healy was a member of the Company’s Board and a managing general partner of Sofinnova Management VII, L.L.C., which is the general partner of Sofinnova. Dr. James Healy resigned as Director of the Company’s Board effective December 20, 2016.</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160"/>
        <w:spacing w:after="0" w:line="277" w:lineRule="auto"/>
        <w:rPr>
          <w:sz w:val="20"/>
          <w:szCs w:val="20"/>
          <w:color w:val="auto"/>
        </w:rPr>
      </w:pPr>
      <w:r>
        <w:rPr>
          <w:rFonts w:ascii="Arial" w:cs="Arial" w:eastAsia="Arial" w:hAnsi="Arial"/>
          <w:sz w:val="18"/>
          <w:szCs w:val="18"/>
          <w:color w:val="auto"/>
        </w:rPr>
        <w:t>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estimated offering expenses payable by the Company. The stated uses of net proceeds in connection with this offering were as follows: to expand medical education and market awareness initiatives, including, in advance of REDUCE-IT results being known, pilot testing of new promotional initiatives for potential broader application following REDUCE-IT results, to increase its inventory balances for incremental inventory build prior to REDUCE-IT results and for general corporate and working capital purposes.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As of June 30, 2018, there were an aggregate of 25,281,555 stock options and 12,248,642 restricted stock units (“RSUs”) outstanding, representing approximately 7% and 3%, respectively, of outstanding shares (including common and preferred shares) on a fully diluted basis.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2018 and 2017, the Company issued 956,232 and 221,345 shares, respectively, as a result of the exercise of stock options, resulting in gross and net proceeds of $1.8 million during the six months ended June 30, 2018 and $0.4 million during the six months ended June 30, 2017.</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14, 2018, the Company granted a total of 190,034 RSUs and 286,536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 2018, the Company granted a total of 1,305,575 RSUs and 2,205,075 stock options to employees under the 2011 Plan. The RSUs vest annually over a three-year period and the stock options vest monthly over a four-year period.</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May 15, 2017, the Company granted a total of 91,504 RSUs and 131,575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May 15, 2017, October 2, 2017, and March 12, 2018, the Company granted a total of 2,310,000 RSUs, 220,000 RSUs, and 970,000 RSUs, respectively, to employees under the 2011 Plan that vest over three years commencing after anticipated REDUCE-IT results upon the achievement of certain regulatory and sales performance conditions associated with the REDUCE-IT clinical trial and subsequent revenue growth.</w:t>
      </w:r>
    </w:p>
    <w:p>
      <w:pPr>
        <w:spacing w:after="0" w:line="166"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On February 1, 2017, the Company granted a total of 1,575,000 RSUs and 2,642,500 stock options to employees under the 2011 Plan. The RSUs vest annually over a three-year period and the stock options vest over a four-year period. Settlement in the form of shares for 989,000 of these RSUs was contingent upon shareholder approval to increase the aggregate number of shares authorized for issuance under the 2011 Plan, which was obtained at the Company’s Annual General Meeting of Shareholders held on May 15, 2017. During the six months ended June 30, 2018, the Company issued 506,679 common shares related to the vesting of these RSUs, of which 183,828 shares were retained as treasury shares as settlement of employee tax obligations.</w:t>
      </w:r>
    </w:p>
    <w:p>
      <w:pPr>
        <w:spacing w:after="0" w:line="26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in the United States during the term. The initial term of the Agreement extends until the end of 2018. The Agreement was amended on July 25, 2017 to reflect evolving promotional needs, including refinement of target lists.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Kowa Pharmaceuticals America, Inc. has agreed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 that varies during the term. The percentage of aggregate Vascepa gross margin earned by Kowa Pharmaceuticals America, Inc. was, as amended, approximately eighteen percent (18%) in 2017, partially offset by certain other refinements. During 2018, which is the last year of the Agreement, as amended, the Company is incurring expense for both the annual co-promotion fee, which in 2018 is again calculated as a percentage of Vascepa gross margin at a modestly higher rate than in 2017, plus accrual for co-promotion tail payments which are calculated as a percentage of the 2018 co-promotion fee. Assuming Kowa Pharmaceuticals America, Inc. fulfills its obligations in accordance with the terms of the Agreement, as amended, after expiration of the Agreement, Kowa Pharmaceuticals America, Inc. is eligible to receive up to three years of co-promotion tail payments equal to declining percentages of the co-promotion fee amount earned in the final year of the Agreement with the sum of the three years of co-promotion tail payments totaling less than the co-promotion fee amount earned in the final year of the agreement. As of June 30, 2018 and December 31, 2017, the Company accrued $6.8 million and nil, respectively, related to such co-promotion tail payments.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2018 and December 31, 2017, the Company had a net payable of $14.6 million and $8.3 million, respectively, to Kowa Pharmaceuticals America, Inc. representing co-promotion fees, net of reimbursable amounts incurred for samples and other marketing expenses, and accrual for co-promotion tail payments payable to Kowa Pharmaceuticals America, Inc.</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right="20"/>
        <w:spacing w:after="0" w:line="342" w:lineRule="auto"/>
        <w:rPr>
          <w:sz w:val="20"/>
          <w:szCs w:val="20"/>
          <w:color w:val="auto"/>
        </w:rPr>
      </w:pPr>
      <w:r>
        <w:rPr>
          <w:rFonts w:ascii="Arial" w:cs="Arial" w:eastAsia="Arial" w:hAnsi="Arial"/>
          <w:sz w:val="16"/>
          <w:szCs w:val="16"/>
          <w:color w:val="auto"/>
        </w:rPr>
        <w:t>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6" w:lineRule="exact"/>
        <w:rPr>
          <w:sz w:val="20"/>
          <w:szCs w:val="20"/>
          <w:color w:val="auto"/>
        </w:rPr>
      </w:pPr>
    </w:p>
    <w:p>
      <w:pPr>
        <w:ind w:left="520" w:right="340" w:firstLine="495"/>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520" w:firstLine="495"/>
        <w:spacing w:after="0" w:line="283" w:lineRule="auto"/>
        <w:rPr>
          <w:sz w:val="20"/>
          <w:szCs w:val="20"/>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contracts with Medicaid, Medicare, other government agencies and various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w:t>
      </w:r>
    </w:p>
    <w:p>
      <w:pPr>
        <w:spacing w:after="0" w:line="6" w:lineRule="exact"/>
        <w:rPr>
          <w:sz w:val="20"/>
          <w:szCs w:val="20"/>
          <w:color w:val="auto"/>
        </w:rPr>
      </w:pPr>
    </w:p>
    <w:p>
      <w:pPr>
        <w:ind w:left="520" w:right="160" w:firstLine="6"/>
        <w:spacing w:after="0" w:line="254" w:lineRule="auto"/>
        <w:tabs>
          <w:tab w:leader="none" w:pos="8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2" w:lineRule="exact"/>
        <w:rPr>
          <w:sz w:val="20"/>
          <w:szCs w:val="20"/>
          <w:color w:val="auto"/>
        </w:rPr>
      </w:pPr>
    </w:p>
    <w:p>
      <w:pPr>
        <w:ind w:left="520" w:right="40" w:firstLine="495"/>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1" w:lineRule="exact"/>
        <w:rPr>
          <w:sz w:val="20"/>
          <w:szCs w:val="20"/>
          <w:color w:val="auto"/>
        </w:rPr>
      </w:pPr>
    </w:p>
    <w:p>
      <w:pPr>
        <w:ind w:left="520" w:firstLine="495"/>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following tables summarize activity in each of the net product revenue allowance and reserve categories described above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tbl>
      <w:tblPr>
        <w:tblLayout w:type="fixed"/>
        <w:tblInd w:w="580" w:type="dxa"/>
        <w:tblCellMar>
          <w:top w:w="0" w:type="dxa"/>
          <w:left w:w="0" w:type="dxa"/>
          <w:bottom w:w="0" w:type="dxa"/>
          <w:right w:w="0" w:type="dxa"/>
        </w:tblCellMar>
      </w:tblPr>
      <w:tr>
        <w:trPr>
          <w:trHeight w:val="148"/>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Rebates,</w:t>
            </w:r>
          </w:p>
        </w:tc>
        <w:tc>
          <w:tcPr>
            <w:tcW w:w="120" w:type="dxa"/>
            <w:vAlign w:val="bottom"/>
          </w:tcPr>
          <w:p>
            <w:pPr>
              <w:spacing w:after="0"/>
              <w:rPr>
                <w:sz w:val="12"/>
                <w:szCs w:val="12"/>
                <w:color w:val="auto"/>
              </w:rPr>
            </w:pPr>
          </w:p>
        </w:tc>
        <w:tc>
          <w:tcPr>
            <w:tcW w:w="9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Product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Allowances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20" w:type="dxa"/>
            <w:vAlign w:val="bottom"/>
          </w:tcPr>
          <w:p>
            <w:pPr>
              <w:spacing w:after="0"/>
              <w:rPr>
                <w:sz w:val="14"/>
                <w:szCs w:val="14"/>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Returns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Incentives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32,064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2,107</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3"/>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48,093</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(40,547)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(56,177)</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(5,282)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(34,647)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as of June 30, 2018</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Rebates,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Product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Allowances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and Discounts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Returns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Incentives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20,915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859</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1,681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3"/>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(34,771)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(4,922)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(45,210)</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(16,722)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(1,770)</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as of June 30, 2017</w:t>
            </w: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2,073</w:t>
            </w: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1,675</w:t>
            </w:r>
          </w:p>
        </w:tc>
        <w:tc>
          <w:tcPr>
            <w:tcW w:w="8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35,934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Company enters into licensing agreements which are within the scope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the Company.</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360"/>
        <w:spacing w:after="0" w:line="259" w:lineRule="auto"/>
        <w:rPr>
          <w:sz w:val="20"/>
          <w:szCs w:val="20"/>
          <w:color w:val="auto"/>
        </w:rPr>
      </w:pPr>
      <w:r>
        <w:rPr>
          <w:rFonts w:ascii="Arial" w:cs="Arial" w:eastAsia="Arial" w:hAnsi="Arial"/>
          <w:sz w:val="18"/>
          <w:szCs w:val="18"/>
          <w:color w:val="auto"/>
        </w:rPr>
        <w:t>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7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In-licenses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entered into a collaboration with Mochida Pharmaceutical Co., Ltd. (“Mochida”) related to the development and commercialization of drug products and indications based on the active pharmaceutical ingredient in Vascepa, the omega-3 acid, EPA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Upon closing of the collaboration agreement, the Company is required to make a non-refundable, non-creditable upfront payment of approximately $2.7 million, which was recorded in research and development expense in the condensed consolidated statement of operations for the three and six months ended June 30, 2018. In addition, the agreement provides for the Company to pay milestone payments upon the achievement of certain product development milestones and royalties on net sales of future products arising from the collaboration, if any.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 regulatory assistance, and (4) manufacture and supply of commercial product. Based on the analysis performed, the Company concluded that the identified performance obligations are not distinct and therefore a combined performance obligation.</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six months ended June 30, 2018 and 2017, the Company recognized $0.1 million and $0.6 million, respectively, of up-front and milestone payments as licensing revenue in connection with the Eddingpharm agreement. Through June 30, 2018 and December 31, 2017, the Company has recognized $2.8 million and $3.1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 remaining transaction price of $13.2 million and $12.9 million is recorded in deferred revenue as of June 30, 2018 and December 31, 2017, respectively, on the condensed consolidated balance sheets and will be recognized as revenue over the remaining period of 16 years.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w:t>
      </w:r>
    </w:p>
    <w:p>
      <w:pPr>
        <w:spacing w:after="0" w:line="17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Upon closing of the agreement, the Company received one-half of a non-refundable $5.0 million up-front payment, and received the remaining half on the six-month anniversary of the closing. In addition to the non-refundable, up-front payment, the Company is entitled to receive certain regulatory and sales-based milestone payments of up to an additional $60.0 million, as well as tiered double-digit royalties on net sales of Vascepa in Canada.</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transaction price includes the $5.0 million up-front consideration. None of the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six months ended June 30, 2018 and 2017, the Company recognized $0.2 million and nil, respectively, related to the up-front payment as licensing revenue in connection with the HLS agreement. Through June 30, 2018 and December 31, 2017, the Company has recognized $0.4 million and $0.1 million, respectively, as licensing revenue under the agreement concurrent with the support provided by Amarin to HLS in achieving the performance obligation, which in the Company’s judgment is the best measure of progress towards satisfying the combined performance obligation. The remaining transaction price of $4.6 million and $4.9 million is recorded in deferred revenue as of June 30, 2018 and December 31, 2017, respectively, on the condensed consolidated balance sheets and will be recognized as revenue over the remaining period of 12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balances of the Company’s contract assets and liabilities during the six months ended June 30, 2018:</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440" w:type="dxa"/>
            <w:vAlign w:val="bottom"/>
          </w:tcPr>
          <w:p>
            <w:pPr>
              <w:spacing w:after="0"/>
              <w:rPr>
                <w:sz w:val="12"/>
                <w:szCs w:val="12"/>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12"/>
                <w:szCs w:val="12"/>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4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Six months ended June 30, 2018:</w:t>
            </w: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Contract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19,054</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18,806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2018, the Company recognized the following revenues as a result of changes in the contract asset and contract liability balances in the respective periods:</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6"/>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Revenue recognized in the period from:</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940" w:hanging="932"/>
        <w:spacing w:after="0"/>
        <w:tabs>
          <w:tab w:leader="none" w:pos="9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Company has evaluated subsequent events from June 30, 2018 through the date of the issuance of these condensed consolidated financial statements.</w:t>
      </w:r>
    </w:p>
    <w:p>
      <w:pPr>
        <w:sectPr>
          <w:pgSz w:w="11900" w:h="16838" w:orient="portrait"/>
          <w:cols w:equalWidth="0" w:num="1">
            <w:col w:w="11080"/>
          </w:cols>
          <w:pgMar w:left="240" w:top="233" w:right="579" w:bottom="1440" w:gutter="0" w:footer="0" w:header="0"/>
        </w:sect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233" w:right="579" w:bottom="1440" w:gutter="0" w:footer="0" w:header="0"/>
          <w:type w:val="continuous"/>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2017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In March 2014, we entered into a co-promotion agreement in the United States with Kowa Pharmaceuticals America, Inc. under which Kowa Pharmaceuticals America, Inc. began to co-promote Vascepa in conjunction with its promotion of its primary product, a branded statin for patients with high cholesterol, which commenced in May 2014 and extends until the end of 2018. Our direct sales force consists of approximately 170 sales professionals, including sales representatives and their managers. We anticipate increasing our direct sales force to approximately 400 to 500 sales professionals after REDUCE-IT™ results, assuming success. We also intend to expand medical education and market awareness initiatives, including, in advance of REDUCE-IT results being known, pilot testing of new promotional initiatives for potential broader applications following REDUCE-IT results.</w:t>
      </w:r>
    </w:p>
    <w:p>
      <w:pPr>
        <w:spacing w:after="0" w:line="18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In September 2017, we entered into an agreement with HLS Therapeutics Inc., or HLS, to register, commercialize and distribute Vascepa in Canada.</w:t>
      </w:r>
    </w:p>
    <w:p>
      <w:pPr>
        <w:spacing w:after="0" w:line="17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June 2018, we entered into a collaboration with Mochida Pharmaceutical Co., Ltd., or Mochida, related to development and potential subsequent commercialization of drug products and indications based on the active pharmaceutical ingredient in Vascepa, the omega-3 acid, EPA (eicosapentaenoic acid). The potential new product and indication opportunities contemplated under this agreement are currently in early stages of development.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collaboration opportunities to maximize the value of the Vascepa franchise globally.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firstLine="518"/>
        <w:spacing w:after="0" w:line="288" w:lineRule="auto"/>
        <w:rPr>
          <w:sz w:val="20"/>
          <w:szCs w:val="20"/>
          <w:color w:val="auto"/>
        </w:rPr>
      </w:pPr>
      <w:r>
        <w:rPr>
          <w:rFonts w:ascii="Arial" w:cs="Arial" w:eastAsia="Arial" w:hAnsi="Arial"/>
          <w:sz w:val="16"/>
          <w:szCs w:val="16"/>
          <w:color w:val="auto"/>
        </w:rPr>
        <w:t xml:space="preserve">Triglycerides are the main constituent of body fat in humans. Hypertriglyceridemia refers to a condition in which patients have high levels of triglycerides in the bloodstream. It is estimated that greater than one in four adults in the United States, or more than 50 million people, have elevated triglyceride levels. This data is based upon the most recent review of patient demographics, including the impact of patients on statin therapy, as published in the </w:t>
      </w:r>
      <w:r>
        <w:rPr>
          <w:rFonts w:ascii="Arial" w:cs="Arial" w:eastAsia="Arial" w:hAnsi="Arial"/>
          <w:sz w:val="16"/>
          <w:szCs w:val="16"/>
          <w:i w:val="1"/>
          <w:iCs w:val="1"/>
          <w:color w:val="auto"/>
        </w:rPr>
        <w:t>Journal of Clinical Lipidology</w:t>
      </w:r>
      <w:r>
        <w:rPr>
          <w:rFonts w:ascii="Arial" w:cs="Arial" w:eastAsia="Arial" w:hAnsi="Arial"/>
          <w:sz w:val="16"/>
          <w:szCs w:val="16"/>
          <w:color w:val="auto"/>
        </w:rPr>
        <w:t xml:space="preserve"> in April 2018.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Heart Association Scientific Statement on Triglycerides and Cardiovascular Disease </w:t>
      </w:r>
      <w:r>
        <w:rPr>
          <w:rFonts w:ascii="Arial" w:cs="Arial" w:eastAsia="Arial" w:hAnsi="Arial"/>
          <w:sz w:val="16"/>
          <w:szCs w:val="16"/>
          <w:color w:val="auto"/>
        </w:rPr>
        <w:t>(2011), triglycerides provide important information as a marker</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6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4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REDUCE-IT study is nearly complete with top-line results expected to be available and made public before the end of the third quarter of 2018, followed by broader reporting of results targeted for a scientific conference in the fourth quarter of 2018. Between reaching the estimated onset of the target 1,612 aggregate primary cardiovascular events and study data being unblinded and disclosed, final data will be accumulated in the study and will be rolled-up into a study report in preparation for final efficacy and safety data review by the independent review committees and the REDUCE-IT operational team. Final clinical site visits for patients enrolled in the REDUCE-IT study commenced on March 1, 2018 and, in June 2018, we announced that the last patient study visit had occurred.</w:t>
      </w:r>
    </w:p>
    <w:p>
      <w:pPr>
        <w:spacing w:after="0" w:line="19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REDUCE-IT study, since its inception in 2011, has been conducted under a special protocol assessment, or SPA, agreement with the FDA. This SPA, as amended, provides for periodic safety reviews by the study’s DMC. In addition, the SPA, as amended, provided for interim efficacy and safety analyses by the study’s DMC at approximately 60% and at approximately 80% of the target aggregate number of primary cardiovascular events. The periodic safety reviews and interim efficacy and safety analyses were conducted confidentially by the study’s DMC. We remain blinded to all data from the study that would enable us to assess the study outcome. Until the study is completed or the study is halted due to a patient safety concern (not expected), Amarin personnel will remain blinded to the efficacy and safety data from the REDUCE-IT study as it relates to, for example, which patients have been dosed with placebo or Vascepa. Since patient enrollment commenced in 2011, over 35,000 patient years of study experience have been accumulated in the REDUCE-IT study. Following each periodic review of safety data to date, which has occurred quarterly since 2013, and following each of two interim efficacy and safety analyses, the DMC communicated to us that we should continue the study as planned. The p-value used to assess the primary endpoint in REDUCE-IT at completion, assuming 1,612 aggregate primary cardiovascular events, is p&lt;0.0436.</w:t>
      </w:r>
    </w:p>
    <w:p>
      <w:pPr>
        <w:spacing w:after="0" w:line="178"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20" w:firstLine="518"/>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FDA-approved label expansion for Vascepa.</w:t>
      </w:r>
    </w:p>
    <w:p>
      <w:pPr>
        <w:spacing w:after="0" w:line="18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of approximately 170 sales professionals, including sales representatives and their managers. We anticipate increasing our sales force to a total of approximately 400 to 500 sales professionals after REDUCE-IT results, assuming success. Commencing in May 2014, in addition to Vascepa promotion by our sales representatives, Kowa Pharmaceuticals America, Inc. began co-promoting Vascepa in conjunction with its promotion of its primary product, a branded statin for patients with high cholesterol. We also employ various medical affairs and marketing personnel to support our commercialization of Vascepa. We intend to expand medical education and market awareness initiatives, including, in advance of REDUCE-IT results being known, pilot testing of new promotional initiatives for potential broader applications following REDUCE-IT results.</w:t>
      </w:r>
    </w:p>
    <w:p>
      <w:pPr>
        <w:spacing w:after="0" w:line="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ind w:firstLine="518"/>
        <w:spacing w:after="0" w:line="285"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varies during the term. The percentage of aggregate Vascepa gross margin earned by Kowa Pharmaceuticals America, Inc. was, as amended, approximately eighteen percent (18%) in 2017, partially offset by certain other refinements. During 2018, which is the last year of the agreement, as amended, we are incurring expense for both the annual co-promotion fee, which in 2018 is again calculated as a percentage of Vascepa gross margin at a modestly higher rate than in 2017, plus accrual for co-promotion tail payments which are calculated as a percentage of the 2018 co-promotion fee. Assuming Kowa Pharmaceuticals America, Inc. fulfills its obligations in accordance with the terms of the agreement, as amended, after expiration of the agreement, Kowa Pharmaceuticals America, Inc. is eligible to receive up to three years of co-promotion tail payments equal to declining percentages of the co-promotion fee amount earned in the final year of the agreement with the sum of the three years of co-promotion tail payments totaling less than the co-promotion fee amount earned in the final year of the agreement.</w:t>
      </w:r>
    </w:p>
    <w:p>
      <w:pPr>
        <w:spacing w:after="0" w:line="175"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Based on monthly compilations of data provided by a third party, Symphony Health, the estimated number of normalized total Vascepa prescriptions for the three months ended June 30, 2018 was approximately 430,000 compared to 391,000 and 353,000 in the three months ended March 31, 2018 and June 30, 2017, respectively. According to data from another third party, IQVIA, the estimated number of normalized total Vascepa prescriptions for the three months ended June 30, 2018 was approximately 430,000 compared to 392,000 and 346,000 in the three months ended March 31, 2018 and June 30, 2017,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August 2015, we and our co-promotion partner began communicating promotional information beyond MARINE clinical trial data to targeted healthcare professionals. Such qualified communications are being made pursuant to the August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 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received upon successful submission of a clinical trial application, or CTA, with respect to the MARINE indication for Vascepa to the Chinese regulatory authority in March 2016.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 We are also entitled to receive future regulatory and sales-based milestone payments of up to an additional $153.0 million.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Eddingpharm will also pay us tiered double-digit percentage royalties on net sales of Vascepa in the China Territory escalating to the high teens. We will supply finished product to Eddingpharm under negotiated terms.</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receive all payments based on total product sales and pay Biologix a service fee in exchange for its services, whereby the service fee represents a percentage of gross selling price which is subject to a minimum floor price. In March 2018 and July 2018, we received approval for Vascepa as a prescription medication for use in Lebanon and United Arab Emirates, respectively, as an adjunct to diet to reduce triglyceride levels in adult patients with severe hypertriglyceridemia.</w:t>
      </w:r>
    </w:p>
    <w:p>
      <w:pPr>
        <w:spacing w:after="0" w:line="19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September 2017, we entered into an agreement with HLS to register, commercialize and distribute Vascepa in Canada. Under the agreement, HLS will be responsible for regulatory and commercialization activities and associated costs. We will be responsible for providing assistance towards local filings, supplying finished product under negotiated supply terms, maintaining intellectual property, and continuing the development and funding of REDUCE-IT. Terms of the agreement include up-front and milestone payments to us of up to $65.0 million. These payments include a non-refundable $5.0 million up-front payment received in two equal installments, the first of which was received at closing with the second received upon the six-month anniversary of the closing. In addition to the non-refundable, up-front payment, we are entitled to receive certain regulatory and sales-based milestone payments of up to an additional $60.0 million, the timing and achievability of which cannot be determined at least until discussions with Canadian regulatory authorities have commenced, as well as tiered double-digit royalties on net sales of Vascepa in Canada.</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test the hypothesis that the clinical effects of Vascepa, including its impact on triglyceride lowering, are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66"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exceeding the 8,000 patients targeted for the trial.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180" w:firstLine="518"/>
        <w:spacing w:after="0" w:line="255" w:lineRule="auto"/>
        <w:rPr>
          <w:sz w:val="20"/>
          <w:szCs w:val="20"/>
          <w:color w:val="auto"/>
        </w:rPr>
      </w:pPr>
      <w:r>
        <w:rPr>
          <w:rFonts w:ascii="Arial" w:cs="Arial" w:eastAsia="Arial" w:hAnsi="Arial"/>
          <w:sz w:val="18"/>
          <w:szCs w:val="18"/>
          <w:color w:val="auto"/>
        </w:rPr>
        <w:t>The REDUCE-IT study is nearly complete with top-line study results expected to be available and made public before the end of the third quarter of 2018, followed by broader reporting of results targeted for a scientific conference in the fourth quarter of 2018. Between reaching the estimated onset of the target 1,612 aggregate primary cardiovascular events and study data being unblinded and disclosed, final data will be accumulated in the study and will be rolled-up into a study report in preparation for final efficacy and safety data review by the independent review committees and the REDUCE-IT operational team. Final clinical site visits for patients enrolled in the REDUCE-IT study commenced on March 1, 2018 and, in June 2018, we announced that the last patient study visit had occurred.</w:t>
      </w:r>
    </w:p>
    <w:p>
      <w:pPr>
        <w:spacing w:after="0" w:line="19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REDUCE-IT study, since its inception in 2011, has been conducted under a SPA agreement with the FDA. This SPA, as amended, provides for periodic safety reviews by the study’s DMC. In addition, the SPA, as amended, provided for interim efficacy and safety analyses by the study’s DMC at approximately 60% and at approximately 80% of the target aggregate number of primary cardiovascular events. The periodic safety reviews and interim efficacy and safety analyses were conducted confidentially by the study’s DMC. We remain blinded to all data from the study that would enable us to assess the study outcome. Until the study is completed or the study is halted due to a patient safety concern (not expected), Amarin personnel will remain blinded to the efficacy and safety data from the REDUCE-IT study as it relates to, for example, which patients have been dosed with placebo or Vascepa. Since patient enrollment commenced in 2011, over 35,000 patient years of study experience have been accumulated in the REDUCE-IT study. Following each periodic review of safety data to date, which have occurred quarterly since 2013, and following each of two interim efficacy and safety analyses, the DMC communicated to us that we should continue the study as planned. The p-value used to assess the primary endpoint in REDUCE-IT at completion, assuming 1,612 aggregate primary cardiovascular events, is p&lt;0.0436. 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Vascepa therapy in statin-treated patients with controlled levels of LDL cholesterol, elevated triglyceride levels and other cardiovascular risk factors.</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and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are required to make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We expect that expenditures related to research and development activities for product candidates under the collaboration agreement will be immaterial in 2018 and less than $5.0 million in 2019.</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17"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manage our supply chain internally but rely on contract manufacturers in each step of our commercial and clinical product supply, namely, active pharmaceutical ingredient, or API, manufacturing, encapsulation, packaging and supply-related logistics. Our approach to product supply seeks to mitigate risk of supply interruption and maintain an environment of cost competition and supply chain diversification. API for Vascepa is manufactured by three independent FDA-approved suppliers: Nisshin Pharma, Inc., or Nisshin, Finorga SAS, or Novasep, and Chemport, Inc., or Chemport. We encapsulate Vascepa through three independent FDA-approved commercial API encapsulators: Patheon, Inc. (formerly Banner Pharmacaps, now part of Thermo Fisher Scientific), Catalent Pharma Solutions, and Capsugel Plöermel SAS, (now a Lonza company), or Capsugel.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believe that our cash and cash equivalents of $102.3 million as of June 30, 2018 will be sufficient to fund our projected operations through results of the REDUCE-IT study, which we anticipate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20"/>
        <w:spacing w:after="0" w:line="264" w:lineRule="auto"/>
        <w:rPr>
          <w:sz w:val="20"/>
          <w:szCs w:val="20"/>
          <w:color w:val="auto"/>
        </w:rPr>
      </w:pPr>
      <w:r>
        <w:rPr>
          <w:rFonts w:ascii="Arial" w:cs="Arial" w:eastAsia="Arial" w:hAnsi="Arial"/>
          <w:sz w:val="18"/>
          <w:szCs w:val="18"/>
          <w:color w:val="auto"/>
        </w:rPr>
        <w:t>promotion of Vascepa as contemplated following anticipated successful results of the REDUCE-IT study. If additional capital is required and we are unable to obtain additional capital, we may be forced to delay, limit or eliminate all or a portion of the expanded promotional activities planned following successful results of the REDUCE-IT study. We anticipate that quarterly net cash outflows in future periods will be variable.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All of our product revenue is derived from product sales of 1-gram and 0.5-gram size capsules of Vascepa, net of allowances,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78"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expense consists of interest incurred under lease obligations, interest incurred under our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royalty-bearing instrument financing arrangement, and interest incurred under our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(expense) income, net, consists primarily of foreign exchange losses and gains.</w:t>
      </w:r>
    </w:p>
    <w:p>
      <w:pPr>
        <w:spacing w:after="0" w:line="139"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(Provision for) benefit from income taxes, deferred tax assets and liabilities, and reserves for unrecognized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benefits reflect management’s best assessment of estimated future taxes to be paid. We are subject to income taxes in both the United States and foreign jurisdictions. In applying the estimated annual effective tax rate approach prescribed under ASC 740-270 and based on present evidence and conclusions around the realizability of deferred tax assets, we determined that any tax benefit related to the pretax losses generated during the three and six months ended June 30, 2018 and 2017 is neither more likely than not to be realized in the current year nor realizable as a deferred tax asset at the end of the year. Therefore, the appropriate amount of income tax benefit to recognize during the three and six months ended June 30, 2018 and 2017 is zero.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significant accounting policies is contained in Note 2 to our condensed consolidated financial statements included elsewhere in this Quarterly Report on Form 10-Q. A summary of our critical accounting policies, significant judgments and estimates is presented in Part II, Item 7 of our Annual Report on Form 10-K for the year ended December 31, 2017. There were no material changes to our critical accounting policies, significant judgments and estimates during the six months ended June 30, 2018, other than as set forth below.</w:t>
      </w:r>
    </w:p>
    <w:p>
      <w:pPr>
        <w:spacing w:after="0" w:line="129"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—In accordance with GAAP, under Accounting Standards Codification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which we adopted on a modified retrospective basis effective January 1, 2018, we recognize revenue when our Distributors obtain control of</w:t>
      </w:r>
      <w:r>
        <w:rPr>
          <w:rFonts w:ascii="Arial" w:cs="Arial" w:eastAsia="Arial" w:hAnsi="Arial"/>
          <w:sz w:val="16"/>
          <w:szCs w:val="16"/>
          <w:i w:val="1"/>
          <w:iCs w:val="1"/>
          <w:color w:val="auto"/>
        </w:rPr>
        <w:t xml:space="preserve"> </w:t>
      </w:r>
      <w:r>
        <w:rPr>
          <w:rFonts w:ascii="Arial" w:cs="Arial" w:eastAsia="Arial" w:hAnsi="Arial"/>
          <w:sz w:val="16"/>
          <w:szCs w:val="16"/>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For a complete discussion of our accounting for net product revenue and licensing revenues, see Note 2—Significant Accounting Policies.</w:t>
      </w:r>
    </w:p>
    <w:p>
      <w:pPr>
        <w:spacing w:after="0" w:line="11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sell Vascepa principally to a limited number of Distributors that in turn resell Vascepa to retail pharmacies that subsequently resell it to patients and healthcare providers. 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net product revenues of $96.3 million and $79.3 million based on sales to Distributors during the six months ended June 30, 2018 and 2017, respectively.</w:t>
      </w:r>
    </w:p>
    <w:p>
      <w:pPr>
        <w:spacing w:after="0" w:line="17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six months ended June 30, 2018 and 2017.</w:t>
      </w:r>
    </w:p>
    <w:p>
      <w:pPr>
        <w:spacing w:after="0" w:line="169"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us.</w:t>
      </w:r>
    </w:p>
    <w:p>
      <w:pPr>
        <w:spacing w:after="0" w:line="16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ind w:right="20"/>
        <w:spacing w:after="0" w:line="279" w:lineRule="auto"/>
        <w:rPr>
          <w:sz w:val="20"/>
          <w:szCs w:val="20"/>
          <w:color w:val="auto"/>
        </w:rPr>
      </w:pPr>
      <w:r>
        <w:rPr>
          <w:rFonts w:ascii="Arial" w:cs="Arial" w:eastAsia="Arial" w:hAnsi="Arial"/>
          <w:sz w:val="17"/>
          <w:szCs w:val="17"/>
          <w:color w:val="auto"/>
        </w:rPr>
        <w:t>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7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At the inception of each arrangement that includes development, regulatory and commercial milestone payments, we evaluate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2018 and June 30, 2017</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$52.5 million and $44.9 million during the three months ended June 30, 2018 and 2017,</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$7.6 million, or 17%. This increase in revenue was driven primarily by an increase in estimated normalized total Vascepa prescriptions in the United States. Based on data provided by Symphony Health and IQVIA, estimated normalized total Vascepa prescriptions in the United States increased by approximately 77,000 and 84,000, respectively, over the three months ended June 30, 2017, representing growth of 22% and 24%, respectively. Despite record levels of estimated Vascepa prescriptions reported by these third-party sources for the second quarter of 2018 and record levels of physicians reported to have prescribed Vascepa during the same period, Vascepa growth during this period appears to have been limited by patients lost to therapy during the first quarter of 2018 who did not resume filling Vascepa prescriptions during the second quarter of 2018. As previously described, beginning-of-the-year insurance deductibles increased in 2018 under various health insurance plans. This industry-wide phenomenon, which is particularly impactful to prescriptions for therapies addressing asymptomatic medical conditions, resulted in some patients not filling prescriptions early in 2018. Once patients cease filling prescriptions, they become less prone, or unable, to resume filling prescriptions until they again visit their doctors. Net pricing of Vascepa in the second quarter of 2018 is relatively consistent with the prior year and channel inventory levels remain in the ordinary range.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ind w:right="60" w:firstLine="518"/>
        <w:spacing w:after="0" w:line="257" w:lineRule="auto"/>
        <w:rPr>
          <w:sz w:val="20"/>
          <w:szCs w:val="20"/>
          <w:color w:val="auto"/>
        </w:rPr>
      </w:pPr>
      <w:r>
        <w:rPr>
          <w:rFonts w:ascii="Arial" w:cs="Arial" w:eastAsia="Arial" w:hAnsi="Arial"/>
          <w:sz w:val="18"/>
          <w:szCs w:val="18"/>
          <w:color w:val="auto"/>
        </w:rPr>
        <w:t>All of our product revenue in the three months ended June 30,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auto"/>
        </w:rPr>
        <w:t>During the quarters ended June 30, 2018 and 2017,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June 30,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520" w:firstLine="518"/>
        <w:spacing w:after="0" w:line="291" w:lineRule="auto"/>
        <w:rPr>
          <w:sz w:val="20"/>
          <w:szCs w:val="20"/>
          <w:color w:val="auto"/>
        </w:rPr>
      </w:pPr>
      <w:r>
        <w:rPr>
          <w:rFonts w:ascii="Arial" w:cs="Arial" w:eastAsia="Arial" w:hAnsi="Arial"/>
          <w:sz w:val="16"/>
          <w:szCs w:val="16"/>
          <w:i w:val="1"/>
          <w:iCs w:val="1"/>
          <w:color w:val="auto"/>
        </w:rPr>
        <w:t>Licensing Revenue</w:t>
      </w:r>
      <w:r>
        <w:rPr>
          <w:rFonts w:ascii="Arial" w:cs="Arial" w:eastAsia="Arial" w:hAnsi="Arial"/>
          <w:sz w:val="16"/>
          <w:szCs w:val="16"/>
          <w:color w:val="auto"/>
        </w:rPr>
        <w:t>. Licensing revenue during the three months ended June 30, 2018 and 2017 was $0.1 million and $0.3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$0.2 million, or 64%. Licensing revenue relates to the amortization of a $15.0 million up-front payment received in February 2015 and a</w:t>
      </w:r>
    </w:p>
    <w:p>
      <w:pPr>
        <w:spacing w:after="0" w:line="292" w:lineRule="auto"/>
        <w:rPr>
          <w:sz w:val="20"/>
          <w:szCs w:val="20"/>
          <w:color w:val="auto"/>
        </w:rPr>
      </w:pPr>
      <w:r>
        <w:rPr>
          <w:rFonts w:ascii="Arial" w:cs="Arial" w:eastAsia="Arial" w:hAnsi="Arial"/>
          <w:sz w:val="16"/>
          <w:szCs w:val="16"/>
          <w:color w:val="auto"/>
        </w:rPr>
        <w:t>$1.0 million milestone payment achieved in March 2016, both associated with a Vascepa licensing agreement for the China Territory. Licensing revenue also includes amortization of a $5.0 million up-front amount associated with a Vascepa licensing agreement for Canada, which was reached in September 2017.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2018.</w:t>
      </w:r>
    </w:p>
    <w:p>
      <w:pPr>
        <w:spacing w:after="0" w:line="163"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2018 and 2017 was $12.8 million and $11.4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$1.4 million, or 13%.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API included in the calculation of the average cost of goods sold during the quarters ended June 30, 2018 and 2017 was sourced from three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2018 to be similar to 2017. The average cost may be variable from period to period depending upon the timing and quantity of API purchased from each supplier.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the three months ended June 30, 2018 and 2017 was 76% and 75%, respectively.</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June 30,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$53.9 million and $31.5 million, respectively, an increase of $22.4 million, or 71%. Selling, general and administrative expenses for the three months ended June 30, 2018 and 2017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23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200" w:hanging="512"/>
        <w:spacing w:after="0" w:line="276"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for the three months ended June 30, 2018 and 2017 was $40.6 million and $23.9 million, respectively, an increase of $16.7 million, or 70%. This increase is due primarily to increased promotional activities, including commercial spend for anticipated expansion following successful REDUCE-IT results, including costs for pilot direct-to-consumer activities of approximately $9.0 million, as well as payment of $2.0 million made in connection with the settlement agreement reached with Teva Pharmaceuticals USA, Inc. in May 2018.</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left="520" w:right="140" w:hanging="512"/>
        <w:spacing w:after="0" w:line="25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June 30, 2018 and 2017 were $10.3 million and $4.6 million, respectively, an increase of $5.7 million, or 125%. The increase is due primarily to an accrual for co-promotion tail payments of $3.4 million in the second quarter of 2018 as well as an increase in gross margin on product sales, upon which the co-promotion fees are calculated for the second quarter of 2018 compared to the same period in 2017.</w:t>
      </w:r>
    </w:p>
    <w:p>
      <w:pPr>
        <w:spacing w:after="0" w:line="2" w:lineRule="exact"/>
        <w:rPr>
          <w:rFonts w:ascii="Arial" w:cs="Arial" w:eastAsia="Arial" w:hAnsi="Arial"/>
          <w:sz w:val="18"/>
          <w:szCs w:val="18"/>
          <w:color w:val="auto"/>
        </w:rPr>
      </w:pPr>
    </w:p>
    <w:p>
      <w:pPr>
        <w:ind w:left="520" w:right="420" w:hanging="512"/>
        <w:spacing w:after="0" w:line="255"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for each of the three months ended June 30, 2018 and 2017 was $3.1 million. Non-cash stock-based compensation expense represents the estimated costs associated with equity awards issued to internal staff supporting our selling, general and administrative functions.</w:t>
      </w:r>
    </w:p>
    <w:p>
      <w:pPr>
        <w:spacing w:after="0" w:line="19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June 30, 2018 and 2017 was $18.2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$13.7 million, respectively, an increase of $4.5 million, or 33%. Research and development expenses for the three months ended June 30, 2018 and 2017 are summarized in the table below:</w:t>
      </w:r>
    </w:p>
    <w:p>
      <w:pPr>
        <w:spacing w:after="0" w:line="254"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w w:val="99"/>
              </w:rPr>
              <w:t>Research and development expense, excluding non-cash expense</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quarter ended June 30, 2018, as compared to the prior year period, is primarily due to timing of REDUCE-IT and related costs.</w:t>
      </w:r>
    </w:p>
    <w:p>
      <w:pPr>
        <w:spacing w:after="0" w:line="62" w:lineRule="exact"/>
        <w:rPr>
          <w:sz w:val="20"/>
          <w:szCs w:val="20"/>
          <w:color w:val="auto"/>
        </w:rPr>
      </w:pPr>
    </w:p>
    <w:p>
      <w:pPr>
        <w:ind w:left="520" w:right="20" w:hanging="512"/>
        <w:spacing w:after="0" w:line="266"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Final clinical site visits for patients enrolled in the REDUCE-IT study commenced on March 1, 2018 and, in June 2018, we announced that the last patient study visit had occurred.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June 30, 2018 and 2017, we incurred expenses through our CRO in connection with this trial of approximately $9.0 million and $9.2 million, respectively. Inclusive of CTM costs, the combined CRO and CTM costs during the three months ended June 30, 2018 and 2017 for REDUCE-IT were approximately $11.5 million and $10.4 million, respectively. The increase in expenses in 2018 as compared to 2017 is primarily the result of timing variability for REDUCE-IT costs, including costs associated with last patient study visits and data collection. We expense costs for CTM when allocated to clinical research. We currently estimate that we will incur $30 million to $40 million in annual costs through study completion and initial publication of the trial results. We anticipate that the rate at which we incur such costs will vary from quarter to quarter. We estimate that the study will be completed with top-line study results becoming available and made public before the end of the third quarter of 2018, followed by broader reporting of results targeted for a scientific conference in the fourth quarter of 2018. We anticipate that our costs for this outcomes study will continue to represent the most significant component of our research and development expenditures until the results of this study are published.</w:t>
      </w:r>
    </w:p>
    <w:p>
      <w:pPr>
        <w:spacing w:after="0" w:line="4" w:lineRule="exact"/>
        <w:rPr>
          <w:rFonts w:ascii="Arial" w:cs="Arial" w:eastAsia="Arial" w:hAnsi="Arial"/>
          <w:sz w:val="17"/>
          <w:szCs w:val="17"/>
          <w:color w:val="auto"/>
        </w:rPr>
      </w:pPr>
    </w:p>
    <w:p>
      <w:pPr>
        <w:ind w:left="52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June 30,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4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We anticipate these costs to increase in 2018 compared to 2017 in support of publishing results of the REDUCE-IT study and preparing potential regulatory filings based on the results of the study. The amount and timing of such increases will depend on the results of the currently ongoing REDUCE-IT trial. Other research and development expenses for the three months ended June 30, 2018 also include a non-refundable, non-creditable upfront payment of approximately $2.7 million related to our strategic collaboration with Mochida Pharmaceutical Co., Ltd.</w:t>
      </w:r>
    </w:p>
    <w:p>
      <w:pPr>
        <w:spacing w:after="0" w:line="3" w:lineRule="exact"/>
        <w:rPr>
          <w:rFonts w:ascii="Arial" w:cs="Arial" w:eastAsia="Arial" w:hAnsi="Arial"/>
          <w:sz w:val="18"/>
          <w:szCs w:val="18"/>
          <w:color w:val="auto"/>
        </w:rPr>
      </w:pPr>
    </w:p>
    <w:p>
      <w:pPr>
        <w:ind w:left="520" w:right="52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right="46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three months ended June 30, 2018 and 2017 was $1.8 million and $2.3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$0.5 million, or 23%. Net interest expense for the three months ended June 30, 2018 and 2017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gridSpan w:val="3"/>
            <w:vMerge w:val="restart"/>
          </w:tcPr>
          <w:p>
            <w:pPr>
              <w:ind w:left="940"/>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65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5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9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5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exchangeable senior notes interest expense</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5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w:t>
            </w:r>
          </w:p>
        </w:tc>
        <w:tc>
          <w:tcPr>
            <w:tcW w:w="5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 net</w:t>
            </w:r>
          </w:p>
        </w:tc>
        <w:tc>
          <w:tcPr>
            <w:tcW w:w="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200" w:hanging="512"/>
        <w:spacing w:after="0" w:line="25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June 30, 2018 and 2017 was $0.3 million in each period.</w:t>
      </w:r>
    </w:p>
    <w:p>
      <w:pPr>
        <w:spacing w:after="0" w:line="1" w:lineRule="exact"/>
        <w:rPr>
          <w:rFonts w:ascii="Arial" w:cs="Arial" w:eastAsia="Arial" w:hAnsi="Arial"/>
          <w:sz w:val="18"/>
          <w:szCs w:val="18"/>
          <w:color w:val="auto"/>
        </w:rPr>
      </w:pPr>
    </w:p>
    <w:p>
      <w:pPr>
        <w:ind w:left="520" w:right="80" w:hanging="512"/>
        <w:spacing w:after="0" w:line="28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Cash and non-cash interest expense related to the December 2012 royalty-bearing instrument for the three months ended June 30, 2018 and 2017 was $2.0 million and $2.1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for the three months ended June 30, 2018 and 2017 was $0.5 million and $0.1 million, respectively. Interest income represents income earned on cash balances.</w:t>
      </w:r>
    </w:p>
    <w:p>
      <w:pPr>
        <w:spacing w:after="0" w:line="184"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(expense) income, net, for the three months ended June 30, 2018 and 2017 was expense of $0.1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$0.1 million, respectively. Other (expense) income, net, primarily consists of gains and losses on foreign exchange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2018 and June 30, 2017</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net product revenue of $96.3 million and $79.3 million during the six months ended June 30,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$17.0 million, or 21%. This increase in revenue was driven primarily by an increase in estimated normalized total Vascepa prescriptions in the United States. Based on data provided by Symphony Health and IQVIA, estimated normalized total Vascepa prescriptions in the United States increased by approximately 155,000 and 168,000, respectively, over the six months ended June 30, 2017, representing growth of 23% and 26%, respectively.</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All of our product revenue in the six months ended June 30,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During the six months ended June 30, 2018 and 2017,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six months ended June 30,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1" w:name="page42"/>
    <w:bookmarkEnd w:id="41"/>
    <w:p>
      <w:pPr>
        <w:ind w:right="680" w:firstLine="518"/>
        <w:spacing w:after="0" w:line="291" w:lineRule="auto"/>
        <w:rPr>
          <w:sz w:val="20"/>
          <w:szCs w:val="20"/>
          <w:color w:val="auto"/>
        </w:rPr>
      </w:pPr>
      <w:r>
        <w:rPr>
          <w:rFonts w:ascii="Arial" w:cs="Arial" w:eastAsia="Arial" w:hAnsi="Arial"/>
          <w:sz w:val="16"/>
          <w:szCs w:val="16"/>
          <w:i w:val="1"/>
          <w:iCs w:val="1"/>
          <w:color w:val="auto"/>
        </w:rPr>
        <w:t>Licensing Revenue</w:t>
      </w:r>
      <w:r>
        <w:rPr>
          <w:rFonts w:ascii="Arial" w:cs="Arial" w:eastAsia="Arial" w:hAnsi="Arial"/>
          <w:sz w:val="16"/>
          <w:szCs w:val="16"/>
          <w:color w:val="auto"/>
        </w:rPr>
        <w:t>. Licensing revenue during the six months ended June 30, 2018 and 2017 was $0.2 million and $0.6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$0.3 million, or 58%. Licensing revenue relates to the amortization of a $15.0 million up-front payment received in February 2015 and a</w:t>
      </w:r>
    </w:p>
    <w:p>
      <w:pPr>
        <w:ind w:right="20"/>
        <w:spacing w:after="0" w:line="292" w:lineRule="auto"/>
        <w:rPr>
          <w:sz w:val="20"/>
          <w:szCs w:val="20"/>
          <w:color w:val="auto"/>
        </w:rPr>
      </w:pPr>
      <w:r>
        <w:rPr>
          <w:rFonts w:ascii="Arial" w:cs="Arial" w:eastAsia="Arial" w:hAnsi="Arial"/>
          <w:sz w:val="16"/>
          <w:szCs w:val="16"/>
          <w:color w:val="auto"/>
        </w:rPr>
        <w:t>$1.0 million milestone payment achieved in March 2016, both associated with a Vascepa licensing agreement for the China Territory. Licensing revenue also includes amortization of a $5.0 million up-front amount associated with a Vascepa licensing agreement for Canada, which was reached in September 2017.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2018.</w:t>
      </w:r>
    </w:p>
    <w:p>
      <w:pPr>
        <w:spacing w:after="0" w:line="163"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2018 and 2017 was $23.5 million and $19.6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$3.9 million, or 20%.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API included in the calculation of the average cost of goods sold during the six months ended June 30, 2018 and 2017 was sourced from three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2018 to be similar to 2017. The average cost may be variable from period to period depending upon the timing and quantity of API purchased from each supplier.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the six months ended June 30, 2018 and 2017 was 76% and 75%, respectively.</w:t>
      </w:r>
    </w:p>
    <w:p>
      <w:pPr>
        <w:spacing w:after="0" w:line="225"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six months ended June 30, 2018 and 2017 was</w:t>
      </w:r>
      <w:r>
        <w:rPr>
          <w:rFonts w:ascii="Arial" w:cs="Arial" w:eastAsia="Arial" w:hAnsi="Arial"/>
          <w:sz w:val="18"/>
          <w:szCs w:val="18"/>
          <w:i w:val="1"/>
          <w:iCs w:val="1"/>
          <w:color w:val="auto"/>
        </w:rPr>
        <w:t xml:space="preserve"> </w:t>
      </w:r>
      <w:r>
        <w:rPr>
          <w:rFonts w:ascii="Arial" w:cs="Arial" w:eastAsia="Arial" w:hAnsi="Arial"/>
          <w:sz w:val="18"/>
          <w:szCs w:val="18"/>
          <w:color w:val="auto"/>
        </w:rPr>
        <w:t>$97.4 million and $65.7 million, respectively, an increase of $31.6 million, or 48%. Selling, general and administrative expenses for the six months ended June 30, 2018 and 2017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228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120" w:hanging="512"/>
        <w:spacing w:after="0" w:line="26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for the six months ended June 30, 2018 and 2017 was $71.7 million and $50.0 million, respectively, an increase of $21.7 million, or 43%. This increase is due primarily to increased promotional activities, including commercial spend for anticipated expansion following successful REDUCE-IT results, including costs for pilot direct-to-consumer activities of approximately $12.0 million, as well as payment of $2.0 million made in connection with the settlement agreement reached with Teva Pharmaceuticals USA, Inc. in May 2018.</w:t>
      </w:r>
    </w:p>
    <w:p>
      <w:pPr>
        <w:spacing w:after="0" w:line="3" w:lineRule="exact"/>
        <w:rPr>
          <w:rFonts w:ascii="Arial" w:cs="Arial" w:eastAsia="Arial" w:hAnsi="Arial"/>
          <w:sz w:val="17"/>
          <w:szCs w:val="17"/>
          <w:color w:val="auto"/>
        </w:rPr>
      </w:pPr>
    </w:p>
    <w:p>
      <w:pPr>
        <w:ind w:left="520" w:right="6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six months ended June 30, 2018 and 2017 were $19.4 million and $9.8 million, respectively, an increase of $9.6 million, or 97%. The increase is due primarily to an accrual for co-promotion tail payments of $6.8 million in 2018 as well as an increase in gross margin on product sales, upon which the co-promotion fees are calculated for the first half of 2018 compared to the same period in 2017.</w:t>
      </w:r>
    </w:p>
    <w:p>
      <w:pPr>
        <w:spacing w:after="0" w:line="1"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stock-based compensation expense for the six months ended June 30, 2018 and 2017 was $6.3 million and $5.9 million, respectively, an increase of $0.4 million, or 6%. Non-cash stock-based compensation expense represents the estimated costs associated with equity awards issued to internal staff supporting our selling, general and administrative functions.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28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six months ended June 30, 2018 and 2017 was $29.9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$24.5 million, respectively, an increase of $5.4 million, or 22%. Research and development expenses for the six months ended June 30, 2018 and 2017 are summarized in the table below:</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4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7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7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7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7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increase in research and development expenses for the six months ended June 30, 2018, as compared to the prior year period, is primarily due to timing of REDUCE-IT and related costs.</w:t>
      </w:r>
    </w:p>
    <w:p>
      <w:pPr>
        <w:spacing w:after="0" w:line="62" w:lineRule="exact"/>
        <w:rPr>
          <w:sz w:val="20"/>
          <w:szCs w:val="20"/>
          <w:color w:val="auto"/>
        </w:rPr>
      </w:pPr>
    </w:p>
    <w:p>
      <w:pPr>
        <w:ind w:left="520" w:hanging="512"/>
        <w:spacing w:after="0" w:line="266"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Final clinical site visits for patients enrolled in the REDUCE-IT study commenced on March 1, 2018 and, in June 2018, we announced that the last patient study visit had occurred.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six months ended June 30, 2018 and 2017, we incurred expenses through our CRO in connection with this trial of approximately $15.9 million and $15.8 million, respectively. Inclusive of CTM costs, the combined CRO and CTM costs during the six months ended June 30, 2018 and 2017 for REDUCE-IT were approximately $20.2 million and $18.1 million, respectively. The increase in expenses in 2018 as compared to 2017 is primarily the result of timing variability for REDUCE-IT costs, including costs associated with last patient study visits and data collection. We expense costs for CTM when allocated to clinical research. We currently estimate that we will incur $30 million to $40 million in annual costs through study completion and initial publication of the trial results. We anticipate that the rate at which we incur such costs will vary from quarter to quarter. We estimate that the study will be completed with top-line study results becoming available and made public before the end of the third quarter of 2018, followed by broader reporting of results targeted for a scientific conference in the fourth quarter of 2018. We anticipate that our costs for this outcomes study will continue to represent the most significant component of our research and development expenditures until the results of this study are published.</w:t>
      </w:r>
    </w:p>
    <w:p>
      <w:pPr>
        <w:spacing w:after="0" w:line="4" w:lineRule="exact"/>
        <w:rPr>
          <w:rFonts w:ascii="Arial" w:cs="Arial" w:eastAsia="Arial" w:hAnsi="Arial"/>
          <w:sz w:val="17"/>
          <w:szCs w:val="17"/>
          <w:color w:val="auto"/>
        </w:rPr>
      </w:pPr>
    </w:p>
    <w:p>
      <w:pPr>
        <w:ind w:left="520" w:right="36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filing fees in each of the six months ended June 30,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We anticipate these costs to increase in 2018 compared to 2017 in support of publishing results of the REDUCE-IT study and preparing potential regulatory filings based on the results of the study. The amount and timing of such increases will depend on the results of the currently ongoing REDUCE-IT trial. Other research and development expenses for the six months ended June 30, 2018 also include a non-refundable, non-creditable upfront payment of approximately $2.7 million related to our strategic collaboration with Mochida Pharmaceutical Co., Ltd.</w:t>
      </w:r>
    </w:p>
    <w:p>
      <w:pPr>
        <w:spacing w:after="0" w:line="3" w:lineRule="exact"/>
        <w:rPr>
          <w:rFonts w:ascii="Arial" w:cs="Arial" w:eastAsia="Arial" w:hAnsi="Arial"/>
          <w:sz w:val="18"/>
          <w:szCs w:val="18"/>
          <w:color w:val="auto"/>
        </w:rPr>
      </w:pPr>
    </w:p>
    <w:p>
      <w:pPr>
        <w:ind w:left="520" w:right="50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firstLine="518"/>
        <w:spacing w:after="0" w:line="308"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Net interest expense for the six months ended June 30, 2018 and 2017 was $4.0 million and $4.7 million, respectively,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$0.7 million, or 14%. Net interest expense for the six months ended June 30, 2018 and 2017 is summarized in the table below:</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64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Amortization of debt discounts</w:t>
            </w:r>
          </w:p>
        </w:tc>
        <w:tc>
          <w:tcPr>
            <w:tcW w:w="9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6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right="20" w:hanging="512"/>
        <w:spacing w:after="0" w:line="25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six months ended June 30, 2018 and 2017 was $0.6 million in each period.</w:t>
      </w:r>
    </w:p>
    <w:p>
      <w:pPr>
        <w:spacing w:after="0" w:line="1" w:lineRule="exact"/>
        <w:rPr>
          <w:rFonts w:ascii="Arial" w:cs="Arial" w:eastAsia="Arial" w:hAnsi="Arial"/>
          <w:sz w:val="18"/>
          <w:szCs w:val="18"/>
          <w:color w:val="auto"/>
        </w:rPr>
      </w:pPr>
    </w:p>
    <w:p>
      <w:pPr>
        <w:ind w:left="520" w:right="280" w:hanging="512"/>
        <w:spacing w:after="0" w:line="281"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and non-cash interest expense related to the December 2012 royalty-bearing instrument for the six months ended June 30, 2018 and 2017 was $4.0 million and $4.3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22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2018 and 2017 was $0.6 million and $0.2 million, respectively. Interest income represents income earned on cash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-1254125</wp:posOffset>
            </wp:positionV>
            <wp:extent cx="969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4"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(expense) income, net, for the six months ended June 30, 2018 and 2017 was expense of $0.1 million and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of $0.1 million, respectively. Other (expense) income, net, primarily consists of gains and losses on foreign exchange transactions.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sources of liquidity as of June 30, 2018 include cash and cash equivalents of $102.3 million.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estimated offering expenses payable by us. Our projected uses of cash include expansion of medical education and market awareness initiatives, including, in advance of REDUCE-IT results being known, pilot testing of new promotional initiatives for potential broader application following REDUCE-IT results, increasing inventory balances for incremental inventory build prior to REDUCE-IT results, and general corporate and working capital purposes. Our cash flows from operating, investing and financing activities, as reflected in the condensed consolidated statements of cash flows, are summarized in the following table:</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6"/>
        </w:trPr>
        <w:tc>
          <w:tcPr>
            <w:tcW w:w="4260" w:type="dxa"/>
            <w:vAlign w:val="bottom"/>
            <w:tcBorders>
              <w:bottom w:val="single" w:sz="8" w:color="CFF0FC"/>
            </w:tcBorders>
            <w:vMerge w:val="continue"/>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563"/>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2018 increased compared to the same period in 2017 primarily as a result of commercial and R&amp;D activities associated with preparation for completion of the REDUCE-IT study, including payment for increased levels of Vascepa inventory, partially offset by higher collections from product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20" w:firstLine="518"/>
        <w:spacing w:after="0" w:line="269"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June 30, 2018, the net remaining amount to be repaid to CPPIB is $99.4 million. To date, our net revenues have been below the contractual threshold amount such that each payment made has reflected the calculated optional reduction amount as opposed to the contractual threshold payments for each quarterly period. As of June 30, 2018, there are no quarterly contractual threshold payments remaining, such that the maximum amount payable is subject only to the calculated threshold limitation based on quarterly Vascepa net revenues. In accordance with the agreement,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for royalty based on quarterly Vascepa net revenues. No additional interest expense or liability is incurred as a result of such deferred repayments. The agreement does not expire until $150.0 million in aggregate has been repaid. We can prepay an amount equal to $150.0 million less any previously repaid amount.</w:t>
      </w:r>
    </w:p>
    <w:p>
      <w:pPr>
        <w:spacing w:after="0" w:line="180"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In January 2017, we, through our wholly-owned subsidiary Corsicanto II DAC,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 received from the January 2017 offering were approximately $28.8 million, after deducting placement agent fees and estimated offering expenses.</w:t>
      </w:r>
    </w:p>
    <w:p>
      <w:pPr>
        <w:spacing w:after="0" w:line="17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 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 $3.89 per ADS), subject to adjustment upon the occurrence of certain events, including the payment of cash dividends. Upon exchange, the 2017 Notes are to be settled in ADSs.</w:t>
      </w:r>
    </w:p>
    <w:p>
      <w:pPr>
        <w:spacing w:after="0" w:line="126"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During 2018, we anticipate that inventory balances will grow in proportion to anticipated revenue growth. Additionally, we anticipate incremental inventory increases prior to REDUCE-IT results of up to approximately $10 million. As of June 30, 2018, we had increased inventory levels during 2018 by approximately half of the target increase amount with the balance of the increase scheduled for coming months.</w:t>
      </w:r>
    </w:p>
    <w:p>
      <w:pPr>
        <w:spacing w:after="0" w:line="166"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As of June 30, 2018, we had cash and cash equivalents of $102.3 million, an increase of $28.6 million from December 31, 2017. The increase is primarily due to proceeds from the public offering financing and accounts receivable collections, partially offset by net cash used in operating activities in support of the commercialization of Vascepa and funding of REDUCE-IT. We have incurred annual operating losses since our inception and, as a result, we had an accumulated deficit of $1.3 billion as of June 30, 2018. We anticipate that quarterly net cash outflows in future periods will continue to be variable as a result of the timing of certain items, including our purchases of API, payments to our Vascepa co-promotion partner, and anticipated expanded Vascepa promotional activities before REDUCE-IT results which, assuming REDUCE-IT success, will increase more pronouncedly after REDUCE-IT results. We believe that our cash and cash equivalents of $102.3 as of June 30, 2018 will be sufficient to fund our projected operations through the results of the REDUCE-IT study, which we anticipate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based on anticipated successful results of the REDUCE-IT study. If additional capital is required and we are unable to obtain additional capital, we may be forced to delay, limit or eliminate all or a portion of the expanded promotional activities planned following successful results of the REDUCE-IT study. We anticipate that quarterly net cash outflows in future periods will be variable.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We have Vascepa API supply agreements with three independent companies from which we purchase qualified API supply: Nisshin, Chemport, and Finorga SAS, or Novasep. We also have encapsulation agreements with three FDA-approved commercial API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line="302" w:lineRule="auto"/>
        <w:rPr>
          <w:sz w:val="20"/>
          <w:szCs w:val="20"/>
          <w:color w:val="auto"/>
        </w:rPr>
      </w:pPr>
      <w:r>
        <w:rPr>
          <w:rFonts w:ascii="Arial" w:cs="Arial" w:eastAsia="Arial" w:hAnsi="Arial"/>
          <w:sz w:val="16"/>
          <w:szCs w:val="16"/>
          <w:color w:val="auto"/>
        </w:rPr>
        <w:t>encapsulators for Vascepa manufacturing: Patheon, Inc. (formerly Banner Pharmacaps, now part of Thermo Fisher Scientific), Catalent Pharma Solutions, and Capsugel Plöermel SAS, (now a Lonza company), or Capsugel. Our agreements with Chemport, Novasep, and Capsugel contain minimum annual purchase levels to enable us to maintain certain supply exclusivity and also contain a provision that any shortfall in the minimum purchase commitments is payable in cash. Each supplier is required to meet certain performance obligations and the agreements may be terminated by us in the event of non-performance.</w:t>
      </w:r>
    </w:p>
    <w:p>
      <w:pPr>
        <w:spacing w:after="0" w:line="15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have certain marketing commitments, consisting of communication costs related to our pilot direct-to-consumer activities, totaling approximately $4.2 million committed as of June 30, 2018.</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operating lease costs, primarily consisting of leases for facilities in Dublin, Ireland and Bedminster, NJ, net of sublease rental income.</w:t>
      </w:r>
    </w:p>
    <w:p>
      <w:pPr>
        <w:spacing w:after="0" w:line="237"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Under the terms of the agreement with CPPIB, as successor in interest to BioPharma, we agreed to repay up to $150.0 million of future revenue and receivables. As of June 30, 2018, the net remaining amount to be repaid is $99.4 million. To date, our revenues have been below the contractual threshold amount such that each payment made has reflected the calculated optional reduction amount as opposed to the contractual threshold payments for each quarterly period. As of June 30, 2018, there are no quarterly contractual threshold payments remaining, such that the maximum amount payable is subject only to the calculated threshold limitation based on quarterly Vascepa net revenues. In accordance with the agreement,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based on quarterly Vascepa net revenues. No additional interest expense or liability is incurred as a result of such deferred repayments and no cliff payment of the remaining balance is due except in the event of Company default or Company change of control. The agreement does not expire until $150.0 million in aggregate has been repaid. We can prepay an amount equal to $150.0 million less any previously repaid amount.</w:t>
      </w:r>
    </w:p>
    <w:p>
      <w:pPr>
        <w:spacing w:after="0" w:line="16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have scheduled interest payments due under the terms of the 2017 Notes, assuming that they remain outstanding through January 19, 2022 and have not been exchanged for ADSs.</w:t>
      </w:r>
    </w:p>
    <w:p>
      <w:pPr>
        <w:spacing w:after="0" w:line="170"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$0.3 million in each of the six months ended June 30, 2018 and 2017.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$9.9 million as of June 30, 2018).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$6.6 million as of June 30, 2018) for each of the two potential market approvals (i.e. £10 million maximum, or approximately $13.2 million as of June 30, 2018).</w:t>
      </w:r>
    </w:p>
    <w:p>
      <w:pPr>
        <w:spacing w:after="0" w:line="169"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June 30, 2018,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2018.</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6" w:name="page47"/>
    <w:bookmarkEnd w:id="46"/>
    <w:p>
      <w:pPr>
        <w:ind w:right="820"/>
        <w:spacing w:after="0" w:line="342" w:lineRule="auto"/>
        <w:rPr>
          <w:sz w:val="20"/>
          <w:szCs w:val="20"/>
          <w:color w:val="auto"/>
        </w:rPr>
      </w:pPr>
      <w:r>
        <w:rPr>
          <w:rFonts w:ascii="Arial" w:cs="Arial" w:eastAsia="Arial" w:hAnsi="Arial"/>
          <w:sz w:val="16"/>
          <w:szCs w:val="16"/>
          <w:color w:val="auto"/>
        </w:rPr>
        <w:t>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June 30, 2018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June 30, 2018,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During the quarter ended June 30, 2018, we implemented certain internal controls in connection with our adoption of ASC Topic 606. There were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2017 and “Item 1. Legal Proceedings” of our Quarterly Report on Form 10-Q for the quarter ended March 31, 2018 include discussions of our current legal proceedings. There have been no material changes to those disclosures as of the date of this filing, other than as set forth below.</w:t>
      </w:r>
    </w:p>
    <w:p>
      <w:pPr>
        <w:spacing w:after="0" w:line="154"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On May 24, 2018, we entered into a settlement agreement with Teva Pharmaceuticals USA, Inc. (“Teva”) that resolves our previously reported abbreviated new drug application (“ANDA”) patent litigation as it relates to Teva’s ANDA seeking FDA approval of generic forms of both the 1-gram and</w:t>
      </w:r>
    </w:p>
    <w:p>
      <w:pPr>
        <w:spacing w:after="0" w:line="290" w:lineRule="auto"/>
        <w:rPr>
          <w:sz w:val="20"/>
          <w:szCs w:val="20"/>
          <w:color w:val="auto"/>
        </w:rPr>
      </w:pPr>
      <w:r>
        <w:rPr>
          <w:rFonts w:ascii="Arial" w:cs="Arial" w:eastAsia="Arial" w:hAnsi="Arial"/>
          <w:sz w:val="16"/>
          <w:szCs w:val="16"/>
          <w:color w:val="auto"/>
        </w:rPr>
        <w:t>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Under the agreement, we paid Teva $2.0 million in recognition of the savings to us in the avoidance of costs, expenditure of time and resources, disruption and burden associated with continued litigation with Teva. This patent litigation continues in the United States District Court for the District of Nevada with parties West-Ward Pharmaceuticals Corp. and Dr. Reddy’s Laboratories, Inc. and their affiliated entities as it relates to such parties’ ANDAs seeking FDA approval of generic forms of Vascepa.</w:t>
      </w: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the year ended December 31, 2017 filed with the SEC on February 27,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ind w:right="100"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301"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The uncertain effect of Vascepa on its ultimate targeted clinical benefits makes it more difficult to achieve a level of market acceptance by physicians, patients, healthcare payors and others in the medical community necessary for commercial success.</w:t>
      </w:r>
    </w:p>
    <w:p>
      <w:pPr>
        <w:spacing w:after="0" w:line="6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5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 xml:space="preserve">In August 2015, based on a federal court order, we began communicating promotional information beyond the MARINE indication to healthcare professionals in the United States for the treatment of patients with high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benefits.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9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uncertainties around the ultimate targeted clinical benefits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indications and uses based on the REDUCE-IT™ trial or otherwise will depend on a number of factors, including:</w:t>
      </w:r>
    </w:p>
    <w:p>
      <w:pPr>
        <w:spacing w:after="0" w:line="6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the REDUCE-IT cardiovascular outcomes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or related settlement;</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in the United States may not be successful in increasing sales of Vascepa.</w:t>
      </w:r>
    </w:p>
    <w:p>
      <w:pPr>
        <w:spacing w:after="0" w:line="11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Our sales team consists of approximately 170 sales professionals, including sales representatives and their managers. This sales team promotes Vascepa to a limited group of physicians and other healthcare professionals in select geographies in the United States. This sales team is not large enough to call upon all physicians. In January 2013, when we initially began selling Vascepa in the United States through our own then newly established sales and marketing teams and through a newly established third-party commercial distribution infrastructure, our sales team was larger.</w:t>
      </w:r>
    </w:p>
    <w:p>
      <w:pPr>
        <w:spacing w:after="0" w:line="15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May 2014, we began co-promoting Vascepa in the United States with Kowa Pharmaceuticals America, Inc. under a co-promotion agreement we entered into in March 2014, which we amended in July 2017. Under the agreement, Kowa Pharmaceuticals America, Inc. co-promotes Vascepa in conjunction with its promotion of its primary product, a branded statin for patients with high cholesterol, along with our sales professionals based on a plan designed to focus on select sales territories that we believe have demonstrated the greatest potential for Vascepa sales growth, increasing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w:t>
      </w:r>
    </w:p>
    <w:p>
      <w:pPr>
        <w:spacing w:after="0" w:line="16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the results of the REDUCE-IT outcomes study are successful, we plan to expand our promotion of Vascepa, including increasing the size of our team. We anticipate increasing our sales force to a total of approximately 400 to 500 sales professionals after REDUCE-IT results, assuming success. If REDUCE-IT is successful, we will again need to overcome challenges associated with rapidly hiring and training personnel and managing larger teams of people. Furthermore, our agreement with Kowa Pharmaceuticals America, Inc. is designed such that its co-promotion of Vascepa ceases at the end of 2018. If we do not extend this co-promotion agreement, enter into a co-promotion agreement with an equally capable company or hire equally capable sales representatives, our sales may be negatively impacted.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jc w:val="both"/>
        <w:ind w:left="1040" w:right="480" w:hanging="519"/>
        <w:spacing w:after="0" w:line="28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 xml:space="preserve">In April 2015, we received a Complete Response Letter, or CRL, from the FDA on our supplemental new drug application, or sNDA, that sought approval for the use of Vascepa in patients with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20"/>
        <w:spacing w:after="0" w:line="277" w:lineRule="auto"/>
        <w:rPr>
          <w:sz w:val="20"/>
          <w:szCs w:val="20"/>
          <w:color w:val="auto"/>
        </w:rPr>
      </w:pPr>
      <w:r>
        <w:rPr>
          <w:rFonts w:ascii="Arial" w:cs="Arial" w:eastAsia="Arial" w:hAnsi="Arial"/>
          <w:sz w:val="18"/>
          <w:szCs w:val="18"/>
          <w:color w:val="auto"/>
        </w:rPr>
        <w:t>reducing cardiovascular risk in the ANCHOR population. The FDA did not determine that the drug-induced effects of Vascepa, which go beyond triglyceride-lowering, would not actually reduce cardiovascular risk in this population.</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August 2015, based on a federal court order, we began communicating promotional information beyond the MARINE indication to healthcare professionals in the United States through use of a set of qualified statements that we believe reflect the state of research related to the use of Vascepa in the ANCHOR population and the supportive but not conclusive research on the use of Vascepa to reduce cardiovascular risk in this population.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If new clinical information from the REDUCE-IT cardiovascular outcomes trial or otherwise changes what we understand to be truthful and non-misleading, our promotion of Vascepa will need to be modified to ensure that our promotion remains truthful and non-misleading. Our ability to reach full potential in the commercialization of Vascepa in the United States is dependent upon marketing claims associated with Vascepa that are granted with the approval of an indication statement by the FDA.</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Based on our communications with the FDA, we expect that final positive results from the REDUCE-IT cardiovascular outcomes trial will be required for FDA approval of a new indication or other FDA-approved label expansion for Vascepa. Any delay in obtaining, or an inability to obtain, further expansion of our marketing approval rights with an FDA approval could prevent us from growing revenue at all or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The Federal Food, Drug, and Cosmetic Act, or FDCA, has been interpreted by the FDA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66"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generally considered by the FDA to be illegal under the FDCA. 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8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t>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88"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FDA-approved label expansion for Vascepa.</w:t>
      </w:r>
    </w:p>
    <w:p>
      <w:pPr>
        <w:spacing w:after="0" w:line="17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(“Mochida”) and the ongoing REDUCE-IT study of Vascepa). We, the FDA, our competitors and other interested parties may not agree on the truthfulness and non-misleading nature of our promotional materials with respect to the outcome of these trials or other direct or indirect claims we make about Vascepa.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in May 2014, Epanova</w:t>
      </w:r>
      <w:r>
        <w:rPr>
          <w:rFonts w:ascii="Arial" w:cs="Arial" w:eastAsia="Arial" w:hAnsi="Arial"/>
          <w:sz w:val="15"/>
          <w:szCs w:val="15"/>
          <w:color w:val="auto"/>
        </w:rPr>
        <w:t>®</w:t>
      </w:r>
      <w:r>
        <w:rPr>
          <w:rFonts w:ascii="Arial" w:cs="Arial" w:eastAsia="Arial" w:hAnsi="Arial"/>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firstLine="518"/>
        <w:spacing w:after="0" w:line="285" w:lineRule="auto"/>
        <w:rPr>
          <w:sz w:val="20"/>
          <w:szCs w:val="20"/>
          <w:color w:val="auto"/>
        </w:rPr>
      </w:pPr>
      <w:r>
        <w:rPr>
          <w:rFonts w:ascii="Arial" w:cs="Arial" w:eastAsia="Arial" w:hAnsi="Arial"/>
          <w:sz w:val="16"/>
          <w:szCs w:val="16"/>
          <w:color w:val="auto"/>
        </w:rPr>
        <w:t>Results of pending low dose omega-3 and other cardiovascular outcomes studies may negatively affect sales of Vascepa. For example, in 2018, results of both VITamin D and OmegA-3 TriaL (VITAL) and A Study of Cardiovascular Events iN Diabetes (ASCEND) trials are expected to be released. VITAL is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 ASCEND is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Positive results due to the omega-3 component from one or both trials may influence greater utilization of 1 gram daily of dietary supplements or Lovaza in a broad low cardiovascular risk population and in patients with diabetes and may potentially cause an update of AHA recommendation for 1 gram per day of EPA and DHA based on trial results. Negative results from such studies could create misleading impressions about the use of omega-3s generally, including Vascepa, despite the highly-pure EPA active ingredient in Vascepa and its higher dose regimen. Also, 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estimated completion date is in November 2019, but it could be stopped earlier if, for example, it generates an overwhelming efficacy result. In addition, Kowa Research Institute (a subsidiary of the Japanese company Kowa Co., Ltd) announced in March 2017 that it is initiating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7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4"/>
          <w:szCs w:val="14"/>
          <w:color w:val="auto"/>
        </w:rPr>
        <w:t>®</w:t>
      </w:r>
      <w:r>
        <w:rPr>
          <w:rFonts w:ascii="Arial" w:cs="Arial" w:eastAsia="Arial" w:hAnsi="Arial"/>
          <w:sz w:val="17"/>
          <w:szCs w:val="17"/>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to assess the safety and efficacy of CaPre in patients with very high (≥500 mg/dL) triglycerides in the first quarter of 2018. As of June 2018, the study is 35% enrolled, and study completion is expected by the end of 2019.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83"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 xml:space="preserve">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September 2017, Matinas announced that it will be seeking a partner company to develop and commercialize MAT9001. Akcea Therapeutics/Ionis Pharmaceuticals (formerly Isis Pharmaceuticals), or Akcea/Ionis, in August 2017 announced the submission of an NDA to the FDA for WAYLIVRA™ (volanesorsen), a drug candidate administered through weekly subcutaneous injections, for the treatment of familial chylomicronemia syndrome (FCS). In May 2018, Akcea/Ionis announced that the FDA’s Division of Metabolism and Endocrinology Products Advisory Committee voted 12-8 to support approval of Waylivra (volanesorsen) for the treatment of people with FCS. </w:t>
      </w:r>
      <w:r>
        <w:rPr>
          <w:rFonts w:ascii="Arial" w:cs="Arial" w:eastAsia="Arial" w:hAnsi="Arial"/>
          <w:sz w:val="17"/>
          <w:szCs w:val="17"/>
          <w:color w:val="333333"/>
        </w:rPr>
        <w:t>The advisory committee reviewed data from two</w:t>
      </w:r>
      <w:r>
        <w:rPr>
          <w:rFonts w:ascii="Arial" w:cs="Arial" w:eastAsia="Arial" w:hAnsi="Arial"/>
          <w:sz w:val="17"/>
          <w:szCs w:val="17"/>
          <w:color w:val="auto"/>
        </w:rPr>
        <w:t xml:space="preserve"> </w:t>
      </w:r>
      <w:r>
        <w:rPr>
          <w:rFonts w:ascii="Arial" w:cs="Arial" w:eastAsia="Arial" w:hAnsi="Arial"/>
          <w:sz w:val="17"/>
          <w:szCs w:val="17"/>
          <w:color w:val="333333"/>
        </w:rPr>
        <w:t xml:space="preserve">Phase III clinical trials, APPROACH and COMPASS, as well as the ongoing APPROACH open label study for Waylivra. </w:t>
      </w:r>
      <w:r>
        <w:rPr>
          <w:rFonts w:ascii="Arial" w:cs="Arial" w:eastAsia="Arial" w:hAnsi="Arial"/>
          <w:sz w:val="17"/>
          <w:szCs w:val="17"/>
          <w:color w:val="000000"/>
        </w:rPr>
        <w:t>The PDUFA date for completion of</w:t>
      </w:r>
      <w:r>
        <w:rPr>
          <w:rFonts w:ascii="Arial" w:cs="Arial" w:eastAsia="Arial" w:hAnsi="Arial"/>
          <w:sz w:val="17"/>
          <w:szCs w:val="17"/>
          <w:color w:val="333333"/>
        </w:rPr>
        <w:t xml:space="preserve"> </w:t>
      </w:r>
      <w:r>
        <w:rPr>
          <w:rFonts w:ascii="Arial" w:cs="Arial" w:eastAsia="Arial" w:hAnsi="Arial"/>
          <w:sz w:val="17"/>
          <w:szCs w:val="17"/>
          <w:color w:val="000000"/>
        </w:rPr>
        <w:t>the review of Waylivra is August 30, 2018. A Phase 3 trial is currently ongoing studying Waylivra (volanesorsen) in patients with familial partial lipodystrophy (FPL) (BROADEN trial). Akcea/Ionis expects to file an NDA for FPL in 2019. In January 2017, Akcea/Ionis announced a strategic collaboration and option agreement with Novartis whereby Novartis will help develop (including funding cardiovascular outcomes studies) and commercialize products emerging from this collaboration, including Waylivra (volanesorsen). In June 2018,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Gemphire announced plans to advance gemcabene into Phase 3 trials in 2018. Zydus Cadila is conducting a Phase 2 trial of its lead program, Saroglitazar, in severe hypertriglyceridemia in the United States. Study completion is expected in 2018. The product is approved in India under the name Lipaglyn® for the treatment of hypertriglyceridemia and diabetic dyslipidemia.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left="260" w:right="240"/>
        <w:spacing w:after="0" w:line="277" w:lineRule="auto"/>
        <w:rPr>
          <w:sz w:val="20"/>
          <w:szCs w:val="20"/>
          <w:color w:val="auto"/>
        </w:rPr>
      </w:pPr>
      <w:r>
        <w:rPr>
          <w:rFonts w:ascii="Arial" w:cs="Arial" w:eastAsia="Arial" w:hAnsi="Arial"/>
          <w:sz w:val="18"/>
          <w:szCs w:val="18"/>
          <w:b w:val="1"/>
          <w:bCs w:val="1"/>
          <w:i w:val="1"/>
          <w:iCs w:val="1"/>
          <w:color w:val="auto"/>
        </w:rPr>
        <w:t>Generic company competitors are seeking FDA approval of generic versions of Vascepa. We are now engaged in related patent litigation and could face other challenges to our exclusivity.</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56"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there is no patent information listed for the reference drug;</w:t>
      </w:r>
    </w:p>
    <w:p>
      <w:pPr>
        <w:spacing w:after="0" w:line="121"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sz w:val="20"/>
          <w:szCs w:val="20"/>
          <w:color w:val="auto"/>
        </w:rPr>
      </w:pPr>
    </w:p>
    <w:p>
      <w:pPr>
        <w:ind w:left="1040" w:right="420" w:hanging="519"/>
        <w:spacing w:after="0" w:line="277" w:lineRule="auto"/>
        <w:tabs>
          <w:tab w:leader="none" w:pos="102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7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4" w:name="page55"/>
    <w:bookmarkEnd w:id="54"/>
    <w:p>
      <w:pPr>
        <w:ind w:right="460"/>
        <w:spacing w:after="0" w:line="277" w:lineRule="auto"/>
        <w:rPr>
          <w:sz w:val="20"/>
          <w:szCs w:val="20"/>
          <w:color w:val="auto"/>
        </w:rPr>
      </w:pPr>
      <w:r>
        <w:rPr>
          <w:rFonts w:ascii="Arial" w:cs="Arial" w:eastAsia="Arial" w:hAnsi="Arial"/>
          <w:sz w:val="18"/>
          <w:szCs w:val="18"/>
          <w:color w:val="auto"/>
        </w:rPr>
        <w:t>exclusivity. As a result, from the first half of 2014 until June 2015, we were engaged in costly litigation with the ANDA applicants to protect our patent rights.</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jc w:val="both"/>
        <w:ind w:right="40" w:firstLine="518"/>
        <w:spacing w:after="0" w:line="276"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Roxane Laboratories, Inc. et al.</w:t>
      </w:r>
      <w:r>
        <w:rPr>
          <w:rFonts w:ascii="Arial" w:cs="Arial" w:eastAsia="Arial" w:hAnsi="Arial"/>
          <w:sz w:val="16"/>
          <w:szCs w:val="16"/>
          <w:color w:val="auto"/>
        </w:rPr>
        <w:t>, Civ. A. No. 2:16-cv-02525 (D. Nev.). According to a stipulation filed with the Nevada court,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is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7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6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October 2016, we introduced to the market a 0.5-gram dose strength of Vascepa. In August 2017, as anticipated, we received a paragraph IV certification notice from Teva contending that certain of our patents are invalid, unenforceable and/or will not be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 w:name="page56"/>
    <w:bookmarkEnd w:id="55"/>
    <w:p>
      <w:pPr>
        <w:ind w:right="20"/>
        <w:spacing w:after="0" w:line="271" w:lineRule="auto"/>
        <w:rPr>
          <w:sz w:val="20"/>
          <w:szCs w:val="20"/>
          <w:color w:val="auto"/>
        </w:rPr>
      </w:pPr>
      <w:r>
        <w:rPr>
          <w:rFonts w:ascii="Arial" w:cs="Arial" w:eastAsia="Arial" w:hAnsi="Arial"/>
          <w:sz w:val="17"/>
          <w:szCs w:val="17"/>
          <w:color w:val="auto"/>
        </w:rPr>
        <w:t xml:space="preserve">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Arial" w:cs="Arial" w:eastAsia="Arial" w:hAnsi="Arial"/>
          <w:sz w:val="17"/>
          <w:szCs w:val="17"/>
          <w:i w:val="1"/>
          <w:iCs w:val="1"/>
          <w:color w:val="auto"/>
        </w:rPr>
        <w:t>Amarin Pharma, Inc.</w:t>
      </w:r>
      <w:r>
        <w:rPr>
          <w:rFonts w:ascii="Arial" w:cs="Arial" w:eastAsia="Arial" w:hAnsi="Arial"/>
          <w:sz w:val="17"/>
          <w:szCs w:val="17"/>
          <w:color w:val="auto"/>
        </w:rPr>
        <w:t xml:space="preserve"> et al. </w:t>
      </w:r>
      <w:r>
        <w:rPr>
          <w:rFonts w:ascii="Arial" w:cs="Arial" w:eastAsia="Arial" w:hAnsi="Arial"/>
          <w:sz w:val="17"/>
          <w:szCs w:val="17"/>
          <w:i w:val="1"/>
          <w:iCs w:val="1"/>
          <w:color w:val="auto"/>
        </w:rPr>
        <w:t>v. Teva Pharmaceuticals USA, Inc.</w:t>
      </w:r>
      <w:r>
        <w:rPr>
          <w:rFonts w:ascii="Arial" w:cs="Arial" w:eastAsia="Arial" w:hAnsi="Arial"/>
          <w:sz w:val="17"/>
          <w:szCs w:val="17"/>
          <w:color w:val="auto"/>
        </w:rPr>
        <w:t xml:space="preserve"> et al.</w:t>
      </w:r>
      <w:r>
        <w:rPr>
          <w:rFonts w:ascii="Arial" w:cs="Arial" w:eastAsia="Arial" w:hAnsi="Arial"/>
          <w:sz w:val="17"/>
          <w:szCs w:val="17"/>
          <w:i w:val="1"/>
          <w:iCs w:val="1"/>
          <w:color w:val="auto"/>
        </w:rPr>
        <w:t>,</w:t>
      </w:r>
      <w:r>
        <w:rPr>
          <w:rFonts w:ascii="Arial" w:cs="Arial" w:eastAsia="Arial" w:hAnsi="Arial"/>
          <w:sz w:val="17"/>
          <w:szCs w:val="17"/>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79"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continues in the United States District Court for the District of Nevada with parties West-Ward and DRL.</w:t>
      </w:r>
    </w:p>
    <w:p>
      <w:pPr>
        <w:spacing w:after="0" w:line="17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apparently filed as an amendment to the 1-gram DRL ANDA and is related to patents already at issue in the 1-gram Vascepa patent litigation. Accordingly, we plan to file a patent infringement lawsuit against DRL and seek, among other remedies, an order enjoining DRL from marketing generic versions of the 0.5-gram dose strength of Vascepa before the last to expire of the asserted patents in 2030.</w:t>
      </w:r>
    </w:p>
    <w:p>
      <w:pPr>
        <w:spacing w:after="0" w:line="15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54"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7"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Vascepa’s five-year, NCE and related exclusivity benefits could be challenged by companies seeking to introduce generic versions of Vascepa.</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200"/>
        <w:spacing w:after="0" w:line="308" w:lineRule="auto"/>
        <w:rPr>
          <w:sz w:val="20"/>
          <w:szCs w:val="20"/>
          <w:color w:val="auto"/>
        </w:rPr>
      </w:pPr>
      <w:r>
        <w:rPr>
          <w:rFonts w:ascii="Arial" w:cs="Arial" w:eastAsia="Arial" w:hAnsi="Arial"/>
          <w:sz w:val="17"/>
          <w:szCs w:val="17"/>
          <w:color w:val="auto"/>
        </w:rPr>
        <w:t>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w:t>
      </w:r>
    </w:p>
    <w:p>
      <w:pPr>
        <w:spacing w:after="0" w:line="14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It is possible that FDA’s NCE determination and related 30-month stay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Regulatory exclusivity is in addition to exclusivity afforded by issued patents related to Vascepa.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ind w:left="300" w:right="38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tested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w:t>
      </w:r>
    </w:p>
    <w:p>
      <w:pPr>
        <w:spacing w:after="0" w:line="178" w:lineRule="exact"/>
        <w:rPr>
          <w:sz w:val="20"/>
          <w:szCs w:val="20"/>
          <w:color w:val="auto"/>
        </w:rPr>
      </w:pPr>
    </w:p>
    <w:p>
      <w:pPr>
        <w:ind w:right="360" w:firstLine="571"/>
        <w:spacing w:after="0" w:line="302"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46" w:lineRule="exact"/>
        <w:rPr>
          <w:sz w:val="20"/>
          <w:szCs w:val="20"/>
          <w:color w:val="auto"/>
        </w:rPr>
      </w:pPr>
    </w:p>
    <w:p>
      <w:pPr>
        <w:ind w:firstLine="571"/>
        <w:spacing w:after="0" w:line="268" w:lineRule="auto"/>
        <w:rPr>
          <w:sz w:val="20"/>
          <w:szCs w:val="20"/>
          <w:color w:val="auto"/>
        </w:rPr>
      </w:pPr>
      <w:r>
        <w:rPr>
          <w:rFonts w:ascii="Arial" w:cs="Arial" w:eastAsia="Arial" w:hAnsi="Arial"/>
          <w:sz w:val="17"/>
          <w:szCs w:val="17"/>
          <w:color w:val="auto"/>
        </w:rPr>
        <w:t>These factors enable dietary supplements to effectively compete with Vascepa. Although we have taken steps to address these competitive issues, and plan to continue to do so vigorously, we may not be successful in such efforts. For example, on August 30, 2017, Amarin Pharma, Inc. and Amarin Pharmaceuticals Ireland Limited, each wholly-owned subsidiaries of Amarin Corporation plc,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On October 27, 2017, the ITC determined to not institute our requested investigation. We are currently appealing this determination in federal court and plan to pursue it vigorously.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293"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 or in replacing this co-promotion effort after it expires at the end of 2018.</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March 2014, we entered into a co-promotion agreement with Kowa Pharmaceuticals America, Inc. to co-promote Vascepa in the United States under which Kowa Pharmaceuticals America, Inc. co-promotes Vascepa in conjunction with its promotion of its primary product, a branded statin for patients with high cholesterol.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for an extended period of time, depending on Vascepa revenues, we may have to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2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Furthermore, our agreement with Kowa Pharmaceuticals America, Inc. is designed such that its co-promotion of Vascepa ceases at the end of 2018. If we do not extend this co-promotion agreement, enter into a co-promotion agreement with an equally capable company or hire equally capable sales representatives, our sales may be negatively impacted.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8" w:name="page59"/>
    <w:bookmarkEnd w:id="58"/>
    <w:p>
      <w:pPr>
        <w:ind w:right="120"/>
        <w:spacing w:after="0" w:line="259" w:lineRule="auto"/>
        <w:rPr>
          <w:sz w:val="20"/>
          <w:szCs w:val="20"/>
          <w:color w:val="auto"/>
        </w:rPr>
      </w:pPr>
      <w:r>
        <w:rPr>
          <w:rFonts w:ascii="Arial" w:cs="Arial" w:eastAsia="Arial" w:hAnsi="Arial"/>
          <w:sz w:val="18"/>
          <w:szCs w:val="18"/>
          <w:color w:val="auto"/>
        </w:rPr>
        <w:t>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295"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MARINE and ANCHOR trials were,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8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289" w:lineRule="exact"/>
        <w:rPr>
          <w:sz w:val="20"/>
          <w:szCs w:val="20"/>
          <w:color w:val="auto"/>
        </w:rPr>
      </w:pPr>
    </w:p>
    <w:p>
      <w:pPr>
        <w:ind w:left="26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trials, in which case our sales of Vascepa may then suffer.</w:t>
      </w:r>
    </w:p>
    <w:p>
      <w:pPr>
        <w:spacing w:after="0" w:line="3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with high triglyceride levels despite being on statin therapy. Based on projected event rates, we estimate that the onset of the target aggregate number of primary cardiovascular events was reached during the first quarter of 2018. Top-line results from the study are then expected to be available and made public before the end of the third quarter of 2018, followed by broader reporting of results targeted for a scientific conference in the fourth quarter of 2018. Final clinical site visits for patients enrolled in the REDUCE-IT study commenced on March 1, 2018 and, in June 2018, we announced that the last patient study visit had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ind w:right="40" w:firstLine="518"/>
        <w:spacing w:after="0" w:line="291" w:lineRule="auto"/>
        <w:rPr>
          <w:sz w:val="20"/>
          <w:szCs w:val="20"/>
          <w:color w:val="auto"/>
        </w:rPr>
      </w:pPr>
      <w:r>
        <w:rPr>
          <w:rFonts w:ascii="Arial" w:cs="Arial" w:eastAsia="Arial" w:hAnsi="Arial"/>
          <w:sz w:val="16"/>
          <w:szCs w:val="16"/>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 such as inflammation.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Niacin, for example, has also been shown to have favorable effects on inflammation parameters. No significant incremental treatment benefit with extended-release niacin was observed.</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Outcomes studies of certain other lipid-modifying therapies included results which, after review of information not fully available to the sponsors during the conduct of the trials, modified initial reports of the trial results. Two examples are the AIM-HIGH trial and the IMPROVE-IT trial. When the AIM-HIGH trial was stopped, there were initial reports of certain safety concerns which, upon further and more detailed subsequent review, were concluded to not be associated with the study therapy. After the IMPROVE-IT trial was completed, initial reports on the effect of adding ezetimibe to statin therapy in subjects with acute coronary syndrome suggested greater benefit on cardiovascular outcomes than was considered to be the case after later reassessment and further evaluation of study data. In 2015, the results of the IMPROVE-IT trial were published. Based on the published results, the addition of ezetimibe showed incremental lowering of LDL-C levels and improved cardiovascular outcomes. This result was statistically significant but less than ten percent. Further evaluation of the IMPROVE-IT results suggested that the outcomes benefit may have been lower after factoring in and making certain assumptions regarding complicating factors such as a high number of patients who discontinued the study drug, withdrew consent, or were lost to follow-up. FDA approval of a new indication for ezetimibe based on the IMPROVE-IT results was denied after a negative FDA advisory committee recommendation that followed examination of the study results.</w:t>
      </w:r>
    </w:p>
    <w:p>
      <w:pPr>
        <w:spacing w:after="0" w:line="18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 xml:space="preserve">In addition, in September 2012, researchers published in the </w:t>
      </w:r>
      <w:r>
        <w:rPr>
          <w:rFonts w:ascii="Arial" w:cs="Arial" w:eastAsia="Arial" w:hAnsi="Arial"/>
          <w:sz w:val="17"/>
          <w:szCs w:val="17"/>
          <w:i w:val="1"/>
          <w:iCs w:val="1"/>
          <w:color w:val="auto"/>
        </w:rPr>
        <w:t>Journal of the American Medical Association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JAMA</w:t>
      </w:r>
      <w:r>
        <w:rPr>
          <w:rFonts w:ascii="Arial" w:cs="Arial" w:eastAsia="Arial" w:hAnsi="Arial"/>
          <w:sz w:val="17"/>
          <w:szCs w:val="17"/>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In January 2018, </w:t>
      </w:r>
      <w:r>
        <w:rPr>
          <w:rFonts w:ascii="Arial" w:cs="Arial" w:eastAsia="Arial" w:hAnsi="Arial"/>
          <w:sz w:val="17"/>
          <w:szCs w:val="17"/>
          <w:i w:val="1"/>
          <w:iCs w:val="1"/>
          <w:color w:val="auto"/>
        </w:rPr>
        <w:t>JAMA Cardiology</w:t>
      </w:r>
      <w:r>
        <w:rPr>
          <w:rFonts w:ascii="Arial" w:cs="Arial" w:eastAsia="Arial" w:hAnsi="Arial"/>
          <w:sz w:val="17"/>
          <w:szCs w:val="17"/>
          <w:color w:val="auto"/>
        </w:rPr>
        <w:t xml:space="preserve"> published an update to prior meta-analyses and again concluded no benefit for low dose omega-3 supplements (all but one trial included both EPA and DHA) to prevent fatal coronary heart disease or any cardiovascular disease in people who have or are at high risk of developing cardiovascular disease. Previous meta-analyses of trials of omega-3 supplementation appeared to suggest a significant beneficial association of omega-3s with fatal coronary heart disease but not nonfatal coronary heart disease. However, the previous meta-analyses were limited as they included trials of dietary advice to eat fish or excluded trials that did not include a placebo-controlled arm. The </w:t>
      </w:r>
      <w:r>
        <w:rPr>
          <w:rFonts w:ascii="Arial" w:cs="Arial" w:eastAsia="Arial" w:hAnsi="Arial"/>
          <w:sz w:val="17"/>
          <w:szCs w:val="17"/>
          <w:i w:val="1"/>
          <w:iCs w:val="1"/>
          <w:color w:val="auto"/>
        </w:rPr>
        <w:t>JAMA Cardiology</w:t>
      </w:r>
      <w:r>
        <w:rPr>
          <w:rFonts w:ascii="Arial" w:cs="Arial" w:eastAsia="Arial" w:hAnsi="Arial"/>
          <w:sz w:val="17"/>
          <w:szCs w:val="17"/>
          <w:color w:val="auto"/>
        </w:rPr>
        <w:t xml:space="preserve"> analysis does not support the recent AHA recommendation that 1 gram of an omega-3 dietary supplementation may be useful in patients with a history of coronary heart disease. These facts illustrate categories of challenges faced in demonstrating favorable results in complex clinical studies like REDUCE-IT and, assuming positive results of the REDUCE-IT study, in seeking to apply those results in support of regulatory approvals.</w:t>
      </w:r>
    </w:p>
    <w:p>
      <w:pPr>
        <w:spacing w:after="0" w:line="183"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 xml:space="preserve">Data from clinical trials are invariably complex. It is also not typically possible to reliably extrapolate results from one trial to predict results from another as many factors differ between trials. For instance, unlike REDUCE-IT,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Of all the studies included in both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and </w:t>
      </w:r>
      <w:r>
        <w:rPr>
          <w:rFonts w:ascii="Arial" w:cs="Arial" w:eastAsia="Arial" w:hAnsi="Arial"/>
          <w:sz w:val="16"/>
          <w:szCs w:val="16"/>
          <w:i w:val="1"/>
          <w:iCs w:val="1"/>
          <w:color w:val="auto"/>
        </w:rPr>
        <w:t>JAMA Cardiology</w:t>
      </w:r>
      <w:r>
        <w:rPr>
          <w:rFonts w:ascii="Arial" w:cs="Arial" w:eastAsia="Arial" w:hAnsi="Arial"/>
          <w:sz w:val="16"/>
          <w:szCs w:val="16"/>
          <w:color w:val="auto"/>
        </w:rPr>
        <w:t xml:space="preserve"> meta-analyses, all but one trial involved the use of omega-3 supplements containing a mixture of EPA and DHA or EPA and another omega fatty acid, and most were evaluated at relatively lower doses. Vascepa is comprised of highly-pure ethyl-EPA, and has been approved by the FDA for use in adult patients with severe hypertriglyceridemia at a higher dose of 4 grams per day and is being studied in REDUCE-IT at that 4 grams per day dose.</w:t>
      </w:r>
    </w:p>
    <w:p>
      <w:pPr>
        <w:spacing w:after="0" w:line="16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comparing the JELIS study to REDUCE-IT. First, the patient population was exclusively Japanese, the majority of the participants were women, and at baseline patients had much higher LDL-C levels, limiting its generalizability to the intended target population. Also, a low dose of statins was used. It is unknown whether the positive treatment effects would have persisted if these patients had been optimally treated with statins using contemporary LDL-C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8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right="40"/>
        <w:spacing w:after="0" w:line="270" w:lineRule="auto"/>
        <w:rPr>
          <w:sz w:val="20"/>
          <w:szCs w:val="20"/>
          <w:color w:val="auto"/>
        </w:rPr>
      </w:pPr>
      <w:r>
        <w:rPr>
          <w:rFonts w:ascii="Arial" w:cs="Arial" w:eastAsia="Arial" w:hAnsi="Arial"/>
          <w:sz w:val="17"/>
          <w:szCs w:val="17"/>
          <w:color w:val="auto"/>
        </w:rPr>
        <w:t>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(≥150 mg/dL) and low HDL-C (</w:t>
      </w:r>
      <w:r>
        <w:rPr>
          <w:rFonts w:ascii="Arial" w:cs="Arial" w:eastAsia="Arial" w:hAnsi="Arial"/>
          <w:sz w:val="17"/>
          <w:szCs w:val="17"/>
          <w:u w:val="single" w:color="auto"/>
          <w:color w:val="auto"/>
        </w:rPr>
        <w:t>&lt;</w:t>
      </w:r>
      <w:r>
        <w:rPr>
          <w:rFonts w:ascii="Arial" w:cs="Arial" w:eastAsia="Arial" w:hAnsi="Arial"/>
          <w:sz w:val="17"/>
          <w:szCs w:val="17"/>
          <w:color w:val="auto"/>
        </w:rPr>
        <w:t>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independent data monitoring committee for REDUCE-IT, or 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There can be no assurance that the REDUCE-IT study will be completed successfully, that the endpoints of the REDUCE-IT cardiovascular outcomes study will be achieved, that, like the IMPROVE-IT trial, patients who discontinue the study drug, withdrew consent, or were lost to follow-up will not negatively affect REDUCE-IT results, that the results will support regulatory approvals, or that the lipid-modifying effects of Vascepa in REDUCE-IT or any other study of Vascepa will not be subject to variation beyond twelve weeks. If the REDUCE-IT trial is not successful or if the results of this long-term study are not consistent with the 12-week clinical results, it could prevent us from expanding the labeled approval of Vascepa or even call into question the currently understood efficacy and safety profile of Vascepa. In any such case, the market potential for Vascepa would suffer and our business would be materially affected.</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also are subject to the new federal transparency requirements under the Patient Protection and Affordable Care Act, as amended by the Health Care and Education Reconciliation Act, or collectively the PPACA, enacted in March 2010, which require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line="287" w:lineRule="auto"/>
        <w:rPr>
          <w:sz w:val="20"/>
          <w:szCs w:val="20"/>
          <w:color w:val="auto"/>
        </w:rPr>
      </w:pPr>
      <w:r>
        <w:rPr>
          <w:rFonts w:ascii="Arial" w:cs="Arial" w:eastAsia="Arial" w:hAnsi="Arial"/>
          <w:sz w:val="16"/>
          <w:szCs w:val="16"/>
          <w:color w:val="auto"/>
        </w:rPr>
        <w:t>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6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5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6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healthcare coverage that includes reimbursement for prescription drugs.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under the Trump Administration.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20" w:firstLine="518"/>
        <w:spacing w:after="0" w:line="279" w:lineRule="auto"/>
        <w:rPr>
          <w:sz w:val="20"/>
          <w:szCs w:val="20"/>
          <w:color w:val="auto"/>
        </w:rPr>
      </w:pPr>
      <w:r>
        <w:rPr>
          <w:rFonts w:ascii="Arial" w:cs="Arial" w:eastAsia="Arial" w:hAnsi="Arial"/>
          <w:sz w:val="17"/>
          <w:szCs w:val="17"/>
          <w:color w:val="auto"/>
        </w:rPr>
        <w:t>The continuing efforts of government and other third-party payors to further contain or reduce the costs of healthcare through various means may limit our commercial opportunity. For example, the State of California recently enacted legislation that requires notice for exceeding specified limits on annual drug price increases and other legislation that seeks to limit the use of co-pay cards in certain situations. These and other measures at the federal and state levels, to the extent applicable to us, could negatively affect our revenue and results from operations.</w:t>
      </w:r>
    </w:p>
    <w:p>
      <w:pPr>
        <w:spacing w:after="0" w:line="17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ind w:right="60"/>
        <w:spacing w:after="0" w:line="276" w:lineRule="auto"/>
        <w:rPr>
          <w:sz w:val="20"/>
          <w:szCs w:val="20"/>
          <w:color w:val="auto"/>
        </w:rPr>
      </w:pPr>
      <w:r>
        <w:rPr>
          <w:rFonts w:ascii="Arial" w:cs="Arial" w:eastAsia="Arial" w:hAnsi="Arial"/>
          <w:sz w:val="17"/>
          <w:szCs w:val="17"/>
          <w:color w:val="auto"/>
        </w:rPr>
        <w:t>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64"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has recommended to continue the REDUCE-IT study as planned. Each of these ongoing DMC recommendations has been shared with FDA. Amarin and FDA remain blinded to such study data. Despite the currently positive disposition of this matter, it illustrates that concerns such as this may arise in the future that could affect our product development, regulatory review or the public perception of our products and our future prospects.</w:t>
      </w:r>
    </w:p>
    <w:p>
      <w:pPr>
        <w:spacing w:after="0" w:line="182"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ind w:right="60"/>
        <w:spacing w:after="0" w:line="277" w:lineRule="auto"/>
        <w:rPr>
          <w:sz w:val="20"/>
          <w:szCs w:val="20"/>
          <w:color w:val="auto"/>
        </w:rPr>
      </w:pPr>
      <w:r>
        <w:rPr>
          <w:rFonts w:ascii="Arial" w:cs="Arial" w:eastAsia="Arial" w:hAnsi="Arial"/>
          <w:sz w:val="18"/>
          <w:szCs w:val="18"/>
          <w:color w:val="auto"/>
        </w:rPr>
        <w:t>future approvals of a product and/or restrictions on that product or manufacturer, including withdrawal of an indication or the product from the market, which would have a negative impact on our potential revenue stream.</w:t>
      </w:r>
    </w:p>
    <w:p>
      <w:pPr>
        <w:spacing w:after="0" w:line="279" w:lineRule="exact"/>
        <w:rPr>
          <w:sz w:val="20"/>
          <w:szCs w:val="20"/>
          <w:color w:val="auto"/>
        </w:rPr>
      </w:pPr>
    </w:p>
    <w:p>
      <w:pPr>
        <w:ind w:left="260" w:right="2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process of establishing a commercial infrastructure is difficult, expensive and time-consuming. We have a relatively small sales organization consisting of approximately 170 sales professionals, including sales representatives and their managers. We anticipate increasing our sales force to a total of approximately 400 to 500 sales professionals after REDUCE-IT results, assuming success.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key suppliers.</w:t>
      </w:r>
    </w:p>
    <w:p>
      <w:pPr>
        <w:spacing w:after="0" w:line="152" w:lineRule="exact"/>
        <w:rPr>
          <w:sz w:val="20"/>
          <w:szCs w:val="20"/>
          <w:color w:val="auto"/>
        </w:rPr>
      </w:pPr>
    </w:p>
    <w:p>
      <w:pPr>
        <w:jc w:val="both"/>
        <w:ind w:right="22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93"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6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has been to expand manufacturing capacity, maintain competitive advantages, and mitigate the risk of reliance on any single supplier.</w:t>
      </w:r>
    </w:p>
    <w:p>
      <w:pPr>
        <w:spacing w:after="0" w:line="14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right="200"/>
        <w:spacing w:after="0" w:line="264" w:lineRule="auto"/>
        <w:rPr>
          <w:sz w:val="20"/>
          <w:szCs w:val="20"/>
          <w:color w:val="auto"/>
        </w:rPr>
      </w:pPr>
      <w:r>
        <w:rPr>
          <w:rFonts w:ascii="Arial" w:cs="Arial" w:eastAsia="Arial" w:hAnsi="Arial"/>
          <w:sz w:val="18"/>
          <w:szCs w:val="18"/>
          <w:color w:val="auto"/>
        </w:rPr>
        <w:t>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8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now part of Thermo Fisher Scientific), Catalent Pharma Solutions, and Capsugel Plöermel SAS (now a Lonza company).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281"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96"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140" w:firstLine="518"/>
        <w:spacing w:after="0" w:line="271"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7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8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Significant commercialization of Vascepa in Canada is several years away, if at all. If HLS Therapeutics is not able to effectively register and commercialize Vascepa in Canada, we may not be able to generate revenue from the agreement as a result of the sale of Vascepa in Canada.</w:t>
      </w:r>
    </w:p>
    <w:p>
      <w:pPr>
        <w:spacing w:after="0" w:line="15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66" w:lineRule="exact"/>
        <w:rPr>
          <w:sz w:val="20"/>
          <w:szCs w:val="20"/>
          <w:color w:val="auto"/>
        </w:rPr>
      </w:pPr>
    </w:p>
    <w:p>
      <w:pPr>
        <w:ind w:left="260" w:right="6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 that limit our profitability and could limit our ability to supply Vascepa to large market segments.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88"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600"/>
        <w:spacing w:after="0" w:line="277" w:lineRule="auto"/>
        <w:rPr>
          <w:sz w:val="20"/>
          <w:szCs w:val="20"/>
          <w:color w:val="auto"/>
        </w:rPr>
      </w:pPr>
      <w:r>
        <w:rPr>
          <w:rFonts w:ascii="Arial" w:cs="Arial" w:eastAsia="Arial" w:hAnsi="Arial"/>
          <w:sz w:val="18"/>
          <w:szCs w:val="18"/>
          <w:color w:val="auto"/>
        </w:rPr>
        <w:t>expected deadlines, we may be delayed in obtaining regulatory approvals for our product candidates and may be delayed in our efforts to successfully commercialize our product candidates for targeted diseases.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64 patent applications in the United States that have been either issued or allowed and more than 30 additional patent applications are pending in the United States. Such 64 allowed and issued applications include the following:</w:t>
      </w:r>
    </w:p>
    <w:p>
      <w:pPr>
        <w:spacing w:after="0" w:line="39" w:lineRule="exact"/>
        <w:rPr>
          <w:sz w:val="20"/>
          <w:szCs w:val="20"/>
          <w:color w:val="auto"/>
        </w:rPr>
      </w:pPr>
    </w:p>
    <w:p>
      <w:pPr>
        <w:ind w:left="1040" w:right="8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46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 additional patents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 additional patents covering a new combination therapy comprised of EPA and another drug.</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8" w:name="page69"/>
    <w:bookmarkEnd w:id="68"/>
    <w:p>
      <w:pPr>
        <w:ind w:right="20"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6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right="20"/>
        <w:spacing w:after="0" w:line="254" w:lineRule="auto"/>
        <w:rPr>
          <w:sz w:val="20"/>
          <w:szCs w:val="20"/>
          <w:color w:val="auto"/>
        </w:rPr>
      </w:pPr>
      <w:r>
        <w:rPr>
          <w:rFonts w:ascii="Arial" w:cs="Arial" w:eastAsia="Arial" w:hAnsi="Arial"/>
          <w:sz w:val="18"/>
          <w:szCs w:val="18"/>
          <w:color w:val="auto"/>
        </w:rPr>
        <w:t>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300"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January 2018, we issued financial and business guidance, including expected fiscal year 2018 total net revenue and expectations regarding improved cash flow from commercial operations and timing of the REDUCE-IT outcomes trial. In April 2018, we issued revised revenue guidance following the impact of what we believe were trends related to third-party medical insurance coverage for patients prescribed Vascepa and other seasonal factors experienced in the first quarter of 2018.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2018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2007, we purchased Ester Neurosciences Limited, or Ester,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or Yissum.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ind w:right="60" w:firstLine="518"/>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undergoing federal and state tax audits, including audit by the United States Internal Revenue Service (IRS) for the years 2013 to 2014.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27%, 31%, and 31%, respectively, of gross product sales for the six months ended June 30, 2018, and represented 33%, 37%, and 22%, respectively, of the gross accounts receivable balance as of June 30, 2018. Customers A, B, and C accounted for 30%, 27%, and 35%, respectively, of gross product sales for the six months ended June 30, 2017, and represented 37%, 24%, and 25%, respectively, of the gross accounts receivable balance as of June 30, 2017.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yet reached profitability. For the fiscal years ended December 31, 2017, 2016, and 2015, we reported losses of approximately</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$67.9 million, $86.4 million, and $149.1 million, respectively, and we had an accumulated deficit as of December 31, 2017 of $1.3 billion. For the six months ended June 30, 2018 and 2017, we reported losses of approximately $58.3 million and $34.6 million, respectively, and we had an accumulated deficit as of June 30, 2018 of $1.3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00"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40" w:hanging="519"/>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5" w:lineRule="exact"/>
        <w:rPr>
          <w:rFonts w:ascii="Arial" w:cs="Arial" w:eastAsia="Arial" w:hAnsi="Arial"/>
          <w:sz w:val="16"/>
          <w:szCs w:val="16"/>
          <w:color w:val="auto"/>
        </w:rPr>
      </w:pPr>
    </w:p>
    <w:p>
      <w:pPr>
        <w:ind w:left="1040" w:right="4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62"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72" w:name="page73"/>
    <w:bookmarkEnd w:id="72"/>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$102.3 million as of June 30, 2018 will be sufficient to fund our projected operations through the results of the REDUCE-IT study, which we anticipate will be available before the end of the third quarter of 2018 and, assuming positive results of the REDUCE-IT study, through subsequent public presentation of such results at a medical congress before the end of 2018. Depending on the level of cash generated from operations, additional capital may be required to expand promotion of Vascepa as contemplated following anticipated successful results of the REDUCE-IT study. If additional capital is required and we are unable to obtain additional capital, we may be forced to delay, limit or eliminate all or a portion of the expanded promotional activities planned following successful results of the REDUCE-IT study. We anticipate that quarterly net cash outflows in future periods will be variable.</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including the cost of sales and marketing capabilities with our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continued cost associated with our REDUCE-IT cardiovascular outcomes study and subsequent publication of REDUCE-IT results;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 after REDUCE-IT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232"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400" w:firstLine="518"/>
        <w:spacing w:after="0" w:line="264" w:lineRule="auto"/>
        <w:rPr>
          <w:sz w:val="20"/>
          <w:szCs w:val="20"/>
          <w:color w:val="auto"/>
        </w:rPr>
      </w:pPr>
      <w:r>
        <w:rPr>
          <w:rFonts w:ascii="Arial" w:cs="Arial" w:eastAsia="Arial" w:hAnsi="Arial"/>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January 2012, Corsicanto DAC (in liquidation) (formerly Corsicanto Limited), or Corsicanto, issued $150.0 million in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3.5% exchangeable senior notes due 2032, or the 2012 Notes. In May 2014, we entered into separate, privately negotiated exchange agreements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holders of the 2012 Notes pursuant to which Corsicanto exchanged $118.7 million in aggregate principal amount of the existing 2012 Notes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$118.7 million in aggregate principal amount of new 3.5% May 2014 exchangeable senior notes due 2032, or the 2014 Notes. In November 2015,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$31.3 million in aggregate principal amount of 3.5% exchangeable senior notes due 2032, or the 2015 Notes, and used $16.2 million of the proceeds to repay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portion of the 2012 Notes, such that $15.1 million of 2012 Notes remained outstanding. In September 2016, we mandatorily exchanged the entirety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Notes and 2015 Notes, in accordance with their respective terms, into 60,311,188 ADSs. In January 2017, approximately $15.0 million of the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were put to us and in March 2017, we redeemed the entirety of the remaining $0.1 million of outstanding principal amount of 2012 Notes plus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unpaid interest, such that no 2012 Notes remain outstanding. A liquidator was appointed to Corsicanto on September 7, 2017 pursuant to a resolution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 as sole shareholder.</w:t>
      </w:r>
    </w:p>
    <w:p>
      <w:pPr>
        <w:spacing w:after="0" w:line="211"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In January 2017, Corsicanto II DAC, or Corsicanto II, issued $30.0 million in aggregate principal amount of 3.5% exchangeable senior notes due 2047, or the 2017 Notes. In the event of physical settlement, the 2017 Notes would be exchangeable into a total of 7,716,048 ADSs.</w:t>
      </w:r>
    </w:p>
    <w:p>
      <w:pPr>
        <w:spacing w:after="0" w:line="14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40" w:firstLine="518"/>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9"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ind w:right="12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of July 30, 2018, we had 296,348,903 common shares outstanding including 293,569,971 shares held as ADSs and 365,405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73" w:lineRule="exact"/>
        <w:rPr>
          <w:sz w:val="20"/>
          <w:szCs w:val="20"/>
          <w:color w:val="auto"/>
        </w:rPr>
      </w:pPr>
    </w:p>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p>
      <w:pPr>
        <w:ind w:right="380" w:firstLine="518"/>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through 2017. Our status as a PFIC is subject to change in 2018 and future years.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4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indebtedness consists of $30.0 million in aggregate principal amount of 3.5% exchangeable senior notes due 2047, or the 2017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2017 Notes contain a provision for such notes to be put to us by the holders for repayment in cash on January 19,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indebtedness and the related annual debt service requirements may adversely impact our business, operations and financial condition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could:</w:t>
      </w:r>
    </w:p>
    <w:p>
      <w:pPr>
        <w:spacing w:after="0" w:line="10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2017 Notes, could have a material effect on our reported financial results.</w:t>
      </w:r>
    </w:p>
    <w:p>
      <w:pPr>
        <w:spacing w:after="0" w:line="6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10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500" w:hanging="519"/>
        <w:spacing w:after="0" w:line="34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280" w:hanging="519"/>
        <w:spacing w:after="0" w:line="31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ind w:left="1040" w:right="160" w:hanging="519"/>
        <w:spacing w:after="0" w:line="25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0" w:lineRule="exact"/>
        <w:rPr>
          <w:rFonts w:ascii="Arial" w:cs="Arial" w:eastAsia="Arial" w:hAnsi="Arial"/>
          <w:sz w:val="18"/>
          <w:szCs w:val="18"/>
          <w:color w:val="auto"/>
        </w:rPr>
      </w:pPr>
    </w:p>
    <w:p>
      <w:pPr>
        <w:ind w:left="1040" w:right="20" w:hanging="519"/>
        <w:spacing w:after="0" w:line="291"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20" w:hanging="519"/>
        <w:spacing w:after="0" w:line="30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hanging="519"/>
        <w:spacing w:after="0" w:line="276"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960" w:type="dxa"/>
            <w:vAlign w:val="bottom"/>
            <w:gridSpan w:val="3"/>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84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84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second quarter of 2018 are as follows:</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8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Average Price</w:t>
            </w:r>
          </w:p>
        </w:tc>
      </w:tr>
      <w:tr>
        <w:trPr>
          <w:trHeight w:val="171"/>
        </w:trPr>
        <w:tc>
          <w:tcPr>
            <w:tcW w:w="880" w:type="dxa"/>
            <w:vAlign w:val="bottom"/>
          </w:tcPr>
          <w:p>
            <w:pPr>
              <w:spacing w:after="0"/>
              <w:rPr>
                <w:sz w:val="14"/>
                <w:szCs w:val="14"/>
                <w:color w:val="auto"/>
              </w:rPr>
            </w:pPr>
          </w:p>
        </w:tc>
        <w:tc>
          <w:tcPr>
            <w:tcW w:w="5960" w:type="dxa"/>
            <w:vAlign w:val="bottom"/>
            <w:gridSpan w:val="3"/>
          </w:tcPr>
          <w:p>
            <w:pPr>
              <w:ind w:left="740"/>
              <w:spacing w:after="0"/>
              <w:rPr>
                <w:sz w:val="20"/>
                <w:szCs w:val="20"/>
                <w:color w:val="auto"/>
              </w:rPr>
            </w:pPr>
            <w:r>
              <w:rPr>
                <w:rFonts w:ascii="Arial" w:cs="Arial" w:eastAsia="Arial" w:hAnsi="Arial"/>
                <w:sz w:val="14"/>
                <w:szCs w:val="14"/>
                <w:b w:val="1"/>
                <w:bCs w:val="1"/>
                <w:i w:val="1"/>
                <w:iCs w:val="1"/>
                <w:color w:val="auto"/>
              </w:rPr>
              <w:t>Period</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 xml:space="preserve">Shares Purchased </w:t>
            </w:r>
            <w:r>
              <w:rPr>
                <w:rFonts w:ascii="Arial" w:cs="Arial" w:eastAsia="Arial" w:hAnsi="Arial"/>
                <w:sz w:val="12"/>
                <w:szCs w:val="12"/>
                <w:b w:val="1"/>
                <w:bCs w:val="1"/>
                <w:color w:val="auto"/>
                <w:w w:val="90"/>
              </w:rPr>
              <w:t>(1)</w:t>
            </w:r>
          </w:p>
        </w:tc>
        <w:tc>
          <w:tcPr>
            <w:tcW w:w="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 xml:space="preserve">Paid per Share </w:t>
            </w:r>
            <w:r>
              <w:rPr>
                <w:rFonts w:ascii="Arial" w:cs="Arial" w:eastAsia="Arial" w:hAnsi="Arial"/>
                <w:sz w:val="12"/>
                <w:szCs w:val="12"/>
                <w:b w:val="1"/>
                <w:bCs w:val="1"/>
                <w:color w:val="auto"/>
                <w:w w:val="92"/>
              </w:rPr>
              <w:t>(2)</w:t>
            </w:r>
          </w:p>
        </w:tc>
      </w:tr>
      <w:tr>
        <w:trPr>
          <w:trHeight w:val="223"/>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 30, 2018</w:t>
            </w:r>
          </w:p>
        </w:tc>
        <w:tc>
          <w:tcPr>
            <w:tcW w:w="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May 1 – 31, 2018</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 30, 2018</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41,252</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5960" w:type="dxa"/>
            <w:vAlign w:val="bottom"/>
            <w:gridSpan w:val="3"/>
          </w:tcPr>
          <w:p>
            <w:pPr>
              <w:ind w:left="7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41,252</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520" w:hanging="512"/>
        <w:spacing w:after="0" w:line="274"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ind w:left="520" w:hanging="512"/>
        <w:spacing w:after="0"/>
        <w:tabs>
          <w:tab w:leader="none" w:pos="5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Based on the closing market price per NASDAQ on the date of transaction.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980" w:type="dxa"/>
            <w:vAlign w:val="bottom"/>
            <w:gridSpan w:val="8"/>
          </w:tcPr>
          <w:p>
            <w:pPr>
              <w:ind w:left="8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24"/>
                <w:szCs w:val="24"/>
                <w:color w:val="auto"/>
              </w:rPr>
            </w:pPr>
          </w:p>
        </w:tc>
        <w:tc>
          <w:tcPr>
            <w:tcW w:w="7120" w:type="dxa"/>
            <w:vAlign w:val="bottom"/>
            <w:gridSpan w:val="5"/>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3140" w:type="dxa"/>
            <w:vAlign w:val="bottom"/>
          </w:tcPr>
          <w:p>
            <w:pPr>
              <w:spacing w:after="0"/>
              <w:rPr>
                <w:sz w:val="14"/>
                <w:szCs w:val="14"/>
                <w:color w:val="auto"/>
              </w:rPr>
            </w:pPr>
          </w:p>
        </w:tc>
        <w:tc>
          <w:tcPr>
            <w:tcW w:w="71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gridSpan w:val="2"/>
          </w:tcPr>
          <w:p>
            <w:pPr>
              <w:ind w:left="100"/>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20" w:type="dxa"/>
            <w:vAlign w:val="bottom"/>
            <w:tcBorders>
              <w:top w:val="single" w:sz="8" w:color="auto"/>
              <w:bottom w:val="single" w:sz="8" w:color="0000EE"/>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tcBorders>
              <w:top w:val="single" w:sz="8" w:color="auto"/>
              <w:bottom w:val="single" w:sz="8" w:color="0000EE"/>
            </w:tcBorders>
            <w:gridSpan w:val="4"/>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President and Chief Executive Officer (Principal Executive Officer) pursuant to Section 302 of Sarbanes-Oxley Act of 2002</w:t>
              </w:r>
            </w:hyperlink>
          </w:p>
        </w:tc>
        <w:tc>
          <w:tcPr>
            <w:tcW w:w="180" w:type="dxa"/>
            <w:vAlign w:val="bottom"/>
            <w:tcBorders>
              <w:top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0" w:type="dxa"/>
            <w:vAlign w:val="bottom"/>
            <w:gridSpan w:val="3"/>
          </w:tcPr>
          <w:p>
            <w:pPr>
              <w:ind w:left="100"/>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4"/>
              </w:rPr>
            </w:pPr>
            <w:hyperlink w:anchor="page84">
              <w:r>
                <w:rPr>
                  <w:rFonts w:ascii="Arial" w:cs="Arial" w:eastAsia="Arial" w:hAnsi="Arial"/>
                  <w:sz w:val="18"/>
                  <w:szCs w:val="18"/>
                  <w:color w:val="0000EE"/>
                  <w:w w:val="94"/>
                </w:rPr>
                <w:t>Certification of Senior Vice President and Chief Financial Officer (Principal Financial Officer and Principal Accounting Officer) pursuant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Section 302 of Sarbanes-Oxley Act of 2002</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gridSpan w:val="3"/>
          </w:tcPr>
          <w:p>
            <w:pPr>
              <w:ind w:left="100"/>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5"/>
              </w:rPr>
            </w:pPr>
            <w:hyperlink w:anchor="page85">
              <w:r>
                <w:rPr>
                  <w:rFonts w:ascii="Arial" w:cs="Arial" w:eastAsia="Arial" w:hAnsi="Arial"/>
                  <w:sz w:val="18"/>
                  <w:szCs w:val="18"/>
                  <w:color w:val="0000EE"/>
                  <w:w w:val="95"/>
                </w:rPr>
                <w:t>Certification of President and Chief Executive Officer (Principal Executive Officer) and Senior Vice President and Chief Financial Officer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(Principal Financial Officer and Principal Accounting Officer) pursuant to Section 906 of Sarbanes-Oxley Act of 2002</w:t>
              </w:r>
            </w:hyperlink>
          </w:p>
        </w:tc>
        <w:tc>
          <w:tcPr>
            <w:tcW w:w="142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gridSpan w:val="2"/>
          </w:tcPr>
          <w:p>
            <w:pPr>
              <w:ind w:left="4460"/>
              <w:spacing w:after="0"/>
              <w:rPr>
                <w:sz w:val="20"/>
                <w:szCs w:val="20"/>
                <w:color w:val="auto"/>
              </w:rPr>
            </w:pPr>
            <w:r>
              <w:rPr>
                <w:rFonts w:ascii="Arial" w:cs="Arial" w:eastAsia="Arial" w:hAnsi="Arial"/>
                <w:sz w:val="18"/>
                <w:szCs w:val="18"/>
                <w:color w:val="auto"/>
              </w:rPr>
              <w:t>81</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1" w:name="page82"/>
    <w:bookmarkEnd w:id="81"/>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121" w:right="3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August 1, 2018</w:t>
            </w:r>
          </w:p>
        </w:tc>
        <w:tc>
          <w:tcPr>
            <w:tcW w:w="5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August 1, 2018</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6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2018,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August 1, 2018</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August 1, 2018</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lowerRoman"/>
      <w:start w:val="1"/>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9"/>
    </w:lvl>
  </w:abstractNum>
  <w:abstractNum w:abstractNumId="13">
    <w:nsid w:val="3A95F874"/>
    <w:multiLevelType w:val="hybridMultilevel"/>
    <w:lvl w:ilvl="0">
      <w:lvlJc w:val="left"/>
      <w:lvlText w:val="(%1)"/>
      <w:numFmt w:val="lowerRoman"/>
      <w:start w:val="4"/>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2"/>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upperLetter"/>
      <w:start w:val="9"/>
    </w:lvl>
  </w:abstractNum>
  <w:abstractNum w:abstractNumId="26">
    <w:nsid w:val="5072367"/>
    <w:multiLevelType w:val="hybridMultilevel"/>
    <w:lvl w:ilvl="0">
      <w:lvlJc w:val="left"/>
      <w:lvlText w:val="(%1)"/>
      <w:numFmt w:val="upperLetter"/>
      <w:start w:val="35"/>
    </w:lvl>
  </w:abstractNum>
  <w:abstractNum w:abstractNumId="27">
    <w:nsid w:val="3804823E"/>
    <w:multiLevelType w:val="hybridMultilevel"/>
    <w:lvl w:ilvl="0">
      <w:lvlJc w:val="left"/>
      <w:lvlText w:val="(%1)"/>
      <w:numFmt w:val="upperLetter"/>
      <w:start w:val="6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2019-12-28T20:38:19Z</dcterms:created>
  <dcterms:modified xsi:type="dcterms:W3CDTF">2019-12-28T20:38:19Z</dcterms:modified>
</cp:coreProperties>
</file>