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460" w:right="2400" w:hanging="452"/>
        <w:spacing w:after="0" w:line="344"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69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88"/>
              </w:rPr>
              <w:t>England and Wales</w:t>
            </w:r>
          </w:p>
        </w:tc>
        <w:tc>
          <w:tcPr>
            <w:tcW w:w="2080" w:type="dxa"/>
            <w:vAlign w:val="bottom"/>
          </w:tcPr>
          <w:p>
            <w:pPr>
              <w:jc w:val="center"/>
              <w:ind w:left="644"/>
              <w:spacing w:after="0"/>
              <w:rPr>
                <w:sz w:val="20"/>
                <w:szCs w:val="20"/>
                <w:color w:val="auto"/>
              </w:rPr>
            </w:pPr>
            <w:r>
              <w:rPr>
                <w:rFonts w:ascii="Arial" w:cs="Arial" w:eastAsia="Arial" w:hAnsi="Arial"/>
                <w:sz w:val="18"/>
                <w:szCs w:val="18"/>
                <w:b w:val="1"/>
                <w:bCs w:val="1"/>
                <w:color w:val="auto"/>
                <w:w w:val="87"/>
              </w:rPr>
              <w:t>Not applicable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9"/>
        </w:trPr>
        <w:tc>
          <w:tcPr>
            <w:tcW w:w="6920" w:type="dxa"/>
            <w:vAlign w:val="bottom"/>
            <w:gridSpan w:val="5"/>
          </w:tcPr>
          <w:p>
            <w:pPr>
              <w:jc w:val="center"/>
              <w:ind w:right="19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080" w:type="dxa"/>
            <w:vAlign w:val="bottom"/>
          </w:tcPr>
          <w:p>
            <w:pPr>
              <w:jc w:val="center"/>
              <w:ind w:left="66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6920" w:type="dxa"/>
            <w:vAlign w:val="bottom"/>
            <w:gridSpan w:val="5"/>
          </w:tcPr>
          <w:p>
            <w:pPr>
              <w:jc w:val="center"/>
              <w:ind w:right="1920"/>
              <w:spacing w:after="0"/>
              <w:rPr>
                <w:sz w:val="20"/>
                <w:szCs w:val="20"/>
                <w:color w:val="auto"/>
              </w:rPr>
            </w:pPr>
            <w:r>
              <w:rPr>
                <w:rFonts w:ascii="Arial" w:cs="Arial" w:eastAsia="Arial" w:hAnsi="Arial"/>
                <w:sz w:val="14"/>
                <w:szCs w:val="14"/>
                <w:b w:val="1"/>
                <w:bCs w:val="1"/>
                <w:color w:val="auto"/>
                <w:w w:val="88"/>
              </w:rPr>
              <w:t>incorporation or organization)</w:t>
            </w:r>
          </w:p>
        </w:tc>
        <w:tc>
          <w:tcPr>
            <w:tcW w:w="2080" w:type="dxa"/>
            <w:vAlign w:val="bottom"/>
          </w:tcPr>
          <w:p>
            <w:pPr>
              <w:jc w:val="center"/>
              <w:ind w:left="664"/>
              <w:spacing w:after="0"/>
              <w:rPr>
                <w:sz w:val="20"/>
                <w:szCs w:val="20"/>
                <w:color w:val="auto"/>
              </w:rPr>
            </w:pPr>
            <w:r>
              <w:rPr>
                <w:rFonts w:ascii="Arial" w:cs="Arial" w:eastAsia="Arial" w:hAnsi="Arial"/>
                <w:sz w:val="14"/>
                <w:szCs w:val="14"/>
                <w:b w:val="1"/>
                <w:bCs w:val="1"/>
                <w:color w:val="auto"/>
                <w:w w:val="89"/>
              </w:rPr>
              <w:t>Identification No.)</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6"/>
        </w:trPr>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First Floor, Block 3, The Oval</w:t>
            </w:r>
          </w:p>
        </w:tc>
        <w:tc>
          <w:tcPr>
            <w:tcW w:w="2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0"/>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920" w:type="dxa"/>
            <w:vAlign w:val="bottom"/>
            <w:gridSpan w:val="4"/>
          </w:tcPr>
          <w:p>
            <w:pPr>
              <w:jc w:val="center"/>
              <w:ind w:right="1304"/>
              <w:spacing w:after="0"/>
              <w:rPr>
                <w:sz w:val="20"/>
                <w:szCs w:val="20"/>
                <w:color w:val="auto"/>
              </w:rPr>
            </w:pPr>
            <w:r>
              <w:rPr>
                <w:rFonts w:ascii="Arial" w:cs="Arial" w:eastAsia="Arial" w:hAnsi="Arial"/>
                <w:sz w:val="18"/>
                <w:szCs w:val="18"/>
                <w:b w:val="1"/>
                <w:bCs w:val="1"/>
                <w:color w:val="auto"/>
                <w:w w:val="88"/>
              </w:rPr>
              <w:t>Shelbourne Road, Ballsbridge, Dublin 4, Ireland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(Address of principal executive offices)</w:t>
            </w: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73"/>
        </w:trPr>
        <w:tc>
          <w:tcPr>
            <w:tcW w:w="6540" w:type="dxa"/>
            <w:vAlign w:val="bottom"/>
            <w:gridSpan w:val="4"/>
          </w:tcPr>
          <w:p>
            <w:pPr>
              <w:jc w:val="center"/>
              <w:ind w:left="4097"/>
              <w:spacing w:after="0"/>
              <w:rPr>
                <w:sz w:val="20"/>
                <w:szCs w:val="20"/>
                <w:color w:val="auto"/>
              </w:rPr>
            </w:pPr>
            <w:r>
              <w:rPr>
                <w:rFonts w:ascii="Arial" w:cs="Arial" w:eastAsia="Arial" w:hAnsi="Arial"/>
                <w:sz w:val="18"/>
                <w:szCs w:val="18"/>
                <w:b w:val="1"/>
                <w:bCs w:val="1"/>
                <w:color w:val="auto"/>
                <w:w w:val="88"/>
              </w:rPr>
              <w:t>+353 (0) 1 6699 020</w:t>
            </w:r>
          </w:p>
        </w:tc>
        <w:tc>
          <w:tcPr>
            <w:tcW w:w="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72"/>
        </w:trPr>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gridSpan w:val="3"/>
          </w:tcPr>
          <w:p>
            <w:pPr>
              <w:jc w:val="center"/>
              <w:ind w:left="619"/>
              <w:spacing w:after="0"/>
              <w:rPr>
                <w:sz w:val="20"/>
                <w:szCs w:val="20"/>
                <w:color w:val="auto"/>
              </w:rPr>
            </w:pPr>
            <w:r>
              <w:rPr>
                <w:rFonts w:ascii="Arial" w:cs="Arial" w:eastAsia="Arial" w:hAnsi="Arial"/>
                <w:sz w:val="14"/>
                <w:szCs w:val="14"/>
                <w:color w:val="auto"/>
                <w:w w:val="86"/>
              </w:rPr>
              <w:t>(Registrant’s telephone number, including area code)</w:t>
            </w: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82"/>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20" w:type="dxa"/>
            <w:vAlign w:val="bottom"/>
            <w:gridSpan w:val="4"/>
          </w:tcPr>
          <w:p>
            <w:pPr>
              <w:jc w:val="center"/>
              <w:ind w:right="130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9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gridSpan w:val="3"/>
          </w:tcPr>
          <w:p>
            <w:pPr>
              <w:spacing w:after="0"/>
              <w:rPr>
                <w:sz w:val="18"/>
                <w:szCs w:val="18"/>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00" w:type="dxa"/>
            <w:vAlign w:val="bottom"/>
          </w:tcPr>
          <w:p>
            <w:pPr>
              <w:spacing w:after="0"/>
              <w:rPr>
                <w:sz w:val="18"/>
                <w:szCs w:val="18"/>
                <w:color w:val="auto"/>
              </w:rPr>
            </w:pPr>
          </w:p>
        </w:tc>
      </w:tr>
      <w:tr>
        <w:trPr>
          <w:trHeight w:val="201"/>
        </w:trPr>
        <w:tc>
          <w:tcPr>
            <w:tcW w:w="6920" w:type="dxa"/>
            <w:vAlign w:val="bottom"/>
            <w:gridSpan w:val="5"/>
          </w:tcPr>
          <w:p>
            <w:pPr>
              <w:jc w:val="center"/>
              <w:ind w:right="1920"/>
              <w:spacing w:after="0" w:line="201" w:lineRule="exact"/>
              <w:rPr>
                <w:sz w:val="20"/>
                <w:szCs w:val="20"/>
                <w:color w:val="auto"/>
              </w:rPr>
            </w:pPr>
            <w:r>
              <w:rPr>
                <w:rFonts w:ascii="Arial" w:cs="Arial" w:eastAsia="Arial" w:hAnsi="Arial"/>
                <w:sz w:val="18"/>
                <w:szCs w:val="18"/>
                <w:color w:val="auto"/>
                <w:w w:val="87"/>
              </w:rPr>
              <w:t>American Depositary Shares, each representing one Ordinary Share</w:t>
            </w:r>
          </w:p>
        </w:tc>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920" w:type="dxa"/>
            <w:vAlign w:val="bottom"/>
            <w:gridSpan w:val="5"/>
          </w:tcPr>
          <w:p>
            <w:pPr>
              <w:jc w:val="center"/>
              <w:ind w:right="1920"/>
              <w:spacing w:after="0"/>
              <w:rPr>
                <w:sz w:val="20"/>
                <w:szCs w:val="20"/>
                <w:color w:val="auto"/>
              </w:rPr>
            </w:pPr>
            <w:r>
              <w:rPr>
                <w:rFonts w:ascii="Arial" w:cs="Arial" w:eastAsia="Arial" w:hAnsi="Arial"/>
                <w:sz w:val="18"/>
                <w:szCs w:val="18"/>
                <w:color w:val="auto"/>
                <w:w w:val="85"/>
              </w:rPr>
              <w:t>Ordinary shares, 50 pence par value per share</w:t>
            </w:r>
          </w:p>
        </w:tc>
        <w:tc>
          <w:tcPr>
            <w:tcW w:w="29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The NASDAQ Capital Market</w:t>
            </w:r>
          </w:p>
        </w:tc>
      </w:tr>
      <w:tr>
        <w:trPr>
          <w:trHeight w:val="297"/>
        </w:trPr>
        <w:tc>
          <w:tcPr>
            <w:tcW w:w="1940" w:type="dxa"/>
            <w:vAlign w:val="bottom"/>
          </w:tcPr>
          <w:p>
            <w:pPr>
              <w:spacing w:after="0"/>
              <w:rPr>
                <w:sz w:val="24"/>
                <w:szCs w:val="24"/>
                <w:color w:val="auto"/>
              </w:rPr>
            </w:pPr>
          </w:p>
        </w:tc>
        <w:tc>
          <w:tcPr>
            <w:tcW w:w="7060" w:type="dxa"/>
            <w:vAlign w:val="bottom"/>
            <w:gridSpan w:val="5"/>
          </w:tcPr>
          <w:p>
            <w:pPr>
              <w:jc w:val="center"/>
              <w:ind w:right="144"/>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4"/>
        </w:trPr>
        <w:tc>
          <w:tcPr>
            <w:tcW w:w="41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460" w:type="dxa"/>
            <w:vAlign w:val="bottom"/>
            <w:gridSpan w:val="2"/>
          </w:tcPr>
          <w:p>
            <w:pPr>
              <w:spacing w:after="0"/>
              <w:rPr>
                <w:sz w:val="14"/>
                <w:szCs w:val="14"/>
                <w:color w:val="auto"/>
              </w:rPr>
            </w:pPr>
          </w:p>
        </w:tc>
        <w:tc>
          <w:tcPr>
            <w:tcW w:w="840" w:type="dxa"/>
            <w:vAlign w:val="bottom"/>
            <w:gridSpan w:val="2"/>
          </w:tcPr>
          <w:p>
            <w:pPr>
              <w:spacing w:after="0"/>
              <w:rPr>
                <w:sz w:val="14"/>
                <w:szCs w:val="14"/>
                <w:color w:val="auto"/>
              </w:rPr>
            </w:pPr>
          </w:p>
        </w:tc>
      </w:tr>
      <w:tr>
        <w:trPr>
          <w:trHeight w:val="417"/>
        </w:trPr>
        <w:tc>
          <w:tcPr>
            <w:tcW w:w="9000" w:type="dxa"/>
            <w:vAlign w:val="bottom"/>
            <w:gridSpan w:val="6"/>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840" w:type="dxa"/>
            <w:vAlign w:val="bottom"/>
            <w:gridSpan w:val="2"/>
          </w:tcPr>
          <w:p>
            <w:pPr>
              <w:jc w:val="center"/>
              <w:ind w:right="2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r>
      <w:tr>
        <w:trPr>
          <w:trHeight w:val="297"/>
        </w:trPr>
        <w:tc>
          <w:tcPr>
            <w:tcW w:w="90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 (d) of the Act.  YES</w:t>
            </w:r>
          </w:p>
        </w:tc>
        <w:tc>
          <w:tcPr>
            <w:tcW w:w="840" w:type="dxa"/>
            <w:vAlign w:val="bottom"/>
            <w:gridSpan w:val="2"/>
          </w:tcPr>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6180" w:space="720"/>
            <w:col w:w="134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720"/>
            <w:col w:w="160" w:space="40"/>
            <w:col w:w="6020" w:space="720"/>
            <w:col w:w="1940" w:space="80"/>
            <w:col w:w="160"/>
          </w:cols>
          <w:pgMar w:left="240" w:top="230"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60"/>
            <w:col w:w="340" w:space="80"/>
            <w:col w:w="160" w:space="180"/>
            <w:col w:w="260" w:space="80"/>
            <w:col w:w="1840"/>
          </w:cols>
          <w:pgMar w:left="240" w:top="230" w:right="239" w:bottom="1440" w:gutter="0" w:footer="0" w:header="0"/>
          <w:type w:val="continuous"/>
        </w:sectPr>
      </w:pPr>
    </w:p>
    <w:p>
      <w:pPr>
        <w:ind w:right="44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2010 was approximately $132.6 million, based upon the closing price on the NASDAQ Capital Market reported for such date.</w:t>
      </w:r>
    </w:p>
    <w:p>
      <w:pPr>
        <w:spacing w:after="0" w:line="51"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125,110,493 shares held as American Depository Shares (ADS), each representing one Ordinary Share, 50 pence par value per share, and 337,768 ordinary shares, were outstanding as of March 1, 2011.</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160" w:type="dxa"/>
            <w:vAlign w:val="bottom"/>
            <w:gridSpan w:val="7"/>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r>
      <w:tr>
        <w:trPr>
          <w:trHeight w:val="353"/>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4"/>
              </w:rPr>
              <w:t>PART 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gridSpan w:val="2"/>
          </w:tcPr>
          <w:p>
            <w:pPr>
              <w:spacing w:after="0" w:line="184"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9520" w:type="dxa"/>
            <w:vAlign w:val="bottom"/>
            <w:gridSpan w:val="19"/>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92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81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8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Removed and Reserved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9"/>
              </w:rPr>
              <w:t>PART II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10140" w:type="dxa"/>
            <w:vAlign w:val="bottom"/>
            <w:gridSpan w:val="21"/>
          </w:tcPr>
          <w:p>
            <w:pPr>
              <w:spacing w:after="0" w:line="184" w:lineRule="exact"/>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34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Selected Financial Data</w:t>
              </w:r>
            </w:hyperlink>
          </w:p>
        </w:tc>
        <w:tc>
          <w:tcPr>
            <w:tcW w:w="6240" w:type="dxa"/>
            <w:vAlign w:val="bottom"/>
            <w:tcBorders>
              <w:top w:val="single" w:sz="8" w:color="0000EE"/>
            </w:tcBorders>
            <w:gridSpan w:val="13"/>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Quantitative and Qualitative Disclosures about Market Risk</w:t>
              </w:r>
            </w:hyperlink>
          </w:p>
        </w:tc>
        <w:tc>
          <w:tcPr>
            <w:tcW w:w="59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50">
              <w:r>
                <w:rPr>
                  <w:rFonts w:ascii="Arial" w:cs="Arial" w:eastAsia="Arial" w:hAnsi="Arial"/>
                  <w:sz w:val="18"/>
                  <w:szCs w:val="18"/>
                  <w:color w:val="0000EE"/>
                  <w:w w:val="86"/>
                </w:rPr>
                <w:t>Financial Statements and Supplementary Data</w:t>
              </w:r>
            </w:hyperlink>
          </w:p>
        </w:tc>
        <w:tc>
          <w:tcPr>
            <w:tcW w:w="69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Changes in and Disagreements with Accountants on Accounting and Financial Disclosure</w:t>
              </w:r>
            </w:hyperlink>
          </w:p>
        </w:tc>
        <w:tc>
          <w:tcPr>
            <w:tcW w:w="38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Controls and Procedures</w:t>
              </w:r>
            </w:hyperlink>
          </w:p>
        </w:tc>
        <w:tc>
          <w:tcPr>
            <w:tcW w:w="84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14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10140" w:type="dxa"/>
            <w:vAlign w:val="bottom"/>
            <w:gridSpan w:val="21"/>
          </w:tcPr>
          <w:p>
            <w:pPr>
              <w:spacing w:after="0" w:line="184"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53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61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14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30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Accountant Fees and Services</w:t>
              </w:r>
            </w:hyperlink>
          </w:p>
        </w:tc>
        <w:tc>
          <w:tcPr>
            <w:tcW w:w="48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8"/>
              </w:rPr>
              <w:t>PART IV</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2"/>
          </w:tcPr>
          <w:p>
            <w:pPr>
              <w:spacing w:after="0" w:line="184"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Exhibits and Financial Statement Schedules</w:t>
              </w:r>
            </w:hyperlink>
          </w:p>
        </w:tc>
        <w:tc>
          <w:tcPr>
            <w:tcW w:w="7060" w:type="dxa"/>
            <w:vAlign w:val="bottom"/>
            <w:gridSpan w:val="9"/>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54</w:t>
            </w:r>
          </w:p>
        </w:tc>
      </w:tr>
      <w:tr>
        <w:trPr>
          <w:trHeight w:val="304"/>
        </w:trPr>
        <w:tc>
          <w:tcPr>
            <w:tcW w:w="1102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SPECIAL NOTE REGARDING</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“expects,” “plans,” “anticipates,” “believes,” “estimates,” “predicts,” “potential,” or “continue”; the negative of these terms; or other comparable terminology.</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and elsewhere in this Annual Report on Form 10-K.</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0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Unless otherwise indicated, information contained in this Annual Report on Form 10-K concerning our products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report to “Amarin,” the “Company,” “we,” “our” and “us” refer to Amarin Corporation plc and its subsidiaries, on a consolidated basis, unless otherwise indicated.</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Amarin and AMR101 are trademarks of Amarin Corporation plc. This Annual Report on Form 10-K also includes the registered and unregistered trademarks and service marks of other parties.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Amarin Corporation plc (formerly Ethical Holdings plc) is a public limited company incorporated under the laws of England and Wales. Amarin Corporation plc was originally incorporated in England as a private limited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company on March 1, 1989 under the Companies Act 1985, and re-registered in England as a public limited company on March 19, 1993.</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registered office is located at First Floor, 110 Cannon Street, London, EC4N 6AR, England. Our principal executive offices are located at First Floor, Block 3, The Oval, Shelbourne Road, Ballsbridge, Dublin 4, Ireland. Our principal research and development facility and certain of our executive offices are located at 12 Roosevelt Avenue, 3</w:t>
      </w:r>
      <w:r>
        <w:rPr>
          <w:rFonts w:ascii="Arial" w:cs="Arial" w:eastAsia="Arial" w:hAnsi="Arial"/>
          <w:sz w:val="10"/>
          <w:szCs w:val="10"/>
          <w:color w:val="auto"/>
        </w:rPr>
        <w:t>rd</w:t>
      </w:r>
      <w:r>
        <w:rPr>
          <w:rFonts w:ascii="Arial" w:cs="Arial" w:eastAsia="Arial" w:hAnsi="Arial"/>
          <w:sz w:val="16"/>
          <w:szCs w:val="16"/>
          <w:color w:val="auto"/>
        </w:rPr>
        <w:t xml:space="preserve"> Floor, Mystic, CT 06355, USA. Our U.S. telephone number is (860) 572-4979.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Annual Report on Form 10-K, our ordinary shares may also be referred to as “common shares” or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a clinical-stage biopharmaceutical company focused on developing improved treatments for cardiovascular disease. We are currently focusing our efforts on AMR101, a prescription-grade omega-3 fatty acid, comprising not less than 96% ultra pure icosapent ethyl (ethyl-EPA). Icosapent ethyl is the ethyl ester of the essential omega-3 fatty acid “eicosapentaenoic acid” (EPA). In November 2010 we reported top-line results from the MARINE trial, the first of our two planned Phase 3 clinical trials of AMR101. In the MARINE trial, AMR101 was investigated as a treatment for very high triglycerides (³500 mg/dL). AMR101 is presently being investigated in a second Phase 3 clinical trial, the ANCHOR trial, for the treatment of patients with high triglycerides (³200 and &lt;500mg/dL) who are also receiving statin therapy. Elevated triglyceride levels have been associated with the increased risk of developing cardiac disease as well as being a component of certain other metabolic disorders, such as diabetes and obesity.</w:t>
      </w:r>
    </w:p>
    <w:p>
      <w:pPr>
        <w:spacing w:after="0" w:line="11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MARINE trial was conducted under a Special Protocol Assessment, or SPA, with the U.S. Food and Drug Administration, or FDA. The ANCHOR trial is currently being conducted under a separate SPA. An SPA is an evaluation by the FDA of a protocol with the goal of reaching an agreement that the Phase</w:t>
      </w:r>
    </w:p>
    <w:p>
      <w:pPr>
        <w:ind w:firstLine="8"/>
        <w:spacing w:after="0" w:line="254" w:lineRule="auto"/>
        <w:tabs>
          <w:tab w:leader="none" w:pos="219" w:val="left"/>
        </w:tabs>
        <w:numPr>
          <w:ilvl w:val="0"/>
          <w:numId w:val="3"/>
        </w:numPr>
        <w:rPr>
          <w:rFonts w:ascii="Arial" w:cs="Arial" w:eastAsia="Arial" w:hAnsi="Arial"/>
          <w:sz w:val="18"/>
          <w:szCs w:val="18"/>
          <w:color w:val="auto"/>
        </w:rPr>
      </w:pPr>
      <w:r>
        <w:rPr>
          <w:rFonts w:ascii="Arial" w:cs="Arial" w:eastAsia="Arial" w:hAnsi="Arial"/>
          <w:sz w:val="18"/>
          <w:szCs w:val="18"/>
          <w:color w:val="auto"/>
        </w:rPr>
        <w:t>trial protocol design, clinical endpoints, and statistical analyses are acceptable to support regulatory approval. The FDA agreed that, based on the information we submitted to the agency, the design and planned analysis of the MARINE and ANCHOR trials adequately address the objectives necessary to support a regulatory submission. An SPA is generally binding upon the FDA unless a substantial scientific issue essential to determining safety or efficacy is identified after the testing begins.</w:t>
      </w:r>
    </w:p>
    <w:p>
      <w:pPr>
        <w:spacing w:after="0" w:line="144"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The MARINE trial was a multi-center, placebo-controlled, randomized, double-blind, 12-week pivotal study to evaluate the efficacy and safety of 2 grams and 4 grams of AMR101 in 229 patients with fasting triglyceride levels ³500 mg/dL. Patients with this level of triglycerides are characterized as having very high triglyceride levels as outlined in the National Cholesterol Education Program (NCEP) Expert Panel (Adult Treatment Panel III, 2002), or the NCEP Guidelines.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primary endpoint in the trial was the percentage change in triglyceride level from baseline compared to placebo after 12 weeks of treatment. Reported top-line results of this trial included announcement that AMR101 met the primary endpoint at both the 4 gram and 2 gram doses. In addition to achieving the primary endpoint of the trial, no statistically significant increase in low-density lipoprotein cholesterol, or LDL-C, was observed in this trial at either dose. Additionally, we observed in the trial a safety profile for AMR101 similar to placebo.</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ANCHOR trial is a multi-center, placebo-controlled, randomized, double-blind, 12-week pivotal study to evaluate the efficacy and safety of 2 grams and 4 grams of AMR101 in patients with high triglycerides (</w:t>
      </w:r>
      <w:r>
        <w:rPr>
          <w:rFonts w:ascii="Arial" w:cs="Arial" w:eastAsia="Arial" w:hAnsi="Arial"/>
          <w:sz w:val="16"/>
          <w:szCs w:val="16"/>
          <w:u w:val="single" w:color="auto"/>
          <w:color w:val="auto"/>
        </w:rPr>
        <w:t>&gt;</w:t>
      </w:r>
      <w:r>
        <w:rPr>
          <w:rFonts w:ascii="Arial" w:cs="Arial" w:eastAsia="Arial" w:hAnsi="Arial"/>
          <w:sz w:val="16"/>
          <w:szCs w:val="16"/>
          <w:color w:val="auto"/>
        </w:rPr>
        <w:t>200 and &lt;500mg/dL) who are on statin therapy. Patients in this trial are characterized as having high triglyceride levels, as outlined in the NCEP Guidelines, with mixed dyslipidemia (two or more lipid disorders). The primary endpoint in the trial is the percentage change in triglyceride level from baseline compared to placebo after 12 weeks of treatment. No prescription omega-3 based drug, such as AMR101, is currently approved in the United States for treating high triglyceride levels in statin-treated patients who have mixed dyslipidemia. In December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2010, we announced that we completed patient enrollment and randomization with 702 patients enrolled and randomized to the 2 gram, 4 gram and placebo arms of the trial. We expect to announce top-line results from the ANCHOR trial in the second quarter of 2011.</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to submit a New Drug Application, or NDA, to the FDA in the third quarter of 2011 requesting approval to market and sell AMR101 for the indication being studied in the MARINE trial in the United States. Depending on the timing of the NDA and the results of the ANCHOR trial, we may elect to add the ANCHOR trial results to the NDA we are preparing. If the ANCHOR results are added to the NDA, the NDA would seek approval for the indication studied in the MARINE trial with the ANCHOR results either as a separate indication for use or referenced in the label as data supporting the safe use of AMR101 in the treatment of high triglyceride levels in statin-treated patients who have mixed dyslipidemia. In order to obtain a separate indication for AMR101 based on the ANCHOR trial results, the FDA requires that we have a clinical outcomes study substantially underway at the time of the NDA filing. The results of an outcomes study are not required for FDA approval of the broader indication and an outcomes study is not required for the indication being studied in the MARINE trial. Opportunities to market and sell AMR101 outside the United States are currently under evaluation.</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January 2011, we completed an equity offering from which we received approximately $98.7 million in proceeds, net of fees and transaction costs. Together with our cash balance of $31.4 million at December 31, 2010, we believe we have sufficient financial resources to enable us to file an NDA and begin commercial preparation of AMR101 regardless of the NDA submission strategy we choose.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Lipid Disorders and Cardiovascular Disease</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 xml:space="preserve">Heart attacks, strokes and other cardiovascular events represent the leading cause of death and disability among men and women in western societies. According to the American Heart Association’s </w:t>
      </w:r>
      <w:r>
        <w:rPr>
          <w:rFonts w:ascii="Arial" w:cs="Arial" w:eastAsia="Arial" w:hAnsi="Arial"/>
          <w:sz w:val="18"/>
          <w:szCs w:val="18"/>
          <w:i w:val="1"/>
          <w:iCs w:val="1"/>
          <w:color w:val="auto"/>
        </w:rPr>
        <w:t>2010 At-A-Glance Report</w:t>
      </w:r>
      <w:r>
        <w:rPr>
          <w:rFonts w:ascii="Arial" w:cs="Arial" w:eastAsia="Arial" w:hAnsi="Arial"/>
          <w:sz w:val="18"/>
          <w:szCs w:val="18"/>
          <w:color w:val="auto"/>
        </w:rPr>
        <w:t>, over 831,000 deaths in the United States were caused by heart disease and stroke, substantially more than the approximately 560,000 reported deaths caused by cancer.</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Hypertriglyceridemia refers to a condition in which patients have high levels of triglycerides in the bloodstream and has been recognized as an independent risk factor for cardiac disease. We estimate that over 40 million adults in the U.S. have elevated triglyceride levels &gt;200 mg/dL and approximately 4.0 million people in the United States have very high triglyceride levels ( ³500 mg/dL). In patients with severely elevated levels of triglycerides, the risk of cardiovascular events is generally overshadowed by the risk of acute pancreatitis, a life-threatening disease.</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Mixed dyslipidemia refers to a condition in which patients have a combination of two or more lipid abnormalities including elevated triglycerides, low high-density lipoprotein cholesterol, or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It is estimated that fewer than 4% of adults with triglyceride levels ³200 mg/dL are currently receiving prescription medication for lowering triglycerides. Many of these patients are taking statin therapy directed primarily at lowering their LDL-C levels. Patients with high levels of LDL-C are referred to as having hypercholesterolemia. As estimated by Data Monitor, drug treatment for hypercholesterolemia patients exceeds $30 billion per year in the United States, with sales dominated by statin therapies.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leading treatments to lower triglyceride levels are fibrates (fenofibrate and gemfibrozil) and a prescription only omega-3 fatty acid. Currently there is only one FDA approved prescription-only omega-3 fatty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acid, known as Lovaza</w:t>
      </w:r>
      <w:r>
        <w:rPr>
          <w:rFonts w:ascii="Arial" w:cs="Arial" w:eastAsia="Arial" w:hAnsi="Arial"/>
          <w:sz w:val="10"/>
          <w:szCs w:val="10"/>
          <w:color w:val="auto"/>
        </w:rPr>
        <w:t>®</w:t>
      </w:r>
      <w:r>
        <w:rPr>
          <w:rFonts w:ascii="Arial" w:cs="Arial" w:eastAsia="Arial" w:hAnsi="Arial"/>
          <w:sz w:val="16"/>
          <w:szCs w:val="16"/>
          <w:color w:val="auto"/>
        </w:rPr>
        <w:t xml:space="preserve"> (Omacor</w:t>
      </w:r>
      <w:r>
        <w:rPr>
          <w:rFonts w:ascii="Arial" w:cs="Arial" w:eastAsia="Arial" w:hAnsi="Arial"/>
          <w:sz w:val="10"/>
          <w:szCs w:val="10"/>
          <w:color w:val="auto"/>
        </w:rPr>
        <w:t>®</w:t>
      </w:r>
      <w:r>
        <w:rPr>
          <w:rFonts w:ascii="Arial" w:cs="Arial" w:eastAsia="Arial" w:hAnsi="Arial"/>
          <w:sz w:val="16"/>
          <w:szCs w:val="16"/>
          <w:color w:val="auto"/>
        </w:rPr>
        <w:t xml:space="preserve"> in Europe). Lovaza consists predominantly of the omega-3 ethyl esters of EPA and DHA (Docosahexaenoic Acid) and was launched in the United States in 2005. Marketed in the United States by GlaxoSmithKline, or GSK, U.S. sales of Lovaza in 2010 as reported by GSK were over $886 million, and worldwide sales of Lovaza/Omacor in 2009 exceeded $1.0 billion, reflecting substantial annual growth both in the United States and Europe.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 for Amarin and Commercial Strategy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Unlike, Lovaza, which is comprised of the omega-3 ethyl esters of EPA and DHA, AMR101 is comprised of not less than 96% pure ethyl-EPA and no DHA. We believe that DHA may increase LDL-C levels and thereby, partially offset one of the typically desired benefits of lipid-lowering therapies, which is lowering LDL-C. We believe that the removal of DHA results in removal of this DHA-associated LDL-C raising effect as well removing the fishy taste and smell that is often associated with DHA. Based on the results of the MARINE trial, AMR101 is the first omega-3 based product outside of Japan to demonstrate statistically significant triglyceride reduction without an increase in LDL-C in this very high triglyceride population. We believe that the results of the MARINE trial and AMR101’s DHA-free composition suggest that AMR101 has the potential to become a “best-in-class” EPA based triglyceride-lowering agent in the United States and European Union. Currently no omega-3 based product is approved for lowering high triglycerides in patients with mixed dyslipidemia. If the results of the ANCHOR trial are successful, we believe that AMR101 has the potential to become “first-in-class” in the prescription-grade omega-3 market.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strategy is to seek FDA approval for AMR101 based on the results of the MARINE and ANCHOR trials while considering additional trials to further expand the indication of use potential for AMR101. The indication evaluated in the MARINE trial is independent of the ANCHOR trial and can be submitted independently for FDA approval. We are currently preparing our NDA for AMR101 based on the MARINE trial results. Depending on the timing of the NDA and the results of the ANCHOR trial, we may elect to add the ANCHOR trial results to the NDA we are preparing. If the ANCHOR results are added to the NDA, the NDA would seek approval for the indication studied in the MARINE trial with the ANCHOR results either as a separate indication for use or referenced in the label as data supporting the safe use of AMR101 in the treatment of high triglyceride levels in statin-treated patients who have mixed dyslipidemia. In order to obtain a separate indication for AMR101 based on the ANCHOR trial results, the FDA requires that we have a clinical outcomes study substantially underway at the time of the NDA filing. The results of an outcomes study are not required for FDA approval of the broader indication and an outcomes study is not required for the indication being studied in the MARINE trial.</w:t>
      </w:r>
    </w:p>
    <w:p>
      <w:pPr>
        <w:spacing w:after="0" w:line="195" w:lineRule="exact"/>
        <w:rPr>
          <w:sz w:val="20"/>
          <w:szCs w:val="20"/>
          <w:color w:val="auto"/>
        </w:rPr>
      </w:pPr>
    </w:p>
    <w:p>
      <w:pPr>
        <w:jc w:val="right"/>
        <w:ind w:right="9560"/>
        <w:spacing w:after="0"/>
        <w:rPr>
          <w:sz w:val="20"/>
          <w:szCs w:val="20"/>
          <w:color w:val="auto"/>
        </w:rPr>
      </w:pPr>
      <w:r>
        <w:rPr>
          <w:rFonts w:ascii="Arial" w:cs="Arial" w:eastAsia="Arial" w:hAnsi="Arial"/>
          <w:sz w:val="16"/>
          <w:szCs w:val="16"/>
          <w:b w:val="1"/>
          <w:bCs w:val="1"/>
          <w:color w:val="auto"/>
        </w:rPr>
        <w:t>Our Product Candidates</w:t>
      </w:r>
    </w:p>
    <w:p>
      <w:pPr>
        <w:spacing w:after="0" w:line="119" w:lineRule="exact"/>
        <w:rPr>
          <w:sz w:val="20"/>
          <w:szCs w:val="20"/>
          <w:color w:val="auto"/>
        </w:rPr>
      </w:pPr>
    </w:p>
    <w:p>
      <w:pPr>
        <w:jc w:val="right"/>
        <w:ind w:right="9520"/>
        <w:spacing w:after="0"/>
        <w:rPr>
          <w:sz w:val="20"/>
          <w:szCs w:val="20"/>
          <w:color w:val="auto"/>
        </w:rPr>
      </w:pPr>
      <w:r>
        <w:rPr>
          <w:rFonts w:ascii="Arial" w:cs="Arial" w:eastAsia="Arial" w:hAnsi="Arial"/>
          <w:sz w:val="18"/>
          <w:szCs w:val="18"/>
          <w:b w:val="1"/>
          <w:bCs w:val="1"/>
          <w:i w:val="1"/>
          <w:iCs w:val="1"/>
          <w:color w:val="auto"/>
        </w:rPr>
        <w:t>The MARINE Trial</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Patient enrollment in this trial began in December 2009, and enrollment and randomization was completed in August 2010 at 229 patients. On November 29, 2010, we reported top-line data for the MARINE trial, where AMR101 was shown to effectively lower triglyceride levels in patients with very high triglycerides (&gt;500 mg/dL) without significantly increasing LDL-C. The MARINE trial results also included favorable findings with respect to significant reductions in total cholesterol, non-HDL-C, Apo B (Apolipoprotein B), and Lp-PLA2 levels, together with a safety profile for AMR101 comparable to placebo. The MARINE trial was conducted in a population representative of millions of people with very high triglyceride levels, which is estimated to include approximately 4.0 million people in the United States.</w:t>
      </w:r>
    </w:p>
    <w:p>
      <w:pPr>
        <w:spacing w:after="0" w:line="14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trial’s primary endpoint, the percent change in triglyceride, or TG, levels from baseline to week 12 compared to placebo, was met for both the 4 gram and 2 gram dose groups. The MARINE trial was required to meet a stringent level of statistical significance of 1% (p &lt; 0.01), as agreed in our SPA with the FDA.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Twenty-five percent of patients in this trial were on background statin therapy. The patient group treated with 4 grams of AMR101 showed a significant median TG decrease of 33% (p &lt; 0.0001) compared to placebo, and the patient group treated with 2 grams of AMR101 showed a significant median TG decrease of 20% (p = 0.0051) compared to placebo. The median baseline TG levels were 703 mg/dL, 680 mg/dL and 657 mg/dL for the patient groups treated with placebo, 4 grams of AMR101 and 2 grams of AMR101, respectively.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 pre-specified analysis in the subgroup of patients with baseline TG &gt; 750 mg/dL, representing 39% of all patients, the effect of AMR101 in reducing TG levels from placebo was 45% for 4 grams and 33% for 2 grams, both statistically significant (p = 0.0001 for 4 grams and p = 0.0016 for 2 grams, respectively). The median baseline TG levels in this subgroup were 1052 mg/dL, 902 mg/dL and 948 mg/dL for placebo, 4 gram and 2 gram groups, respectively. In addition, the subgroup of patients on background statin therapy had much greater median reductions in TG than those not on statin therapy.</w:t>
      </w:r>
    </w:p>
    <w:p>
      <w:pPr>
        <w:spacing w:after="0" w:line="11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AMR101 did not result in a significant increase in median LDL-C compared to placebo at either dose (-2.3% for the 4 gram group and +5.2% for the 2 gram group [p=NS]). This is the first and only triglyceride-lowering therapy studied in this population with very high triglyceride levels to show a lack of significant elevation in LDL-C. In addition, there was a statistically significant decrease in median non-HDL-C (total cholesterol less “good cholesterol”) compared to placebo with both of the AMR101 treated groups (-18% for the 4 gram group [p &lt; 0.0001] and -8% for the 2 gram group [p &lt; 0.05]).</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MARINE trial results also included statistically significant reductions, particularly at 4 grams, in several important lipid and inflammatory markers, including Apo B, Lp-PLA2 (Lipoprotein-phospholipase A2), VLDL-C and Total Cholesterol. For these achieved endpoints, p-values were &lt;0.01 for most and &lt;0.05 for all. Apo B (Apolipoprotein B) is a sensitive index of residual cardiovascular risk and is generally considered to be a better predictor than LDL-C. Lp-PLA2 is an enzyme found in blood and atherosclerotic plaque; high levels have been implicated in the development and progression of atherosclerosis.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AMR101 appeared to be well tolerated in the MARINE trial with a safety profile comparable to placebo. There were no treatment-related serious adverse events observed in the MARINE trial.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plan to provide more details of these results at scientific meetings in 2011.</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Patients enrolled in the MARINE trial were given the option to continue on with AMR101 treatment for a period of up to 40-weeks after their last dose in the pivotal trial. The results from this 40-week open label extension period are not part of the MARINE trial primary endpoints.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MARINE trial was conducted under a SPA with the FDA. An SPA is an evaluation by the FDA of a protocol with the goal of reaching an agreement that the Phase III trial protocol design, clinical endpoints, and statistical analyses are acceptable to support regulatory approval. The FDA agreed that, based on the information we submitted to the agency, the design and planned analysis of the MARINE trial adequately address the objectives necessary to support a regulatory submission. An SPA is generally binding upon the FDA unless a substantial scientific issue essential to determining safety or efficacy is identified after the testing begins. However, there can be no assurance that this will be the case. If the FDA does not consider the SPA to be binding, the agency could assert that additional studies or data are required to support a regulatory submission.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ANCHOR Trial</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ANCHOR trial is a multi-center, placebo-controlled, randomized, double-blind, 12-week study to evaluate the efficacy and safety of 2 grams and 4 grams of AMR101 in patients with high triglyceride levels of ³200 mg/dL and &lt;500 mg/dL who are on stable statin therapy. Patients in this trial are classified as having high triglyceride levels with mixed dyslipidemia. The primary endpoint in the trial is the percent change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triglyceride level from baseline to week 12 compared to placebo. An important secondary endpoint in the ANCHOR trial, necessary in order for us to achieve the broad indication sought from this trial, is to show that the addition of AMR101 to statin therapy does not increase LDL-cholesterol (LDL-C or “bad cholesterol”) compared to placebo in this population. Patient enrollment in this trial began in early 2010. On December 16, 2010, we announced that we completed patient enrollment and randomization with 702 patients enrolled and randomized to the 2 gram, 4 gram and placebo arms of the trial. We expect that the 702 patients randomized will be sufficient to demonstrate statistical significance in accordance with the trial protocol. Prior to randomization into the 12-week treatment period, all patients underwent a six-to-eight week washout period of lipid altering drugs, as well as diet and lifestyle stabilization. We expect to announce top-line results from the ANCHOR trial in the second quarter of 2011.</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the results from the ANCHOR trial are positive, we intend to use those results as the basis for broadening the label for AMR101 beyond treatment for very high triglycerides to include treatment for high triglycerides in patients with mixed dyslipidemia on background statin therapy. This should enable the treatment of the majority of patients clinically indicated for hypertriglyceridemic therapy, as outlined by the NCEP Guidelines. In order to seek approval of this potentially expanded indication, we will be required to have substantially enrolled subjects in a medical “outcomes study” at the time of our NDA submission. We are in the process of defining the clinical trial design for the outcome study. We do not anticipate initiating the outcome study until after the ANCHOR trial is complete. The results of this outcomes study are not required for approval of the indication studied in the ANCHOR trial; the only requirement is that the outcome study is substantially underway.</w:t>
      </w:r>
    </w:p>
    <w:p>
      <w:pPr>
        <w:spacing w:after="0" w:line="14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The ANCHOR trial is being conducted under an SPA with the FDA and all of the clinical sites in the trial are located in the United States. Our principal investigator for the MARINE trial was Harold Bays, M.D., Medical Director and President of Louisville Metabolic and Atherosclerosis Research Center. Our principal investigator for the ANCHOR trial is Christie M. Ballantyne, M.D., Methodist DeBakey Heart and Vascular Center, Houston, Texas. We also engage Medpace, a clinical research organization and other consultants for advice regarding clinical matters.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Efficacy of Ethyl-EPA</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Prior to commencing Phase III trials for AMR101, we did not conduct Phase II trials for the patient populations being studied in the MARINE and ANCHOR trials. Such Phase II studies were not required as part of the SPAs for either trial. Among the reasons why Phase II trials were not conducted or required is that the active ingredient in AMR101, ethyl-EPA of not less than 96% purity with no DHA, has been approved by regulatory authorities in Japan and marketed by Mochida Pharmaceutical Co. for over a decade. In Japan, ethyl-EPA is marketed under the product name of Epadel and is indicated for hyperlipidemia and peripheral vascular disease and which we understand has 2009 revenues in Japan that exceed $500 million per year. Clinical data from Japan shows that Epadel is effective in reducing TGs. In addition, in an outcomes study called the Japan EPA Lipid Intervention Study (JELIS) study, which study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patients with triglyceride levels of ³150 mg/dL (average 269 mg/dL at entry) and HDL-C &lt;40 mg/dL.</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Clinical Safety of AMR101</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Prior to commencing the MARINE and ANCHOR trials, we conducted a pre-clinical program for AMR101, including toxicology and pharmacology</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studies. In addition, we previously investigated AMR101 in central nervous system disorders in several double-blind, placebo-controlled studies, including Phase</w:t>
      </w:r>
    </w:p>
    <w:p>
      <w:pPr>
        <w:spacing w:after="0" w:line="32" w:lineRule="exact"/>
        <w:rPr>
          <w:sz w:val="20"/>
          <w:szCs w:val="20"/>
          <w:color w:val="auto"/>
        </w:rPr>
      </w:pPr>
    </w:p>
    <w:p>
      <w:pPr>
        <w:ind w:right="20" w:firstLine="8"/>
        <w:spacing w:after="0" w:line="261"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trials in Huntington’s disease. Over 1,000 patients have received AMR101 in these studies, with over 100 receiving continuous treatment for a year or more. In all studies performed to date, AMR101 has shown a positive safety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and tolerability profile. In the MARINE trial, 229 patients dosed with AMR101 demonstrated a safety profile comparable to placebo. There were no treatment-related serious adverse events in the MARINE study.</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to the MARINE and ANCHOR trials, we completed a 28-day pharmacokinetic study in healthy volunteers, and commenced a 26-week study to evaluate the toxicity of AMR101 in transgenic mice. In addition, we need to complete pharmacokinetic drug-drug interaction studies in healthy subjects to evaluate the effect of AMR101 on certain other common prescription drugs. We expect to complete all of these studies prior to submitting an NDA for AMR101 in the third quarter of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Lipid Compounds Preclinical Program</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Amarin is also considering development of other next generation compounds based on our internal lipid science expertise, including potential combination and derivative therapies. Currently all such development is in formulative or pre-clinical stages. We believe that AMR101 and other lipid-based compositions have an impact on a number of biological factors in the body such as anti-inflammatory mechanisms, cell membrane composition and plasticity, triglyceride levels and regulation of glucose metabolism.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AMR101</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currently use third party manufacturers and suppliers to manufacture clinical quantities of ethyl-EPA, which constitutes the only pharmaceutically active ingredient of AMR101, to encapsulate, bottle and package AMR101 and to maintain inventory of AMR101. Our existing Japan-based supplier has produced all of the active pharmaceutical ingredients for AMR101 for Amarin’s clinical trials and they have Drug Master Files, or DMFs, which contain information on the processes and facilities used in drug manufacture and storage on file for qualified production of this active ingredient for use in the United States and European Union. Key aspects of this specification include pharmaceutical grade compound at a level of purity of at least 96% EPA and containing no DHA. The main raw material that constitutes ethyl-EPA is a naturally occurring substance which is sourced from fish oil. We are aware that certain other manufacturers have the ability to produce ethyl-EPA to a similar level of purity, and we are in discussions with certain of these suppliers in order to broaden our supply chain beyond a single source. We expect to add additional suppliers during 2011.</w:t>
      </w:r>
    </w:p>
    <w:p>
      <w:pPr>
        <w:spacing w:after="0" w:line="118" w:lineRule="exact"/>
        <w:rPr>
          <w:sz w:val="20"/>
          <w:szCs w:val="20"/>
          <w:color w:val="auto"/>
        </w:rPr>
      </w:pPr>
    </w:p>
    <w:p>
      <w:pPr>
        <w:ind w:right="480" w:firstLine="456"/>
        <w:spacing w:after="0" w:line="305" w:lineRule="auto"/>
        <w:rPr>
          <w:sz w:val="20"/>
          <w:szCs w:val="20"/>
          <w:color w:val="auto"/>
        </w:rPr>
      </w:pPr>
      <w:r>
        <w:rPr>
          <w:rFonts w:ascii="Arial" w:cs="Arial" w:eastAsia="Arial" w:hAnsi="Arial"/>
          <w:sz w:val="15"/>
          <w:szCs w:val="15"/>
          <w:color w:val="auto"/>
        </w:rPr>
        <w:t>In November 2010, Amarin entered into a new Supply Agreement for the supply of ethyl-EPA with its existing Japan-based supplier. This agreement supersedes the previously disclosed supply agreement, including all financial obligations therein, entered into between Amarin and the supplier in February</w:t>
      </w:r>
    </w:p>
    <w:p>
      <w:pPr>
        <w:spacing w:after="0" w:line="286" w:lineRule="auto"/>
        <w:rPr>
          <w:sz w:val="20"/>
          <w:szCs w:val="20"/>
          <w:color w:val="auto"/>
        </w:rPr>
      </w:pPr>
      <w:r>
        <w:rPr>
          <w:rFonts w:ascii="Arial" w:cs="Arial" w:eastAsia="Arial" w:hAnsi="Arial"/>
          <w:sz w:val="16"/>
          <w:szCs w:val="16"/>
          <w:color w:val="auto"/>
        </w:rPr>
        <w:t>2009. The new agreement requires several financial obligations as follows: (1) a non-refundable upfront payment of $0.5 million, which was paid upon execution of the agreement, (2) a milestone payment of $0.5 million payable on the first marketing approval of AMR101 in the United States, and (3) minimum purchase obligations that vary based on pre-NDA submission, 6 month after submission, within 6 months after first marketing approval. Under the agreement, the supplier is responsible for any capital costs required to meet the volume demand of Amarin. If the supplier has expanded its manufacturing capacity in accordance with the agreement, the supplier may terminate the agreement in the event that Amarin does not receive marketing approval for AMR101 in the United States on or before December 31, 2014 or in the event Amarin abandons development of AMR1010 for hypertriglyceridemia in the United States. If terminated, Amarin is required to reimburse the supplier for the costs incurred to expand their facility less any profits paid to the supplier for the purchase of ethyl-EPA by Amarin under the agreement, but in any event, not to exceed $5.0 million. Other termination conditions exist, as defined under the contract, including material breach of contract committed by either party. Unless terminated earlier, in accordance with the terms of the agreement, the agreement shall extend for a period of 10 years from the commencement date after which it may be renewed upon mutual agreement for successive three-year periods.</w:t>
      </w:r>
    </w:p>
    <w:p>
      <w:pPr>
        <w:spacing w:after="0" w:line="12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plan to secure additional supply sources and rely on third parties to manufacture commercial quantities of any products we successfully develop. Among the conditions for FDA approval of a pharmaceutical product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requirement that the manufacturer’s quality control and manufacturing procedures conform to current Good Manufacturing Practice (cGMP), which must be followed at all times. The FDA typically inspects manufacturing facilities on an ongoing basis. In complying with cGMP regulations, pharmaceutical manufacturers must expend resources and time to ensure compliance with product specifications as well as production, record keeping, quality control, reporting, and other requirements. There can be no assurance that additional suppliers will fully-fund the capital costs of our engagement.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Partners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minimal marketing, sales or distribution capabilities. In order to commercialize products that are approved for commercial sale, we must either develop a sales, marketing and distribution infrastructure or collaborate with third parties that have such experience. With respect to AMR101 for cardiovascular indications, we plan to consider partnership opportunities with larger pharmaceutical companies for the launch, marketing and sale of AMR101. We are in active discussions with various pharmaceutical companies regarding their potential partnering with us for the launch, marketing and sale of AMR101. In parallel, we are developing plans which would allow us to launch, market and sell AMR101 in the United States on our own in the event that an appropriate partnership agreement does not materialize. In February 2011, we announced the appointment of Paul Huff as Chief Commercial Officer, responsible for planning the potential commercialization of AMR101, either on our own or via a partner. In connection with Mr. Huff’s appointment, we plan to create a U.S. sales and marketing office in New Jersey.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Product Development Programs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16, 2009, we completed a private placement resulting in gross proceeds of $70.0 million. These proceeds were used primarily to fund the MARINE and ANCHOR studies for AMR101. In connection with this private placement, our board of directors and executive management underwent significant change, and our research and development activities, as well as certain executive functions, were consolidated from multiple offices to our research and development headquarters in the United States. In connection with these changes, we re-focused our efforts on developing improved treatments for cardiovascular disease and ceased development of all product candidates outside of our cardiovascular disease focus. In particular, this decision resulted in our ceasing all direct development of product candidates for Huntington’s disease, Myasthenia gravis and Parkinson’s disease.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2009, we voluntarily withdrew our previously announced European marketing application for AMR101 relating to an Orphan Medicinal Product indication for a subset of Huntington’s disease patients. While the safety profile of AMR101 for Huntington’s disease was encouraging, feedback from European regulatory authorities indicated that at least one additional study of AMR101 was required to establish the efficacy of this product candidate in treating motor symptoms of Huntington’s disease.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Myasthenia gravis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2007, we purchased Ester Neurosciences Ltd (Ester),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2009, in keeping with our decision to re-focus our efforts on developing improved treatments for cardiovascular disease and cease development of all product candidates outside of our cardiovascular disease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focus, we amended the terms of our acquisition agreement with the original shareholders of Ester. Under the terms of this amendment, Amarin was released from all research and development diligence obligations contained in the original agreement and authorized to seek a partner for EN101. The amendment agreement also provided that any future payment obligations payable by Amarin to the former shareholders of Ester would be made only out of income received from potential partners. Under the terms of this amendment agreement, the former Ester shareholders have the option of reacquiring the original share capital of Ester if we are unable to successfully partner EN101. In connection with this amendment agreement, in August 2009 we issued 1,315,789 common shares to the former Ester shareholders. To date, we have been unsuccessful in partnering EN101.</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Parkinson’s disease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Previously we were engaged in the pre-clinical development of AMR103, a novel delivery form of levodopa. The program was part of our development of different types of chemical linkage to attach a range of bioactive lipids either to other lipids or other drugs. This Targeted Lipid Transport Technology, or TLT, platform can result in novel chemical entities, potentially offering substantial and clinically relevant advantages over either compound alone. However, in keeping with our decision to re-focus our efforts on developing improved treatments for cardiovascular disease and cease development of all product candidates outside of our cardiovascular disease focus, we discontinued all further development of AMR103 and the TLT platform.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biotechnology and pharmaceutical industry is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pharmaceutical products, including Lovaza/Omacor, which is marketed in the United States by GlaxoSmithKline, have already received FDA approval to treat hypertriglyceridemia. GlaxoSmithKline has substantially greater resources than we do. We expect GlaxoSmithKline would use these resources to compete against 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are aware of other pharmaceutical companies that are developing products that, if approved, would compete with AMR101. These include a free fatty acid form of omega-3 (comprised of 50-60% EPA and 15-25% DHA) which is being developed by Omthera Pharmaceuticals and expected to initiate Phase III clinical trials in 2011.</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AMR101 will also face competition from dietary supplement companies marketing naturally occurring Omega-3 fatty acids as nutritional supplements.</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See Item 1A “Risk Factors—Even if our products are approved we may not be able to compete effectively against our competitors’ pharmaceutical products” and “Risk Factors—Our current lead product candidate is a prescription-only omega-3 fatty acid. Omega-3 fatty acids are also marketed by other companies as non-prescription dietary supplements. As a result, our lead product candidate, if approved, may be subject to non-Rx competition and consumer substitution.”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product development activities related to AMR101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Our drugs must be approved by the FDA through the NDA process before they may be legally marketed in the United States. For new chemical entities, the pre-clinical development stage generally involves synthesizing the active component, developing the formulation and determining the manufacturing process, as well as carrying out non-human toxicology, pharmacology and drug metabolism studies which support subsequent clinical testing. There is no assurance that we will receive FDA approval for AMR101 or any other product.</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clinical stage of development can generally be divided into Phase I, Phase II and Phase III clinical trials. In Phase I, generally, a small number of healthy volunteers are initially exposed to a single dose and then multiple doses of the product candidate. The primary purpose of these studies is to assess the metabolism, pharmacologic action, side effect tolerability and safety of the drug. Phase II trials typically involve studies in disease-affected patients to determine the dose required to produce the desired benefits. At the same time, safety and further pharmacokinetic and pharmacodynamic information is collected. Phase III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Drug Development</w:t>
      </w:r>
    </w:p>
    <w:p>
      <w:pPr>
        <w:spacing w:after="0" w:line="9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In the U.S.,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start of human clinical studies for a new drug in the U.S.,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I studies typically require less data than larger Phase III studies. A clinical plan must be submitted to the FDA prior to commencement of a clinical trial. If the FDA has concerns about the clinical plan or the safety of the proposed studies, they may suspend or terminate the study at any time. Studies must be conducted in accordance with good clinical practice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We are currently preparing our NDA for submission to the FDA during the third quarter of 2011. FDA approval of an NDA must be obtained before marketing a drug in the United States. In addition, in order to seek approval for a potentially expanded indication, we will be required to have substantially enrolled subjects in a medical “outcomes study” at the time of our NDA submission. We are in the process of defining the clinical trial design for the outcome study. We do not anticipate initiating the outcome study until after the ANCHOR trial is complete. The results of this outcomes study are not required for approval of the indication studied in the ANCHOR trial; the only requirement is that the outcome study is substantially underway.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FDA will likely re-analyze the clinical trial data, which could result in extensive discussions between the FDA and us during the review process. The review and evaluation of applications by the FDA is extensive and time consuming and may take several years to complete. The FDA may conduct a pre-approval inspection of the manufacturing facilities for the new product to determine whether they comply with current good manufacturing practice requirements and may also audit data from clinical and pre-clinical trials.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There is no assurance that the FDA will ultimately approve a drug product for marketing in the U.S. Even if AMR101 or a future product is approved, FDA’s review will be lengthy and we may encounter significant difficulties or costs during the review process. After approving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European Union (E.U.), our future products may also be subject to extensive regulatory requirements. As in the U.S., the marketing of medicinal products has been subject to the granting of marketing authorizations by regulatory agencies. Particular emphasis is also being placed on more sophisticated and faster procedures for reporting of adverse events to the competent authorities.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Similar to the U.S., the various phases of pre-clinical and clinical research in the E.U. are subject to significant regulatory controls. Although the regulatory controls on clinical research are currently undergoing a harmonization process following the adoption of the Clinical Trials Directive 2001/20/EC, there are currently significant variations in the member state regimes. However, all member states currently require independent institutional review board approval of interventional clinical trials. With the exception of U.K. Phase I studies in healthy volunteers, all clinical trials require either prior governmental notification or approval. Most regulators also require the submission of adverse event reports during a study and a copy of the final study report.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the E.U., approval of new medicinal products can be obtained through one of three processes: the mutual recognition procedure, the centralized procedure and the decentralized procedure.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Mutual Recognition Procedure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applicant submits an application in one E.U. member state, known as the reference member state. Once the reference member state has gran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ted the marketing authorization, the applicant may choose to submit applications in other concerned member states, requesting them to mutually recognize the marketing authorizations already granted. Under this mutual recognition process, authorities in other concerned member states have 55 days to raise objections, which must then be resolved by discussions among the concerned member states, the reference member state and the applicant within 90 days of the commencement of the mutual recognition procedure. If any disagreement remains, all considerations by authorities in the concerned member states are suspended and the disagreement is resolved through an arbitration process. The mutual recognition procedure results in separate national marketing authorizations in the reference member state and each concerned member state.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Centralized Procedure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procedure is currently mandatory for products developed by means of a biotechnological process and optional for new active substances and other “innovative medicinal products with novel characteristics.” Under this procedure, an application is submitted to the European Agency for the Evaluation of Medical Products. Two European Union member states are appointed to conduct an initial evaluation of each application. These countries each prepare an assessment report that is then used as the basis of a scientific opinion of the Committee on Proprietary Medical Products. If this opinion is favorable, it is sent to the European Commission, which drafts a decision. After consulting with the member states, the European Commission adopts a decision and grants a marketing authorization, which is valid throughout the European Union and confers the same rights and obligations in each of the member states as a marketing authorization granted by that member state.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Decentralized Procedure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most recently introduced of the three processes for obtaining approval of new medicinal processes in the E.U., the decentralized procedure is similar to the mutual recognition procedure described above, but with differences in the timing that key documents are provided to concerned member states by the reference member state, the overall timing of the procedure and the possibility of “clock stops” during the procedure, among others.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Following approval of a new product, a pharmaceutical company generally must engage in numerous specific monitoring and recordkeeping activities and continue to submit periodic and other reports to the applicable regulatory agencies, including any cases of adverse events and appropriate quality control records. Modifications or enhancements to the products or labeling or changes of site of manufacture are often subject to the approval of the FDA and other regulators, which may or may not be received or may result in a lengthy review process.</w:t>
      </w:r>
    </w:p>
    <w:p>
      <w:pPr>
        <w:spacing w:after="0" w:line="113"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U.S. Federal Food, Drug, and Cosmetic Act.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U.S., once a product is approved, its manufacture is subject to comprehensive and continuing regulation by the FDA. The FDA regulations require that products be manufactured in specific approved facilities and in accordance with current good manufacturing practices, or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discovery of violative conditions, including failure to conform to cGMPs, could result in enforcement actions that interrupt the operation of any such facilities or the ability to distribute products manufactured, processed or tested by them.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Manufacturing, sales, promotion, and other activities following product approval are also subject to regulation by numerous regulatory authorities in addition to the FDA, including, in the U.S.,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the U.S. Medicare-Medicaid Anti-Fraud and Abuse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0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We seek to protect our chemical compounds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 We, or our licensors, file patent applications directed to our key drug candidates in an effort to establish intellectual property positions regarding new chemical entities relating to our product candidates as well as uses of new chemical entities in the treatment of diseases. Our patenting strategy encompasses pursuing patents for compositions, formulations, indications/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uses and combinations with other drugs. Amarin is prosecuting nine patent families in an effort to protect the intellectual property developed during the AMR101 cardiovascular program.</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that patent protection of our technologies, processes and products is important to our future operations. The success of our products may depend, in part, upon our ability to obtain strong patent protection. There can however be no assurance that:</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additional patents will be issued for AMR101 or any other or future products in any or all appropriate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patents that we or our licensees may obtain will not be successfully challenged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technologies, processes or products will not infringe upon the patents of third parties;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any patents will be sufficient to prevent third parties from developing similar products.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strategy is to file patent applications where we think it is appropriate to protect and preserve the proprietary technology and inventions considered significant to our business. We have patents covering our various compounds and their uses. These include filed and granted composition and use patents for the method of treating a number of central nervous system and cardiovascular disorders with highly pure forms of EPA. We currently have no patents that directly apply to the use of AMR101 for hypertriglyceridemia, hyperlipidemia or cardiovascular therapy in the United States or Europe. We are currently prosecuting a number of patent applications in this area, but these applications have not yet resulted in issued patents for AMR101 formulation or its use in treating hypertriglyceridemia, hyperlipidemia or cardiovascular disease, and we cannot be certain whether patents will issue or what commercial value any patents that do issue would have for us. We will also rely upon trade secrets and know-how to retain our competitive position. When deemed appropriate, we intend to vigorously enforce our patent protection and intellectual property rights. We will file patent applications either on a country-by-country basis or by using the European or international patent cooperation treaty systems.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in the U.S., it is possible that those parties will obtain patents that will be sufficiently broad so as to prevent us from utilizing such technology. In addition, we may use unpatented proprietary technology, in which case there would be no assurance that others would not develop similar technology. See Item 1A “Risk Factors—We are dependent on patents, proprietary rights and confidentiality,” and “Risk Factors—Potential technological changes in our field of business create considerable uncertainty”.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 and Marketing Exclusivity</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Depending upon the timing, duration and specifics of FDA approval of the use of AMR101, we believe that some of our U.S. patents may be eligible for a limited patent term extension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extension must be applied for prior to expiration of the patent. The United States Patent and Trademark Office, in consultation with the FDA, reviews and approves the applications for any patent term extension or restoration. In the future, we intend to apply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restorations of patent term for some of our currently owned or licensed patents to add patent life beyond their current expiration date, depending on the expected length of clinical trials and other factors involved in the filing of the relevant NDA.</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Market-exclusivity provisions under the Food, Drug and Cosmetic Act, or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pursue both patent extensions and exclusivity as described above, although there can be no assurance that we will be successful.</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Pediatric exclusivity is another type of exclusivity in the United States. Pediatric exclusivity, if granted, provides an additional six months to an existing exclusivity or a statutory delay in approval resulting from a patent certification. This six-month exclusivity, which runs from the end of other exclusivity protections or patent delay, may be granted based on the voluntary completion of a pediatric study in accordance with an FDA-issued “Written Request” for such a study. If market exclusivity, as described above, is successful, we will consider pursuing pediatric exclusivity, although there can be no assurance that we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December 31, 2010, we had 16 full-time employees employed in general and administrative and research and development functions. We believe our relations with our employees are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we had the following subsidiaries: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Country of</w:t>
            </w:r>
          </w:p>
        </w:tc>
        <w:tc>
          <w:tcPr>
            <w:tcW w:w="110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1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Ownership Interest and</w:t>
            </w:r>
          </w:p>
        </w:tc>
        <w:tc>
          <w:tcPr>
            <w:tcW w:w="0" w:type="dxa"/>
            <w:vAlign w:val="bottom"/>
          </w:tcPr>
          <w:p>
            <w:pPr>
              <w:spacing w:after="0"/>
              <w:rPr>
                <w:sz w:val="1"/>
                <w:szCs w:val="1"/>
                <w:color w:val="auto"/>
              </w:rPr>
            </w:pPr>
          </w:p>
        </w:tc>
      </w:t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29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or Registration</w:t>
            </w:r>
          </w:p>
        </w:tc>
        <w:tc>
          <w:tcPr>
            <w:tcW w:w="110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Voting Power 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2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9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85"/>
              </w:rPr>
              <w:t>United States</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2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Scotland</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Ester Neurosciences Limited</w:t>
            </w:r>
          </w:p>
        </w:tc>
        <w:tc>
          <w:tcPr>
            <w:tcW w:w="29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Israel</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Finance Limited</w:t>
            </w:r>
          </w:p>
        </w:tc>
        <w:tc>
          <w:tcPr>
            <w:tcW w:w="2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920" w:type="dxa"/>
            <w:vAlign w:val="bottom"/>
          </w:tcPr>
          <w:p>
            <w:pPr>
              <w:jc w:val="right"/>
              <w:ind w:right="1512"/>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As of the date of this annual report, our principal operating activities were being conducted by Amarin Corporation plc, together with Amarin Pharmaceuticals Ireland Limited and Amarin Pharma Inc., with little to no activity being conducted by Amarin Neuroscience Limited, Ester Neurosciences Limited or Amarin Finance Limited.</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principal research and development facility and certain of our executive offices are located at 12 Roosevelt Avenue, 3</w:t>
      </w:r>
      <w:r>
        <w:rPr>
          <w:rFonts w:ascii="Arial" w:cs="Arial" w:eastAsia="Arial" w:hAnsi="Arial"/>
          <w:sz w:val="11"/>
          <w:szCs w:val="11"/>
          <w:color w:val="auto"/>
        </w:rPr>
        <w:t>rd</w:t>
      </w:r>
      <w:r>
        <w:rPr>
          <w:rFonts w:ascii="Arial" w:cs="Arial" w:eastAsia="Arial" w:hAnsi="Arial"/>
          <w:sz w:val="18"/>
          <w:szCs w:val="18"/>
          <w:color w:val="auto"/>
        </w:rPr>
        <w:t xml:space="preserve"> Floor, Mystic, CT 06355, USA. Our telephone number in the United States is (860) 572-4979 and our website address is </w:t>
      </w:r>
      <w:r>
        <w:rPr>
          <w:rFonts w:ascii="Arial" w:cs="Arial" w:eastAsia="Arial" w:hAnsi="Arial"/>
          <w:sz w:val="18"/>
          <w:szCs w:val="18"/>
          <w:i w:val="1"/>
          <w:iCs w:val="1"/>
          <w:u w:val="single" w:color="auto"/>
          <w:color w:val="auto"/>
        </w:rPr>
        <w:t>www.amarincorp.com</w:t>
      </w:r>
      <w:r>
        <w:rPr>
          <w:rFonts w:ascii="Arial" w:cs="Arial" w:eastAsia="Arial" w:hAnsi="Arial"/>
          <w:sz w:val="18"/>
          <w:szCs w:val="18"/>
          <w:i w:val="1"/>
          <w:iCs w:val="1"/>
          <w:color w:val="auto"/>
        </w:rPr>
        <w:t>.</w:t>
      </w:r>
      <w:r>
        <w:rPr>
          <w:rFonts w:ascii="Arial" w:cs="Arial" w:eastAsia="Arial" w:hAnsi="Arial"/>
          <w:sz w:val="18"/>
          <w:szCs w:val="18"/>
          <w:color w:val="auto"/>
        </w:rPr>
        <w:t xml:space="preserve"> No information contained on, or accessible through, our website is incorporated by reference into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You are advised to read this Annual Report on Form 10-K in conjunction with other reports and documents that we file from time to time with the Securities and Exchange Commission, or SEC. You may obtain copies of these reports after the date of this annual report directly from us or from the SEC at the SEC’s Public Reference Room at 100 F Street, N.E. Washington, D.C. 20549. In addition, the SEC maintains information for electronic filers (including Amarin) at its website at www.sec.gov.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regulatory filings and commercialization activities,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losses and anticipate that we will incur continued losses for the foreseeable future.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2010, 2009 and 2008, we reported losses of approximately $249.6 million, $30.6 million and $18.5 million, respectively. Substantially all of our operating losses resulted from costs incurred in connection with our research and development programs, from general and administrative costs associated with our operations, and from non-cash losses on changes in the fair value of warrant derivative liabilities. We expect to incur additional and increasing operating losses over the next several years. These losses, combined with expected future losses, have had and will continue to have an adverse effect on our cash resources, stockholders’ (deficit) equity and working capital. We expect our research and development expenses to significantly increase in connection with our ongoing Phase III clinical trials for AMR101 and other studies for our product candidates. In addition, if we obtain regulatory approval for any of our product candidates, we may incur significant sales, marketing,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in-licensing and outsourced manufacturing expenses, as well as continued research and development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 profitable.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 Unless and until marketing approval is obtained from either the FDA or European Medicines Evaluation Agency, which we refer to as the EMEA, for any of our product candidates, or we are otherwise able to acquire rights to products or product candidates that have received regulatory approval or are at an advanced stage of development and can be readily commercialized, we may not be able to generate sufficient revenues to attain profitability. In addition, our ability to generate profits after any FDA or EMEA approval of our product candidates is subject to our ability to contract for the manufacture of commercial quantities of our product candidates at acceptable cost levels and establish sales and marketing capabilities or identify and enter into one or more strategic collaborations to effectively market and sell our product candidates.</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Even if one of our product candidates is approved for commercial sale, any approved product candidate may not gain market acceptance or achieve commercial success. In addition, we would anticipate incurring significant costs associated with commercializing any approved product. We may not achieve profitability soon after generating product sales, if ever. If we are unable to generate product revenues, we will not become profitable and may be unable to continue operations without continued funding.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generate revenues depends on obtaining regulatory approvals for our products.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successfully commercialize a product, we or our potential partners will be required to conduct tests and successfully complete clinical trials needed in order to meet regulatory requirements and to obtain applicable regulatory approvals. The costs of developing and obtaining regulatory approvals for pharmaceutical products can be substantial. Our ability to commercialize any of our products in development is dependent upon the success of development efforts in clinical studies. If these clinical trials fail to produce satisfactory results, or if we are unable to maintain the financial and operational capability to complete these development efforts, we may be unable to generate revenues. Even if we obtain regulatory approvals, the timing or scope of any approvals may prohibit or reduce our ability to commercialize products successfully. For example, if the approval process takes too long, we may miss market opportunities and give other companies the ability to develop competing products or establish market dominance. Additionally, the terms of any approvals may not have the scope or breadth needed for us to commercialize products successfully.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consequence of our decision in 2009 to focus on product development for cardiovascular indications and the discontinuation of development work related to other product candidates, our historical financial results do not form an accurate basis upon which investors should base their assessment of our business and prospects. We are now completing Phase III clinical trials for AMR101 and therefore, our research and development expenses associated with these trials will decrease in 2011, however, if we elect to conduct an outcomes study, our clinical trial costs could increase substantially from current levels. Accordingly, our historical financial results reflect a substantially different business from that currently being conducted. In addition, we have not yet demonstrated an ability to obtain regulatory approval for or commercialize a product candidate. Consequently, any predictions about our future performance may not be as accurate as they could be if we had a history of successfully developing and commercializing pharmaceutical products.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9"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and to develop our product candidates. If we cannot find additional capital resources, we will have difficulty in operating as a going concern and growing our business.</w:t>
      </w:r>
    </w:p>
    <w:p>
      <w:pPr>
        <w:spacing w:after="0" w:line="51"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currently operate with limited resources. On December 31, 2010, we had a cash balance of approximately $31.4 million. In January 2011, we completed an equity offering from which we received approximately $98.7 million in net proceeds. Based upon current business activities and existing cash resources, we forecast having sufficient cash to enable us to file an NDA requesting approval to market and sell AMR101 and to prepare for the commercialization of, but potentially not to commercialize, AMR101. Our future capital requirements will depend on many factors, including the:</w:t>
      </w:r>
    </w:p>
    <w:p>
      <w:pPr>
        <w:spacing w:after="0" w:line="3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progress of pre-clinical development and laboratory testing and clinical trials, including outcome study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 and costs involved in obtaining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product candidates we pursue;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involved in filing and prosecuting patent applications and enforcing or defending patent claims; and</w:t>
      </w:r>
    </w:p>
    <w:p>
      <w:pPr>
        <w:spacing w:after="0" w:line="90"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costs associated with commercializing our product candidates if they receive regulatory approval, including the cost and timing of developing sales and marketing capabilities, or entering into strategic collaboration with others relating to the commercialization of our product candidates.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ability to execute our business strategy and sustain our infrastructure at our currently planned levels will be impacted by whether or not we have sufficient funds. Depending on market conditions and our ability to maintain financial stability, we may not have access to additional funds on reasonable terms or at all. Any inability to obtain additional funds when needed would have a material adverse effect on our business and on our ability to operate on an ongoing basis.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continued negative economic conditions would likely negatively impact Amarin’s ability to obtain financing on acceptable terms.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While we expect to seek additional funding through public or private financings, we may not be able to obtain financing on acceptable terms, or at all. In addition, the terms of any financings may be dilutive to, or otherwise adversely affect, holders of our outstanding securities. There can be no assurance that we will be able to access equity or credit markets in order to finance our current operations or expand development programs for any of our product candidates,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require us to relinquish rights.</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2010, there were warrants outstanding for the purchase of up to 34,024,132 American Depository Shares, or ADSs, each representing one of our ordinary shares, with a weighted average exercise price of $1.50 per share. We may issue additional warrants to purchase ADSs or ordinary shares in connection with any future financing we may conduct. Further, as of December 31, 2010 we also had outstanding stock options to purchase 10,027,584 ADSs at an average exercise price of $2.69 per share. The exercise of any of these options or warrants will further dilute your ownership interest.</w:t>
      </w:r>
    </w:p>
    <w:p>
      <w:pPr>
        <w:spacing w:after="0" w:line="11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or product candidates, or grant licenses on terms that are not favorable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96"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inability to manufacture sufficient quantities of qualified materials under current good manufacturing practices for use in clinical trials;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Similarly, positive results from studies in Japan of the active ingredient in AMR101 may not result in the same success in trials outside of Japan.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AMR101 Phase III clinical trials for the treatment of Huntington’s disease were negative, as a result of which we revised our clinical strategy and shifted our focus of AMR101 towards the treatment of cardiovascular disease.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approvals that are obtained may be limited in scope, may require additional post-approval studies or may require the addition of labeling statements, such as a contraindication or a “black box” warning that the drug carries significant risks of serious or life-threatening adverse effects or other requirements.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manufacturer may result in restrictions on that product or manufacturer, including withdrawal of the product from the market, which would have a negative impact on our potential revenue stream.</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Although our two Phase 3 clinical trials are the subject of SPAs with FDA, there can be no assurance that AMR101 will be approved by FDA, even if the results from these clinical trials are positive.</w:t>
      </w:r>
    </w:p>
    <w:p>
      <w:pPr>
        <w:spacing w:after="0" w:line="5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MARINE trial was conducted under a Special Protocol Assessment, or SPA, with the U.S. Food and Drug Administration, or FDA. The ANCHOR trial is currently being conducted under a separate SPA. An SPA is an evaluation by the FDA of a protocol with the goal of reaching an agreement that the Phase</w:t>
      </w:r>
    </w:p>
    <w:p>
      <w:pPr>
        <w:ind w:right="20" w:firstLine="8"/>
        <w:spacing w:after="0" w:line="290" w:lineRule="auto"/>
        <w:tabs>
          <w:tab w:leader="none" w:pos="219" w:val="left"/>
        </w:tabs>
        <w:numPr>
          <w:ilvl w:val="0"/>
          <w:numId w:val="9"/>
        </w:numPr>
        <w:rPr>
          <w:rFonts w:ascii="Arial" w:cs="Arial" w:eastAsia="Arial" w:hAnsi="Arial"/>
          <w:sz w:val="16"/>
          <w:szCs w:val="16"/>
          <w:color w:val="auto"/>
        </w:rPr>
      </w:pPr>
      <w:r>
        <w:rPr>
          <w:rFonts w:ascii="Arial" w:cs="Arial" w:eastAsia="Arial" w:hAnsi="Arial"/>
          <w:sz w:val="16"/>
          <w:szCs w:val="16"/>
          <w:color w:val="auto"/>
        </w:rPr>
        <w:t>trial protocol design, clinical endpoints, and statistical analyses are acceptable to support regulatory approval. The FDA agreed that, based on the information we submitted to the agency, the design and planned analysis of the MARINE and ANCHOR trials adequately address the objectives necessary to support a regulatory submission. An SPA is generally binding upon the FDA unless a substantial scientific issue essential to determining safety or efficacy is identified after the testing begins. Although we are not aware of any such issue, there is no assurance that the FDA will ultimately consider either of our SPA</w:t>
      </w:r>
      <w:r>
        <w:rPr>
          <w:rFonts w:ascii="Arial" w:cs="Arial" w:eastAsia="Arial" w:hAnsi="Arial"/>
          <w:sz w:val="16"/>
          <w:szCs w:val="16"/>
          <w:b w:val="1"/>
          <w:bCs w:val="1"/>
          <w:color w:val="auto"/>
        </w:rPr>
        <w:t>s</w:t>
      </w:r>
      <w:r>
        <w:rPr>
          <w:rFonts w:ascii="Arial" w:cs="Arial" w:eastAsia="Arial" w:hAnsi="Arial"/>
          <w:sz w:val="16"/>
          <w:szCs w:val="16"/>
          <w:color w:val="auto"/>
        </w:rPr>
        <w:t xml:space="preserve"> to be binding. Moreover, any change to a study protocol can invalidate an SPA. If FDA does not consider either of the SPAs to be binding, the agency could assert that additional studies or data are required to support a regulatory submission.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approved, our products will be subject to extensive post-approval government regulation.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Once a product is approved,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With respect to sales and marketing activities by our partners, advertising and promotional materials must comply with FDA rules in addition to other potentially applicable federal and local laws in the United States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other countries.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Application holders must obtain FDA approval for product and manufacturing changes, depending on the nature of the change. Sales, marketing, and scientific/educational grant programs must also comply with the U.S. Medicare-Medicaid Anti-Fraud and Abuse Act, as amended, the U.S. False Claims Act, as amended and similar state laws. Pricing and rebate programs must comply with the U.S. Medicaid rebate requirements of the Omnibus Budget Reconciliation Act of 1990, as amended. If products are made available to authorized users of the U.S. Federal Supply Schedule of the General Services Administration, additional laws and requirements apply. All of these activities are also potentially subject to U.S. federal and state consumer protection and unfair competition laws. Similar requirements exist in all of these areas in other countries.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reimbursement under applicable third party payment and insurance programs.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dependent upon the success of a limited range of products.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development efforts for our products are not successful for any indications or if they are not approved by the FDA, or if adequate demand for our products is not generated, our business will be materially and adversely affected. Even if we are able to develop additional products from our research and development efforts, the range of products we will be able to commercialize may be limited. This could restrict our ability to respond to adverse business conditions. If we are not successful in developing any future product or products, or if there is not adequate demand for any such products or the market for such product develops less rapidly than we anticipate, we may not have the ability to shift our resources to the development of alternative products. As a result, the limited range of products we intend to develop could constrain our ability to generate revenues and achieve profitability.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 if our products are approved, we may not be able to compete effectively against our competitors’ pharmaceutical products.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pharmaceutical industry is highly competitive. If we are successful in completing the development of any of our products, we may face competition to the extent other pharmaceutical companies have on the market or are able to develop products for the treatment of similar indications. Potential competitors in this market include companies with greater resources and name recognition than we have. Furthermore, to the extent we are able to acquire or develop additional marketable products in the future, such products will compete with a variety of other products within the United States or elsewhere, possibly including established drugs and major brand names.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which currently markets Lovaza, a prescription-only omega-3 fatty acid indicated for patients with very high triglycerides, and Abbott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Laboratories, which currently markets Tricor and Trilipix for the treatment of very high triglycerides and mixed dyslipidemia. In addition, we may compete with universities and other institutions involved in the development of technologies and products that may compete with ours. Many of our competitors will likely have greater resources than we do, including financial, product development, marketing, personnel and other resources. Our projected revenue streams for our product candidates, if approved, could be significantly eroded if a competing product obtains marketing approval, particularly if this approval is obtained before the approval of our product candidate.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success of our future products will also depend in large part on the willingness of physicians to prescribe these products to their patients. Our future products may compete against products that have achieved broad recognition and acceptance among medical professionals. In order to achieve an acceptable level of prescriptions for our future products, we must be able to meet the needs of both the medical community and end users with respect to cost, efficacy and other factors.</w:t>
      </w:r>
    </w:p>
    <w:p>
      <w:pPr>
        <w:spacing w:after="0" w:line="224" w:lineRule="exact"/>
        <w:rPr>
          <w:sz w:val="20"/>
          <w:szCs w:val="20"/>
          <w:color w:val="auto"/>
        </w:rPr>
      </w:pPr>
    </w:p>
    <w:p>
      <w:pPr>
        <w:ind w:left="240" w:right="480"/>
        <w:spacing w:after="0" w:line="259" w:lineRule="auto"/>
        <w:rPr>
          <w:sz w:val="20"/>
          <w:szCs w:val="20"/>
          <w:color w:val="auto"/>
        </w:rPr>
      </w:pPr>
      <w:r>
        <w:rPr>
          <w:rFonts w:ascii="Arial" w:cs="Arial" w:eastAsia="Arial" w:hAnsi="Arial"/>
          <w:sz w:val="18"/>
          <w:szCs w:val="18"/>
          <w:b w:val="1"/>
          <w:bCs w:val="1"/>
          <w:i w:val="1"/>
          <w:iCs w:val="1"/>
          <w:color w:val="auto"/>
        </w:rPr>
        <w:t>Our current lead product candidate is a prescription-only omega-3 fatty acid. Omega-3 fatty acids are also marketed by other companies as non-prescription dietary supplements. As a result, our lead product candidate, if approved, may be subject to non-prescription competition and consumer substitution.</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current lead product candidate, AMR101, is a prescription-only omega-3 fatty acid. Omega-3 fatty acids are naturally occurring substances in various foods, including fatty fish. Omega-3 fatty acids are also marketed by others as non-prescription dietary supplements. We believe the pharmaceutical grade purity of AMR101, if approved, will have a superior therapeutic profile to naturally occurring omega-3 fatty acids and dietary supplements. However, we cannot be sure physicians will view AMR101, if approved, as superior. To the extent the price of AMR101, if approved, is significantly higher than the prices of commercially available omega-3 fatty acids marketed by other companies as dietary supplements, physicians may recommend these commercial alternatives instead of writing prescriptions for AMR101 or patients may elect on their own to take commercially available omega-3 fatty acids. Either of these outcomes may adversely impact our results of operations by limiting how we price our product.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 order to commercialize any future product that is approved for marketing, we may need to find a collaborative partner to help with marketing and sales.</w:t>
      </w:r>
    </w:p>
    <w:p>
      <w:pPr>
        <w:spacing w:after="0" w:line="12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strategy for commercializing currently anticipates that we will enter into collaborative arrangements with one or more pharmaceutical companies that have product development resources and expertise, established distribution systems and direct sales forces to successfully market our products. If so, we will be reliant on one or more of these strategic partners to generate revenue on our behalf. In the event that we are not successful in finding a suitable partner, we may choose to commercialize AMR101 ourselves. This would require that we build a substantial commercialization infrastructure in order to compete with larger companies with established marketing and sales capabilities.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not be successful in finding a collaborative partner to help market and sell our products, or may be delayed in doing so, in which case we would not receive revenue or royalties on the timeframe and to the extent that we currently anticipate. We face significant competition in seeking appropriate collaborators and these collaborations are complex and time-consuming to negotiate and document. We may not be able to negotiate collaborations on acceptable terms, or at all.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cannot raise sufficient funds, we will not be able to bring our product candidates to market and generate product revenue.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For example, in October 2009, we announced our heightened strategic and operating focus on cardiovascular disease and our cessation of research and development of product candidates to treat central nervous system disorders. Subsequent to October 2009, we did not receive any acceptable offers to acquire, out-license or otherwise continue the development of any of these product candidates to treat central nervous system disorders.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biopharmaceutical products for the treatment of cardiovascular diseases. We cannot assure you that unforeseen problems will not develop with these technologies or applications or that any commercially feasible products will ultimately be developed by us.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2005, we had commercial revenue and remain subject to the potential risk of product liability claims relating to the manufacturing and marketing of our former products during the period prior to their divestiture. Any person who is injured as a result of using one of our former products during our period of ownership may have a product liability claim against us without having to prove that we were at fault.</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product liability claims as a result of our prior sales and marketing activities related to Permax.</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Amarin was responsible for the sales and marketing of Permax</w:t>
      </w:r>
      <w:r>
        <w:rPr>
          <w:rFonts w:ascii="Arial" w:cs="Arial" w:eastAsia="Arial" w:hAnsi="Arial"/>
          <w:sz w:val="11"/>
          <w:szCs w:val="11"/>
          <w:color w:val="auto"/>
        </w:rPr>
        <w:t>®</w:t>
      </w:r>
      <w:r>
        <w:rPr>
          <w:rFonts w:ascii="Arial" w:cs="Arial" w:eastAsia="Arial" w:hAnsi="Arial"/>
          <w:sz w:val="18"/>
          <w:szCs w:val="18"/>
          <w:color w:val="auto"/>
        </w:rPr>
        <w:t xml:space="preserve"> (pergolide mesylate), as an adjunctive treatment for Parkinson’s disease, from May 2001 until February 2004. On May 17, 2001, Amarin acquired the U.S. sales and marketing rights to Permax from Elan Corporation, or Elan. An affiliate of Elan had previously obtained the licensing rights to Permax from Eli Lilly and Company in 1993. Eli Lilly originally obtained approval for Permax on December 30, 1988, and has been responsible for the manufacture and supply of Permax since that date. On February 25, 2004, Amarin sold its U.S. subsidiary, Amarin Pharmaceuticals, Inc., including the rights to Permax, to Valeant.</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March 29, 2007, the FDA announced that the manufacturers of pergolide drug products would voluntarily remove these drug products, including Permax, from the market because of the risk of serious damage to patients’ heart valves. Further information about the removal of Permax and other pergolide drug products is available on the FDA’s website.</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Six cases alleging claims related to cardiac valvulopathy and Permax were filed in April 2008 in the United States and currently remain pending. Eli Lilly, Valeant, Amarin Pharmaceuticals (sold to Valeant in 2004 as described above) and unidentified parties are named as defendants in these cases and are defending against the claims and allegations. Based on our review of the online docket reports for these cases, all six appear to be in some stage of settlement, although it's not clear which, if any, have been dismissed or remain pending. To date, Amarin has not been named as a defendant or served with the complaints from these cases.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reliance on these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supply of products for clinical trials and ultimately for commercial supply is dependent upon relationships with manufacturers and key suppliers.</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 in-house manufacturing capacity and, to the extent we are successful in completing the development of our product candidates and/or acquiring or developing other marketable products in the future, we will be obliged to rely on contract manufacturers. We cannot assure you that we will successfully manufacture any product we may develop, either independently or under manufacturing arrangements, if any, with third party manufacturers. Moreover, if any manufacturer should cease doing business with us or experience delays, shortages of supply or excessive demands on their capacity, we may not be able to obtain adequate quantities of product in a timely manner, or at all. Manufacturers, and in certain situations their suppliers, are required to comply with current NDA commitments and good manufacturing practices requirements enforced by the FDA, and similar requirements of other countries. The failure by a manufacturer to comply with these requirements could affect its ability to provide us with product.</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this single supplier were unable to supply us with adequate supply of ethyl-EPA it could have a material adverse affect on our ability to commercialize AMR101.</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past and currently, we purchase all supplies of the bulk compound (ethyl-EPA), which constitutes the only pharmaceutically active ingredient of AMR101, from a single supplier with a single manufacturing facility located in Japan. While we have contractual freedom to source this ingredient elsewhere, our agreement with our current supplier includes minimum purchase obligations. Moreover, there is no guarantee we will either be successful in identifying alternative supplier(s) or that these manufacturers will be qualified to manufacture the product to our specifications or that such future supplier(s) will have the manufacturing capacity to meet future requirements. All such suppliers are subject to regulatory approval. We cannot assure you that any alternative supplier will have the necessary capacity to meet our requirements or that we can contract with any such manufacturer on acceptable terms or that any such alternative supplier will not require capital investment from us in order for them to meet our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currently have the capability to undertake marketing or sales of any potential products.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invested very little in marketing or product sales resources. We cannot assure you that we will be able to acquire such resources. We cannot assure you that we will successfully market any product we may develop, either independently or under marketing arrangements, if any, with other companies. To the extent that we enter into contractual relationships with other companies to market our products, if any, the success of such products may depend on the success of securing and maintaining such contractual relationships and the efforts of those other companies (and any subcontractors they engage).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limited personnel to oversee outsourced contract manufacturing, clinical testing and the regulatory approval process.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likely that we will also need to hire additional personnel skilled in the manufacturing, clinical testing and regulatory compliance process if we develop additional product candidates with commercial potential. We do not currently have the capability to conduct clinical testing in-house and do not currently have plans to develop such a capability. We outsource our clinical testing to contract research organizations. We currently have a limited number of employees and certain other outside consultants who oversee the contract research organizations involved in clinical testing of our compounds.</w:t>
      </w:r>
    </w:p>
    <w:p>
      <w:pPr>
        <w:spacing w:after="0" w:line="194"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Legislative or regulatory reform of the health care system in the United States and foreign jurisdictions may affect our ability to profitably sell our products, if approved.</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Congress has passed America’s Affordable Health Choices Act of 2009 and is considering a number of proposals that are intended to reduce or limit the growth of health care costs and which could significantly transform the market for pharmaceuticals products. We expect further federal and state proposals and health care reforms to continue to be proposed by legislators, which could limit the prices that can be charged for the products we develop and may limit our commercial opportunity. In the United States, the Medicare Prescription Drug, Improvement, and Modernization Act of 2003, also called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provided authority for limiting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continuing efforts of government and other third-party payors to contain or reduce the costs of health care through various means may limit our commercial opportunity. It will be time consuming and expensive for us to go through the process of seeking reimbursement from Medicare and private payors. Our products may not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the MMA and additional prescription drug coverage legislation, by the possible effect of this legislation on amounts that private insurers will pay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six to 12 months or longer after the receipt of regulatory marketing approval for a product. To obtain reimbursement or pricing approval in some countries, we may be required to conduct a clinical study that compares the cost-effectiveness of our product candidates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and maintain patent protection or market exclusivity for our current and acquired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currently have no issued patents that directly apply to the use of AMR101 for hypertriglyceridemia, hyperlipidemia or cardiovascular therapy in the U.S. or Europe. We are currently prosecuting a number of patent applications in this area, but these applications have not yet resulted in issued patents for AMR101 formulation or its use in treating hypertriglyceridemia, hyperlipidemia or cardiovascular disease, and we cannot be certain whether patents will issue or what commercial value any patents that do issue would have for us.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in the future discover the existence of products that infringe upon patents that we own or that have been licensed to us. Although we intend to protect our trade secrets and proprietary know-how through confidentiality agreements with our manufacturers, employees and consultants, we may not be able to prevent our competitors from breaching these agreements or third parties from independently developing or learning of our trade secrets.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challenge patent applications or existing patents to delay the approval process, even if the challenge has little or no merit. Patent challenges are generally highly technical, time consuming and expensive to pursue. Were we to be subject to one or more patent challenges, that effort could consume substantial time and resources, with no assurances of success, even when holding an issued patent.</w:t>
      </w:r>
    </w:p>
    <w:p>
      <w:pPr>
        <w:spacing w:after="0" w:line="194"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to extend our patents and to obtain market exclusivity for our product candidates, our business may be materially harmed.</w:t>
      </w:r>
    </w:p>
    <w:p>
      <w:pPr>
        <w:spacing w:after="0" w:line="51"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We believe that the AMR101 compound is a new chemical entity in the United States and may be eligible for market exclusivity under the Food Drug and Cosmetic Act, or FDCA, as amended by the Drug Price Competition and Patent Term Restoration Act of 1984, or the Hatch-Waxman Amendments. A drug can be classified as a new chemical entity if the FDA has not previously approved any other new drug containing the same active agent. Under sections 505(c)(3)(E)</w:t>
      </w:r>
    </w:p>
    <w:p>
      <w:pPr>
        <w:spacing w:after="0" w:line="1" w:lineRule="exact"/>
        <w:rPr>
          <w:sz w:val="20"/>
          <w:szCs w:val="20"/>
          <w:color w:val="auto"/>
        </w:rPr>
      </w:pPr>
    </w:p>
    <w:p>
      <w:pPr>
        <w:ind w:right="80" w:firstLine="8"/>
        <w:spacing w:after="0" w:line="287"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and 505(j)(5)(F)(ii) of the FDCA, as amended by the Hatch-Waxman Amendments, a new chemical entity that is granted regulatory approval may, in the absence of patent protections, be eligible for five years of marketing exclusivity in the United States following regulatory approval. This marketing exclusivity, if granted, would preclude approval during the exclusivity period of certain 505(b)(2) applications or certain abbreviated new drug applications submitted by another company for another version of the drug. However, there is no assurance that our compounds will be considered to be new chemical entities for these purposes or be entitled to the period of marketing exclusivity. If we are not able to gain or exploit the period of marketing exclusivity, we may face significant competitive threats to our commercialization of these compounds from other manufacturers, including the manufacturers of generic alternatives. Further, even if our compounds are considered to be new chemical entities and we are able to gain five years of marketing exclusivity, another company could also gain such marketing exclusivity under the provisions of the FDCA, as amended by the Hatch-Waxman Amendments, if such company can complete a full NDA with a complete human clinical trial process and obtain regulatory approval of its product.</w:t>
      </w:r>
    </w:p>
    <w:p>
      <w:pPr>
        <w:spacing w:after="0" w:line="20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lost our foreign private issuer status, which will result in significant additional costs and expenses.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Until January 1, 2011, we were a “foreign private issuer,” as such term is defined in Rule 405 under the U.S. Securities Act of 1933, as amended. As such, we were exempt from certain provisions applicable to U.S. public companies including:</w:t>
      </w:r>
    </w:p>
    <w:p>
      <w:pPr>
        <w:spacing w:after="0" w:line="51" w:lineRule="exact"/>
        <w:rPr>
          <w:sz w:val="20"/>
          <w:szCs w:val="20"/>
          <w:color w:val="auto"/>
        </w:rPr>
      </w:pPr>
    </w:p>
    <w:p>
      <w:pPr>
        <w:ind w:left="900" w:right="2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rules under the Securities Exchange Act of 1934, as amended, or Exchange Act, requiring the filing with the SEC of quarterly reports on Form 10-Q and current reports on Form 8-K;</w:t>
      </w:r>
    </w:p>
    <w:p>
      <w:pPr>
        <w:spacing w:after="0" w:line="5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provisions of Regulation FD aimed at preventing issuers from making selective disclosures of material information;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establishing insider liability for profits realized from any “short-swing” trading transaction (a purchase and sale, or sale and purchase, of the issuer’s equity securities within less than six months).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conducted the test for whether or not we were able to remain a foreign private issuer on June 30, 2010 and we determined that we would lose our status as a foreign private issuer effective as of January 1, 2011.</w:t>
      </w:r>
    </w:p>
    <w:p>
      <w:pPr>
        <w:spacing w:after="0" w:line="132"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regulatory and compliance costs to us under U.S. securities laws as a U.S. domestic issuer will be significantly more than costs we incur as a foreign private issuer. In addition to having to make the above described filings with the U.S. Securities and Exchange Commission, which are more detailed than forms typically filed by a foreign private issuer, we lost our ability to rely upon exemptions from certain corporate governance requirements and we are now required to prepare our financial statements in accordance with U.S. generally accepted accounting principles.</w:t>
      </w:r>
    </w:p>
    <w:p>
      <w:pPr>
        <w:spacing w:after="0" w:line="194"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previously applicable, as well as of newly applicable, provisions of the Sarbanes-Oxley Act of 2002, and our management will be required to devote substantial time to new compliance initiatives.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controls for financial reporting and disclosure. In particular, we perform system and process evaluation and testing of our internal controls over financial reporting and, commencing in fiscal 2010 and continuing in subsequent years, our independent registered public accounting firm reports on the effectiveness of our internal controls over financial reporting, as required by Section 404 of the Sarbanes-Oxley Act of 2002. Based on this evaluation and testing, our management identified a material weakness in internal control over financial reporting as of December 31, 2009 which persisted on December 31, 2010. Our testing, or the subsequent testing by our independent registered public accounting firm, may reveal deficiencies in our internal controls over financial reporting that are deemed to be new material weaknesses or the existing material weakness may not be fully remediated. We expect to incur significant expense and devote substantial management effort toward ensuring compliance with Section 404. We currently do not have an internal audit function, and we will need to hire additional accounting and financial staff with appropriate public company experience and technical accounting knowledge. Moreover, the existence of the identified material weakness or the identification by us or our independent registered public accounting firm of deficiencies in our internal controls that are deemed to be additional material weaknesses could cause the market price of our stock to decline, and we could be subject to sanctions or investigations by the NASDAQ Stock Market, the SEC or other regulatory authorities, which would entail expenditure of additional financial and management resources.</w:t>
      </w:r>
    </w:p>
    <w:p>
      <w:pPr>
        <w:spacing w:after="0" w:line="205"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in the past and cannot assure you that material weaknesses will not occur in the future.</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part of the annual financial statement review under International Financial Reporting Standards for the period ended December 31, 2009, management concluded that as of December 31, 2009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Accordingly, management determined that this control deficiency constituted a material weakness. During 2010, we did not engage in any new non-routine transactions. Nevertheless, based on management’s evaluation of our internal control over financial reporting as of December 31, 2010, management determined that this material weakness in our internal control over financial reporting remained.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we are incorporated in England and Wales, we have sought to conduct our affairs in such a way so as to be resident in Ireland for tax purposes. In general, under current Irish legislation, a company is regarded as resident for tax purposes in Ireland if it is centrally managed and controlled in Ireland, or, in certain circumstances, if it is incorporated in Ireland. Trading income of an Irish company is generally taxable at the Irish corporation tax rate of 12.5%. Non-trading income of an Irish company (e.g. interest income, rental income or other passive income), is taxable at a rate of 25%.</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However, we cannot assure you that this will be the case.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January 31, 2011 we had 124,360,252 common shares outstanding. As of January 31, 2011 there were 124,011,453 shares held as ADSs and 348,799 held as common shares (which are not held in the form of ADSs). We issued 66.4 million ADSs and warrants to purchase an additional 33.2 million ADSs in our October 2009 private placement.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particularly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announcement of new products or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52"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Our directors, management and affiliated investment funds exercise significant control over our company, which will limit your ability to influence corporate matters.</w:t>
      </w:r>
    </w:p>
    <w:p>
      <w:pPr>
        <w:spacing w:after="0" w:line="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March 7, 2011 our executive officers, directors and affiliated investment funds collectively control approximately 28% of our outstanding ADSs, excluding any ADSs that such persons may have the right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acquire upon exercise of outstanding options or warrants. As a result, these stockholders, if they act together, will be able to influence our management and affairs and all matters requiring stockholder approval, including the election of directors and approval of significant corporate transactions.</w:t>
      </w:r>
    </w:p>
    <w:p>
      <w:pPr>
        <w:spacing w:after="0" w:line="8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addition, we entered into an agreement with various participants in the October 2009 private placement under which investment funds affiliated with Orbimed Advisors LLC, Sofinnova Ventures, Fountain Healthcare Partners and Abingworth LLP have the ability to designate persons for Amarin to nominate to its Board of Directors and the other participants have given these investments funds a proxy to vote their securities in favor of these nominees. Amarin has agreed to nominate one (1) designee of investment funds affiliated with each of Orbimed Advisors LLC, Sofinnova Ventures and Fountain Healthcare Partners to its Board of Directors for so long as such funds beneficially own at least fifty percent (50%) of the ADSs it purchased in the October 2009 private placement.</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Dr. Carl L. Gordon, Dr. James I. Healy and Dr. Manus Rogan were respectively designated by these investment funds pursuant to this arrangement. Investment funds affiliated with Orbimed Advisors LLC, Sofinnova Ventures and Fountain Healthcare Partners also have the right to designate two (2) additional independent directors for Amarin to nominate to its Board of Directors for so long as these funds collectively own at least twenty-five percent (25%) of Amarin’s outstanding voting securities. In addition, Amarin has agreed to nominate one (1) designee of investment funds affiliated with Abingworth LLP to its Board of Directors for so long as such funds beneficially own at least five percent (5%) of Amarin’s outstanding voting securities. Dr. Joseph Anderson was designated by investment funds affiliated with Abingworth LLP under this arrangement.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concentration of ownership and the above-described arrangement may have the effect of delaying or preventing a change in control of our company that other stockholders may desire and might negatively affect the market price of our common stock.</w:t>
      </w:r>
    </w:p>
    <w:p>
      <w:pPr>
        <w:spacing w:after="0" w:line="213"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stock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guidelines specified under Rule 10b5-1 of the Securities and Exchange Act of 1934 and our policies regarding stock transactions, a number of our directors and employees, including members of our senior management team, have adopted and will continue to adopt pre-arranged stock trading plans to sell a portion of our common stock. Generally, stock sales under such plans by members of our senior management team and directors require public filings. Actual or potential sales of our stock by such persons could cause our stock price to fall or prevent it from increasing for numerous reasons. For example, a substantial amount of our common stock becoming available (or being perceived to become available) for sale in the public market could cause the market price of our common stock to fall or prevent it from increasing. Also, actual or potential sales by such persons could be viewed negatively by other investors.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ADSs are currently trading above $1.00; however, during periods of 2010, 2009 and 2008, they were trading beneath $1.00 per share, including during an extended period from October 6, 2008 to April 7, 2009. If Amarin’s closing bid price is less than $1.00 for 30 consecutive trading days, Amarin will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compliance cannot be demonstrated by the end of the 180 days, Amarin will be afforded an additional 180 calendar day compliance period if NASDAQ determines at that time that we meet the remaining NASDAQ Capital Market initial listing criteria in Rule 5215(b), except for the bid price requirement. If Amarin was not eligible for an additional compliance period, NASDAQ would provide written notification that our securities will be delisted. At that time, Amarin could appeal NASDAQ’s determination to delist its securities to a Listing Qualifications Panel.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stockholders may differ from the rights typically offered to stockholders of a U.S. corporation.</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common shares and, therefore, certain of the rights of holders of ADSs, are governed by English law, including the provisions of the Companies Act 2006, and by our Articles of Association. These rights differ in certain respects from the rights of stockholders in typical U.S. corporations. The principal differences include the following:</w:t>
      </w:r>
    </w:p>
    <w:p>
      <w:pPr>
        <w:spacing w:after="0" w:line="59" w:lineRule="exact"/>
        <w:rPr>
          <w:sz w:val="20"/>
          <w:szCs w:val="20"/>
          <w:color w:val="auto"/>
        </w:rPr>
      </w:pPr>
    </w:p>
    <w:p>
      <w:pPr>
        <w:ind w:left="90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English law, each stockholder present at a meeting has only one vote unless demand is made for a vote on a poll, in which each holder gets one vote per share owned. Under U.S. law, each stockholder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31" w:lineRule="exact"/>
        <w:rPr>
          <w:rFonts w:ascii="Arial" w:cs="Arial" w:eastAsia="Arial" w:hAnsi="Arial"/>
          <w:sz w:val="16"/>
          <w:szCs w:val="16"/>
          <w:color w:val="auto"/>
        </w:rPr>
      </w:pPr>
    </w:p>
    <w:p>
      <w:pPr>
        <w:ind w:left="900" w:right="8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English law, each stockholder generally has preemptive rights to subscribe on a proportionate basis to any issuance of shares. Under U.S. law, stockholders generally do not have preemptive rights unless specifically granted in the certificate of incorporation or otherwise.</w:t>
      </w:r>
    </w:p>
    <w:p>
      <w:pPr>
        <w:spacing w:after="0" w:line="4" w:lineRule="exact"/>
        <w:rPr>
          <w:rFonts w:ascii="Arial" w:cs="Arial" w:eastAsia="Arial" w:hAnsi="Arial"/>
          <w:sz w:val="16"/>
          <w:szCs w:val="16"/>
          <w:color w:val="auto"/>
        </w:rPr>
      </w:pPr>
    </w:p>
    <w:p>
      <w:pPr>
        <w:ind w:left="900" w:right="16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English law, certain matters require the approval of 75% of the stockholders, including amendments to the Memorandum and Articles of Association. This may make it more difficult for us to complete corporate transactions deemed advisable by our board of directors. Under U.S. law, generally only majority stockholder approval is required to amend the certificate of incorporation or to approve other significant transactions.</w:t>
      </w:r>
    </w:p>
    <w:p>
      <w:pPr>
        <w:spacing w:after="0" w:line="25"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English law, a bidder seeking to acquire us would need to make a tender offer for 90% of our outstanding common shares/ADSs. If this 90% threshold is not achieved in the offer, under English law, the bidder cannot complete a “second step merger” to obtain 100% control of us. Accordingly, tender of 90% of our outstanding common shares/ADSs will be a condition in a tender offer to acquire us, not 50% as is more common in tender offers for corporations organized under Delaware law.</w:t>
      </w:r>
    </w:p>
    <w:p>
      <w:pPr>
        <w:spacing w:after="0" w:line="62" w:lineRule="exact"/>
        <w:rPr>
          <w:rFonts w:ascii="Arial" w:cs="Arial" w:eastAsia="Arial" w:hAnsi="Arial"/>
          <w:sz w:val="18"/>
          <w:szCs w:val="18"/>
          <w:color w:val="auto"/>
        </w:rPr>
      </w:pPr>
    </w:p>
    <w:p>
      <w:pPr>
        <w:jc w:val="both"/>
        <w:ind w:left="900" w:right="12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English law, stockholders may be required to disclose information regarding their equity interests upon our request, and the failure to provide the required information could result in the loss or restriction of rights attaching to the shares, including prohibitions on the transfer of the shares, as well as restrictions on dividends and other payments. Comparable provisions generally do not exist under U.S. law.</w:t>
      </w:r>
    </w:p>
    <w:p>
      <w:pPr>
        <w:spacing w:after="0" w:line="147" w:lineRule="exact"/>
        <w:rPr>
          <w:rFonts w:ascii="Arial" w:cs="Arial" w:eastAsia="Arial" w:hAnsi="Arial"/>
          <w:sz w:val="16"/>
          <w:szCs w:val="16"/>
          <w:color w:val="auto"/>
        </w:rPr>
      </w:pPr>
    </w:p>
    <w:p>
      <w:pPr>
        <w:ind w:left="900" w:right="20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quorum requirement for a stockholders’ meeting is a minimum of two persons present in person or by proxy. Under U.S. law, a majority of the shares eligible to vote must generally be present (in person or by proxy) at a stockholders’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stockholders may not be able to enforce civil liabilities against us.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number of our directors and the officers and directors of each of our subsidiaries are non-residents of the United States, and all or a substantial portion of the assets of such persons are located outside the United States. As a result, it may not be possible for investors to effect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 Amarin Finance Limited is an exempted company limited by shares organized under the laws of Bermuda. We have been advised by our Bermuda attorneys that uncertainty exists as to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U.S. Holders of our ADSs could be subject to material adverse tax consequences if we are considered a PFIC for U.S. federal income tax purposes.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While we cannot provide any assurance that we are, are not, or will or will not be, a PFIC for the fiscal year ended December 31, 2010 or for future periods, given the status of development for AMR101 and the most recent available information regarding our 2010 financial position and results of operations, we believe it prudent to assume that we may be classified as a PFIC for the fiscal year ended December 31, 2010 and may also be so classified in future years.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Whether or not U.S. holders of our ADSs make a timely “QEF election” or “mark-to-market election” may affect the U.S. federal income tax consequences to U.S. holders with respect to the acquisition, ownership and disposition of Amarin ADSs and any distributions such U.S. Holders may receive.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U.S. Holders of our ADSs may be subject to U.S. income taxation at ordinary income tax rates on undistributed earnings and profits.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stockholder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stockholder may also be taxable at ordinary income tax rates on any gain realized on a sale of common shares or ADS, to the extent of our current and accumulated earnings and profits attributable to such shares. The CFC rules are complex and U.S. Holders of our common shares or ADSs are urged to consult their own tax advisors regarding the possible application of the CFC rules to them in their particular circumstances.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December 31,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Use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Ownership</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Size (sq. ft.)</w:t>
            </w:r>
          </w:p>
        </w:tc>
      </w:tr>
      <w:tr>
        <w:trPr>
          <w:trHeight w:val="201"/>
        </w:trPr>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Dublin,</w:t>
            </w:r>
          </w:p>
        </w:tc>
        <w:tc>
          <w:tcPr>
            <w:tcW w:w="6080" w:type="dxa"/>
            <w:vAlign w:val="bottom"/>
          </w:tcPr>
          <w:p>
            <w:pPr>
              <w:ind w:left="40"/>
              <w:spacing w:after="0" w:line="201" w:lineRule="exact"/>
              <w:rPr>
                <w:sz w:val="20"/>
                <w:szCs w:val="20"/>
                <w:color w:val="auto"/>
              </w:rPr>
            </w:pPr>
            <w:r>
              <w:rPr>
                <w:rFonts w:ascii="Arial" w:cs="Arial" w:eastAsia="Arial" w:hAnsi="Arial"/>
                <w:sz w:val="18"/>
                <w:szCs w:val="18"/>
                <w:color w:val="auto"/>
              </w:rPr>
              <w:t>Ireland</w:t>
            </w:r>
          </w:p>
        </w:tc>
        <w:tc>
          <w:tcPr>
            <w:tcW w:w="6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89"/>
              </w:rPr>
              <w:t>Offices</w:t>
            </w:r>
          </w:p>
        </w:tc>
        <w:tc>
          <w:tcPr>
            <w:tcW w:w="520" w:type="dxa"/>
            <w:vAlign w:val="bottom"/>
          </w:tcPr>
          <w:p>
            <w:pPr>
              <w:spacing w:after="0"/>
              <w:rPr>
                <w:sz w:val="17"/>
                <w:szCs w:val="17"/>
                <w:color w:val="auto"/>
              </w:rPr>
            </w:pPr>
          </w:p>
        </w:tc>
        <w:tc>
          <w:tcPr>
            <w:tcW w:w="14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92"/>
              </w:rPr>
              <w:t>Leased and sublet</w:t>
            </w:r>
          </w:p>
        </w:tc>
        <w:tc>
          <w:tcPr>
            <w:tcW w:w="500" w:type="dxa"/>
            <w:vAlign w:val="bottom"/>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3,251</w:t>
            </w:r>
          </w:p>
        </w:tc>
        <w:tc>
          <w:tcPr>
            <w:tcW w:w="20" w:type="dxa"/>
            <w:vAlign w:val="bottom"/>
          </w:tcPr>
          <w:p>
            <w:pPr>
              <w:spacing w:after="0"/>
              <w:rPr>
                <w:sz w:val="17"/>
                <w:szCs w:val="17"/>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Mystic, Connecticut, USA</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Offices</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4,075</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Ely, Cambridgeshire, UK (Gemini House)</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Ground Floor</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Offices</w:t>
            </w: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Leased and sublet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7,135</w:t>
            </w:r>
          </w:p>
        </w:tc>
      </w:tr>
      <w:tr>
        <w:trPr>
          <w:trHeight w:val="222"/>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First Floor</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Offices</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Assigned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2,975</w:t>
            </w: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November 1, 2008 we leased 2,725 square feet of office space at 12 Roosevelt Avenue, Mystic, Connecticut, USA and on March 4, 2010 we leased an additional 1,350 square feet at the same location. Both leases expire on October 31, 2011.</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January 2007 we leased 3,251 square feet of office space in Dublin, Ireland. This lease expires in December 2026, but may be terminated on January 22, 2012 with twelve months’ written notice. On October 7, 2010, we gave notice of our intent to terminate the lease agreement, effective as of January 2012, for the lease of office space on the first floor of the building located at Block 3, The Oval, Shelbourne Road, Dublin 4. We were a guarantor of this lease agreement. In connection with the termination of this lease agreement, we will pay a sum equivalent to six months’ rent, rates, service fees and insurance premiums and may also be liable for customary dilapidation charges. In June 2010, we sublet a portion of this office and this sublease may be cancelled upon 30 days’ written notice.</w:t>
      </w:r>
    </w:p>
    <w:p>
      <w:pPr>
        <w:spacing w:after="0" w:line="10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lease for office space in Ely, Cambridgeshire expires in November 2014. The ground floor space has been sublet through the end of the lease term. On August 27, 2002 the lease for the first floor space was assigned to a third party. Amarin however, remains ultimately responsible for the lease through the end of the lease term.</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our existing facilities are adequate for our current needs and that additional space will be available in the future on commercially reasonable terms as needed.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Amarin was responsible for the sales and marketing of Permax</w:t>
      </w:r>
      <w:r>
        <w:rPr>
          <w:rFonts w:ascii="Arial" w:cs="Arial" w:eastAsia="Arial" w:hAnsi="Arial"/>
          <w:sz w:val="10"/>
          <w:szCs w:val="10"/>
          <w:color w:val="auto"/>
        </w:rPr>
        <w:t>®</w:t>
      </w:r>
      <w:r>
        <w:rPr>
          <w:rFonts w:ascii="Arial" w:cs="Arial" w:eastAsia="Arial" w:hAnsi="Arial"/>
          <w:sz w:val="16"/>
          <w:szCs w:val="16"/>
          <w:color w:val="auto"/>
        </w:rPr>
        <w:t xml:space="preserve"> (pergolide mesylate), as an adjunctive treatment for Parkinson’s disease, from May 2001 until February 2004. On May 17, 2001, Amarin acquired the U.S. sales and marketing rights to Permax from Elan. An affiliate of Elan had previously obtained the licensing rights to Permax from Eli Lilly and Company in 1993. Eli Lilly originally obtained approval for Permax on December 30, 1988 and has been responsible for the manufacture and supply of Permax since that date. On February 25, 2004, Amarin sold its U.S. subsidiary, Amarin Pharmaceuticals, Inc., including the rights to Permax, to Valeant Pharmaceuticals International.</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March 29, 2007, the FDA announced that the manufacturers of pergolide drug products would voluntarily remove these drug products, including Permax, from the market because of the risk of serious damage to patients’ heart valves. Further information about the removal of Permax and other pergolide drug products is available on the FDA’s website.</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Six cases alleging claims related to cardiac valvulopathy and Permax were filed in April 2008 in the United States and currently remain pending. Eli Lilly, Valeant, Amarin Pharmaceuticals (sold to Valeant in 2004 as described above) and unidentified parties are named as defendants in these cases and are defending against the claims and allegations. Based on our review of the online docket reports for these cases, all six appear to be in some stage of settlement, although it's not clear which, if any, have been dismissed or remain pending. To date, Amarin has not been named as defendant or served with the complaints from these cases.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not a party to any other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Removed and Reserved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Capital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5"/>
              </w:rPr>
              <w:t>Common Stock Price</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Fiscal 2010</w:t>
            </w:r>
          </w:p>
        </w:tc>
        <w:tc>
          <w:tcPr>
            <w:tcW w:w="220" w:type="dxa"/>
            <w:vAlign w:val="bottom"/>
          </w:tcPr>
          <w:p>
            <w:pPr>
              <w:spacing w:after="0"/>
              <w:rPr>
                <w:sz w:val="12"/>
                <w:szCs w:val="12"/>
                <w:color w:val="auto"/>
              </w:rPr>
            </w:pP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Fiscal 2009</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8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3"/>
              </w:rPr>
              <w:t>$1.60</w:t>
            </w: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$0.93</w:t>
            </w: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$0.80</w:t>
            </w:r>
          </w:p>
        </w:tc>
        <w:tc>
          <w:tcPr>
            <w:tcW w:w="8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$0.46</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Second Quarter</w:t>
            </w:r>
          </w:p>
        </w:tc>
        <w:tc>
          <w:tcPr>
            <w:tcW w:w="4280" w:type="dxa"/>
            <w:vAlign w:val="bottom"/>
            <w:gridSpan w:val="3"/>
          </w:tcPr>
          <w:p>
            <w:pPr>
              <w:jc w:val="center"/>
              <w:ind w:left="3372"/>
              <w:spacing w:after="0"/>
              <w:rPr>
                <w:sz w:val="20"/>
                <w:szCs w:val="20"/>
                <w:color w:val="auto"/>
              </w:rPr>
            </w:pPr>
            <w:r>
              <w:rPr>
                <w:rFonts w:ascii="Arial" w:cs="Arial" w:eastAsia="Arial" w:hAnsi="Arial"/>
                <w:sz w:val="18"/>
                <w:szCs w:val="18"/>
                <w:color w:val="auto"/>
                <w:w w:val="93"/>
              </w:rPr>
              <w:t>$2.95</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$1.46</w:t>
            </w: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$2.25</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$0.62</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8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3"/>
              </w:rPr>
              <w:t>$3.23</w:t>
            </w: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w:t>
            </w: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$1.60</w:t>
            </w:r>
          </w:p>
        </w:tc>
        <w:tc>
          <w:tcPr>
            <w:tcW w:w="8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$1.01</w:t>
            </w:r>
          </w:p>
        </w:tc>
        <w:tc>
          <w:tcPr>
            <w:tcW w:w="100" w:type="dxa"/>
            <w:vAlign w:val="bottom"/>
            <w:shd w:val="clear" w:color="auto" w:fill="CCEEFF"/>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Fourth Quarter</w:t>
            </w:r>
          </w:p>
        </w:tc>
        <w:tc>
          <w:tcPr>
            <w:tcW w:w="4280" w:type="dxa"/>
            <w:vAlign w:val="bottom"/>
            <w:gridSpan w:val="3"/>
          </w:tcPr>
          <w:p>
            <w:pPr>
              <w:jc w:val="center"/>
              <w:ind w:left="3372"/>
              <w:spacing w:after="0"/>
              <w:rPr>
                <w:sz w:val="20"/>
                <w:szCs w:val="20"/>
                <w:color w:val="auto"/>
              </w:rPr>
            </w:pPr>
            <w:r>
              <w:rPr>
                <w:rFonts w:ascii="Arial" w:cs="Arial" w:eastAsia="Arial" w:hAnsi="Arial"/>
                <w:sz w:val="18"/>
                <w:szCs w:val="18"/>
                <w:color w:val="auto"/>
                <w:w w:val="93"/>
              </w:rPr>
              <w:t>$8.64</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$2.43</w:t>
            </w: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$1.85</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of March 1, 2011, there were approximately 593 holders of record of our ordinary shares. Because many ordinary shares are held by brokers nominees, we are unable to estimate the total number of shareholders represented by these record holders. Our depositary, Citibank, N.A., constitutes a single record holder of our ordinary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following graph compares the cumulative 5-year return provided to stockholders of Amarin Corporation plc’s ADSs relative to the cumulative total returns of the NASDAQ Composite Index and the NASDAQ Biotechnology Index. An investment of $100 (with reinvestment of all dividends) is assumed to have been made in our ADSs and in each of the indexes on December 31, 2005 and its relative performance is tracked through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124460</wp:posOffset>
            </wp:positionV>
            <wp:extent cx="5213985" cy="2178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8"/>
              </w:rPr>
              <w:t>12/31/2009</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Amarin Corporation PLC</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190.00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21.67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5.92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68.34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110.25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121.88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73.10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106.22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125.36</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101.07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105.76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92.75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107.55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123.96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If you are not resident or ordinarily resident in the United Kingdom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individual holder of common shares or ADSs who ceases to be resident or ordinarily resident in the UK for UK tax purposes for a period of less than 5 years and who disposes of common shares or ADSs during that period may also be liable on returning to the UK for UK capital gains tax despite the fact that the individual may not be resident or ordinarily resident in the UK at the time of the disposal.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Inheritance Tax</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common shares or ADS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reserve tax will be payable in respect of an agreement to transfer an ADS, whether made in or outside the UK.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Common Shares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in relation to persons whose business is or includes the issue of depositary receipts or the provision of clearance services or their nominees (whose particular circumstances are not considered further in this report), the issue of common shares by Amarin will not give rise to a charge to UK stamp duty or stamp duty reserve tax.</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UK law, there is no withholding tax on dividends.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equity compensation plans is incorporated by reference in Item 12 of Part III of this annual report on Form 10-K.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selected financial data set forth below as of December 31, 2010 and 2009 and for each of the years ended 2010, 2009 and 2008 have been derived from the audited consolidated financial statements of the Company, included elsewhere in this Annual Report on Form 10-K. The selected financial data set forth below as of December 31, 2008, 2007 and 2006 and for the years ended December 31, 2007 and 2006 are unaudited.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14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On January 18, 2008, our common shares were consolidated on a 1-for-10 basis whereby ten common shares of £0.05 each became one common share of £0.5. Unless otherwise specified, all shares and share related information have been adjusted to give effect to this 1-for-10 common share consolidation.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left="396"/>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9"/>
          </w:tcPr>
          <w:p>
            <w:pPr>
              <w:jc w:val="center"/>
              <w:ind w:right="420"/>
              <w:spacing w:after="0" w:line="142" w:lineRule="exact"/>
              <w:rPr>
                <w:sz w:val="20"/>
                <w:szCs w:val="20"/>
                <w:color w:val="auto"/>
              </w:rPr>
            </w:pPr>
            <w:r>
              <w:rPr>
                <w:rFonts w:ascii="Arial" w:cs="Arial" w:eastAsia="Arial" w:hAnsi="Arial"/>
                <w:sz w:val="14"/>
                <w:szCs w:val="14"/>
                <w:b w:val="1"/>
                <w:bCs w:val="1"/>
                <w:color w:val="auto"/>
                <w:w w:val="85"/>
              </w:rPr>
              <w:t>(In thousands, except per share amounts)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Purchased in-process research &amp; development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19,916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27,521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48,358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(45,101)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(34,044)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(27,521)</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(48,358)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(27,380)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gain on change in fair value of derivative liability (2)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(205,153)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(250,090)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(31,507)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(19,537)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(46,684)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(249,589)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(30,606)</w:t>
            </w:r>
          </w:p>
        </w:tc>
        <w:tc>
          <w:tcPr>
            <w:tcW w:w="14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(18,489)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(45,847)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(28,021)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(Loss) income per basic and diluted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100,239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22,086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ind w:left="200"/>
              <w:spacing w:after="0"/>
              <w:rPr>
                <w:sz w:val="20"/>
                <w:szCs w:val="20"/>
                <w:color w:val="auto"/>
              </w:rPr>
            </w:pPr>
            <w:r>
              <w:rPr>
                <w:rFonts w:ascii="Arial" w:cs="Arial" w:eastAsia="Arial" w:hAnsi="Arial"/>
                <w:sz w:val="11"/>
                <w:szCs w:val="11"/>
                <w:b w:val="1"/>
                <w:bCs w:val="1"/>
                <w:color w:val="auto"/>
                <w:w w:val="74"/>
              </w:rPr>
              <w:t>(in</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31,442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52,258</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$ 14,239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18,303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Long-term obligations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230,157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42,090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(202,367)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28,932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60" w:hanging="452"/>
        <w:spacing w:after="0" w:line="28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warrant-related compensation expense reflecting the change in the fair value of the warrant derivative liability associated with warrants issued in October 2009 to former employees of Amarin. See further discussion in Notes 2 and 7 of the Notes to the Consolidated Financial Statements.</w:t>
      </w:r>
    </w:p>
    <w:p>
      <w:pPr>
        <w:ind w:left="460" w:right="1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warrant derivative liabilities. See further discussion in Notes 2 and 7 of the Notes to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This Annual Report on Form 10-K contains forward-looking statements concerning future events and performance of the Company. When used in this report, the words “intend,” “estimate,” “anticipate,” “believe,” “plan” or “expect” and similar expressions are included to identify forward-looking statements.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are a clinical-stage biopharmaceutical company focused on developing improved treatments for cardiovascular disease. We are currently focusing our efforts on AMR101, a prescription-grade omega-3 fatty acid, comprising not less than 96% ultra pure icosapent ethyl (ethyl-EPA).</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October 16, 2009, we completed a private placement resulting in gross proceeds of $70.0 million. These proceeds were used primarily to fund the MARINE and ANCHOR studies for AMR101. In connection with this private placement, a significant portion of our board of directors and executive management were changed, and our research and development activities, as well as certain executive functions, were consolidated from multiple offices to our research and development headquarters in the United States. In connection with these changes, we re-focused our efforts on developing improved treatments for cardiovascular disease and ceased development of all product candidates outside of our cardiovascular disease focus.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November 2010, we reported positive top-line results from the MARINE trial, the first of our two planned Phase 3 clinical trials of AMR101. In the MARINE trial, AMR101 was investigated as a treatment for very high triglycerides (³500 mg/dL). AMR101 is presently being investigated in a second Phase 3 clinical trial, the ANCHOR trial, for the treatment of patients with high triglycerides (</w:t>
      </w:r>
      <w:r>
        <w:rPr>
          <w:rFonts w:ascii="Arial" w:cs="Arial" w:eastAsia="Arial" w:hAnsi="Arial"/>
          <w:sz w:val="16"/>
          <w:szCs w:val="16"/>
          <w:u w:val="single" w:color="auto"/>
          <w:color w:val="auto"/>
        </w:rPr>
        <w:t>³</w:t>
      </w:r>
      <w:r>
        <w:rPr>
          <w:rFonts w:ascii="Arial" w:cs="Arial" w:eastAsia="Arial" w:hAnsi="Arial"/>
          <w:sz w:val="16"/>
          <w:szCs w:val="16"/>
          <w:color w:val="auto"/>
        </w:rPr>
        <w:t>200 and &lt;500mg/dL) who are also receiving statin therapy. The MARINE trial was a multi-center, placebo-controlled, randomized, double-blind, 12-week pivotal study to evaluate the efficacy and safety of 2 grams and 4 grams of AMR101 in 229 patients with fasting triglyceride levels ³500 mg/dL. Patients with this level of triglycerides are characterized as having very high triglyceride levels, as outlined in the NCEP Guidelines. The primary endpoint in the trial was the percentage change in triglyceride level from baseline compared to placebo after 12 weeks of treatment. Reported top-line results of this study included announcement that AMR101 met the primary endpoint at both the 4 gram and 2 gram doses. In addition to achieving the primary endpoint of the trial, no statistically significant increase in low-density lipoprotein cholesterol, or LDL-C, was observed in this trial at either dose. Additionally, we observed in the trial a safety profile for AMR101 similar to placebo.</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ANCHOR trial is a multi-center, placebo-controlled, randomized, double-blind, 12-week pivotal study to evaluate the efficacy and safety of 2 grams and 4 grams of AMR101 in patients with high triglycerides (³200 and &lt;500mg/dL) who are on statin therapy. Patients in this trial are characterized as having high triglyceride levels, as outlined in the NCEP Guidelines, with mixed dyslipidemia (two or more lipid disorders). The primary endpoint in the trial is the percentage change in triglyceride level from baseline compared to placebo after 12 weeks of treatment. No prescription omega-3 based drug, such as AMR101, is currently approved in the U.S. for treating high triglyceride levels in statin-treated patients who have mixed dyslipidemia. In December 2010, we announced that we completed patient enrollment and randomization with 702 patients enrolled and randomized to the 2 gram, 4 gram and placebo arms of the trial. We expect to announce top-line results from the ANCHOR trial in the second quarter of 2011.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MARINE trial was conducted under a SPA with the FDA. The ANCHOR trial is currently being conducted under a separate SPA. An SPA is an evaluation by the FDA of a protocol with the goal of reaching an agreement that the Phase III trial protocol design, clinical endpoints, and statistical analyses are acceptable to support regulatory approval. The FDA agreed that, based on the information we submitted to the agency, the design and planned analysis of the MARINE and ANCHOR trials adequately address the objectives necessary to support a regulatory submission. An SPA is generally binding upon the FDA unless a substantial scientific issue essential to determining safety or efficacy is identified after the testing begins. Although we are not aware of any such issue, there is no assurance that the FDA will ultimately consider either of our SPAs to be binding. Moreover, any change to a study protocol can invalidate an SPA. If FDA does not consider either of the SPA</w:t>
      </w:r>
      <w:r>
        <w:rPr>
          <w:rFonts w:ascii="Arial" w:cs="Arial" w:eastAsia="Arial" w:hAnsi="Arial"/>
          <w:sz w:val="16"/>
          <w:szCs w:val="16"/>
          <w:b w:val="1"/>
          <w:bCs w:val="1"/>
          <w:color w:val="auto"/>
        </w:rPr>
        <w:t>s</w:t>
      </w:r>
      <w:r>
        <w:rPr>
          <w:rFonts w:ascii="Arial" w:cs="Arial" w:eastAsia="Arial" w:hAnsi="Arial"/>
          <w:sz w:val="16"/>
          <w:szCs w:val="16"/>
          <w:color w:val="auto"/>
        </w:rPr>
        <w:t xml:space="preserve"> to be binding, the agency could assert that additional studies or data are required to support a regulatory submission.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to submit a New Drug Application, or NDA, to the FDA in the third quarter of 2011 requesting approval to market and sell AMR101 in the United States. Our strategy is to seek FDA approval for AMR101 based on the results of the MARINE and ANCHOR trials while considering additional trials to further expand the indication of use potential for AMR101. We are currently preparing our NDA for AMR101 based on the MARINE trial results. Depending on the timing of the NDA and the results of the ANCHOR trial, we may elect to add the ANCHOR trial results to the NDA we are preparing. If the ANCHOR results are added to the NDA, the NDA will seek approval for the indication studied in the MARINE trial with the ANCHOR results either as a separate indication for use or referenced in the label as data supporting the safe use of AMR101 in the treatment of high triglyceride levels in statin-treated patients who have mixed dyslipidemia. In order to obtain a separate indication for AMR101 based on the ANCHOR trial results, the FDA requires that we have a clinical outcomes study substantially underway at the time of the NDA filing. The results of an outcomes study are not required for FDA approval of the broader indication and an outcomes study is not required for the indication being studied in the MARINE trial. Opportunities to market and sell AMR101 outside the United States are currently under evaluation.</w:t>
      </w:r>
    </w:p>
    <w:p>
      <w:pPr>
        <w:spacing w:after="0" w:line="33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January 2011 we completed an equity offering from which we received approximately $98.7 million in net proceeds. Together with our cash balance of $31.4 million at December 31, 2010, we believe that we have sufficient financial resources to enable us to file the NDA and prepare for the commercialization of AMR 101, regardless of the NDA submission strategy we choose.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 Status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MARINE Trial</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Patient enrollment in this trial began in December 2009, enrollment and randomization was completed in August 2010 at 229 patients. On November 29, 2010, we reported top-line data for the MARINE trial, where AMR101 was shown to effectively lower triglyceride levels in patients with very high triglycerides (&gt;500 mg/dL) without significantly increasing LDL-C. The MARINE trial results also included favorable findings with respect to significant reductions in total cholesterol, non-HDL-C, Apo B (Apolipoprotein B), and Lp-PLA2 levels, together with a safety profile for AMR101 comparable to placebo. The MARINE trial was conducted in a population representative of millions of people with very high triglyceride levels, which is estimated to include approximately 4.0 million people in the United States.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study’s primary endpoint, the percent change in triglyceride, or TG, levels from baseline to week 12 compared to placebo, was met for both the 4 gram and 2 gram dose groups. The MARINE study was required to meet a stringent level of statistical significance of 1% (p &lt; 0.01), as agreed in our SPA with the FDA. Twenty-five percent of patients in this trial were on background statin therapy. The patient group treated with 4 grams of AMR101 showed a significant median TG decrease of 33% (p &lt; 0.0001) compared to placebo, and the patient group treated with 2 grams of AMR101 showed a significant median TG decrease of 20% (p = 0.0051) compared to placebo. The median baseline triglyceride levels were 703 mg/dL, 680 mg/dL and 657 mg/dL for the patient groups treated with placebo, 4 grams of AMR101 and 2 grams of AMR101,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 pre-specified secondary analysis in the subgroup of patients with baseline TG &gt; 750 mg/dL, representing 39% of all patients, the effect of AMR101 in reducing TG levels from placebo was 45% for 4 grams and 33% for 2 grams, both statistically significant (p = 0.0001 for 4 grams and P= 0.0016 for 2 grams, respectively). The median baseline TG levels in this subgroup were 1052 mg/dL, 902 mg/dL and 948 mg/dL for placebo, 4 gram and 2 gram groups, respectively. In addition, the subgroup of patients on background statin therapy had much greater median reductions in TG, which were also statistically significant, than those not on statin therapy.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AMR101 did not result in an increase in median LDL-C compared to placebo at either dose (-2.3% for the 4 gram group and +5.2% for the 2 gram group [p=NS]). This is the first and only triglyceride-lowering therapy studied in this population with very high triglyceride levels to show a lack of elevation in LDL-C. In addition, there was a statistically significant decrease in median non-HDL-C (total cholesterol less “good cholesterol”) compared to placebo with both of the AMR101 treated groups (-18% for the 4 gram group [p &lt; 0.001] and -8% for the 2 gram group [p &lt; 0.05]).</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MARINE trial results also included statistically significant reductions in several important lipid markers, including Apo B, Lp-PLA2 (Lipoprotein-phospholipase A2), VLDL-C and Total Cholesterol. For these achieved endpoints, p-values were &lt;0.01 for most and &lt;0.05 for all. Apo B (Apolipoprotein B) is a sensitive index of residual cardiovascular risk and is generally considered to be a better predictor than LDL-C. Lp-PLA2 is an enzyme found in blood and atherosclerotic plaque; high levels have been implicated in the development and progression of atherosclerosis. AMR101 was well tolerated in the MARINE trial with a safety profile comparable to placebo. There were no treatment-related serious adverse events in the MARINE study. We plan to provide more details of these results at scientific meetings in 2011.</w:t>
      </w:r>
    </w:p>
    <w:p>
      <w:pPr>
        <w:spacing w:after="0" w:line="14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Patients enrolled in the MARINE trial were given the option to continue on with AMR101 treatment for a period of up to 40-weeks after their last dose in the pivotal trial. The results from this 40-week open label extension period are not part of the MARINE trial clinical endpoints.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MARINE trial was conducted under a SPA with the FDA. An SPA is an evaluation by the FDA of a protocol with the goal of reaching an agreement that the Phase III trial protocol design, clinical endpoints, and statistical analyses are acceptable to support regulatory approval. The FDA agreed that, based on the information we submitted to the agency, the design and planned analysis of the MARINE trial adequately address the objectives necessary to support a regulatory submission. An SPA is generally binding upon the FDA unless a substantial scientific issue essential to determining safety or efficacy is identified after the testing begins. However, there can be no assurance that this will be the case. If FDA does not consider the SPA to be binding, the agency could assert that additional studies or data are required to support a regulatory submission.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ANCHOR Trial</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ANCHOR trial is a multi-center, placebo-controlled, randomized, double-blind, 12-week study to evaluate the efficacy and safety of 2 grams and 4 grams of AMR101 in patients with high triglyceride levels of ³200 mg/dL and &lt;500 mg/dL who are on stable statin therapy. Patients in this trial are classified as having high triglyceride levels with mixed dyslipidemia. The primary endpoint in the trial is the percent change in triglyceride level from baseline to week 12 compared to placebo. An important secondary endpoint in the ANCHOR trial, necessary in order for us to achieve the broad indication sought from this trial, is to show that the addition of AMR101 to statin therapy does not increase LDL-cholesterol (LDL-C or ’bad cholesterol‘) compared to placebo in this population.</w:t>
      </w:r>
    </w:p>
    <w:p>
      <w:pPr>
        <w:spacing w:after="0" w:line="1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Patient enrollment in this trial began in early 2010. On December 16, 2010, we announced that we completed patient enrollment and randomization with 702 patients enrolled and randomized to the 2 gram, 4 gram and placebo arms of the trial. We expect that the 702 patients randomized will be sufficient to demonstrate statistical significance in accordance with the trial protocol. Prior to randomization into the 12-week treatment period, 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patients underwent a six-to-eight week washout period of lipid altering drugs, as well as diet and lifestyle stabilization. We expect to announce top-line results from the ANCHOR trial in the second quarter of 2011.</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the results from the ANCHOR trial are positive, we intend to use these results as the basis for broadening the label for AMR101 beyond treatment for very high triglycerides to include treatment for elevated triglycerides in patients with mixed dyslipidemia on background statin therapy. This should enable the treatment of the majority of patients clinically indicated for hypertriglyceridemic therapy, as outlined by the NCEP Guidelines. In order to seek approval of this potentially expanded indication, we will be required to have substantially enrolled subjects in a medical “outcomes study” at the time of our NDA submission. We are in the process of defining the clinical trial design for the outcome study. We do not anticipate initiating the outcome study until after the ANCHOR trial is complete. The results of this outcomes study are not required for approval of the indication studied in the ANCHOR trial; the only requirement is that the outcome study is substantially underway.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ANCHOR trial is being conducted under an SPA with the FDA and all of the clinical sites in the trial are located in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32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on initial recognition are recorded at fair value. They are subsequently held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 gains and losses arising for changes in fair value recognized in the statement of operations. The fair value of derivative financial liabilities is determined using valuation techniques, typically we use the Black-Scholes option pricing model, or a Monte Carlo simulation depending on the nature of the instrument. We use our judgment to select a variety of methods and make assumptions that are mainly based on market conditions existing at each balance sheet date. Fluctuations in the assumptions used in the valuation model would result in adjustments to the fair value of the warrants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2010 versus December 31,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2010 or 2009.</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2010 was $28.0 million, versus $20.9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an increase of $7.1 million, or 34.0%. Research and development expenses for the years ended December 31, 2010 and 2009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$26,480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$18,509</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580" w:type="dxa"/>
            <w:vAlign w:val="bottom"/>
          </w:tcPr>
          <w:p>
            <w:pPr>
              <w:jc w:val="right"/>
              <w:spacing w:after="0"/>
              <w:rPr>
                <w:sz w:val="20"/>
                <w:szCs w:val="20"/>
                <w:color w:val="auto"/>
              </w:rPr>
            </w:pPr>
            <w:r>
              <w:rPr>
                <w:rFonts w:ascii="Arial" w:cs="Arial" w:eastAsia="Arial" w:hAnsi="Arial"/>
                <w:sz w:val="18"/>
                <w:szCs w:val="18"/>
                <w:color w:val="auto"/>
              </w:rPr>
              <w:t>1,534</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change in fair value of Ester share based liability (3)</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28,014</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20,892</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Research and development expense, excluding non cash charges, for the year ended December 31, 2010 was $26.5 million, versus $18.5 million in the prior year period, an increase of $8.0 million, or 43.2%. The increase in research and development expense was primarily due to increased costs in 2010 for our AMR101 cardiovascular program, primarily costs associated with our two Phase III clinical trials incurred through Medpace, the CRO we engaged in late 2009 to help us set up and manage the two trials. We began enrolling patients in these trials in early 2010 and announced the completion of enrollment in both trials during the second half of 2010. These clinical trial cost increases were partially offset by lower costs for non-cardiovascular development programs which were discontinued during the fourth quarter of 2009.</w:t>
      </w:r>
    </w:p>
    <w:p>
      <w:pPr>
        <w:spacing w:after="0" w:line="1" w:lineRule="exact"/>
        <w:rPr>
          <w:rFonts w:ascii="Arial" w:cs="Arial" w:eastAsia="Arial" w:hAnsi="Arial"/>
          <w:sz w:val="16"/>
          <w:szCs w:val="16"/>
          <w:color w:val="auto"/>
        </w:rPr>
      </w:pPr>
    </w:p>
    <w:p>
      <w:pPr>
        <w:ind w:left="460" w:right="7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$1.5 million for the years ended December 31, 2010 and 2009, respectively.</w:t>
      </w:r>
    </w:p>
    <w:p>
      <w:pPr>
        <w:ind w:left="46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change in fair value of Ester share based liability for the year ended December 31, 2009 reflects the change in the fair value from December 31, 2008 to the May 2009 settlement date of the liability associated with Milestone Ia of the Ester share purchase agreement (see further discussion in Note 8 of the Notes to the Consolidated Financial Statements).</w:t>
      </w:r>
    </w:p>
    <w:p>
      <w:pPr>
        <w:spacing w:after="0" w:line="14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expect research and development expenses associated with the MARINE and ANCHOR studies to decrease during 2011 as those trials near completion. However, if we elect to conduct an outcomes study, which decision will follow upon review of the ANCHOR results and finalization of an outcome study design, the anticipated decline in research and development could be substantially offset by costs associated with the outcomes study.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for the year ended December 31, 2010 was $17.1 million, versus $13.2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an increase of $3.9 million, or 29.5%. General and administrative expenses for the years ended December 31, 2010 and 2009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 (1)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expense (2)</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Restructuring, severance and lease exit costs (4)</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17,087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13,152</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and administrative expense, excluding restructuring, severance and non-cash compensation charges for stock compensation and warrants, for the year ended December 31, 2010 was $7.2 million, versus $8.6 million in the prior year, a decrease of $1.4 million, or 16.3%. The decrease was primarily due to lower staffing and overhead expenses in 2010, due to a reduction in office locations in 2009 as a result of a restructuring in late 2009 in conjunction with the October 2009 private placement, which also included the termination of non-cardiovascular development programs.</w:t>
      </w:r>
    </w:p>
    <w:p>
      <w:pPr>
        <w:spacing w:after="0" w:line="2"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 related compensation expense for the year ended December 31, 2010 was $5.7 million, versus $1.0 million in the prior year, an increase of $4.7 million. Warrant related compensation expense for the period ended December 31, 2010 reflects a non-cash expense for the change in fair value of the warrant derivative liability associated with warrants issued in October 2009 to three former employees of Amarin, net of warrants exercised. The increase in the fair value of the warrants is due primarily to an increase in our stock price between December 31, 2009 and December 31, 2010.</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 based compensation expense for the year ended December 31, 2010 was $3.7 million, versus $1.4 million in the prior year period, an increase of $2.3 million due primarily to an increase in option awards for the year ended December 31, 2010 to attract and retain qualified employees.</w:t>
      </w:r>
    </w:p>
    <w:p>
      <w:pPr>
        <w:spacing w:after="0" w:line="1" w:lineRule="exact"/>
        <w:rPr>
          <w:rFonts w:ascii="Arial" w:cs="Arial" w:eastAsia="Arial" w:hAnsi="Arial"/>
          <w:sz w:val="16"/>
          <w:szCs w:val="16"/>
          <w:color w:val="auto"/>
        </w:rPr>
      </w:pPr>
    </w:p>
    <w:p>
      <w:pPr>
        <w:ind w:left="460" w:right="160" w:hanging="452"/>
        <w:spacing w:after="0" w:line="36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Restructuring, severance and lease exit costs were $0.5 million for the year ended December 31, 2010 versus $2.1 million in the prior year. Restructuring, severance and lease exit costs includes primarily costs for severance, office consolidation and the relocation of certain operations to Mystic, CT.</w:t>
      </w:r>
    </w:p>
    <w:p>
      <w:pPr>
        <w:spacing w:after="0" w:line="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expect general and administrative costs in 2011 to begin to increase as we prepare for the commercialization of AMR101, including costs for market research, sales force preparation and inventory management.</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(Loss) Gain on Change in Fair Value of Derivative Liability</w:t>
      </w:r>
      <w:r>
        <w:rPr>
          <w:rFonts w:ascii="Arial" w:cs="Arial" w:eastAsia="Arial" w:hAnsi="Arial"/>
          <w:sz w:val="16"/>
          <w:szCs w:val="16"/>
          <w:color w:val="auto"/>
        </w:rPr>
        <w:t>. (Loss) gain on change in fair value of derivative liability for the year ended December 31, 2010 was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$205.2 million versus income of $5.1 million in the prior year period. (Loss) gain on change in fair value of derivative liability is primarily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2009 was $41.5 million and we recognized a $6.6 million gain on change in fair value of derivative liability for the period ended December 31, 2009 for these warrants. The fair value of the warrant derivative liability at December 31, 2010 was $230.1 million and we recognized a $205.2 million loss on change in fair value of derivative liability for the period ended December 31, 2010. The increase in the warrant derivative liability value was due primarily to the increase in the price of the Company’s common stock. See further discussion of the warrant derivative liability in Note 2 and Note 7 of the Notes to the Consolidated Financial Statements.</w:t>
      </w:r>
    </w:p>
    <w:p>
      <w:pPr>
        <w:spacing w:after="0" w:line="1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 Interest expense for the year ended December 31, 2010 was $19,000</w:t>
      </w:r>
      <w:r>
        <w:rPr>
          <w:rFonts w:ascii="Arial" w:cs="Arial" w:eastAsia="Arial" w:hAnsi="Arial"/>
          <w:sz w:val="18"/>
          <w:szCs w:val="18"/>
          <w:i w:val="1"/>
          <w:iCs w:val="1"/>
          <w:color w:val="auto"/>
        </w:rPr>
        <w:t xml:space="preserve"> </w:t>
      </w:r>
      <w:r>
        <w:rPr>
          <w:rFonts w:ascii="Arial" w:cs="Arial" w:eastAsia="Arial" w:hAnsi="Arial"/>
          <w:sz w:val="18"/>
          <w:szCs w:val="18"/>
          <w:color w:val="auto"/>
        </w:rPr>
        <w:t>versus $2.8 million in the prior year. The decrease was due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primarily to the amortization of the difference between the fair value of the June and July 2009 bridge loans at their date of issue and their face value at the time of repayment in October 2009. The bridge notes were repaid in conjunction with our October 2009 private placement.</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primarily includes gains and losses on foreign exchange transactions. Other income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2009 also included $0.7 million from the sale of intellectual property.</w:t>
      </w:r>
    </w:p>
    <w:p>
      <w:pPr>
        <w:spacing w:after="0" w:line="213" w:lineRule="exact"/>
        <w:rPr>
          <w:sz w:val="20"/>
          <w:szCs w:val="20"/>
          <w:color w:val="auto"/>
        </w:rPr>
      </w:pPr>
    </w:p>
    <w:p>
      <w:pPr>
        <w:ind w:right="5500"/>
        <w:spacing w:after="0" w:line="362" w:lineRule="auto"/>
        <w:rPr>
          <w:sz w:val="20"/>
          <w:szCs w:val="20"/>
          <w:color w:val="auto"/>
        </w:rPr>
      </w:pPr>
      <w:r>
        <w:rPr>
          <w:rFonts w:ascii="Arial" w:cs="Arial" w:eastAsia="Arial" w:hAnsi="Arial"/>
          <w:sz w:val="18"/>
          <w:szCs w:val="18"/>
          <w:b w:val="1"/>
          <w:bCs w:val="1"/>
          <w:i w:val="1"/>
          <w:iCs w:val="1"/>
          <w:color w:val="auto"/>
        </w:rPr>
        <w:t xml:space="preserve">Comparison of Fiscal Years Ended December 31, 2009 versus December 31, 2008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2009 or 2008.</w:t>
      </w:r>
    </w:p>
    <w:p>
      <w:pPr>
        <w:spacing w:after="0" w:line="51"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Research and Development Expense</w:t>
      </w:r>
      <w:r>
        <w:rPr>
          <w:rFonts w:ascii="Arial" w:cs="Arial" w:eastAsia="Arial" w:hAnsi="Arial"/>
          <w:sz w:val="15"/>
          <w:szCs w:val="15"/>
          <w:color w:val="auto"/>
        </w:rPr>
        <w:t>. Research and development expense for the year ended December 31, 2009 was $20.9 million, versus $7.9 million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prior year, an increase of $13.0 million. Research and development expenses for the years ended December 31, 2009 and 2008 are summarized in the table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$18,509</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$ 9,088</w:t>
            </w:r>
          </w:p>
        </w:tc>
      </w:tr>
      <w:tr>
        <w:trPr>
          <w:trHeight w:val="216"/>
        </w:trPr>
        <w:tc>
          <w:tcPr>
            <w:tcW w:w="9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580" w:type="dxa"/>
            <w:vAlign w:val="bottom"/>
          </w:tcPr>
          <w:p>
            <w:pPr>
              <w:jc w:val="right"/>
              <w:spacing w:after="0"/>
              <w:rPr>
                <w:sz w:val="20"/>
                <w:szCs w:val="20"/>
                <w:color w:val="auto"/>
              </w:rPr>
            </w:pPr>
            <w:r>
              <w:rPr>
                <w:rFonts w:ascii="Arial" w:cs="Arial" w:eastAsia="Arial" w:hAnsi="Arial"/>
                <w:sz w:val="18"/>
                <w:szCs w:val="18"/>
                <w:color w:val="auto"/>
              </w:rPr>
              <w:t>1,481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1,299</w:t>
            </w:r>
          </w:p>
        </w:tc>
      </w:tr>
      <w:tr>
        <w:trPr>
          <w:trHeight w:val="216"/>
        </w:trPr>
        <w:tc>
          <w:tcPr>
            <w:tcW w:w="9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change in fair value of Ester share based liability (3)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20,892</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$ 7,899</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8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Research and development expense, excluding non cash charges, for the year ended December 31, 2009 was $18.5 million, versus $9.1 million in the prior year period, an increase of $9.4 million. This increase in research and development expense was primarily due to higher costs in 2009 for our new AMR101 cardiovascular program, which included costs associated with our two planned Phase III clinical trials, increases in Mystic, CT-based staffing to support these cardiovascular trials and clinical trial start-up costs incurred with Medpace.</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$1.5 million and $1.3 million for the years ended December 31, 2010 and 2009, respectively.</w:t>
      </w:r>
    </w:p>
    <w:p>
      <w:pPr>
        <w:ind w:left="460" w:right="120" w:hanging="452"/>
        <w:spacing w:after="0" w:line="29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Non-cash change in fair value of Ester share based liability for the year ended December 31, 2009 reflects the change in the fair value from December 31, 2008 to the May 2009 settlement date of the liability associated with Milestone Ia of the Ester share purchase agreement. Non-cash change in fair value of Ester share based liability for the year ended December 31, 2008 reflects the change in the fair value between December 2007 and December 2008. See further discussion in Note 8 of the Notes to the Consolidated Financial Statements.</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for the year ended December 31, 2009 was $13.2 million, versus $19.6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a decrease of $6.4 million, or 32.7%. General and administrative expenses for the years ended December 31, 2009 and 2008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2009</w:t>
            </w:r>
          </w:p>
        </w:tc>
        <w:tc>
          <w:tcPr>
            <w:tcW w:w="66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 (1)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8,593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$15,796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expense (2)</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1,040</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Restructuring, severance and lease exit costs (4)</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2,141</w:t>
            </w:r>
          </w:p>
        </w:tc>
        <w:tc>
          <w:tcPr>
            <w:tcW w:w="58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13,152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19,622</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administrative expense, excluding restructuring, severance and non-cash compensation charges for stock compensation and warrants, for the year ended December 31, 2009 was $8.6 million, versus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54" w:lineRule="auto"/>
        <w:rPr>
          <w:sz w:val="20"/>
          <w:szCs w:val="20"/>
          <w:color w:val="auto"/>
        </w:rPr>
      </w:pPr>
      <w:r>
        <w:rPr>
          <w:rFonts w:ascii="Arial" w:cs="Arial" w:eastAsia="Arial" w:hAnsi="Arial"/>
          <w:sz w:val="18"/>
          <w:szCs w:val="18"/>
          <w:color w:val="auto"/>
        </w:rPr>
        <w:t>$15.8 million in the prior year, a decrease of $7.2 million, or 45.6%. The decrease was primarily due to reorganization and cost rationalization programs implemented during 2008.</w:t>
      </w:r>
    </w:p>
    <w:p>
      <w:pPr>
        <w:ind w:left="460" w:right="1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 related compensation expense for the year ended December 31, 2009 of $1.0 million reflects a non-cash expense for the fair value of the warrants issued in October 2009 to three former employees of Amarin.</w:t>
      </w:r>
    </w:p>
    <w:p>
      <w:pPr>
        <w:ind w:left="460" w:right="22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expenses also includes stock compensation expense of $1.4 million related to option awards for the year ended December 31, 2009, versus $3.0 million in the prior year.</w:t>
      </w:r>
    </w:p>
    <w:p>
      <w:pPr>
        <w:ind w:left="460" w:right="380" w:hanging="452"/>
        <w:spacing w:after="0" w:line="30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Restructuring, severance and lease exit costs for the period ended December 31, 2009 includes a charge of $2.1 million for severance and other reorganization costs associated with office consolidation and the relocation of certain operations to Mystic, CT. Restructuring, severance and lease exit costs for the period ended December 31, 2008 includes a charge of $0.9 million reflecting accrued costs for leased office space no longer used.</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(Loss) Gain on Change in Fair Value of Derivative Liability</w:t>
      </w:r>
      <w:r>
        <w:rPr>
          <w:rFonts w:ascii="Arial" w:cs="Arial" w:eastAsia="Arial" w:hAnsi="Arial"/>
          <w:sz w:val="16"/>
          <w:szCs w:val="16"/>
          <w:color w:val="auto"/>
        </w:rPr>
        <w:t>. (Loss) gain on change in fair value of derivative liability for the year ended December 31, 2009 was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$5.1 million, versus income of $9.3 million in the prior year. (Loss) gain on change in fair value of derivative liability for the year ended December 31, 2009 is primarily related to the fair value of the warrants issued in conjunction with the October 2009 private placement. In October 2009 the Company issued approximately 36.1 million warrants at an exercise price of $1.50 and recognized $48.3 million for the fair value of the warrant derivative liability. As these warrants have been classified as a liability, they are revalued at each reporting period with changes in fair value recognized in the statement of operations. The fair value of the warrants at December 31, 2009 was $41.5 million and the Company recognized a $6.6 million gain on change in fair value of derivative liability related to these warrants for year ended December 31, 2009. (Loss) gain on change in fair value of derivative liability for the year ended December 31, 2009 also included changes in fair value for three other derivative liabilities, the total net gain on changes in fair value for derivative liabilities was $5.1 million. See further discussion of the derivative liability in Note 2 and Note 7 of the Notes to the Consolidated Financial Statements.</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year ended December 31, 2008 we recognized a $9.3 million gain on change in fair value of a derivative liability associated with the fair value changes of two derivative liabilities. A gain on change in fair value of a derivative liability of $1.6 million was recorded in conjunction with a decrease in fair value of a derivative associated with a variable pricing feature of warrants issued in December 2007. In addition, we recognized a $7.7 million gain on change in fair value of derivative liabilities for a decrease in the fair value of a derivative liability associated with a financing participation option granted in conjunction with the May 2008 financing.</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 Interest expense for the year ended December 31, 2009 was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versus $0.8 million in the prior year period. The increase was due primarily to the amortization of the difference between the fair value of the June and July 2009 bridge loans at their date of issue and their face value at the time of repayment. The bridge loans were repaid in conjunction with our October 2009 private placement.</w:t>
      </w:r>
    </w:p>
    <w:p>
      <w:pPr>
        <w:spacing w:after="0" w:line="143"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i w:val="1"/>
          <w:iCs w:val="1"/>
          <w:color w:val="auto"/>
        </w:rPr>
        <w:t>Other Income (Expense), net</w:t>
      </w:r>
      <w:r>
        <w:rPr>
          <w:rFonts w:ascii="Arial" w:cs="Arial" w:eastAsia="Arial" w:hAnsi="Arial"/>
          <w:sz w:val="15"/>
          <w:szCs w:val="15"/>
          <w:color w:val="auto"/>
        </w:rPr>
        <w:t>. Other income includes gains and losses on foreign exchange transactions. Other income for the year ended December 31, 2009</w:t>
      </w:r>
      <w:r>
        <w:rPr>
          <w:rFonts w:ascii="Arial" w:cs="Arial" w:eastAsia="Arial" w:hAnsi="Arial"/>
          <w:sz w:val="15"/>
          <w:szCs w:val="15"/>
          <w:i w:val="1"/>
          <w:iCs w:val="1"/>
          <w:color w:val="auto"/>
        </w:rPr>
        <w:t xml:space="preserve"> </w:t>
      </w:r>
      <w:r>
        <w:rPr>
          <w:rFonts w:ascii="Arial" w:cs="Arial" w:eastAsia="Arial" w:hAnsi="Arial"/>
          <w:sz w:val="15"/>
          <w:szCs w:val="15"/>
          <w:color w:val="auto"/>
        </w:rPr>
        <w:t>included $0.7 million from the sale of intellectual property. Other expense for the year ended December 31, 2008 was due primarily to foreign exchange losses.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sources of liquidity as of December 31, 2010 include cash and cash equivalents of $31.4 million. In addition, in January 2011 we completed an equity offering from which we received approximately $98.7 million in net proceeds. Our projected uses of cash include the completion of our two Phase III clinical trials for AMR101, the submission of an NDA, commercial preparation of AMR101, working capital and other general corporate activities. Our cash flows from operating, investing and financing activities, as reflected in the consolidated statements of cash flows, are summarized in the following table (in millions):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continuing operations:</w:t>
            </w: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2480" w:type="dxa"/>
            <w:vAlign w:val="bottom"/>
            <w:gridSpan w:val="3"/>
          </w:tcPr>
          <w:p>
            <w:pPr>
              <w:jc w:val="right"/>
              <w:ind w:right="172"/>
              <w:spacing w:after="0"/>
              <w:rPr>
                <w:sz w:val="20"/>
                <w:szCs w:val="20"/>
                <w:color w:val="auto"/>
              </w:rPr>
            </w:pPr>
            <w:r>
              <w:rPr>
                <w:rFonts w:ascii="Arial" w:cs="Arial" w:eastAsia="Arial" w:hAnsi="Arial"/>
                <w:sz w:val="18"/>
                <w:szCs w:val="18"/>
                <w:color w:val="auto"/>
              </w:rPr>
              <w:t>$ (33.9)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(28.4)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(30.1)</w:t>
            </w: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7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7"/>
        </w:trPr>
        <w:tc>
          <w:tcPr>
            <w:tcW w:w="5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had no debt obligations at December 31, 2010.</w:t>
      </w:r>
    </w:p>
    <w:p>
      <w:pPr>
        <w:spacing w:after="0" w:line="17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believe that our cash, including the net proceeds from the January 2011 financing, will be sufficient to fund our projected operations for the next twelve months which contemplates not only working capital and general corporate needs but also, including the filing of an NDA and commercial preparations for AMR101, working capital and other general corporate activities. This is based on our current operational plans and activities at normal levels and does not assume any cash inflows from partnerships, warrant exercises or other dilutive or non-dilutive financings in the longer-term. If we elect to commercialize AMR101 ourselves, rather than through a partner, or decide to commence an outcome study, we will need additional funds to complete such activities. The sale of any equity or debt securities may result in additional dilution to our stockholders, and we cannot be certain that additional financing will be available in amounts or on terms acceptable to us, if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December 31, 2010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to 2013</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2015</w:t>
            </w:r>
          </w:p>
        </w:tc>
        <w:tc>
          <w:tcPr>
            <w:tcW w:w="5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2015</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$0.8</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$ 12.6</w:t>
            </w:r>
          </w:p>
        </w:tc>
        <w:tc>
          <w:tcPr>
            <w:tcW w:w="66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contractual cash obligations</w:t>
            </w: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14.0</w:t>
            </w:r>
          </w:p>
        </w:tc>
        <w:tc>
          <w:tcPr>
            <w:tcW w:w="5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$ 12.8</w:t>
            </w:r>
          </w:p>
        </w:tc>
        <w:tc>
          <w:tcPr>
            <w:tcW w:w="66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minimum purchase obligations under a supplier agreement with a Japan-based supplier. Not included in this obligation is a non-refundable milestone payment of $0.5 million payable upon the first marketing approval of AMR101 in the United States. Additional future minimum purchases will be required, subject to an NDA approval, and in preparation for commercialization of AMR101 we may purchase more than the minimum amount.</w:t>
      </w:r>
    </w:p>
    <w:p>
      <w:pPr>
        <w:spacing w:after="0" w:line="25" w:lineRule="exact"/>
        <w:rPr>
          <w:rFonts w:ascii="Arial" w:cs="Arial" w:eastAsia="Arial" w:hAnsi="Arial"/>
          <w:sz w:val="16"/>
          <w:szCs w:val="16"/>
          <w:color w:val="auto"/>
        </w:rPr>
      </w:pPr>
    </w:p>
    <w:p>
      <w:pPr>
        <w:ind w:left="460" w:right="80"/>
        <w:spacing w:after="0" w:line="256" w:lineRule="auto"/>
        <w:rPr>
          <w:rFonts w:ascii="Arial" w:cs="Arial" w:eastAsia="Arial" w:hAnsi="Arial"/>
          <w:sz w:val="16"/>
          <w:szCs w:val="16"/>
          <w:color w:val="auto"/>
        </w:rPr>
      </w:pPr>
      <w:r>
        <w:rPr>
          <w:rFonts w:ascii="Arial" w:cs="Arial" w:eastAsia="Arial" w:hAnsi="Arial"/>
          <w:sz w:val="18"/>
          <w:szCs w:val="18"/>
          <w:color w:val="auto"/>
        </w:rPr>
        <w:t>In addition, provided the supplier has expanded its manufacturing capacity in accordance with the agreement, the supplier may terminate the agreement in the event that (i) Amarin does not receive marketing approval for AMR101 in the United States on or before December 31, 2014 or (ii) in the event that Amarin abandons development of AMR101 for hypertriglyceridemia in the United States. In either case, Amarin will be required to reimburse the supplier for certain costs incurred by the supplier in connection with 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manufacturing expansion, less the amount of profit received as a result of purchases of ethyl-EPA by Amarin, not to exceed $5.0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addition to the obligations in the table above, we have approximately $0.5 million of gross liability for uncertain tax positions that have been recorded as liabilities at December 31, 2010. We are not able to reasonably estimate in which future periods these amounts will ultimately be settled.</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above table does not reflect our contract with Medpace for the conduct of our two registration trials for AMR101. We anticipate paying an additional $9.0 million to Medpace in 2011 prior to the completion of this contract, of which approximately $3.0 was included in accounts payable and accrued liabilities at December 31, 2010.</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may incur some capital costs from time-to-time to support our office facilities. In 2011 we expect to rent office space in New Jersey to establish our U.S. sales and marketing headquarters.</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2010, we amended our contract with a third-party manufacturer and we anticipate incurring certain costs associated with the qualification of product produced by this manufacturer. In an effort to further expand production capacity at this manufacturer or through the addition of supplemental manufacturers, we may make capital commitments to support their expansion, particularly if such commitments further reduce the cost to us of the manufactured product.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Under our 2004 share repurchase agreement with Laxdale Limited, in connection with commercialization of AMR101 for cardiovascular indications, prior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 of 2012 we are required to pay potential royalties of 1% royalty on net sales up to £100 million ($162.0 million); 0.5% for net sales between £100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($162.0 million) and £500 million; and 0.25% for sales in excess of £500 million ($810.0 million). In addition, upon receipt of marketing approval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and/or Europe for the first indication for AMR101 (or any product containing Amarin Neuroscience intellectual property acquired from Laxdale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2004), we must make an aggregate stock or cash payment (at the sole option of each of the sellers) of £7.5 million ($12.2 million) for each of the two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approvals (i.e. £15.0 million maximum, or $24.3 million). In addition, upon receipt of a marketing approval in the United States or Europe for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using Amarin Neuroscience intellectual property or for a different indication of a previously approved product, we must make an aggregate stock or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(at the sole option of each of the sellers) of £5.0 million ($8.1 million) for each of the two potential market approvals (i.e. £10.0 million maximum,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$16.2 million). We were previously subject to a potential 7% royalty payable to Scarista Limited. In November 2010 we reached agreement with Scarista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we returned certain central nervous system-related intellectual property rights to Scarista and in return the potential royalty obligation was terminated.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 has been made for these contingencies at December 31,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on file with the SEC a universal shelf registration statement on Form F-3 (Registration No. 333-170505), which provides for the offer, from time to time, of common shares, preferred shares, or senior or subordinated debt securities up to an aggregate availability of approximately $150 million, or the equivalent denominated in foreign currencies. The SEC declared the shelf registration statement effective on November 23, 2010. In connection with our public offering in January 2011, we issued and sold 13.8 million American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Depositary Shares, or ADSs, each representing one share of our common stock. The price per each ADS in the offering was $7.60, which resulted in gross proceeds of $104.9 million and estimated net proceeds of $98.7 million.</w:t>
      </w:r>
    </w:p>
    <w:p>
      <w:pPr>
        <w:spacing w:after="0" w:line="132"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believe that having an effective shelf registration statement is prudent for providing us with financial flexibility. From time to time, including but not limited to after the filing of this Annual Report on Form 10-K, we may file a new shelf registration statement to increase our potential access to capital. The addition of these securities, if issued, into the market may be dilutive to existing stockholders and have an adverse effect on the price of our securities.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subject to fluctuations due to changes in the Euro and Sterling. The majority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vendor relationships, including our contract with our Medpace, are denominated in U.S. dollar. We therefore believe that the risk of a significant impact on our operating income from foreign currency fluctuations is not substantial.</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believe that we are not exposed to significant interest rate risk through market value fluctuations of balance sheet items (i.e. price risk) or</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2010, the fair value of our cash and cash equivalents maturing in one year or less was $31.4 million and represented 100% of our cash, cash equivalents and investment portfolio. A hypothetical 50 basis point increase in interest rates would not result in a material decrease or increase in the fair value of our securities due to the general short-term nature of our investment portfolio. At December 31, 2010, 2009 and 2008 there was no outstanding debt.</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record as a liability the fair value of warrants to purchase 31.0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stock ($9.02 based on the $8.20 market price of our stock at December 31, 2010) on which the December 31, 2010 valuation was based, the value would have increased by $24.3 million. Such increase would have been reflected as additional loss on revaluation of the warrant liability in our statement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are annexed to this report beginning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4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As of December 31, 2010,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2010, our disclosure controls and procedures were not effective at the reasonable assurance level, due to the material weakness in our internal control over financial reporting described below.</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Notwithstanding the identified material weakness, management believes the consolidated financial statements included in this Annual Report on Form 10-K fairly present in all material respects our financial condition, results of operations and cash flows at and for the periods presented in accordance with U.S.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5"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as of December 31, 2010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related COSO guidance. Based on our evaluation under this framework, our management identified a material weakness in internal control over financial reporting as of December 31, 2010.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Because of the continued existence of a previously identified material weakness, as further described below, our management concluded that our internal control over financial reporting was not effective as of December 31, 2010.</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previously disclosed in our Annual Report on Form 20-F filed on June 25, 2010 for the year ended December 31, 2009, under the supervision and with the participation of our management, including our principal executive officer and principal financial officer, management concluded that as of December 31, 2009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Accordingly, management determined that this control deficiency constituted a material weakness.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assessment of the effectiveness of our internal control over financial reporting as of December 31, 2010 has been audited by Deloitte &amp; Touche LLP, an independent registered public accounting firm, as stated in their report, which is set forth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2010, including the quarter ended December 31, 2010, there have not been any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 other than as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 response to the material weakness described above, management, with the input, oversight, and support of the Audit Committee, identified and took the following steps beginning during the second half of 2010 and which continued into 2011: non ordinary course transactions are considered and evaluated by senior finance management; we continue to prepare accounting position papers for all complex transactions; and where appropriate, management seeks the advice of outside consultants on accounting matters related to the application of U.S. GAAP to complex, non-ordinary course transactions and in other instances as warranted. In addition, as a result of the relocation of the accounting functions from Dublin, Ireland to our Mystic, CT offices during 2010, we hired new accounting personnel, implemented new controls over financial reporting, implemented new accounting software, and use the assistance of outside professionals as warranted to ensure that data and reports can be relied upon for the purpose of accurately and timely recording transactions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Amarin Corporation plc and subsidiaries (the “Company”)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40" w:lineRule="exact"/>
        <w:rPr>
          <w:sz w:val="20"/>
          <w:szCs w:val="20"/>
          <w:color w:val="auto"/>
        </w:rPr>
      </w:pPr>
    </w:p>
    <w:p>
      <w:pPr>
        <w:ind w:left="460" w:right="420"/>
        <w:spacing w:after="0" w:line="332" w:lineRule="auto"/>
        <w:rPr>
          <w:sz w:val="20"/>
          <w:szCs w:val="20"/>
          <w:color w:val="auto"/>
        </w:rPr>
      </w:pPr>
      <w:r>
        <w:rPr>
          <w:rFonts w:ascii="Arial" w:cs="Arial" w:eastAsia="Arial" w:hAnsi="Arial"/>
          <w:sz w:val="16"/>
          <w:szCs w:val="16"/>
          <w:color w:val="auto"/>
        </w:rPr>
        <w:t>The Company did not maintain effective internal control over financial reporting relating to the technical expertise and review over the accounting for complex, non-routine transactions that could result in a material misstatement of the consolidated financial statements.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This material weakness was considered in determining the nature, timing, and extent of audit tests applied in our audit of the consolidated financial statements as of and for the year ended December 31, 2010, of the Company and this report does not affect our report on such financial statements.</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our opinion, because of the effect of the material weakness identified above on the achievement of the objectives of the control criteria, the Company has not maintained effective internal control over financial reporting as of December 31, 2010, based on the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2010 of the Company and our report dated March 16, 2011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We have been advised that a number of our directors and employees, including members of our senior management team, and investment funds associated with such persons, have entered into trading plans in accordance with Rule 10b5-1 and our policy governing transactions in our securities. We undertake no obligation to update or revise the information provided herein, including for revision or termination of an established trading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information required by Part III of Form 10-K is omitted from this report because we expect to file a definitive proxy statement for our 2011 Annual General Meeting of Shareholders within 120 days after the end of the fiscal year covered by this report, and the information included in such definitive proxy statement is incorporated herein by reference to the extent provided below.</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2011 Annual General Meeting of Shareholders.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t>
      </w:r>
      <w:r>
        <w:rPr>
          <w:rFonts w:ascii="Arial" w:cs="Arial" w:eastAsia="Arial" w:hAnsi="Arial"/>
          <w:sz w:val="18"/>
          <w:szCs w:val="18"/>
          <w:u w:val="single" w:color="auto"/>
          <w:color w:val="auto"/>
        </w:rPr>
        <w:t>www.amarincorp.com</w:t>
      </w:r>
      <w:r>
        <w:rPr>
          <w:rFonts w:ascii="Arial" w:cs="Arial" w:eastAsia="Arial" w:hAnsi="Arial"/>
          <w:sz w:val="18"/>
          <w:szCs w:val="18"/>
          <w:color w:val="auto"/>
        </w:rPr>
        <w:t>. Any waivers from or amendments to the code will be filed with the SEC on Form 8-K. You may also request a printed copy of the code, without charge, by writing to us at 12 Roosevelt Avenue, 3</w:t>
      </w:r>
      <w:r>
        <w:rPr>
          <w:rFonts w:ascii="Arial" w:cs="Arial" w:eastAsia="Arial" w:hAnsi="Arial"/>
          <w:sz w:val="11"/>
          <w:szCs w:val="11"/>
          <w:color w:val="auto"/>
        </w:rPr>
        <w:t>rd</w:t>
      </w:r>
      <w:r>
        <w:rPr>
          <w:rFonts w:ascii="Arial" w:cs="Arial" w:eastAsia="Arial" w:hAnsi="Arial"/>
          <w:sz w:val="18"/>
          <w:szCs w:val="18"/>
          <w:color w:val="auto"/>
        </w:rPr>
        <w:t xml:space="preserve"> Floor, Mystic, Connecticut 06355, Attn: Investor Relations.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2011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2011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2011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2011 Annual General Meeting of Shareholders. Such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Statements and Schedules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the financial statements on page F-1.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exhibits are incorporated by reference or filed as part of this report.</w:t>
      </w:r>
    </w:p>
    <w:p>
      <w:pPr>
        <w:sectPr>
          <w:pgSz w:w="11900" w:h="16838" w:orient="portrait"/>
          <w:cols w:equalWidth="0" w:num="1">
            <w:col w:w="10900"/>
          </w:cols>
          <w:pgMar w:left="240" w:top="459" w:right="75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580" w:type="dxa"/>
            <w:vAlign w:val="bottom"/>
          </w:tcPr>
          <w:p>
            <w:pPr>
              <w:spacing w:after="0"/>
              <w:rPr>
                <w:sz w:val="14"/>
                <w:szCs w:val="14"/>
                <w:color w:val="auto"/>
              </w:rPr>
            </w:pPr>
          </w:p>
        </w:tc>
      </w:tr>
      <w:tr>
        <w:trPr>
          <w:trHeight w:val="329"/>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Articles of Association of the Company</w:t>
            </w:r>
          </w:p>
        </w:tc>
      </w:tr>
      <w:tr>
        <w:trPr>
          <w:trHeight w:val="53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5"/>
              </w:rPr>
              <w:t>Form of Deposit Agreement, dated as of March 29,</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1993, among the Company, Citibank, N.A., as</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Depositary, and all holders from time to time of</w:t>
            </w:r>
          </w:p>
        </w:tc>
      </w:tr>
      <w:tr>
        <w:trPr>
          <w:trHeight w:val="222"/>
        </w:trPr>
        <w:tc>
          <w:tcPr>
            <w:tcW w:w="500" w:type="dxa"/>
            <w:vAlign w:val="bottom"/>
          </w:tcPr>
          <w:p>
            <w:pPr>
              <w:spacing w:after="0"/>
              <w:rPr>
                <w:sz w:val="19"/>
                <w:szCs w:val="19"/>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8"/>
              </w:rPr>
              <w:t>American Depositary Receipts issued thereunder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1"/>
              </w:rPr>
              <w:t>Amendment No. 1 to Deposit Agreement, dated as of</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89"/>
              </w:rPr>
              <w:t>October 8, 1998, among the Company, Citibank, N.A.,</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0"/>
              </w:rPr>
              <w:t>as Depositary, and all holders from time to time of the</w:t>
            </w:r>
          </w:p>
        </w:tc>
      </w:tr>
      <w:tr>
        <w:trPr>
          <w:trHeight w:val="222"/>
        </w:trPr>
        <w:tc>
          <w:tcPr>
            <w:tcW w:w="500" w:type="dxa"/>
            <w:vAlign w:val="bottom"/>
          </w:tcPr>
          <w:p>
            <w:pPr>
              <w:spacing w:after="0"/>
              <w:rPr>
                <w:sz w:val="19"/>
                <w:szCs w:val="19"/>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8"/>
              </w:rPr>
              <w:t>American Depositary Receipts issued thereunder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1"/>
              </w:rPr>
              <w:t>Amendment No. 2 to Deposit Agreement, dated as of</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2"/>
              </w:rPr>
              <w:t>September 25, 2002 among the Company, Citibank,</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1"/>
              </w:rPr>
              <w:t>N.A., as Depositary, and all holders from time to time</w:t>
            </w:r>
          </w:p>
        </w:tc>
      </w:tr>
      <w:tr>
        <w:trPr>
          <w:trHeight w:val="222"/>
        </w:trPr>
        <w:tc>
          <w:tcPr>
            <w:tcW w:w="500" w:type="dxa"/>
            <w:vAlign w:val="bottom"/>
          </w:tcPr>
          <w:p>
            <w:pPr>
              <w:spacing w:after="0"/>
              <w:rPr>
                <w:sz w:val="19"/>
                <w:szCs w:val="19"/>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87"/>
              </w:rPr>
              <w:t>of the American Depositary Receipts issued thereunder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Letter Agreement supplementing the Deposit</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3"/>
              </w:rPr>
              <w:t>Agreement, dated as of March 29, 2006, among the</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Company, Citibank, N.A., as Depositary, and all</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1"/>
              </w:rPr>
              <w:t>holders from time to time of the American Depositary</w:t>
            </w:r>
          </w:p>
        </w:tc>
      </w:tr>
      <w:tr>
        <w:trPr>
          <w:trHeight w:val="222"/>
        </w:trPr>
        <w:tc>
          <w:tcPr>
            <w:tcW w:w="500" w:type="dxa"/>
            <w:vAlign w:val="bottom"/>
          </w:tcPr>
          <w:p>
            <w:pPr>
              <w:spacing w:after="0"/>
              <w:rPr>
                <w:sz w:val="19"/>
                <w:szCs w:val="19"/>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Receipts issued thereunder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Letter Agreement supplementing the Deposit</w:t>
            </w:r>
          </w:p>
        </w:tc>
      </w:tr>
      <w:tr>
        <w:trPr>
          <w:trHeight w:val="216"/>
        </w:trPr>
        <w:tc>
          <w:tcPr>
            <w:tcW w:w="500" w:type="dxa"/>
            <w:vAlign w:val="bottom"/>
          </w:tcPr>
          <w:p>
            <w:pPr>
              <w:spacing w:after="0"/>
              <w:rPr>
                <w:sz w:val="18"/>
                <w:szCs w:val="18"/>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w w:val="96"/>
              </w:rPr>
              <w:t>Agreement, dated as of April 11, 2006, among the</w:t>
            </w:r>
          </w:p>
        </w:tc>
      </w:tr>
      <w:tr>
        <w:trPr>
          <w:trHeight w:val="222"/>
        </w:trPr>
        <w:tc>
          <w:tcPr>
            <w:tcW w:w="500" w:type="dxa"/>
            <w:vAlign w:val="bottom"/>
          </w:tcPr>
          <w:p>
            <w:pPr>
              <w:spacing w:after="0"/>
              <w:rPr>
                <w:sz w:val="19"/>
                <w:szCs w:val="19"/>
                <w:color w:val="auto"/>
              </w:rPr>
            </w:pPr>
          </w:p>
        </w:tc>
        <w:tc>
          <w:tcPr>
            <w:tcW w:w="4460" w:type="dxa"/>
            <w:vAlign w:val="bottom"/>
            <w:gridSpan w:val="3"/>
          </w:tcPr>
          <w:p>
            <w:pPr>
              <w:ind w:left="580"/>
              <w:spacing w:after="0"/>
              <w:rPr>
                <w:sz w:val="20"/>
                <w:szCs w:val="20"/>
                <w:color w:val="auto"/>
              </w:rPr>
            </w:pPr>
            <w:r>
              <w:rPr>
                <w:rFonts w:ascii="Arial" w:cs="Arial" w:eastAsia="Arial" w:hAnsi="Arial"/>
                <w:sz w:val="18"/>
                <w:szCs w:val="18"/>
                <w:color w:val="auto"/>
              </w:rPr>
              <w:t>Company, Citibank, N.A., as Depositary, and all</w:t>
            </w:r>
          </w:p>
        </w:tc>
      </w:tr>
    </w:tbl>
    <w:p>
      <w:pPr>
        <w:ind w:left="1080" w:right="100"/>
        <w:spacing w:after="0" w:line="261" w:lineRule="auto"/>
        <w:rPr>
          <w:sz w:val="20"/>
          <w:szCs w:val="20"/>
          <w:color w:val="auto"/>
        </w:rPr>
      </w:pPr>
      <w:r>
        <w:rPr>
          <w:rFonts w:ascii="Arial" w:cs="Arial" w:eastAsia="Arial" w:hAnsi="Arial"/>
          <w:sz w:val="18"/>
          <w:szCs w:val="18"/>
          <w:color w:val="auto"/>
        </w:rPr>
        <w:t>holders from time to time of the American Depositary Receipts issued thereunder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3"/>
              </w:rPr>
              <w:t>Form</w:t>
            </w:r>
          </w:p>
        </w:tc>
        <w:tc>
          <w:tcPr>
            <w:tcW w:w="8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Date</w:t>
            </w:r>
          </w:p>
        </w:tc>
        <w:tc>
          <w:tcPr>
            <w:tcW w:w="300" w:type="dxa"/>
            <w:vAlign w:val="bottom"/>
          </w:tcPr>
          <w:p>
            <w:pPr>
              <w:spacing w:after="0"/>
              <w:rPr>
                <w:sz w:val="12"/>
                <w:szCs w:val="12"/>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Registration Statement on Form F-3, File No. 170505,</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w w:val="88"/>
              </w:rPr>
              <w:t>November 10, 2010</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as Exhibit 3.1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w w:val="95"/>
              </w:rPr>
              <w:t>February 11, 1993</w:t>
            </w: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58160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6"/>
              </w:rPr>
              <w:t>Registration Statement on Post-Effective Amendment</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w w:val="85"/>
              </w:rPr>
              <w:t>September 26, 2002</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w w:val="99"/>
              </w:rPr>
              <w:t>No. 1 to Form F-6, File No. 333-5946, as Exhibit (a)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(ii)</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6"/>
              </w:rPr>
              <w:t>Registration Statement on Post-Effective Amendment</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w w:val="88"/>
              </w:rPr>
              <w:t>November 28, 2007</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No. 2 to Form F-6, File No. 333-147660, as Exhibit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(a)(ii)</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F-6, File No. 333-</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w w:val="88"/>
              </w:rPr>
              <w:t>November 28, 2007</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147660, as Exhibit (b)(iii)</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F-6, File No. 333-</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w w:val="88"/>
              </w:rPr>
              <w:t>November 28, 2007</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147660, as Exhibit (b)(ii)</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013"/>
        </w:trPr>
        <w:tc>
          <w:tcPr>
            <w:tcW w:w="1760" w:type="dxa"/>
            <w:vAlign w:val="bottom"/>
          </w:tcPr>
          <w:p>
            <w:pPr>
              <w:ind w:lef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2">
            <w:col w:w="4960" w:space="360"/>
            <w:col w:w="5580"/>
          </w:cols>
          <w:pgMar w:left="240" w:top="459" w:right="7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23"/>
        </w:trPr>
        <w:tc>
          <w:tcPr>
            <w:tcW w:w="500" w:type="dxa"/>
            <w:vAlign w:val="bottom"/>
          </w:tcPr>
          <w:p>
            <w:pPr>
              <w:ind w:left="100"/>
              <w:spacing w:after="0"/>
              <w:rPr>
                <w:sz w:val="20"/>
                <w:szCs w:val="20"/>
                <w:color w:val="auto"/>
              </w:rPr>
            </w:pPr>
            <w:r>
              <w:rPr>
                <w:rFonts w:ascii="Arial" w:cs="Arial" w:eastAsia="Arial" w:hAnsi="Arial"/>
                <w:sz w:val="18"/>
                <w:szCs w:val="18"/>
                <w:color w:val="auto"/>
              </w:rPr>
              <w:t>4.6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supplementing the Deposit Agreement,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7"/>
              </w:rPr>
              <w:t>dated as of October 16, 2007, among the Company,</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Citibank, N.A., as Depositary, and all holders from time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to time of the American Depositary Receipts issued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supplementing the Deposit Agreement,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5"/>
              </w:rPr>
              <w:t>dated as of December 5, 2007, among the Company,</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Citibank, N.A., as Depositary, and all holders from time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to time of the American Depositary Receipts issued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supplementing the Deposit Agreement,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dated as of May 16, 2008, among the Company, Citibank,</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N.A., as Depositary, and all holders from time to time of</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5"/>
              </w:rPr>
              <w:t>the American Depositary Receipts issued thereunder</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4.9</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supplementing the Deposit Agreement,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dated as of August 5, 2009, among the Company,</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Citibank, N.A., as Depositary, and all holders from time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to time of the American Depositary Receipts issued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4.10</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supplementing the Deposit Agreement,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dated as of October 7, 2009, among the Company,</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Citibank, N.A., as Depositary, and all holders from time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to time of the American Depositary Receipts issued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supplementing the Deposit Agreement,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7"/>
              </w:rPr>
              <w:t>dated as of October 15, 2009, among the Company,</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Citibank, N.A., as Depositary, and all holders from time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to time of the American Depositary Receipts issued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thereunder</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4.12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Form of Ordinary Share certificate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F-6, File No. 333-</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87"/>
              </w:rPr>
              <w:t>November 28,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147660, as Exhibit (b)(i)</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-1087120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F-6, File No. 333-</w:t>
      </w:r>
      <w:r>
        <w:rPr>
          <w:sz w:val="20"/>
          <w:szCs w:val="20"/>
          <w:color w:val="auto"/>
        </w:rPr>
        <w:tab/>
      </w:r>
      <w:r>
        <w:rPr>
          <w:rFonts w:ascii="Arial" w:cs="Arial" w:eastAsia="Arial" w:hAnsi="Arial"/>
          <w:sz w:val="15"/>
          <w:szCs w:val="15"/>
          <w:color w:val="auto"/>
        </w:rPr>
        <w:t>January 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171573, as Exhibit (b)(v)</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F-6, File No. 333-</w:t>
      </w:r>
      <w:r>
        <w:rPr>
          <w:sz w:val="20"/>
          <w:szCs w:val="20"/>
          <w:color w:val="auto"/>
        </w:rPr>
        <w:tab/>
      </w:r>
      <w:r>
        <w:rPr>
          <w:rFonts w:ascii="Arial" w:cs="Arial" w:eastAsia="Arial" w:hAnsi="Arial"/>
          <w:sz w:val="15"/>
          <w:szCs w:val="15"/>
          <w:color w:val="auto"/>
        </w:rPr>
        <w:t>January 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171573, as Exhibit (b)(iv)</w:t>
      </w:r>
    </w:p>
    <w:p>
      <w:pPr>
        <w:spacing w:after="0" w:line="200" w:lineRule="exact"/>
        <w:rPr>
          <w:sz w:val="20"/>
          <w:szCs w:val="20"/>
          <w:color w:val="auto"/>
        </w:rPr>
      </w:pPr>
    </w:p>
    <w:p>
      <w:pPr>
        <w:spacing w:after="0" w:line="343"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F-6, File No. 333-</w:t>
      </w:r>
      <w:r>
        <w:rPr>
          <w:sz w:val="20"/>
          <w:szCs w:val="20"/>
          <w:color w:val="auto"/>
        </w:rPr>
        <w:tab/>
      </w:r>
      <w:r>
        <w:rPr>
          <w:rFonts w:ascii="Arial" w:cs="Arial" w:eastAsia="Arial" w:hAnsi="Arial"/>
          <w:sz w:val="15"/>
          <w:szCs w:val="15"/>
          <w:color w:val="auto"/>
        </w:rPr>
        <w:t>January 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171573, as Exhibit (b)(iii)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F-6, File No. 333-</w:t>
      </w:r>
      <w:r>
        <w:rPr>
          <w:sz w:val="20"/>
          <w:szCs w:val="20"/>
          <w:color w:val="auto"/>
        </w:rPr>
        <w:tab/>
      </w:r>
      <w:r>
        <w:rPr>
          <w:rFonts w:ascii="Arial" w:cs="Arial" w:eastAsia="Arial" w:hAnsi="Arial"/>
          <w:sz w:val="15"/>
          <w:szCs w:val="15"/>
          <w:color w:val="auto"/>
        </w:rPr>
        <w:t>January 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171573, as Exhibit (b)(ii)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F-6, File No. 333-</w:t>
      </w:r>
      <w:r>
        <w:rPr>
          <w:sz w:val="20"/>
          <w:szCs w:val="20"/>
          <w:color w:val="auto"/>
        </w:rPr>
        <w:tab/>
      </w:r>
      <w:r>
        <w:rPr>
          <w:rFonts w:ascii="Arial" w:cs="Arial" w:eastAsia="Arial" w:hAnsi="Arial"/>
          <w:sz w:val="15"/>
          <w:szCs w:val="15"/>
          <w:color w:val="auto"/>
        </w:rPr>
        <w:t>January 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171573, as Exhibit (b)(i)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20-F for the year ended</w:t>
      </w:r>
      <w:r>
        <w:rPr>
          <w:sz w:val="20"/>
          <w:szCs w:val="20"/>
          <w:color w:val="auto"/>
        </w:rPr>
        <w:tab/>
      </w:r>
      <w:r>
        <w:rPr>
          <w:rFonts w:ascii="Arial" w:cs="Arial" w:eastAsia="Arial" w:hAnsi="Arial"/>
          <w:sz w:val="16"/>
          <w:szCs w:val="16"/>
          <w:color w:val="auto"/>
        </w:rPr>
        <w:t>April 24,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2002, as Exhibit 2.4</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5020" w:space="260"/>
            <w:col w:w="5600"/>
          </w:cols>
          <w:pgMar w:left="240" w:top="459" w:right="7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29"/>
        </w:trPr>
        <w:tc>
          <w:tcPr>
            <w:tcW w:w="500" w:type="dxa"/>
            <w:vAlign w:val="bottom"/>
          </w:tcPr>
          <w:p>
            <w:pPr>
              <w:ind w:left="100"/>
              <w:spacing w:after="0"/>
              <w:rPr>
                <w:sz w:val="20"/>
                <w:szCs w:val="20"/>
                <w:color w:val="auto"/>
              </w:rPr>
            </w:pPr>
            <w:r>
              <w:rPr>
                <w:rFonts w:ascii="Arial" w:cs="Arial" w:eastAsia="Arial" w:hAnsi="Arial"/>
                <w:sz w:val="18"/>
                <w:szCs w:val="18"/>
                <w:color w:val="auto"/>
              </w:rPr>
              <w:t>4.13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Form of American Depositary Receipt evidencing ADSs</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 Company 2002 Stock Option Plan</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Sale and Purchase Agreement, dated March 14, 2003,</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between F. Hoffmann-La Roche Limited, Hoffmann-La</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Roche Inc., and the 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Share Purchase Agreement, dated October 8, 2004</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between the Company, Vida Capital Partners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 Vendors named therein</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Agreement, dated January 18, 2007, between Neurostat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Pharmaceuticals Inc., Amarin Pharmaceuticals Ireland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Limited, the Company and Mr. Tim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9"/>
              </w:rPr>
              <w:t>Lease Agreement, dated January 22, 2007, between the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Company, Amarin Pharmaceuticals Ireland Limited and</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Mr. David Colgan, Mr. Philip Monaghan, Mr. Finian</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McDonnell and Mr. Patrick Ryan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4"/>
              </w:rPr>
              <w:t>Development and License Agreement dated March 6,</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2007 between Amarin Pharmaceuticals Ireland Limited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and Elan Pharma International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Form of Purchase Agreement, dated June 1, 2007,</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between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Form of Equity Securities Purchase Agreement for U.S.</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F-6,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January 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171573, as Exhibit (a)(i)</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2006, as Exhibit 4.17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April 24, 2003</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21, 2002, as Exhibit 4.22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20, 2004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121431, as Exhibit 4.24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2007, as Exhibit 4.62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2006, as Exhibit 4.71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2007, as Exhibit 4.67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2007, as Exhibit 4.69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Report of Foreign Private Issuer filed on Form 6-K, as</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99.5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4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-5032375</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20" w:space="260"/>
            <w:col w:w="5580"/>
          </w:cols>
          <w:pgMar w:left="240" w:top="459" w:right="7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6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1"/>
              </w:rPr>
              <w:t>Form of Equity Securities Purchase Agreement for Non-</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0"/>
              </w:rPr>
              <w:t>U.S. Purchasers, dated December 4, 2007, between the</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7"/>
              </w:rPr>
              <w:t>Form of Debt Securities Purchase Agreement, dated</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December 4, 2007, between the Company and the</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Stock Purchase Agreement, dated December 5, 2007,</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0"/>
              </w:rPr>
              <w:t>between the Company, the selling shareholders of Ester</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Neurosciences Limited, Ester Neurosciences Limited 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Medica II Management L.P.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dated December 6, 2007, between the</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Company and the Sellers’ Representative of the selling</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shareholders of Ester Neurosciences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1"/>
              </w:rPr>
              <w:t>Amendment No. 1 to Stock Purchase Agreement, dated</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April 7, 2008, between the Company and Medica II</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Management 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5"/>
              </w:rPr>
              <w:t>Securities Purchase Agreement, dated May 12, 2008,</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0"/>
              </w:rPr>
              <w:t>among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1"/>
              </w:rPr>
              <w:t>Form of Securities Purchase Agreement, dated May 13,</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2008, between the Company and the Purchasers named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therein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Amendment and Waiver Agreement, dated May 25, 2009,</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between Ester Neurosciences Limited, Medica II</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Management L.P. and the 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1"/>
              </w:rPr>
              <w:t>Termination and Assignment Agreement, dated July 21,</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5"/>
              </w:rPr>
              <w:t>2009 between Elan Pharma International Limited 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Bridge Loan Agreement, dated July 31, 2009 between the</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Company and the Lenders identified 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Report of Foreign Private Issuer filed on Form 6-K, as</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99.6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Report of Foreign Private Issuer filed on Form 6-K, as</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99.7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Report of Foreign Private Issuer filed on Form 6-K, as</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January 28,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Report of Foreign Private Issuer filed on Form 6-K, as</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9"/>
              </w:rPr>
              <w:t>February 1,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2007, as Exhibit 4.79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2008, as Exhibit 4.80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2007, as Exhibit 4.81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20-F/A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December 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2008, as Exhibit 4.88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2008, as Exhibit 4.90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2008, as Exhibit 4.93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4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-5640705</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40" w:space="240"/>
            <w:col w:w="5580"/>
          </w:cols>
          <w:pgMar w:left="240" w:top="459" w:right="7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2660" w:val="left"/>
        </w:tabs>
        <w:rPr>
          <w:sz w:val="20"/>
          <w:szCs w:val="20"/>
          <w:color w:val="auto"/>
        </w:rPr>
      </w:pPr>
      <w:r>
        <w:rPr>
          <w:rFonts w:ascii="Arial" w:cs="Arial" w:eastAsia="Arial" w:hAnsi="Arial"/>
          <w:sz w:val="12"/>
          <w:szCs w:val="12"/>
          <w:b w:val="1"/>
          <w:bCs w:val="1"/>
          <w:u w:val="single" w:color="auto"/>
          <w:color w:val="auto"/>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-633730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0</wp:posOffset>
            </wp:positionV>
            <wp:extent cx="13379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tabs>
          <w:tab w:leader="none" w:pos="3180" w:val="left"/>
        </w:tabs>
        <w:rPr>
          <w:sz w:val="20"/>
          <w:szCs w:val="20"/>
          <w:color w:val="auto"/>
        </w:rPr>
      </w:pPr>
      <w:r>
        <w:rPr>
          <w:rFonts w:ascii="Arial" w:cs="Arial" w:eastAsia="Arial" w:hAnsi="Arial"/>
          <w:sz w:val="11"/>
          <w:szCs w:val="11"/>
          <w:b w:val="1"/>
          <w:bCs w:val="1"/>
          <w:u w:val="single" w:color="auto"/>
          <w:color w:val="auto"/>
        </w:rPr>
        <w:t>Form</w:t>
      </w:r>
      <w:r>
        <w:rPr>
          <w:sz w:val="20"/>
          <w:szCs w:val="20"/>
          <w:color w:val="auto"/>
        </w:rPr>
        <w:tab/>
      </w:r>
      <w:r>
        <w:rPr>
          <w:rFonts w:ascii="Arial" w:cs="Arial" w:eastAsia="Arial" w:hAnsi="Arial"/>
          <w:sz w:val="11"/>
          <w:szCs w:val="11"/>
          <w:b w:val="1"/>
          <w:bCs w:val="1"/>
          <w:u w:val="single" w:color="auto"/>
          <w:color w:val="auto"/>
        </w:rPr>
        <w:t>Date</w:t>
      </w:r>
    </w:p>
    <w:p>
      <w:pPr>
        <w:spacing w:after="0" w:line="136" w:lineRule="exact"/>
        <w:rPr>
          <w:sz w:val="20"/>
          <w:szCs w:val="20"/>
          <w:color w:val="auto"/>
        </w:rPr>
      </w:pPr>
    </w:p>
    <w:p>
      <w:pPr>
        <w:sectPr>
          <w:pgSz w:w="11900" w:h="16838" w:orient="portrait"/>
          <w:cols w:equalWidth="0" w:num="2">
            <w:col w:w="6400" w:space="720"/>
            <w:col w:w="3740"/>
          </w:cols>
          <w:pgMar w:left="240" w:top="459" w:right="799" w:bottom="1440" w:gutter="0" w:footer="0" w:header="0"/>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10.19</w:t>
            </w: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Master Services Agreement, dated September 29, 2009,</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7"/>
              </w:rPr>
              <w:t>between Medpace Inc. and Amarin Pharma, Inc. and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Amarin Pharmaceuticals Ireland Limited</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10.20</w:t>
            </w:r>
          </w:p>
        </w:tc>
        <w:tc>
          <w:tcPr>
            <w:tcW w:w="4400" w:type="dxa"/>
            <w:vAlign w:val="bottom"/>
          </w:tcPr>
          <w:p>
            <w:pPr>
              <w:ind w:left="280"/>
              <w:spacing w:after="0"/>
              <w:rPr>
                <w:sz w:val="20"/>
                <w:szCs w:val="20"/>
                <w:color w:val="auto"/>
              </w:rPr>
            </w:pPr>
            <w:r>
              <w:rPr>
                <w:rFonts w:ascii="Arial" w:cs="Arial" w:eastAsia="Arial" w:hAnsi="Arial"/>
                <w:sz w:val="18"/>
                <w:szCs w:val="18"/>
                <w:color w:val="auto"/>
                <w:w w:val="89"/>
              </w:rPr>
              <w:t>Letter Agreement dated August 1, 2008 with Paresh Somi</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10.21</w:t>
            </w:r>
          </w:p>
        </w:tc>
        <w:tc>
          <w:tcPr>
            <w:tcW w:w="4400" w:type="dxa"/>
            <w:vAlign w:val="bottom"/>
          </w:tcPr>
          <w:p>
            <w:pPr>
              <w:ind w:left="280"/>
              <w:spacing w:after="0"/>
              <w:rPr>
                <w:sz w:val="20"/>
                <w:szCs w:val="20"/>
                <w:color w:val="auto"/>
              </w:rPr>
            </w:pPr>
            <w:r>
              <w:rPr>
                <w:rFonts w:ascii="Arial" w:cs="Arial" w:eastAsia="Arial" w:hAnsi="Arial"/>
                <w:sz w:val="18"/>
                <w:szCs w:val="18"/>
                <w:color w:val="auto"/>
                <w:w w:val="98"/>
              </w:rPr>
              <w:t>Amendment No. 1 to Bridge Loan Agreement, dated</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8"/>
              </w:rPr>
              <w:t>September 30, 2009, between the Company and the</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Lenders identified therein</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10.22</w:t>
            </w: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Letter of Termination to William Mason dated October 9,</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2009</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10.23</w:t>
            </w:r>
          </w:p>
        </w:tc>
        <w:tc>
          <w:tcPr>
            <w:tcW w:w="4400" w:type="dxa"/>
            <w:vAlign w:val="bottom"/>
          </w:tcPr>
          <w:p>
            <w:pPr>
              <w:ind w:left="280"/>
              <w:spacing w:after="0"/>
              <w:rPr>
                <w:sz w:val="20"/>
                <w:szCs w:val="20"/>
                <w:color w:val="auto"/>
              </w:rPr>
            </w:pPr>
            <w:r>
              <w:rPr>
                <w:rFonts w:ascii="Arial" w:cs="Arial" w:eastAsia="Arial" w:hAnsi="Arial"/>
                <w:sz w:val="18"/>
                <w:szCs w:val="18"/>
                <w:color w:val="auto"/>
                <w:w w:val="93"/>
              </w:rPr>
              <w:t>Letter of Termination to Anthony Russell-Roberts dated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October 9, 2009</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10.24</w:t>
            </w:r>
          </w:p>
        </w:tc>
        <w:tc>
          <w:tcPr>
            <w:tcW w:w="4400" w:type="dxa"/>
            <w:vAlign w:val="bottom"/>
          </w:tcPr>
          <w:p>
            <w:pPr>
              <w:ind w:left="280"/>
              <w:spacing w:after="0"/>
              <w:rPr>
                <w:sz w:val="20"/>
                <w:szCs w:val="20"/>
                <w:color w:val="auto"/>
              </w:rPr>
            </w:pPr>
            <w:r>
              <w:rPr>
                <w:rFonts w:ascii="Arial" w:cs="Arial" w:eastAsia="Arial" w:hAnsi="Arial"/>
                <w:sz w:val="18"/>
                <w:szCs w:val="18"/>
                <w:color w:val="auto"/>
                <w:w w:val="95"/>
              </w:rPr>
              <w:t>Letter of Termination to John Climax dated October 9,</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2009</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10.25</w:t>
            </w:r>
          </w:p>
        </w:tc>
        <w:tc>
          <w:tcPr>
            <w:tcW w:w="4400" w:type="dxa"/>
            <w:vAlign w:val="bottom"/>
          </w:tcPr>
          <w:p>
            <w:pPr>
              <w:ind w:left="280"/>
              <w:spacing w:after="0"/>
              <w:rPr>
                <w:sz w:val="20"/>
                <w:szCs w:val="20"/>
                <w:color w:val="auto"/>
              </w:rPr>
            </w:pPr>
            <w:r>
              <w:rPr>
                <w:rFonts w:ascii="Arial" w:cs="Arial" w:eastAsia="Arial" w:hAnsi="Arial"/>
                <w:sz w:val="18"/>
                <w:szCs w:val="18"/>
                <w:color w:val="auto"/>
                <w:w w:val="87"/>
              </w:rPr>
              <w:t>Form of Securities Purchase Agreement dated October 12,</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2009 between the Company and the Purchasers named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therein</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10.26</w:t>
            </w:r>
          </w:p>
        </w:tc>
        <w:tc>
          <w:tcPr>
            <w:tcW w:w="4400" w:type="dxa"/>
            <w:vAlign w:val="bottom"/>
          </w:tcPr>
          <w:p>
            <w:pPr>
              <w:ind w:left="280"/>
              <w:spacing w:after="0"/>
              <w:rPr>
                <w:sz w:val="20"/>
                <w:szCs w:val="20"/>
                <w:color w:val="auto"/>
              </w:rPr>
            </w:pPr>
            <w:r>
              <w:rPr>
                <w:rFonts w:ascii="Arial" w:cs="Arial" w:eastAsia="Arial" w:hAnsi="Arial"/>
                <w:sz w:val="18"/>
                <w:szCs w:val="18"/>
                <w:color w:val="auto"/>
                <w:w w:val="89"/>
              </w:rPr>
              <w:t>Letter Agreement dated October 12, 2009 with Dr. Declan</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Doogan</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10.27</w:t>
            </w:r>
          </w:p>
        </w:tc>
        <w:tc>
          <w:tcPr>
            <w:tcW w:w="4400" w:type="dxa"/>
            <w:vAlign w:val="bottom"/>
          </w:tcPr>
          <w:p>
            <w:pPr>
              <w:ind w:left="280"/>
              <w:spacing w:after="0"/>
              <w:rPr>
                <w:sz w:val="20"/>
                <w:szCs w:val="20"/>
                <w:color w:val="auto"/>
              </w:rPr>
            </w:pPr>
            <w:r>
              <w:rPr>
                <w:rFonts w:ascii="Arial" w:cs="Arial" w:eastAsia="Arial" w:hAnsi="Arial"/>
                <w:sz w:val="18"/>
                <w:szCs w:val="18"/>
                <w:color w:val="auto"/>
                <w:w w:val="90"/>
              </w:rPr>
              <w:t>Letter Agreement dated October 12, 2009 with Joseph S.</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Zakrzewski</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10.28</w:t>
            </w:r>
          </w:p>
        </w:tc>
        <w:tc>
          <w:tcPr>
            <w:tcW w:w="4400" w:type="dxa"/>
            <w:vAlign w:val="bottom"/>
          </w:tcPr>
          <w:p>
            <w:pPr>
              <w:ind w:left="280"/>
              <w:spacing w:after="0"/>
              <w:rPr>
                <w:sz w:val="20"/>
                <w:szCs w:val="20"/>
                <w:color w:val="auto"/>
              </w:rPr>
            </w:pPr>
            <w:r>
              <w:rPr>
                <w:rFonts w:ascii="Arial" w:cs="Arial" w:eastAsia="Arial" w:hAnsi="Arial"/>
                <w:sz w:val="18"/>
                <w:szCs w:val="18"/>
                <w:color w:val="auto"/>
                <w:w w:val="93"/>
              </w:rPr>
              <w:t>Amendment Agreement dated October 12, 2009, to the</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6"/>
              </w:rPr>
              <w:t>Form of Equity Securities Purchase Agreement dated</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0"/>
              </w:rPr>
              <w:t>May 13, 2008 between the Company and the Purchasers</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named therein</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10.29</w:t>
            </w:r>
          </w:p>
        </w:tc>
        <w:tc>
          <w:tcPr>
            <w:tcW w:w="4400" w:type="dxa"/>
            <w:vAlign w:val="bottom"/>
          </w:tcPr>
          <w:p>
            <w:pPr>
              <w:ind w:left="280"/>
              <w:spacing w:after="0"/>
              <w:rPr>
                <w:sz w:val="20"/>
                <w:szCs w:val="20"/>
                <w:color w:val="auto"/>
              </w:rPr>
            </w:pPr>
            <w:r>
              <w:rPr>
                <w:rFonts w:ascii="Arial" w:cs="Arial" w:eastAsia="Arial" w:hAnsi="Arial"/>
                <w:sz w:val="18"/>
                <w:szCs w:val="18"/>
                <w:color w:val="auto"/>
              </w:rPr>
              <w:t>Compromise Agreement, dated October 16, 2009,</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between the Company and Alan Cooke</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10.30</w:t>
            </w:r>
          </w:p>
        </w:tc>
        <w:tc>
          <w:tcPr>
            <w:tcW w:w="4400" w:type="dxa"/>
            <w:vAlign w:val="bottom"/>
          </w:tcPr>
          <w:p>
            <w:pPr>
              <w:ind w:left="280"/>
              <w:spacing w:after="0"/>
              <w:rPr>
                <w:sz w:val="20"/>
                <w:szCs w:val="20"/>
                <w:color w:val="auto"/>
              </w:rPr>
            </w:pPr>
            <w:r>
              <w:rPr>
                <w:rFonts w:ascii="Arial" w:cs="Arial" w:eastAsia="Arial" w:hAnsi="Arial"/>
                <w:sz w:val="18"/>
                <w:szCs w:val="18"/>
                <w:color w:val="auto"/>
                <w:w w:val="88"/>
              </w:rPr>
              <w:t>Warrant Agreement, dated October 16, 2009, between the</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Company and Thomas G. Lynch</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10.31</w:t>
            </w:r>
          </w:p>
        </w:tc>
        <w:tc>
          <w:tcPr>
            <w:tcW w:w="4400" w:type="dxa"/>
            <w:vAlign w:val="bottom"/>
          </w:tcPr>
          <w:p>
            <w:pPr>
              <w:ind w:left="280"/>
              <w:spacing w:after="0"/>
              <w:rPr>
                <w:sz w:val="20"/>
                <w:szCs w:val="20"/>
                <w:color w:val="auto"/>
              </w:rPr>
            </w:pPr>
            <w:r>
              <w:rPr>
                <w:rFonts w:ascii="Arial" w:cs="Arial" w:eastAsia="Arial" w:hAnsi="Arial"/>
                <w:sz w:val="18"/>
                <w:szCs w:val="18"/>
                <w:color w:val="auto"/>
                <w:w w:val="93"/>
              </w:rPr>
              <w:t>Letter Agreement dated October 16, 2009 with Thomas</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G. Lynch</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10.32</w:t>
            </w:r>
          </w:p>
        </w:tc>
        <w:tc>
          <w:tcPr>
            <w:tcW w:w="4400" w:type="dxa"/>
            <w:vAlign w:val="bottom"/>
          </w:tcPr>
          <w:p>
            <w:pPr>
              <w:ind w:left="280"/>
              <w:spacing w:after="0"/>
              <w:rPr>
                <w:sz w:val="20"/>
                <w:szCs w:val="20"/>
                <w:color w:val="auto"/>
              </w:rPr>
            </w:pPr>
            <w:r>
              <w:rPr>
                <w:rFonts w:ascii="Arial" w:cs="Arial" w:eastAsia="Arial" w:hAnsi="Arial"/>
                <w:sz w:val="18"/>
                <w:szCs w:val="18"/>
                <w:color w:val="auto"/>
              </w:rPr>
              <w:t>Management Rights Deed of Agreement dated</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October 16, 2009 by and among the Company and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Purchasers named therein</w:t>
            </w:r>
          </w:p>
        </w:tc>
      </w:tr>
    </w:tbl>
    <w:p>
      <w:pPr>
        <w:spacing w:after="0" w:line="20" w:lineRule="exact"/>
        <w:rPr>
          <w:sz w:val="20"/>
          <w:szCs w:val="20"/>
          <w:color w:val="auto"/>
        </w:rPr>
      </w:pPr>
      <w:r>
        <w:rPr>
          <w:sz w:val="20"/>
          <w:szCs w:val="20"/>
          <w:color w:val="auto"/>
        </w:rPr>
        <w:br w:type="column"/>
      </w:r>
    </w:p>
    <w:p>
      <w:pPr>
        <w:ind w:right="200"/>
        <w:spacing w:after="0" w:line="332" w:lineRule="auto"/>
        <w:rPr>
          <w:sz w:val="20"/>
          <w:szCs w:val="20"/>
          <w:color w:val="auto"/>
        </w:rPr>
      </w:pPr>
      <w:r>
        <w:rPr>
          <w:rFonts w:ascii="Arial" w:cs="Arial" w:eastAsia="Arial" w:hAnsi="Arial"/>
          <w:sz w:val="16"/>
          <w:szCs w:val="16"/>
          <w:color w:val="auto"/>
        </w:rPr>
        <w:t>Annual Report on Form 20-F for the year ended December 31, 2008, as Exhibit 4.92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Registration Statement on Form F-1, File No. 333-163704, as Exhibit 4.98</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Registration Statement on Form F-1, File No. 333-163704, as Exhibit 4.99</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Registration Statement on Form F-1, File No. 333-163704, as Exhibit 4.100</w:t>
      </w:r>
    </w:p>
    <w:p>
      <w:pPr>
        <w:spacing w:after="0" w:line="7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Annual Report on Form 20-F for the year ended December 31, 2008, as Exhibit 4.94</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Registration Statement on Form F-1, File No. 333-163704, as Exhibit 4.101</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Registration Statement on Form F-1, File No. 333-163704, as Exhibit 4.102</w:t>
      </w:r>
    </w:p>
    <w:p>
      <w:pPr>
        <w:spacing w:after="0" w:line="7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Annual Report on Form 20-F for the year ended December 31, 2008, as Exhibit 4.97</w:t>
      </w:r>
    </w:p>
    <w:p>
      <w:pPr>
        <w:spacing w:after="0" w:line="200" w:lineRule="exact"/>
        <w:rPr>
          <w:sz w:val="20"/>
          <w:szCs w:val="20"/>
          <w:color w:val="auto"/>
        </w:rPr>
      </w:pPr>
    </w:p>
    <w:p>
      <w:pPr>
        <w:spacing w:after="0" w:line="26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Annual Report on Form 20-F for the year ended December 31, 2008, as Exhibit 4.95</w:t>
      </w:r>
    </w:p>
    <w:p>
      <w:pPr>
        <w:spacing w:after="0" w:line="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Annual Report on Form 20-F for the year ended December 31, 2008, as Exhibit 4.96</w:t>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Registration Statement on Form F-1, File No. 333-163704, as Exhibit 4.103</w:t>
      </w:r>
    </w:p>
    <w:p>
      <w:pPr>
        <w:spacing w:after="0" w:line="7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Annual Report on Form 20-F for the year ended December 31, 2009, as Exhibit 4.100</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22,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June 25, 2010</w:t>
      </w:r>
    </w:p>
    <w:p>
      <w:pPr>
        <w:sectPr>
          <w:pgSz w:w="11900" w:h="16838" w:orient="portrait"/>
          <w:cols w:equalWidth="0" w:num="3">
            <w:col w:w="5080" w:space="200"/>
            <w:col w:w="3580" w:space="620"/>
            <w:col w:w="1380"/>
          </w:cols>
          <w:pgMar w:left="240" w:top="459" w:right="79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9"/>
        </w:trPr>
        <w:tc>
          <w:tcPr>
            <w:tcW w:w="5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Description</w:t>
            </w:r>
          </w:p>
        </w:tc>
        <w:tc>
          <w:tcPr>
            <w:tcW w:w="3740" w:type="dxa"/>
            <w:vAlign w:val="bottom"/>
          </w:tcPr>
          <w:p>
            <w:pPr>
              <w:spacing w:after="0"/>
              <w:rPr>
                <w:sz w:val="11"/>
                <w:szCs w:val="11"/>
                <w:color w:val="auto"/>
              </w:rPr>
            </w:pPr>
          </w:p>
        </w:tc>
        <w:tc>
          <w:tcPr>
            <w:tcW w:w="2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4"/>
                <w:szCs w:val="14"/>
                <w:b w:val="1"/>
                <w:bCs w:val="1"/>
                <w:color w:val="auto"/>
                <w:w w:val="85"/>
              </w:rPr>
              <w:t>Date</w:t>
            </w:r>
          </w:p>
        </w:tc>
      </w:tr>
      <w:tr>
        <w:trPr>
          <w:trHeight w:val="27"/>
        </w:trPr>
        <w:tc>
          <w:tcPr>
            <w:tcW w:w="50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r>
    </w:tbl>
    <w:p>
      <w:pPr>
        <w:spacing w:after="0" w:line="100" w:lineRule="exact"/>
        <w:rPr>
          <w:sz w:val="20"/>
          <w:szCs w:val="20"/>
          <w:color w:val="auto"/>
        </w:rPr>
      </w:pPr>
    </w:p>
    <w:p>
      <w:pPr>
        <w:sectPr>
          <w:pgSz w:w="11900" w:h="16838" w:orient="portrait"/>
          <w:cols w:equalWidth="0" w:num="1">
            <w:col w:w="10880"/>
          </w:cols>
          <w:pgMar w:left="240" w:top="459" w:right="779" w:bottom="1440" w:gutter="0" w:footer="0" w:header="0"/>
        </w:sectPr>
      </w:pPr>
    </w:p>
    <w:p>
      <w:pPr>
        <w:ind w:left="960" w:right="200" w:hanging="958"/>
        <w:spacing w:after="0" w:line="268" w:lineRule="auto"/>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Employment Agreement dated November 5, 2009 with John F. Thero</w:t>
      </w:r>
    </w:p>
    <w:p>
      <w:pPr>
        <w:spacing w:after="0" w:line="78" w:lineRule="exact"/>
        <w:rPr>
          <w:sz w:val="20"/>
          <w:szCs w:val="20"/>
          <w:color w:val="auto"/>
        </w:rPr>
      </w:pPr>
    </w:p>
    <w:p>
      <w:pPr>
        <w:jc w:val="both"/>
        <w:ind w:left="960" w:hanging="958"/>
        <w:spacing w:after="0" w:line="335" w:lineRule="auto"/>
        <w:tabs>
          <w:tab w:leader="none" w:pos="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Amendment No. 1, dated December 2, 2009, to Securities Purchase Agreement dated October 12, 2009 between the Company and the Purchasers named therein</w:t>
      </w:r>
    </w:p>
    <w:p>
      <w:pPr>
        <w:spacing w:after="0" w:line="20" w:lineRule="exact"/>
        <w:rPr>
          <w:sz w:val="20"/>
          <w:szCs w:val="20"/>
          <w:color w:val="auto"/>
        </w:rPr>
      </w:pPr>
      <w:r>
        <w:rPr>
          <w:sz w:val="20"/>
          <w:szCs w:val="20"/>
          <w:color w:val="auto"/>
        </w:rPr>
        <w:br w:type="column"/>
      </w:r>
    </w:p>
    <w:p>
      <w:pPr>
        <w:spacing w:after="0"/>
        <w:tabs>
          <w:tab w:leader="none" w:pos="4180" w:val="left"/>
        </w:tabs>
        <w:rPr>
          <w:sz w:val="20"/>
          <w:szCs w:val="20"/>
          <w:color w:val="auto"/>
        </w:rPr>
      </w:pPr>
      <w:r>
        <w:rPr>
          <w:rFonts w:ascii="Arial" w:cs="Arial" w:eastAsia="Arial" w:hAnsi="Arial"/>
          <w:sz w:val="18"/>
          <w:szCs w:val="18"/>
          <w:color w:val="auto"/>
        </w:rPr>
        <w:t>Registration Statement on Form F-1, File No. 333-</w:t>
      </w:r>
      <w:r>
        <w:rPr>
          <w:sz w:val="20"/>
          <w:szCs w:val="20"/>
          <w:color w:val="auto"/>
        </w:rPr>
        <w:tab/>
      </w:r>
      <w:r>
        <w:rPr>
          <w:rFonts w:ascii="Arial" w:cs="Arial" w:eastAsia="Arial" w:hAnsi="Arial"/>
          <w:sz w:val="15"/>
          <w:szCs w:val="15"/>
          <w:color w:val="auto"/>
        </w:rPr>
        <w:t>December 14,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163704, as Exhibit 4.104</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F-1, File No. 333-</w:t>
      </w:r>
      <w:r>
        <w:rPr>
          <w:sz w:val="20"/>
          <w:szCs w:val="20"/>
          <w:color w:val="auto"/>
        </w:rPr>
        <w:tab/>
      </w:r>
      <w:r>
        <w:rPr>
          <w:rFonts w:ascii="Arial" w:cs="Arial" w:eastAsia="Arial" w:hAnsi="Arial"/>
          <w:sz w:val="15"/>
          <w:szCs w:val="15"/>
          <w:color w:val="auto"/>
        </w:rPr>
        <w:t>December 14,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163704, as Exhibit 4.105</w:t>
      </w:r>
    </w:p>
    <w:p>
      <w:pPr>
        <w:spacing w:after="0" w:line="326" w:lineRule="exact"/>
        <w:rPr>
          <w:sz w:val="20"/>
          <w:szCs w:val="20"/>
          <w:color w:val="auto"/>
        </w:rPr>
      </w:pPr>
    </w:p>
    <w:p>
      <w:pPr>
        <w:sectPr>
          <w:pgSz w:w="11900" w:h="16838" w:orient="portrait"/>
          <w:cols w:equalWidth="0" w:num="2">
            <w:col w:w="5040" w:space="240"/>
            <w:col w:w="5600"/>
          </w:cols>
          <w:pgMar w:left="240" w:top="459" w:right="779" w:bottom="1440" w:gutter="0" w:footer="0" w:header="0"/>
          <w:type w:val="continuous"/>
        </w:sectPr>
      </w:pPr>
    </w:p>
    <w:p>
      <w:pPr>
        <w:ind w:left="960" w:right="4580" w:hanging="958"/>
        <w:spacing w:after="0" w:line="254" w:lineRule="auto"/>
        <w:tabs>
          <w:tab w:leader="none" w:pos="9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Letter Agreement, dated December 2, 2009, among the Filed herewith Company, Sunninghill Limited, Michael Walsh and</w:t>
      </w:r>
    </w:p>
    <w:p>
      <w:pPr>
        <w:ind w:left="960"/>
        <w:spacing w:after="0"/>
        <w:rPr>
          <w:sz w:val="20"/>
          <w:szCs w:val="20"/>
          <w:color w:val="auto"/>
        </w:rPr>
      </w:pPr>
      <w:r>
        <w:rPr>
          <w:rFonts w:ascii="Arial" w:cs="Arial" w:eastAsia="Arial" w:hAnsi="Arial"/>
          <w:sz w:val="18"/>
          <w:szCs w:val="18"/>
          <w:color w:val="auto"/>
        </w:rPr>
        <w:t>Simon Kukes</w:t>
      </w:r>
    </w:p>
    <w:p>
      <w:pPr>
        <w:sectPr>
          <w:pgSz w:w="11900" w:h="16838" w:orient="portrait"/>
          <w:cols w:equalWidth="0" w:num="1">
            <w:col w:w="10880"/>
          </w:cols>
          <w:pgMar w:left="240" w:top="459" w:right="779" w:bottom="1440" w:gutter="0" w:footer="0" w:header="0"/>
          <w:type w:val="continuous"/>
        </w:sectPr>
      </w:pPr>
    </w:p>
    <w:p>
      <w:pPr>
        <w:spacing w:after="0" w:line="111" w:lineRule="exact"/>
        <w:rPr>
          <w:sz w:val="20"/>
          <w:szCs w:val="20"/>
          <w:color w:val="auto"/>
        </w:rPr>
      </w:pPr>
    </w:p>
    <w:p>
      <w:pPr>
        <w:ind w:left="960" w:right="60" w:hanging="958"/>
        <w:spacing w:after="0" w:line="268" w:lineRule="auto"/>
        <w:tabs>
          <w:tab w:leader="none" w:pos="9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Letter Agreement dated December 9, 2009 with Thomas G. Lynch, Alan Cooke and Tom Maher</w:t>
      </w:r>
    </w:p>
    <w:p>
      <w:pPr>
        <w:spacing w:after="0" w:line="78" w:lineRule="exact"/>
        <w:rPr>
          <w:sz w:val="20"/>
          <w:szCs w:val="20"/>
          <w:color w:val="auto"/>
        </w:rPr>
      </w:pPr>
    </w:p>
    <w:p>
      <w:pPr>
        <w:ind w:left="960" w:right="100" w:hanging="958"/>
        <w:spacing w:after="0" w:line="268" w:lineRule="auto"/>
        <w:tabs>
          <w:tab w:leader="none" w:pos="9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Compromise Agreement dated December 10, 2009 with Tom Maher</w:t>
      </w:r>
    </w:p>
    <w:p>
      <w:pPr>
        <w:spacing w:after="0" w:line="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Transitional Employment Agreement, dated August 10,</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2010, between the Company and Declan Doogan</w:t>
      </w:r>
    </w:p>
    <w:p>
      <w:pPr>
        <w:spacing w:after="0" w:line="111" w:lineRule="exact"/>
        <w:rPr>
          <w:sz w:val="20"/>
          <w:szCs w:val="20"/>
          <w:color w:val="auto"/>
        </w:rPr>
      </w:pPr>
    </w:p>
    <w:p>
      <w:pPr>
        <w:ind w:left="960" w:right="180" w:hanging="958"/>
        <w:spacing w:after="0" w:line="268" w:lineRule="auto"/>
        <w:tabs>
          <w:tab w:leader="none" w:pos="9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Letter Agreement, dated August 16, 2010, between the Company and Colin Stewart</w:t>
      </w:r>
    </w:p>
    <w:p>
      <w:pPr>
        <w:spacing w:after="0" w:line="78" w:lineRule="exact"/>
        <w:rPr>
          <w:sz w:val="20"/>
          <w:szCs w:val="20"/>
          <w:color w:val="auto"/>
        </w:rPr>
      </w:pPr>
    </w:p>
    <w:p>
      <w:pPr>
        <w:ind w:left="960" w:hanging="958"/>
        <w:spacing w:after="0" w:line="259"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Supply Agreement, dated November 1, 2010, between Nisshin Pharma Inc. and Amarin Pharmaceuticals Ireland Limited †</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F-1, File No. 333-</w:t>
      </w:r>
      <w:r>
        <w:rPr>
          <w:sz w:val="20"/>
          <w:szCs w:val="20"/>
          <w:color w:val="auto"/>
        </w:rPr>
        <w:tab/>
      </w:r>
      <w:r>
        <w:rPr>
          <w:rFonts w:ascii="Arial" w:cs="Arial" w:eastAsia="Arial" w:hAnsi="Arial"/>
          <w:sz w:val="15"/>
          <w:szCs w:val="15"/>
          <w:color w:val="auto"/>
        </w:rPr>
        <w:t>December 14,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163704, as Exhibit 4.106</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Report of Foreign Private Issuer filed on Form 6-K, as</w:t>
      </w:r>
      <w:r>
        <w:rPr>
          <w:sz w:val="20"/>
          <w:szCs w:val="20"/>
          <w:color w:val="auto"/>
        </w:rPr>
        <w:tab/>
      </w:r>
      <w:r>
        <w:rPr>
          <w:rFonts w:ascii="Arial" w:cs="Arial" w:eastAsia="Arial" w:hAnsi="Arial"/>
          <w:sz w:val="15"/>
          <w:szCs w:val="15"/>
          <w:color w:val="auto"/>
        </w:rPr>
        <w:t>December 14,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99.3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49" w:lineRule="exact"/>
        <w:rPr>
          <w:sz w:val="20"/>
          <w:szCs w:val="20"/>
          <w:color w:val="auto"/>
        </w:rPr>
      </w:pPr>
    </w:p>
    <w:p>
      <w:pPr>
        <w:sectPr>
          <w:pgSz w:w="11900" w:h="16838" w:orient="portrait"/>
          <w:cols w:equalWidth="0" w:num="2">
            <w:col w:w="5000" w:space="280"/>
            <w:col w:w="5600"/>
          </w:cols>
          <w:pgMar w:left="240" w:top="459" w:right="7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10.41</w:t>
            </w:r>
          </w:p>
        </w:tc>
        <w:tc>
          <w:tcPr>
            <w:tcW w:w="4500" w:type="dxa"/>
            <w:vAlign w:val="bottom"/>
          </w:tcPr>
          <w:p>
            <w:pPr>
              <w:ind w:left="280"/>
              <w:spacing w:after="0"/>
              <w:rPr>
                <w:sz w:val="20"/>
                <w:szCs w:val="20"/>
                <w:color w:val="auto"/>
              </w:rPr>
            </w:pPr>
            <w:r>
              <w:rPr>
                <w:rFonts w:ascii="Arial" w:cs="Arial" w:eastAsia="Arial" w:hAnsi="Arial"/>
                <w:sz w:val="18"/>
                <w:szCs w:val="18"/>
                <w:color w:val="auto"/>
                <w:w w:val="91"/>
              </w:rPr>
              <w:t>Resignation and Release Agreement, dated November 9,</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2010, between the Company and Colin Stewart</w:t>
            </w:r>
          </w:p>
        </w:tc>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10.42</w:t>
            </w:r>
          </w:p>
        </w:tc>
        <w:tc>
          <w:tcPr>
            <w:tcW w:w="4500" w:type="dxa"/>
            <w:vAlign w:val="bottom"/>
          </w:tcPr>
          <w:p>
            <w:pPr>
              <w:ind w:left="280"/>
              <w:spacing w:after="0"/>
              <w:rPr>
                <w:sz w:val="20"/>
                <w:szCs w:val="20"/>
                <w:color w:val="auto"/>
              </w:rPr>
            </w:pPr>
            <w:r>
              <w:rPr>
                <w:rFonts w:ascii="Arial" w:cs="Arial" w:eastAsia="Arial" w:hAnsi="Arial"/>
                <w:sz w:val="18"/>
                <w:szCs w:val="18"/>
                <w:color w:val="auto"/>
                <w:w w:val="90"/>
              </w:rPr>
              <w:t>Letter Agreement, dated November 15, 2010, between the</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Company and John F. Thero</w:t>
            </w:r>
          </w:p>
        </w:tc>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10.43</w:t>
            </w:r>
          </w:p>
        </w:tc>
        <w:tc>
          <w:tcPr>
            <w:tcW w:w="4500" w:type="dxa"/>
            <w:vAlign w:val="bottom"/>
          </w:tcPr>
          <w:p>
            <w:pPr>
              <w:ind w:left="280"/>
              <w:spacing w:after="0"/>
              <w:rPr>
                <w:sz w:val="20"/>
                <w:szCs w:val="20"/>
                <w:color w:val="auto"/>
              </w:rPr>
            </w:pPr>
            <w:r>
              <w:rPr>
                <w:rFonts w:ascii="Arial" w:cs="Arial" w:eastAsia="Arial" w:hAnsi="Arial"/>
                <w:sz w:val="18"/>
                <w:szCs w:val="18"/>
                <w:color w:val="auto"/>
                <w:w w:val="95"/>
              </w:rPr>
              <w:t>Employment Agreement, effective December 31, 2010,</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between the Company and Joseph S. Zakrzewski</w:t>
            </w:r>
          </w:p>
        </w:tc>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10.44</w:t>
            </w:r>
          </w:p>
        </w:tc>
        <w:tc>
          <w:tcPr>
            <w:tcW w:w="4500" w:type="dxa"/>
            <w:vAlign w:val="bottom"/>
          </w:tcPr>
          <w:p>
            <w:pPr>
              <w:ind w:left="280"/>
              <w:spacing w:after="0"/>
              <w:rPr>
                <w:sz w:val="20"/>
                <w:szCs w:val="20"/>
                <w:color w:val="auto"/>
              </w:rPr>
            </w:pPr>
            <w:r>
              <w:rPr>
                <w:rFonts w:ascii="Arial" w:cs="Arial" w:eastAsia="Arial" w:hAnsi="Arial"/>
                <w:sz w:val="18"/>
                <w:szCs w:val="18"/>
                <w:color w:val="auto"/>
              </w:rPr>
              <w:t>Amarin Corporation plc Management Incentive</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Compensation Plan</w:t>
            </w:r>
          </w:p>
        </w:tc>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10.45</w:t>
            </w:r>
          </w:p>
        </w:tc>
        <w:tc>
          <w:tcPr>
            <w:tcW w:w="4500" w:type="dxa"/>
            <w:vAlign w:val="bottom"/>
          </w:tcPr>
          <w:p>
            <w:pPr>
              <w:ind w:left="280"/>
              <w:spacing w:after="0"/>
              <w:rPr>
                <w:sz w:val="20"/>
                <w:szCs w:val="20"/>
                <w:color w:val="auto"/>
              </w:rPr>
            </w:pPr>
            <w:r>
              <w:rPr>
                <w:rFonts w:ascii="Arial" w:cs="Arial" w:eastAsia="Arial" w:hAnsi="Arial"/>
                <w:sz w:val="18"/>
                <w:szCs w:val="18"/>
                <w:color w:val="auto"/>
              </w:rPr>
              <w:t>Consulting Agreement, dated November 10, 2010,</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between the Company and Joseph S. Zakrzewski</w:t>
            </w:r>
          </w:p>
        </w:tc>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10.46</w:t>
            </w:r>
          </w:p>
        </w:tc>
        <w:tc>
          <w:tcPr>
            <w:tcW w:w="4500" w:type="dxa"/>
            <w:vAlign w:val="bottom"/>
          </w:tcPr>
          <w:p>
            <w:pPr>
              <w:ind w:left="280"/>
              <w:spacing w:after="0"/>
              <w:rPr>
                <w:sz w:val="20"/>
                <w:szCs w:val="20"/>
                <w:color w:val="auto"/>
              </w:rPr>
            </w:pPr>
            <w:r>
              <w:rPr>
                <w:rFonts w:ascii="Arial" w:cs="Arial" w:eastAsia="Arial" w:hAnsi="Arial"/>
                <w:sz w:val="18"/>
                <w:szCs w:val="18"/>
                <w:color w:val="auto"/>
                <w:w w:val="92"/>
              </w:rPr>
              <w:t>Letter Agreement dated March 1, 2010 with Frederick W.</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Ahlholm</w:t>
            </w:r>
          </w:p>
        </w:tc>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14.1</w:t>
            </w:r>
          </w:p>
        </w:tc>
        <w:tc>
          <w:tcPr>
            <w:tcW w:w="4500" w:type="dxa"/>
            <w:vAlign w:val="bottom"/>
          </w:tcPr>
          <w:p>
            <w:pPr>
              <w:ind w:left="280"/>
              <w:spacing w:after="0"/>
              <w:rPr>
                <w:sz w:val="20"/>
                <w:szCs w:val="20"/>
                <w:color w:val="auto"/>
              </w:rPr>
            </w:pPr>
            <w:r>
              <w:rPr>
                <w:rFonts w:ascii="Arial" w:cs="Arial" w:eastAsia="Arial" w:hAnsi="Arial"/>
                <w:sz w:val="18"/>
                <w:szCs w:val="18"/>
                <w:color w:val="auto"/>
              </w:rPr>
              <w:t>Code of Ethics</w:t>
            </w:r>
          </w:p>
        </w:tc>
        <w:tc>
          <w:tcPr>
            <w:tcW w:w="4040" w:type="dxa"/>
            <w:vAlign w:val="bottom"/>
          </w:tcPr>
          <w:p>
            <w:pPr>
              <w:ind w:left="100"/>
              <w:spacing w:after="0"/>
              <w:rPr>
                <w:sz w:val="20"/>
                <w:szCs w:val="20"/>
                <w:color w:val="auto"/>
              </w:rPr>
            </w:pPr>
            <w:r>
              <w:rPr>
                <w:rFonts w:ascii="Arial" w:cs="Arial" w:eastAsia="Arial" w:hAnsi="Arial"/>
                <w:sz w:val="18"/>
                <w:szCs w:val="18"/>
                <w:color w:val="auto"/>
                <w:w w:val="94"/>
              </w:rPr>
              <w:t>Registration Statement on Form F-3, as Exhibit 99.1</w:t>
            </w:r>
          </w:p>
        </w:tc>
        <w:tc>
          <w:tcPr>
            <w:tcW w:w="1660" w:type="dxa"/>
            <w:vAlign w:val="bottom"/>
          </w:tcPr>
          <w:p>
            <w:pPr>
              <w:ind w:left="260"/>
              <w:spacing w:after="0"/>
              <w:rPr>
                <w:sz w:val="20"/>
                <w:szCs w:val="20"/>
                <w:color w:val="auto"/>
              </w:rPr>
            </w:pPr>
            <w:r>
              <w:rPr>
                <w:rFonts w:ascii="Arial" w:cs="Arial" w:eastAsia="Arial" w:hAnsi="Arial"/>
                <w:sz w:val="18"/>
                <w:szCs w:val="18"/>
                <w:color w:val="auto"/>
                <w:w w:val="87"/>
              </w:rPr>
              <w:t>November 10, 2010</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4500" w:type="dxa"/>
            <w:vAlign w:val="bottom"/>
          </w:tcPr>
          <w:p>
            <w:pPr>
              <w:ind w:left="280"/>
              <w:spacing w:after="0"/>
              <w:rPr>
                <w:sz w:val="20"/>
                <w:szCs w:val="20"/>
                <w:color w:val="auto"/>
              </w:rPr>
            </w:pPr>
            <w:r>
              <w:rPr>
                <w:rFonts w:ascii="Arial" w:cs="Arial" w:eastAsia="Arial" w:hAnsi="Arial"/>
                <w:sz w:val="18"/>
                <w:szCs w:val="18"/>
                <w:color w:val="auto"/>
              </w:rPr>
              <w:t>List of Subsidiaries</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24"/>
                <w:szCs w:val="24"/>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4500" w:type="dxa"/>
            <w:vAlign w:val="bottom"/>
          </w:tcPr>
          <w:p>
            <w:pPr>
              <w:ind w:left="280"/>
              <w:spacing w:after="0"/>
              <w:rPr>
                <w:sz w:val="20"/>
                <w:szCs w:val="20"/>
                <w:color w:val="auto"/>
              </w:rPr>
            </w:pPr>
            <w:r>
              <w:rPr>
                <w:rFonts w:ascii="Arial" w:cs="Arial" w:eastAsia="Arial" w:hAnsi="Arial"/>
                <w:sz w:val="18"/>
                <w:szCs w:val="18"/>
                <w:color w:val="auto"/>
                <w:w w:val="97"/>
              </w:rPr>
              <w:t>Consent of Independent Registered Public Accounting</w:t>
            </w:r>
          </w:p>
        </w:tc>
        <w:tc>
          <w:tcPr>
            <w:tcW w:w="40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166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Firm</w:t>
            </w:r>
          </w:p>
        </w:tc>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65"/>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59</w:t>
            </w:r>
          </w:p>
        </w:tc>
        <w:tc>
          <w:tcPr>
            <w:tcW w:w="1660" w:type="dxa"/>
            <w:vAlign w:val="bottom"/>
          </w:tcPr>
          <w:p>
            <w:pPr>
              <w:spacing w:after="0"/>
              <w:rPr>
                <w:sz w:val="24"/>
                <w:szCs w:val="24"/>
                <w:color w:val="auto"/>
              </w:rPr>
            </w:pPr>
          </w:p>
        </w:tc>
      </w:tr>
    </w:tbl>
    <w:p>
      <w:pPr>
        <w:sectPr>
          <w:pgSz w:w="11900" w:h="16838" w:orient="portrait"/>
          <w:cols w:equalWidth="0" w:num="1">
            <w:col w:w="10880"/>
          </w:cols>
          <w:pgMar w:left="240" w:top="459" w:right="77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Executive Officer (Principal</w:t>
            </w:r>
          </w:p>
        </w:tc>
        <w:tc>
          <w:tcPr>
            <w:tcW w:w="1180" w:type="dxa"/>
            <w:vAlign w:val="bottom"/>
          </w:tcPr>
          <w:p>
            <w:pPr>
              <w:ind w:left="160"/>
              <w:spacing w:after="0"/>
              <w:rPr>
                <w:sz w:val="20"/>
                <w:szCs w:val="20"/>
                <w:color w:val="auto"/>
              </w:rPr>
            </w:pPr>
            <w:r>
              <w:rPr>
                <w:rFonts w:ascii="Arial" w:cs="Arial" w:eastAsia="Arial" w:hAnsi="Arial"/>
                <w:sz w:val="18"/>
                <w:szCs w:val="18"/>
                <w:color w:val="auto"/>
                <w:w w:val="89"/>
              </w:rPr>
              <w:t>Filed herewith</w:t>
            </w:r>
          </w:p>
        </w:tc>
      </w:tr>
      <w:tr>
        <w:trPr>
          <w:trHeight w:val="216"/>
        </w:trPr>
        <w:tc>
          <w:tcPr>
            <w:tcW w:w="500" w:type="dxa"/>
            <w:vAlign w:val="bottom"/>
          </w:tcPr>
          <w:p>
            <w:pPr>
              <w:spacing w:after="0"/>
              <w:rPr>
                <w:sz w:val="18"/>
                <w:szCs w:val="18"/>
                <w:color w:val="auto"/>
              </w:rPr>
            </w:pP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rPr>
              <w:t>Executive Officer) pursuant to Section 302 of</w:t>
            </w:r>
          </w:p>
        </w:tc>
        <w:tc>
          <w:tcPr>
            <w:tcW w:w="11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rPr>
              <w:t>Sarbanes-Oxley Act of 2002</w:t>
            </w:r>
          </w:p>
        </w:tc>
        <w:tc>
          <w:tcPr>
            <w:tcW w:w="11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w w:val="97"/>
              </w:rPr>
              <w:t>Certification of President (Principal Financial Officer)</w:t>
            </w:r>
          </w:p>
        </w:tc>
        <w:tc>
          <w:tcPr>
            <w:tcW w:w="1180" w:type="dxa"/>
            <w:vAlign w:val="bottom"/>
          </w:tcPr>
          <w:p>
            <w:pPr>
              <w:ind w:left="160"/>
              <w:spacing w:after="0"/>
              <w:rPr>
                <w:sz w:val="20"/>
                <w:szCs w:val="20"/>
                <w:color w:val="auto"/>
              </w:rPr>
            </w:pPr>
            <w:r>
              <w:rPr>
                <w:rFonts w:ascii="Arial" w:cs="Arial" w:eastAsia="Arial" w:hAnsi="Arial"/>
                <w:sz w:val="18"/>
                <w:szCs w:val="18"/>
                <w:color w:val="auto"/>
                <w:w w:val="89"/>
              </w:rPr>
              <w:t>Filed herewith</w:t>
            </w:r>
          </w:p>
        </w:tc>
      </w:tr>
      <w:tr>
        <w:trPr>
          <w:trHeight w:val="222"/>
        </w:trPr>
        <w:tc>
          <w:tcPr>
            <w:tcW w:w="500" w:type="dxa"/>
            <w:vAlign w:val="bottom"/>
          </w:tcPr>
          <w:p>
            <w:pPr>
              <w:spacing w:after="0"/>
              <w:rPr>
                <w:sz w:val="19"/>
                <w:szCs w:val="19"/>
                <w:color w:val="auto"/>
              </w:rPr>
            </w:pP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w w:val="92"/>
              </w:rPr>
              <w:t>pursuant to Section 302 of Sarbanes-Oxley Act of 2002</w:t>
            </w:r>
          </w:p>
        </w:tc>
        <w:tc>
          <w:tcPr>
            <w:tcW w:w="11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Executive Officer (Principal</w:t>
            </w:r>
          </w:p>
        </w:tc>
        <w:tc>
          <w:tcPr>
            <w:tcW w:w="1180" w:type="dxa"/>
            <w:vAlign w:val="bottom"/>
          </w:tcPr>
          <w:p>
            <w:pPr>
              <w:ind w:left="160"/>
              <w:spacing w:after="0"/>
              <w:rPr>
                <w:sz w:val="20"/>
                <w:szCs w:val="20"/>
                <w:color w:val="auto"/>
              </w:rPr>
            </w:pPr>
            <w:r>
              <w:rPr>
                <w:rFonts w:ascii="Arial" w:cs="Arial" w:eastAsia="Arial" w:hAnsi="Arial"/>
                <w:sz w:val="18"/>
                <w:szCs w:val="18"/>
                <w:color w:val="auto"/>
                <w:w w:val="89"/>
              </w:rPr>
              <w:t>Filed herewith</w:t>
            </w:r>
          </w:p>
        </w:tc>
      </w:tr>
      <w:tr>
        <w:trPr>
          <w:trHeight w:val="216"/>
        </w:trPr>
        <w:tc>
          <w:tcPr>
            <w:tcW w:w="500" w:type="dxa"/>
            <w:vAlign w:val="bottom"/>
          </w:tcPr>
          <w:p>
            <w:pPr>
              <w:spacing w:after="0"/>
              <w:rPr>
                <w:sz w:val="18"/>
                <w:szCs w:val="18"/>
                <w:color w:val="auto"/>
              </w:rPr>
            </w:pP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w w:val="97"/>
              </w:rPr>
              <w:t>Executive Officer) and President (Principal Financial</w:t>
            </w:r>
          </w:p>
        </w:tc>
        <w:tc>
          <w:tcPr>
            <w:tcW w:w="11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w w:val="99"/>
              </w:rPr>
              <w:t>Officer) pursuant to Section 906 of Sarbanes-Oxley</w:t>
            </w:r>
          </w:p>
        </w:tc>
        <w:tc>
          <w:tcPr>
            <w:tcW w:w="11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660" w:type="dxa"/>
            <w:vAlign w:val="bottom"/>
            <w:gridSpan w:val="3"/>
          </w:tcPr>
          <w:p>
            <w:pPr>
              <w:ind w:left="580"/>
              <w:spacing w:after="0"/>
              <w:rPr>
                <w:sz w:val="20"/>
                <w:szCs w:val="20"/>
                <w:color w:val="auto"/>
              </w:rPr>
            </w:pPr>
            <w:r>
              <w:rPr>
                <w:rFonts w:ascii="Arial" w:cs="Arial" w:eastAsia="Arial" w:hAnsi="Arial"/>
                <w:sz w:val="18"/>
                <w:szCs w:val="18"/>
                <w:color w:val="auto"/>
              </w:rPr>
              <w:t>Act of 2002</w:t>
            </w:r>
          </w:p>
        </w:tc>
        <w:tc>
          <w:tcPr>
            <w:tcW w:w="1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0</wp:posOffset>
            </wp:positionV>
            <wp:extent cx="13379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tabs>
          <w:tab w:leader="none" w:pos="3220" w:val="left"/>
        </w:tabs>
        <w:rPr>
          <w:sz w:val="20"/>
          <w:szCs w:val="20"/>
          <w:color w:val="auto"/>
        </w:rPr>
      </w:pPr>
      <w:r>
        <w:rPr>
          <w:rFonts w:ascii="Arial" w:cs="Arial" w:eastAsia="Arial" w:hAnsi="Arial"/>
          <w:sz w:val="12"/>
          <w:szCs w:val="12"/>
          <w:b w:val="1"/>
          <w:bCs w:val="1"/>
          <w:u w:val="single" w:color="auto"/>
          <w:color w:val="auto"/>
        </w:rPr>
        <w:t>Form</w:t>
      </w:r>
      <w:r>
        <w:rPr>
          <w:sz w:val="20"/>
          <w:szCs w:val="20"/>
          <w:color w:val="auto"/>
        </w:rPr>
        <w:tab/>
      </w:r>
      <w:r>
        <w:rPr>
          <w:rFonts w:ascii="Arial" w:cs="Arial" w:eastAsia="Arial" w:hAnsi="Arial"/>
          <w:sz w:val="12"/>
          <w:szCs w:val="12"/>
          <w:b w:val="1"/>
          <w:bCs w:val="1"/>
          <w:u w:val="single" w:color="auto"/>
          <w:color w:val="auto"/>
        </w:rPr>
        <w:t>Date</w:t>
      </w:r>
    </w:p>
    <w:p>
      <w:pPr>
        <w:spacing w:after="0" w:line="2433" w:lineRule="exact"/>
        <w:rPr>
          <w:sz w:val="20"/>
          <w:szCs w:val="20"/>
          <w:color w:val="auto"/>
        </w:rPr>
      </w:pPr>
    </w:p>
    <w:p>
      <w:pPr>
        <w:sectPr>
          <w:pgSz w:w="11900" w:h="16838" w:orient="portrait"/>
          <w:cols w:equalWidth="0" w:num="2">
            <w:col w:w="6360" w:space="720"/>
            <w:col w:w="4280"/>
          </w:cols>
          <w:pgMar w:left="240" w:top="459" w:right="299" w:bottom="1440" w:gutter="0" w:footer="0" w:header="0"/>
          <w:type w:val="continuous"/>
        </w:sectPr>
      </w:pPr>
    </w:p>
    <w:p>
      <w:pPr>
        <w:ind w:firstLine="8"/>
        <w:spacing w:after="0" w:line="259" w:lineRule="auto"/>
        <w:tabs>
          <w:tab w:leader="none" w:pos="1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p>
      <w:pPr>
        <w:ind w:left="7240"/>
        <w:spacing w:after="0"/>
        <w:tabs>
          <w:tab w:leader="none" w:pos="7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1905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2011</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0"/>
              </w:rPr>
              <w:t>Title</w:t>
            </w:r>
          </w:p>
        </w:tc>
        <w:tc>
          <w:tcPr>
            <w:tcW w:w="88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500" w:type="dxa"/>
            <w:vAlign w:val="bottom"/>
          </w:tcPr>
          <w:p>
            <w:pPr>
              <w:spacing w:after="0"/>
              <w:rPr>
                <w:sz w:val="24"/>
                <w:szCs w:val="24"/>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/s/</w:t>
            </w:r>
          </w:p>
        </w:tc>
        <w:tc>
          <w:tcPr>
            <w:tcW w:w="3120" w:type="dxa"/>
            <w:vAlign w:val="bottom"/>
            <w:gridSpan w:val="3"/>
            <w:vMerge w:val="restart"/>
          </w:tcPr>
          <w:p>
            <w:pPr>
              <w:jc w:val="center"/>
              <w:ind w:right="1920"/>
              <w:spacing w:after="0"/>
              <w:rPr>
                <w:sz w:val="20"/>
                <w:szCs w:val="20"/>
                <w:color w:val="auto"/>
              </w:rPr>
            </w:pPr>
            <w:r>
              <w:rPr>
                <w:rFonts w:ascii="Arial" w:cs="Arial" w:eastAsia="Arial" w:hAnsi="Arial"/>
                <w:sz w:val="18"/>
                <w:szCs w:val="18"/>
                <w:color w:val="auto"/>
                <w:w w:val="85"/>
              </w:rPr>
              <w:t>John F. Thero</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6"/>
              </w:rPr>
              <w:t>President</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vMerge w:val="continue"/>
          </w:tcPr>
          <w:p>
            <w:pPr>
              <w:spacing w:after="0"/>
              <w:rPr>
                <w:sz w:val="18"/>
                <w:szCs w:val="18"/>
                <w:color w:val="auto"/>
              </w:rPr>
            </w:pPr>
          </w:p>
        </w:tc>
        <w:tc>
          <w:tcPr>
            <w:tcW w:w="3120" w:type="dxa"/>
            <w:vAlign w:val="bottom"/>
            <w:tcBorders>
              <w:bottom w:val="single" w:sz="8" w:color="auto"/>
            </w:tcBorders>
            <w:gridSpan w:val="3"/>
            <w:vMerge w:val="continue"/>
          </w:tcPr>
          <w:p>
            <w:pPr>
              <w:spacing w:after="0"/>
              <w:rPr>
                <w:sz w:val="18"/>
                <w:szCs w:val="18"/>
                <w:color w:val="auto"/>
              </w:rPr>
            </w:pP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2"/>
              </w:rPr>
              <w:t>(Principal Financial Officer)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5"/>
              </w:rPr>
              <w:t>John F. Thero</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500" w:type="dxa"/>
            <w:vAlign w:val="bottom"/>
          </w:tcPr>
          <w:p>
            <w:pPr>
              <w:spacing w:after="0"/>
              <w:rPr>
                <w:sz w:val="24"/>
                <w:szCs w:val="24"/>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/s/</w:t>
            </w:r>
          </w:p>
        </w:tc>
        <w:tc>
          <w:tcPr>
            <w:tcW w:w="3300" w:type="dxa"/>
            <w:vAlign w:val="bottom"/>
            <w:gridSpan w:val="4"/>
            <w:vMerge w:val="restart"/>
          </w:tcPr>
          <w:p>
            <w:pPr>
              <w:jc w:val="center"/>
              <w:ind w:right="1760"/>
              <w:spacing w:after="0"/>
              <w:rPr>
                <w:sz w:val="20"/>
                <w:szCs w:val="20"/>
                <w:color w:val="auto"/>
              </w:rPr>
            </w:pPr>
            <w:r>
              <w:rPr>
                <w:rFonts w:ascii="Arial" w:cs="Arial" w:eastAsia="Arial" w:hAnsi="Arial"/>
                <w:sz w:val="18"/>
                <w:szCs w:val="18"/>
                <w:color w:val="auto"/>
                <w:w w:val="87"/>
              </w:rPr>
              <w:t>Joseph Zakrzewski</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Chief Executive Officer and Director (Principal</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3300" w:type="dxa"/>
            <w:vAlign w:val="bottom"/>
            <w:tcBorders>
              <w:bottom w:val="single" w:sz="8" w:color="auto"/>
            </w:tcBorders>
            <w:gridSpan w:val="4"/>
            <w:vMerge w:val="continue"/>
          </w:tcPr>
          <w:p>
            <w:pPr>
              <w:spacing w:after="0"/>
              <w:rPr>
                <w:sz w:val="18"/>
                <w:szCs w:val="18"/>
                <w:color w:val="auto"/>
              </w:rPr>
            </w:pP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Executive Officer)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4"/>
          </w:tcPr>
          <w:p>
            <w:pPr>
              <w:jc w:val="center"/>
              <w:ind w:right="1740"/>
              <w:spacing w:after="0"/>
              <w:rPr>
                <w:sz w:val="20"/>
                <w:szCs w:val="20"/>
                <w:color w:val="auto"/>
              </w:rPr>
            </w:pPr>
            <w:r>
              <w:rPr>
                <w:rFonts w:ascii="Arial" w:cs="Arial" w:eastAsia="Arial" w:hAnsi="Arial"/>
                <w:sz w:val="18"/>
                <w:szCs w:val="18"/>
                <w:color w:val="auto"/>
                <w:w w:val="88"/>
              </w:rPr>
              <w:t>Joseph Zakrzewski</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500" w:type="dxa"/>
            <w:vAlign w:val="bottom"/>
            <w:vMerge w:val="restart"/>
          </w:tcPr>
          <w:p>
            <w:pPr>
              <w:ind w:left="1180"/>
              <w:spacing w:after="0"/>
              <w:rPr>
                <w:sz w:val="20"/>
                <w:szCs w:val="20"/>
                <w:color w:val="auto"/>
              </w:rPr>
            </w:pPr>
            <w:r>
              <w:rPr>
                <w:rFonts w:ascii="Arial" w:cs="Arial" w:eastAsia="Arial" w:hAnsi="Arial"/>
                <w:sz w:val="18"/>
                <w:szCs w:val="18"/>
                <w:color w:val="auto"/>
              </w:rPr>
              <w:t>/s/</w:t>
            </w:r>
          </w:p>
        </w:tc>
        <w:tc>
          <w:tcPr>
            <w:tcW w:w="3540" w:type="dxa"/>
            <w:vAlign w:val="bottom"/>
            <w:gridSpan w:val="5"/>
            <w:vMerge w:val="restart"/>
          </w:tcPr>
          <w:p>
            <w:pPr>
              <w:jc w:val="center"/>
              <w:ind w:right="1500"/>
              <w:spacing w:after="0"/>
              <w:rPr>
                <w:sz w:val="20"/>
                <w:szCs w:val="20"/>
                <w:color w:val="auto"/>
              </w:rPr>
            </w:pPr>
            <w:r>
              <w:rPr>
                <w:rFonts w:ascii="Arial" w:cs="Arial" w:eastAsia="Arial" w:hAnsi="Arial"/>
                <w:sz w:val="18"/>
                <w:szCs w:val="18"/>
                <w:color w:val="auto"/>
                <w:w w:val="91"/>
              </w:rPr>
              <w:t>Frederick W. Ahlholm, CPA</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7"/>
              </w:rPr>
              <w:t>Vice President Finance</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vMerge w:val="continue"/>
          </w:tcPr>
          <w:p>
            <w:pPr>
              <w:spacing w:after="0"/>
              <w:rPr>
                <w:sz w:val="18"/>
                <w:szCs w:val="18"/>
                <w:color w:val="auto"/>
              </w:rPr>
            </w:pPr>
          </w:p>
        </w:tc>
        <w:tc>
          <w:tcPr>
            <w:tcW w:w="3540" w:type="dxa"/>
            <w:vAlign w:val="bottom"/>
            <w:tcBorders>
              <w:bottom w:val="single" w:sz="8" w:color="auto"/>
            </w:tcBorders>
            <w:gridSpan w:val="5"/>
            <w:vMerge w:val="continue"/>
          </w:tcPr>
          <w:p>
            <w:pPr>
              <w:spacing w:after="0"/>
              <w:rPr>
                <w:sz w:val="18"/>
                <w:szCs w:val="18"/>
                <w:color w:val="auto"/>
              </w:rPr>
            </w:pP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gridSpan w:val="5"/>
          </w:tcPr>
          <w:p>
            <w:pPr>
              <w:jc w:val="center"/>
              <w:ind w:right="1500"/>
              <w:spacing w:after="0"/>
              <w:rPr>
                <w:sz w:val="20"/>
                <w:szCs w:val="20"/>
                <w:color w:val="auto"/>
              </w:rPr>
            </w:pPr>
            <w:r>
              <w:rPr>
                <w:rFonts w:ascii="Arial" w:cs="Arial" w:eastAsia="Arial" w:hAnsi="Arial"/>
                <w:sz w:val="18"/>
                <w:szCs w:val="18"/>
                <w:color w:val="auto"/>
                <w:w w:val="91"/>
              </w:rPr>
              <w:t>Frederick W. Ahlholm, CPA</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vMerge w:val="restart"/>
          </w:tcPr>
          <w:p>
            <w:pPr>
              <w:ind w:left="1320"/>
              <w:spacing w:after="0"/>
              <w:rPr>
                <w:sz w:val="20"/>
                <w:szCs w:val="20"/>
                <w:color w:val="auto"/>
              </w:rPr>
            </w:pPr>
            <w:r>
              <w:rPr>
                <w:rFonts w:ascii="Arial" w:cs="Arial" w:eastAsia="Arial" w:hAnsi="Arial"/>
                <w:sz w:val="18"/>
                <w:szCs w:val="18"/>
                <w:color w:val="auto"/>
                <w:w w:val="83"/>
              </w:rPr>
              <w:t>/s/</w:t>
            </w:r>
          </w:p>
        </w:tc>
        <w:tc>
          <w:tcPr>
            <w:tcW w:w="3540" w:type="dxa"/>
            <w:vAlign w:val="bottom"/>
            <w:gridSpan w:val="5"/>
            <w:vMerge w:val="restart"/>
          </w:tcPr>
          <w:p>
            <w:pPr>
              <w:jc w:val="center"/>
              <w:ind w:right="1520"/>
              <w:spacing w:after="0"/>
              <w:rPr>
                <w:sz w:val="20"/>
                <w:szCs w:val="20"/>
                <w:color w:val="auto"/>
              </w:rPr>
            </w:pPr>
            <w:r>
              <w:rPr>
                <w:rFonts w:ascii="Arial" w:cs="Arial" w:eastAsia="Arial" w:hAnsi="Arial"/>
                <w:sz w:val="18"/>
                <w:szCs w:val="18"/>
                <w:color w:val="auto"/>
                <w:w w:val="87"/>
              </w:rPr>
              <w:t>Joseph Anderson, Ph.D.</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3540" w:type="dxa"/>
            <w:vAlign w:val="bottom"/>
            <w:gridSpan w:val="5"/>
          </w:tcPr>
          <w:p>
            <w:pPr>
              <w:jc w:val="center"/>
              <w:ind w:right="1500"/>
              <w:spacing w:after="0"/>
              <w:rPr>
                <w:sz w:val="20"/>
                <w:szCs w:val="20"/>
                <w:color w:val="auto"/>
              </w:rPr>
            </w:pPr>
            <w:r>
              <w:rPr>
                <w:rFonts w:ascii="Arial" w:cs="Arial" w:eastAsia="Arial" w:hAnsi="Arial"/>
                <w:sz w:val="18"/>
                <w:szCs w:val="18"/>
                <w:color w:val="auto"/>
                <w:w w:val="86"/>
              </w:rPr>
              <w:t>Joseph Anderson, Ph.D.</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83"/>
              </w:rPr>
              <w:t>/s/</w:t>
            </w:r>
          </w:p>
        </w:tc>
        <w:tc>
          <w:tcPr>
            <w:tcW w:w="3120" w:type="dxa"/>
            <w:vAlign w:val="bottom"/>
            <w:gridSpan w:val="3"/>
            <w:vMerge w:val="restart"/>
          </w:tcPr>
          <w:p>
            <w:pPr>
              <w:jc w:val="center"/>
              <w:ind w:right="1940"/>
              <w:spacing w:after="0"/>
              <w:rPr>
                <w:sz w:val="20"/>
                <w:szCs w:val="20"/>
                <w:color w:val="auto"/>
              </w:rPr>
            </w:pPr>
            <w:r>
              <w:rPr>
                <w:rFonts w:ascii="Arial" w:cs="Arial" w:eastAsia="Arial" w:hAnsi="Arial"/>
                <w:sz w:val="18"/>
                <w:szCs w:val="18"/>
                <w:color w:val="auto"/>
                <w:w w:val="89"/>
              </w:rPr>
              <w:t>Lars Ekman</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3120" w:type="dxa"/>
            <w:vAlign w:val="bottom"/>
            <w:tcBorders>
              <w:bottom w:val="single" w:sz="8" w:color="auto"/>
            </w:tcBorders>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7"/>
              </w:rPr>
              <w:t>Lars Ekman</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vMerge w:val="restart"/>
          </w:tcPr>
          <w:p>
            <w:pPr>
              <w:ind w:left="1300"/>
              <w:spacing w:after="0"/>
              <w:rPr>
                <w:sz w:val="20"/>
                <w:szCs w:val="20"/>
                <w:color w:val="auto"/>
              </w:rPr>
            </w:pPr>
            <w:r>
              <w:rPr>
                <w:rFonts w:ascii="Arial" w:cs="Arial" w:eastAsia="Arial" w:hAnsi="Arial"/>
                <w:sz w:val="18"/>
                <w:szCs w:val="18"/>
                <w:color w:val="auto"/>
                <w:w w:val="94"/>
              </w:rPr>
              <w:t>/s/</w:t>
            </w:r>
          </w:p>
        </w:tc>
        <w:tc>
          <w:tcPr>
            <w:tcW w:w="3540" w:type="dxa"/>
            <w:vAlign w:val="bottom"/>
            <w:gridSpan w:val="5"/>
            <w:vMerge w:val="restart"/>
          </w:tcPr>
          <w:p>
            <w:pPr>
              <w:jc w:val="center"/>
              <w:ind w:right="1500"/>
              <w:spacing w:after="0"/>
              <w:rPr>
                <w:sz w:val="20"/>
                <w:szCs w:val="20"/>
                <w:color w:val="auto"/>
              </w:rPr>
            </w:pPr>
            <w:r>
              <w:rPr>
                <w:rFonts w:ascii="Arial" w:cs="Arial" w:eastAsia="Arial" w:hAnsi="Arial"/>
                <w:sz w:val="18"/>
                <w:szCs w:val="18"/>
                <w:color w:val="auto"/>
                <w:w w:val="90"/>
              </w:rPr>
              <w:t>Carl Gordon, Ph.D, CFA</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3540" w:type="dxa"/>
            <w:vAlign w:val="bottom"/>
            <w:gridSpan w:val="5"/>
          </w:tcPr>
          <w:p>
            <w:pPr>
              <w:jc w:val="center"/>
              <w:ind w:right="1500"/>
              <w:spacing w:after="0"/>
              <w:rPr>
                <w:sz w:val="20"/>
                <w:szCs w:val="20"/>
                <w:color w:val="auto"/>
              </w:rPr>
            </w:pPr>
            <w:r>
              <w:rPr>
                <w:rFonts w:ascii="Arial" w:cs="Arial" w:eastAsia="Arial" w:hAnsi="Arial"/>
                <w:sz w:val="18"/>
                <w:szCs w:val="18"/>
                <w:color w:val="auto"/>
                <w:w w:val="90"/>
              </w:rPr>
              <w:t>Carl Gordon, Ph.D, CFA</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vMerge w:val="restart"/>
          </w:tcPr>
          <w:p>
            <w:pPr>
              <w:ind w:left="1260"/>
              <w:spacing w:after="0"/>
              <w:rPr>
                <w:sz w:val="20"/>
                <w:szCs w:val="20"/>
                <w:color w:val="auto"/>
              </w:rPr>
            </w:pPr>
            <w:r>
              <w:rPr>
                <w:rFonts w:ascii="Arial" w:cs="Arial" w:eastAsia="Arial" w:hAnsi="Arial"/>
                <w:sz w:val="18"/>
                <w:szCs w:val="18"/>
                <w:color w:val="auto"/>
              </w:rPr>
              <w:t>/s/</w:t>
            </w:r>
          </w:p>
        </w:tc>
        <w:tc>
          <w:tcPr>
            <w:tcW w:w="3540" w:type="dxa"/>
            <w:vAlign w:val="bottom"/>
            <w:gridSpan w:val="5"/>
            <w:vMerge w:val="restart"/>
          </w:tcPr>
          <w:p>
            <w:pPr>
              <w:jc w:val="center"/>
              <w:ind w:right="1520"/>
              <w:spacing w:after="0"/>
              <w:rPr>
                <w:sz w:val="20"/>
                <w:szCs w:val="20"/>
                <w:color w:val="auto"/>
              </w:rPr>
            </w:pPr>
            <w:r>
              <w:rPr>
                <w:rFonts w:ascii="Arial" w:cs="Arial" w:eastAsia="Arial" w:hAnsi="Arial"/>
                <w:sz w:val="18"/>
                <w:szCs w:val="18"/>
                <w:color w:val="auto"/>
                <w:w w:val="87"/>
              </w:rPr>
              <w:t>James Healy, M.D., Ph.D.</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3540" w:type="dxa"/>
            <w:vAlign w:val="bottom"/>
            <w:gridSpan w:val="5"/>
          </w:tcPr>
          <w:p>
            <w:pPr>
              <w:jc w:val="center"/>
              <w:ind w:right="1500"/>
              <w:spacing w:after="0"/>
              <w:rPr>
                <w:sz w:val="20"/>
                <w:szCs w:val="20"/>
                <w:color w:val="auto"/>
              </w:rPr>
            </w:pPr>
            <w:r>
              <w:rPr>
                <w:rFonts w:ascii="Arial" w:cs="Arial" w:eastAsia="Arial" w:hAnsi="Arial"/>
                <w:sz w:val="18"/>
                <w:szCs w:val="18"/>
                <w:color w:val="auto"/>
                <w:w w:val="88"/>
              </w:rPr>
              <w:t>James Healy, M.D., Ph.D.</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3"/>
              </w:rPr>
              <w:t>/s/</w:t>
            </w:r>
          </w:p>
        </w:tc>
        <w:tc>
          <w:tcPr>
            <w:tcW w:w="3300" w:type="dxa"/>
            <w:vAlign w:val="bottom"/>
            <w:gridSpan w:val="4"/>
            <w:vMerge w:val="restart"/>
          </w:tcPr>
          <w:p>
            <w:pPr>
              <w:jc w:val="center"/>
              <w:ind w:right="1760"/>
              <w:spacing w:after="0"/>
              <w:rPr>
                <w:sz w:val="20"/>
                <w:szCs w:val="20"/>
                <w:color w:val="auto"/>
              </w:rPr>
            </w:pPr>
            <w:r>
              <w:rPr>
                <w:rFonts w:ascii="Arial" w:cs="Arial" w:eastAsia="Arial" w:hAnsi="Arial"/>
                <w:sz w:val="18"/>
                <w:szCs w:val="18"/>
                <w:color w:val="auto"/>
                <w:w w:val="88"/>
              </w:rPr>
              <w:t>Kristine Peterson</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3300" w:type="dxa"/>
            <w:vAlign w:val="bottom"/>
            <w:tcBorders>
              <w:bottom w:val="single" w:sz="8" w:color="auto"/>
            </w:tcBorders>
            <w:gridSpan w:val="4"/>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7"/>
              </w:rPr>
              <w:t>Kristine Peterson</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420" w:type="dxa"/>
            <w:vAlign w:val="bottom"/>
            <w:gridSpan w:val="2"/>
            <w:vMerge w:val="restart"/>
          </w:tcPr>
          <w:p>
            <w:pPr>
              <w:ind w:left="180"/>
              <w:spacing w:after="0"/>
              <w:rPr>
                <w:sz w:val="20"/>
                <w:szCs w:val="20"/>
                <w:color w:val="auto"/>
              </w:rPr>
            </w:pPr>
            <w:r>
              <w:rPr>
                <w:rFonts w:ascii="Arial" w:cs="Arial" w:eastAsia="Arial" w:hAnsi="Arial"/>
                <w:sz w:val="18"/>
                <w:szCs w:val="18"/>
                <w:color w:val="auto"/>
              </w:rPr>
              <w:t>/s/</w:t>
            </w:r>
          </w:p>
        </w:tc>
        <w:tc>
          <w:tcPr>
            <w:tcW w:w="3120" w:type="dxa"/>
            <w:vAlign w:val="bottom"/>
            <w:gridSpan w:val="3"/>
            <w:vMerge w:val="restart"/>
          </w:tcPr>
          <w:p>
            <w:pPr>
              <w:jc w:val="center"/>
              <w:ind w:right="1940"/>
              <w:spacing w:after="0"/>
              <w:rPr>
                <w:sz w:val="20"/>
                <w:szCs w:val="20"/>
                <w:color w:val="auto"/>
              </w:rPr>
            </w:pPr>
            <w:r>
              <w:rPr>
                <w:rFonts w:ascii="Arial" w:cs="Arial" w:eastAsia="Arial" w:hAnsi="Arial"/>
                <w:sz w:val="18"/>
                <w:szCs w:val="18"/>
                <w:color w:val="auto"/>
                <w:w w:val="87"/>
              </w:rPr>
              <w:t>Manus Rogan</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vMerge w:val="continue"/>
          </w:tcPr>
          <w:p>
            <w:pPr>
              <w:spacing w:after="0"/>
              <w:rPr>
                <w:sz w:val="17"/>
                <w:szCs w:val="17"/>
                <w:color w:val="auto"/>
              </w:rPr>
            </w:pPr>
          </w:p>
        </w:tc>
        <w:tc>
          <w:tcPr>
            <w:tcW w:w="3120" w:type="dxa"/>
            <w:vAlign w:val="bottom"/>
            <w:tcBorders>
              <w:bottom w:val="single" w:sz="8" w:color="auto"/>
            </w:tcBorders>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Manus Rogan</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/s/</w:t>
            </w:r>
          </w:p>
        </w:tc>
        <w:tc>
          <w:tcPr>
            <w:tcW w:w="3120" w:type="dxa"/>
            <w:vAlign w:val="bottom"/>
            <w:gridSpan w:val="3"/>
            <w:vMerge w:val="restart"/>
          </w:tcPr>
          <w:p>
            <w:pPr>
              <w:jc w:val="center"/>
              <w:ind w:right="1940"/>
              <w:spacing w:after="0"/>
              <w:rPr>
                <w:sz w:val="20"/>
                <w:szCs w:val="20"/>
                <w:color w:val="auto"/>
              </w:rPr>
            </w:pPr>
            <w:r>
              <w:rPr>
                <w:rFonts w:ascii="Arial" w:cs="Arial" w:eastAsia="Arial" w:hAnsi="Arial"/>
                <w:sz w:val="18"/>
                <w:szCs w:val="18"/>
                <w:color w:val="auto"/>
                <w:w w:val="85"/>
              </w:rPr>
              <w:t>Jan van Heek</w:t>
            </w:r>
          </w:p>
        </w:tc>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16, 2011</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vMerge w:val="continue"/>
          </w:tcPr>
          <w:p>
            <w:pPr>
              <w:spacing w:after="0"/>
              <w:rPr>
                <w:sz w:val="17"/>
                <w:szCs w:val="17"/>
                <w:color w:val="auto"/>
              </w:rPr>
            </w:pPr>
          </w:p>
        </w:tc>
        <w:tc>
          <w:tcPr>
            <w:tcW w:w="3120" w:type="dxa"/>
            <w:vAlign w:val="bottom"/>
            <w:tcBorders>
              <w:bottom w:val="single" w:sz="8" w:color="auto"/>
            </w:tcBorders>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7"/>
              </w:rPr>
              <w:t>Jan van Heek</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5"/>
            <w:vMerge w:val="restart"/>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Report of Independent Registered Public Accounting Firm</w:t>
              </w:r>
            </w:hyperlink>
          </w:p>
        </w:tc>
        <w:tc>
          <w:tcPr>
            <w:tcW w:w="6880" w:type="dxa"/>
            <w:vAlign w:val="bottom"/>
            <w:gridSpan w:val="2"/>
            <w:vMerge w:val="restart"/>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4140" w:type="dxa"/>
            <w:vAlign w:val="bottom"/>
            <w:tcBorders>
              <w:bottom w:val="single" w:sz="8" w:color="0000EE"/>
            </w:tcBorders>
            <w:gridSpan w:val="5"/>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02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020" w:type="dxa"/>
            <w:vAlign w:val="bottom"/>
            <w:gridSpan w:val="7"/>
          </w:tcPr>
          <w:p>
            <w:pPr>
              <w:spacing w:after="0" w:line="184"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Balance Sheets</w:t>
              </w:r>
            </w:hyperlink>
          </w:p>
        </w:tc>
        <w:tc>
          <w:tcPr>
            <w:tcW w:w="320" w:type="dxa"/>
            <w:vAlign w:val="bottom"/>
            <w:gridSpan w:val="2"/>
          </w:tcPr>
          <w:p>
            <w:pPr>
              <w:ind w:left="60"/>
              <w:spacing w:after="0" w:line="184"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Consolidated Statements of Operations and Comprehensive Loss</w:t>
              </w:r>
            </w:hyperlink>
          </w:p>
        </w:tc>
        <w:tc>
          <w:tcPr>
            <w:tcW w:w="644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Stockholders’ (Deficit) Equity</w:t>
              </w:r>
            </w:hyperlink>
          </w:p>
        </w:tc>
        <w:tc>
          <w:tcPr>
            <w:tcW w:w="6900" w:type="dxa"/>
            <w:vAlign w:val="bottom"/>
            <w:gridSpan w:val="3"/>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audited the accompanying consolidated balance sheets of Amarin Corporation plc and subsidiaries (the "Company") as of December 31, 2010 and 2009, and the related consolidated statements of operations and comprehensive loss, stockholders' (deficit) equity and cash flows for each of the three years in the period ended December 31, 2010. These financial statements are the responsibility of the Company's management. Our responsibility is to express an opinion on the financial statements based on our audits.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Amarin Corporation plc and subsidiaries as of December 31, 2010 and 2009, and the results of their operations and their cash flows for each of the three years in the period ended December 31, 2010, in conformity with accounting principles generally accepted in the United States of America.</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16, 2011 expressed an adverse opinion on the Company's internal control over financial reporting because of a material weakness.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456"/>
              <w:spacing w:after="0"/>
              <w:rPr>
                <w:sz w:val="20"/>
                <w:szCs w:val="20"/>
                <w:color w:val="auto"/>
              </w:rPr>
            </w:pPr>
            <w:r>
              <w:rPr>
                <w:rFonts w:ascii="Arial" w:cs="Arial" w:eastAsia="Arial" w:hAnsi="Arial"/>
                <w:sz w:val="14"/>
                <w:szCs w:val="14"/>
                <w:b w:val="1"/>
                <w:bCs w:val="1"/>
                <w:color w:val="auto"/>
                <w:w w:val="87"/>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 and per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33,113</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tax asset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4,449</w:t>
            </w:r>
          </w:p>
        </w:tc>
        <w:tc>
          <w:tcPr>
            <w:tcW w:w="6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7,577</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Warrant derivative liability</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230,069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obligations and 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237,734</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£0.50 par value, unlimited authorized; 106,856,731 issued, 106,836,652 outstanding at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2010; 98,801,982 issued, 98,781,903 outstanding at December 31, 2009</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90,465</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206,718</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20,079 shares at December 31, 2010 and 2009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w w:val="88"/>
              </w:rPr>
              <w:t>(499,333)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(249,744)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8"/>
              </w:rPr>
              <w:t>(202,367)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128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(In</w:t>
            </w: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71"/>
              </w:rPr>
              <w:t>thousands,</w:t>
            </w:r>
          </w:p>
        </w:tc>
        <w:tc>
          <w:tcPr>
            <w:tcW w:w="1860" w:type="dxa"/>
            <w:vAlign w:val="bottom"/>
            <w:gridSpan w:val="7"/>
          </w:tcPr>
          <w:p>
            <w:pPr>
              <w:jc w:val="right"/>
              <w:ind w:right="540"/>
              <w:spacing w:after="0" w:line="129" w:lineRule="exact"/>
              <w:rPr>
                <w:sz w:val="20"/>
                <w:szCs w:val="20"/>
                <w:color w:val="auto"/>
              </w:rPr>
            </w:pPr>
            <w:r>
              <w:rPr>
                <w:rFonts w:ascii="Arial" w:cs="Arial" w:eastAsia="Arial" w:hAnsi="Arial"/>
                <w:sz w:val="14"/>
                <w:szCs w:val="14"/>
                <w:b w:val="1"/>
                <w:bCs w:val="1"/>
                <w:color w:val="auto"/>
                <w:w w:val="92"/>
              </w:rPr>
              <w:t>except share and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20,892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13,152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34,044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9"/>
                <w:szCs w:val="19"/>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8"/>
                <w:szCs w:val="18"/>
                <w:color w:val="auto"/>
              </w:rPr>
              <w:t>(45,101)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(34,044)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(27,521)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liability</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w w:val="88"/>
              </w:rPr>
              <w:t>(205,153)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w w:val="88"/>
              </w:rPr>
              <w:t>(250,090)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(31,507)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w w:val="88"/>
              </w:rPr>
              <w:t>(249,589)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(30,606)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(18,489)</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Loss per basic and diluted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4"/>
              <w:spacing w:after="0"/>
              <w:rPr>
                <w:sz w:val="20"/>
                <w:szCs w:val="20"/>
                <w:color w:val="auto"/>
              </w:rPr>
            </w:pPr>
            <w:r>
              <w:rPr>
                <w:rFonts w:ascii="Arial" w:cs="Arial" w:eastAsia="Arial" w:hAnsi="Arial"/>
                <w:sz w:val="18"/>
                <w:szCs w:val="18"/>
                <w:color w:val="auto"/>
              </w:rPr>
              <w:t>(2.49)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(0.72)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100,239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42,424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left="260" w:right="2640"/>
        <w:spacing w:after="0" w:line="262" w:lineRule="auto"/>
        <w:rPr>
          <w:sz w:val="20"/>
          <w:szCs w:val="20"/>
          <w:color w:val="auto"/>
        </w:rPr>
      </w:pPr>
      <w:r>
        <w:rPr>
          <w:rFonts w:ascii="Arial" w:cs="Arial" w:eastAsia="Arial" w:hAnsi="Arial"/>
          <w:sz w:val="18"/>
          <w:szCs w:val="18"/>
          <w:b w:val="1"/>
          <w:bCs w:val="1"/>
          <w:color w:val="auto"/>
        </w:rPr>
        <w:t>CONSOLIDATED STATEMENTS OF STOCKHOLDERS’ (DEFICIT) EQUITY FOR THE YEARS ENDED DECEMBER 31, 2010, 2009 AND 2008 (in thousands,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6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Paid-in</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1000" w:type="dxa"/>
            <w:vAlign w:val="bottom"/>
            <w:gridSpan w:val="3"/>
          </w:tcPr>
          <w:p>
            <w:pPr>
              <w:jc w:val="right"/>
              <w:ind w:right="138"/>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960" w:type="dxa"/>
            <w:vAlign w:val="bottom"/>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13,905,745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$ 12,942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$ 192,487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(217)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w w:val="90"/>
              </w:rPr>
              <w:t>(200,649)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issued under Proseed agreement</w:t>
            </w:r>
          </w:p>
        </w:tc>
        <w:tc>
          <w:tcPr>
            <w:tcW w:w="960" w:type="dxa"/>
            <w:vAlign w:val="bottom"/>
          </w:tcPr>
          <w:p>
            <w:pPr>
              <w:jc w:val="right"/>
              <w:spacing w:after="0"/>
              <w:rPr>
                <w:sz w:val="20"/>
                <w:szCs w:val="20"/>
                <w:color w:val="auto"/>
              </w:rPr>
            </w:pPr>
            <w:r>
              <w:rPr>
                <w:rFonts w:ascii="Arial" w:cs="Arial" w:eastAsia="Arial" w:hAnsi="Arial"/>
                <w:sz w:val="18"/>
                <w:szCs w:val="18"/>
                <w:color w:val="auto"/>
              </w:rPr>
              <w:t>97,500</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118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May private placement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13,043,479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Fair value of May participation rights</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and comprehensive loss</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Arial" w:cs="Arial" w:eastAsia="Arial" w:hAnsi="Arial"/>
                <w:sz w:val="18"/>
                <w:szCs w:val="18"/>
                <w:color w:val="auto"/>
              </w:rPr>
              <w:t>(18,489)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3l, 2008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27,046,724</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25,664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(217)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w w:val="90"/>
              </w:rPr>
              <w:t>(219,138)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issued under Ester amendment</w:t>
            </w:r>
          </w:p>
        </w:tc>
        <w:tc>
          <w:tcPr>
            <w:tcW w:w="960" w:type="dxa"/>
            <w:vAlign w:val="bottom"/>
          </w:tcPr>
          <w:p>
            <w:pPr>
              <w:jc w:val="right"/>
              <w:spacing w:after="0"/>
              <w:rPr>
                <w:sz w:val="20"/>
                <w:szCs w:val="20"/>
                <w:color w:val="auto"/>
              </w:rPr>
            </w:pPr>
            <w:r>
              <w:rPr>
                <w:rFonts w:ascii="Arial" w:cs="Arial" w:eastAsia="Arial" w:hAnsi="Arial"/>
                <w:sz w:val="18"/>
                <w:szCs w:val="18"/>
                <w:color w:val="auto"/>
              </w:rPr>
              <w:t>1,315,789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Proseed agreement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issued in October private placement</w:t>
            </w:r>
          </w:p>
        </w:tc>
        <w:tc>
          <w:tcPr>
            <w:tcW w:w="960" w:type="dxa"/>
            <w:vAlign w:val="bottom"/>
          </w:tcPr>
          <w:p>
            <w:pPr>
              <w:jc w:val="right"/>
              <w:spacing w:after="0"/>
              <w:rPr>
                <w:sz w:val="20"/>
                <w:szCs w:val="20"/>
                <w:color w:val="auto"/>
              </w:rPr>
            </w:pPr>
            <w:r>
              <w:rPr>
                <w:rFonts w:ascii="Arial" w:cs="Arial" w:eastAsia="Arial" w:hAnsi="Arial"/>
                <w:sz w:val="18"/>
                <w:szCs w:val="18"/>
                <w:color w:val="auto"/>
              </w:rPr>
              <w:t>66,400,000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54,212</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October 2009 warrant derivative liability</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issued in repayment of bridge loans</w:t>
            </w:r>
          </w:p>
        </w:tc>
        <w:tc>
          <w:tcPr>
            <w:tcW w:w="960" w:type="dxa"/>
            <w:vAlign w:val="bottom"/>
          </w:tcPr>
          <w:p>
            <w:pPr>
              <w:jc w:val="right"/>
              <w:spacing w:after="0"/>
              <w:rPr>
                <w:sz w:val="20"/>
                <w:szCs w:val="20"/>
                <w:color w:val="auto"/>
              </w:rPr>
            </w:pPr>
            <w:r>
              <w:rPr>
                <w:rFonts w:ascii="Arial" w:cs="Arial" w:eastAsia="Arial" w:hAnsi="Arial"/>
                <w:sz w:val="18"/>
                <w:szCs w:val="18"/>
                <w:color w:val="auto"/>
              </w:rPr>
              <w:t>3,999,996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3,266</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2"/>
              </w:rPr>
              <w:t>Transfer of fair value of bridge loan and December 2007 warrants from</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to equity</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comprehensive loss</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(30,606)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(30,606)</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2009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98,801,982</w:t>
            </w: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84,219</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172,339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71"/>
              </w:rPr>
              <w:t>(217)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(249,744)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6,344,136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1,706,016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4"/>
              </w:rPr>
              <w:t>Fair value of October 2009 warrants reclassed from derivative liability</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to equity</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22,317</w:t>
            </w: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for services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comprehensive loss</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0"/>
              </w:rPr>
              <w:t>(249,589)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(249,589)</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106,856,731</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90,465</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$ 206,718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3"/>
              </w:rPr>
              <w:t>(217</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(499,333</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(202,367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40" w:type="dxa"/>
            <w:vAlign w:val="bottom"/>
            <w:vMerge w:val="restart"/>
          </w:tcPr>
          <w:p>
            <w:pPr>
              <w:ind w:left="12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(249,589)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(30,606)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intellectual property</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2,859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compensation—Ester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Non-cash interest</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2,803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changes in fair value of derivative liability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205,153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lease liability</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Shares issued for services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(33,870)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(28,406)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Purchases of equipment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Sale of lorazepam</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62,253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Proceeds on issuance of convertible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Repayment of convertible debt</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awards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Repayment of finance leases</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65,841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(20,816)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38,019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14,239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31,442</w:t>
            </w:r>
          </w:p>
        </w:tc>
        <w:tc>
          <w:tcPr>
            <w:tcW w:w="2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52,258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items: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Reclass of warrant liability to additional paid-in capital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22,317</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5,328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 of additional paid-in capital to warrant liability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47,105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color w:val="auto"/>
              </w:rPr>
              <w:t>Conversion of bridge loans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3,600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Ester Shares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color w:val="auto"/>
              </w:rPr>
              <w:t>Issuance of Proseed Shares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060"/>
              <w:spacing w:after="0"/>
              <w:rPr>
                <w:sz w:val="20"/>
                <w:szCs w:val="20"/>
                <w:color w:val="auto"/>
              </w:rPr>
            </w:pPr>
            <w:r>
              <w:rPr>
                <w:rFonts w:ascii="Arial" w:cs="Arial" w:eastAsia="Arial" w:hAnsi="Arial"/>
                <w:sz w:val="18"/>
                <w:szCs w:val="18"/>
                <w:color w:val="auto"/>
              </w:rPr>
              <w:t>See notes to consolidated financial statements.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380" w:type="dxa"/>
            <w:vAlign w:val="bottom"/>
          </w:tcPr>
          <w:p>
            <w:pPr>
              <w:ind w:left="5580"/>
              <w:spacing w:after="0"/>
              <w:rPr>
                <w:sz w:val="20"/>
                <w:szCs w:val="20"/>
                <w:color w:val="auto"/>
              </w:rPr>
            </w:pPr>
            <w:r>
              <w:rPr>
                <w:rFonts w:ascii="Arial" w:cs="Arial" w:eastAsia="Arial" w:hAnsi="Arial"/>
                <w:sz w:val="18"/>
                <w:szCs w:val="18"/>
                <w:color w:val="auto"/>
              </w:rPr>
              <w:t>F-5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Basis of Presentation and Subsequent Event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Capital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Amarin is a clinical-stage biopharmaceutical company focused on developing improved treatments for cardiovascular disease by capitalizing on its expertise in the field of lipid science and the known therapeutic benefits of essential fatty acids in cardiovascular disease. The Company is currently focusing its efforts on AMR101 (icosapent ethyl), a prescription-only omega-3 fatty acid, comprising not less than 96% ultra pure icosapent ethyl (ethyl-EPA).</w:t>
      </w:r>
    </w:p>
    <w:p>
      <w:pPr>
        <w:spacing w:after="0" w:line="10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has evaluated subsequent events from December 31, 2010 through the date of the issuance of these consolidated financial statements and has determined that no material subsequent events have occurred, except as disclosed below that would affect the information presented in these consolidated financial statements or to require additional disclosure.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development and commercialization of AMR101, which is still under development and not available for sale. However, the Company is not considered a development stage business, as the release and sale of the previous product represented the exit of the Company from the development stage.</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23" w:lineRule="auto"/>
        <w:rPr>
          <w:sz w:val="20"/>
          <w:szCs w:val="20"/>
          <w:color w:val="auto"/>
        </w:rPr>
      </w:pPr>
      <w:r>
        <w:rPr>
          <w:rFonts w:ascii="Arial" w:cs="Arial" w:eastAsia="Arial" w:hAnsi="Arial"/>
          <w:sz w:val="15"/>
          <w:szCs w:val="15"/>
          <w:color w:val="auto"/>
        </w:rPr>
        <w:t>At December 31, 2010, the Company had cash and cash equivalents of $31.4 million. The Company’s consolidated balance sheet also includes a significant derivative liability (see footnote 7—warrants and derivative liability) reflecting the fair value of outstanding warrants to purchase shares of the Company’s common stock. This liability can only be settled in shares of the Company’s stock and, as such, would only result in cash inflows upon the exercise of the warrants—not a cash outflow. Accordingly, this warrant derivative liability presents neither a short nor long-term claim on the liquid assets of the Company.</w:t>
      </w:r>
    </w:p>
    <w:p>
      <w:pPr>
        <w:spacing w:after="0" w:line="9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 January 2011, the Company completed an offering of 13.8 million American Depository Shares (ADSs), with each ADS representing one share of the Company’s common stock. The shares were sold at a price of $7.60 per share, and resulted in net proceeds of $98.7 million.</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believes its cash, including the net proceeds from the January 2011 financing, will be sufficient to fund its projected operations for the next twelve months which contemplates not only working capital and general corporate needs but also the filing of a New Drug Application (NDA) for and commercial preparation of AMR101, working capital and other general corporate activities. This is based on management’s current operational plans and activities at normal levels and does not assume any cash inflows from partnerships, warrant exercises or other dilutive or non-dilutive financings in the long-term. If the Company elects to commercialize AMR101 themselves, rather than through a partner, or decides to commence an outcome study, they will need additional funds to complete such activities.</w:t>
      </w:r>
    </w:p>
    <w:p>
      <w:pPr>
        <w:spacing w:after="0" w:line="219" w:lineRule="exact"/>
        <w:rPr>
          <w:sz w:val="20"/>
          <w:szCs w:val="20"/>
          <w:color w:val="auto"/>
        </w:rPr>
      </w:pPr>
    </w:p>
    <w:p>
      <w:pPr>
        <w:ind w:left="240" w:right="8640" w:hanging="232"/>
        <w:spacing w:after="0" w:line="417" w:lineRule="auto"/>
        <w:tabs>
          <w:tab w:leader="none" w:pos="392"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the Company’s consolidated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&amp; Equipment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their estimated useful lives. The estimated useful lives, by asset classification,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820" w:type="dxa"/>
            <w:vAlign w:val="bottom"/>
          </w:tcPr>
          <w:p>
            <w:pPr>
              <w:spacing w:after="0"/>
              <w:rPr>
                <w:sz w:val="14"/>
                <w:szCs w:val="14"/>
                <w:color w:val="auto"/>
              </w:rPr>
            </w:pPr>
          </w:p>
        </w:tc>
      </w:tr>
      <w:tr>
        <w:trPr>
          <w:trHeight w:val="201"/>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Computer equipment and software</w:t>
            </w:r>
          </w:p>
        </w:tc>
        <w:tc>
          <w:tcPr>
            <w:tcW w:w="270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4"/>
              </w:rPr>
              <w:t>3 - 5 years</w:t>
            </w:r>
          </w:p>
        </w:tc>
        <w:tc>
          <w:tcPr>
            <w:tcW w:w="820" w:type="dxa"/>
            <w:vAlign w:val="bottom"/>
          </w:tcPr>
          <w:p>
            <w:pPr>
              <w:spacing w:after="0"/>
              <w:rPr>
                <w:sz w:val="17"/>
                <w:szCs w:val="17"/>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00" w:type="dxa"/>
            <w:vAlign w:val="bottom"/>
          </w:tcPr>
          <w:p>
            <w:pPr>
              <w:spacing w:after="0"/>
              <w:rPr>
                <w:sz w:val="18"/>
                <w:szCs w:val="18"/>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8"/>
                <w:szCs w:val="18"/>
                <w:color w:val="auto"/>
                <w:w w:val="88"/>
              </w:rPr>
              <w:t>5 years</w:t>
            </w: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240" w:type="dxa"/>
            <w:vAlign w:val="bottom"/>
            <w:gridSpan w:val="3"/>
          </w:tcPr>
          <w:p>
            <w:pPr>
              <w:jc w:val="center"/>
              <w:ind w:left="1792"/>
              <w:spacing w:after="0"/>
              <w:rPr>
                <w:sz w:val="20"/>
                <w:szCs w:val="20"/>
                <w:color w:val="auto"/>
              </w:rPr>
            </w:pPr>
            <w:r>
              <w:rPr>
                <w:rFonts w:ascii="Arial" w:cs="Arial" w:eastAsia="Arial" w:hAnsi="Arial"/>
                <w:sz w:val="18"/>
                <w:szCs w:val="18"/>
                <w:color w:val="auto"/>
                <w:w w:val="89"/>
              </w:rPr>
              <w:t>Lesser of useful life or lease term</w:t>
            </w:r>
          </w:p>
        </w:tc>
      </w:tr>
    </w:tbl>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undiscounted forecasted cash flows or appraised values, depending on the nature of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liabilities lapse, the derivative financial liability is reclassified out of financial liabilities into equity at its fair value on that date. At settlement date, if the instruments are settled in shares the carrying value of the warrants are derecognised and transferred to equity at their fair value at that date. The cash proceeds received from exercises of warrants are recorded in common stock and additional paid-in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 dilutive such that basic net loss per share and diluted net loss per share are equal.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compensation cost over the requisite service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maintains substantially all of its cash and cash equivalents in financial institutions believed to be of high-credit quality.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(expense), net in the consolidated financial statements of operations. For transactions settled during the period, gains and losses are included in other income (expense), net in the consolidated statements of operations. Foreign exchange gains and (losses) have not been significant in the periods presented.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presents information about the Company’s liability as of December 31, 2010 and 2009 that is measured at fair value on a recurring basis and indicates the fair value hierarchy of the valuation techniques the Company utilized to determine such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1"/>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8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960" w:type="dxa"/>
            <w:vAlign w:val="bottom"/>
          </w:tcPr>
          <w:p>
            <w:pPr>
              <w:spacing w:after="0"/>
              <w:rPr>
                <w:sz w:val="12"/>
                <w:szCs w:val="12"/>
                <w:color w:val="auto"/>
              </w:rPr>
            </w:pPr>
          </w:p>
        </w:tc>
        <w:tc>
          <w:tcPr>
            <w:tcW w:w="1100" w:type="dxa"/>
            <w:vAlign w:val="bottom"/>
            <w:gridSpan w:val="4"/>
          </w:tcPr>
          <w:p>
            <w:pPr>
              <w:jc w:val="center"/>
              <w:ind w:right="420"/>
              <w:spacing w:after="0" w:line="142" w:lineRule="exact"/>
              <w:rPr>
                <w:sz w:val="20"/>
                <w:szCs w:val="20"/>
                <w:color w:val="auto"/>
              </w:rPr>
            </w:pPr>
            <w:r>
              <w:rPr>
                <w:rFonts w:ascii="Arial" w:cs="Arial" w:eastAsia="Arial" w:hAnsi="Arial"/>
                <w:sz w:val="14"/>
                <w:szCs w:val="14"/>
                <w:b w:val="1"/>
                <w:bCs w:val="1"/>
                <w:color w:val="auto"/>
                <w:w w:val="83"/>
              </w:rPr>
              <w:t>Total</w:t>
            </w:r>
          </w:p>
        </w:tc>
        <w:tc>
          <w:tcPr>
            <w:tcW w:w="8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5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2960" w:type="dxa"/>
            <w:vAlign w:val="bottom"/>
          </w:tcPr>
          <w:p>
            <w:pPr>
              <w:spacing w:after="0"/>
              <w:rPr>
                <w:sz w:val="18"/>
                <w:szCs w:val="18"/>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230,069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w:t>
            </w:r>
          </w:p>
        </w:tc>
        <w:tc>
          <w:tcPr>
            <w:tcW w:w="440" w:type="dxa"/>
            <w:vAlign w:val="bottom"/>
            <w:gridSpan w:val="2"/>
          </w:tcPr>
          <w:p>
            <w:pPr>
              <w:spacing w:after="0"/>
              <w:rPr>
                <w:sz w:val="18"/>
                <w:szCs w:val="18"/>
                <w:color w:val="auto"/>
              </w:rPr>
            </w:pPr>
          </w:p>
        </w:tc>
        <w:tc>
          <w:tcPr>
            <w:tcW w:w="4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w w:val="96"/>
              </w:rPr>
              <w:t>$ —</w:t>
            </w:r>
          </w:p>
        </w:tc>
        <w:tc>
          <w:tcPr>
            <w:tcW w:w="440" w:type="dxa"/>
            <w:vAlign w:val="bottom"/>
            <w:gridSpan w:val="2"/>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230,069</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0"/>
              </w:rPr>
              <w:t>December 31, 2009</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8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5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3780" w:type="dxa"/>
            <w:vAlign w:val="bottom"/>
            <w:gridSpan w:val="4"/>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41,520</w:t>
            </w:r>
          </w:p>
        </w:tc>
        <w:tc>
          <w:tcPr>
            <w:tcW w:w="280" w:type="dxa"/>
            <w:vAlign w:val="bottom"/>
          </w:tcPr>
          <w:p>
            <w:pPr>
              <w:spacing w:after="0"/>
              <w:rPr>
                <w:sz w:val="18"/>
                <w:szCs w:val="18"/>
                <w:color w:val="auto"/>
              </w:rPr>
            </w:pPr>
          </w:p>
        </w:tc>
        <w:tc>
          <w:tcPr>
            <w:tcW w:w="860" w:type="dxa"/>
            <w:vAlign w:val="bottom"/>
            <w:gridSpan w:val="4"/>
          </w:tcPr>
          <w:p>
            <w:pPr>
              <w:ind w:left="1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 —</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41,520</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warrant derivative liability is carried at fair value and is classified as Level 3 in the fair value hierarchy due to the use of significant unobservable inputs. The initial fair value of the warrant derivative liability at the date of issuance in October 2009 was determined to be $48.3 million using the Black-Scholes option valuation model applying the following assumptions: (i) risk-free rate of 2.37%, (ii) remaining term of 5 years, (iii) no dividend yield, (iv) volatility of 119%, and (v) the stock price or the date of measurement.</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December 31, 2009, the fair value of the warrant derivative liability was determined to be $41.5 million applying the following assumptions: (i) risk-free rate of 2.69%, (ii) remaining term of 4.8 years, (iii) no dividend yield (iv) volatility of 116%, and (v) the stock price or the date of measurement. The decrease in the fair value of the warrant derivative liability of $6.8 million was recognized as a $6.6 million gain on change in fair value of derivative liability and $0.2 million compensation (income) for change in fair value of warrants issued to former employees, both amounts are included in the consolidated statement of operations for the period ended December 31,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December 31, 2010, the fair value of the warrant derivative liability was determined to be $230.1 million using the Black-Scholes option valuation model applying the following assumptions: (i) risk-free rate of 1.52%, (ii) remaining term of 3.8 years, (iii) no dividend yield (iv) volatility of 117%, and (v) the stock price on the date of measurement. The $210.9 million increase in the fair value of the warrants was recognized as a $205.2 million loss on change in fair value of derivative liability and $5.7 million compensation expense for change in fair value of warrants issued to former employees, both amounts are included in the consolidated statement of operations for the year ended December 31, 2010. The change in the fair value of the warrant derivative liabilities is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October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and</w:t>
            </w:r>
          </w:p>
        </w:tc>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May 2008</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July 2009</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Participation</w:t>
            </w:r>
          </w:p>
        </w:tc>
        <w:tc>
          <w:tcPr>
            <w:tcW w:w="120" w:type="dxa"/>
            <w:vAlign w:val="bottom"/>
          </w:tcPr>
          <w:p>
            <w:pPr>
              <w:spacing w:after="0"/>
              <w:rPr>
                <w:sz w:val="12"/>
                <w:szCs w:val="12"/>
                <w:color w:val="auto"/>
              </w:rPr>
            </w:pPr>
          </w:p>
        </w:tc>
        <w:tc>
          <w:tcPr>
            <w:tcW w:w="4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Warrants</w:t>
            </w:r>
          </w:p>
        </w:tc>
        <w:tc>
          <w:tcPr>
            <w:tcW w:w="6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Rights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Initial measurement, May 2008 participation option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8,218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(7,714)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(1,575)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Transfer to equity</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504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533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1,037</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Initial measurement, June and July 2009 warrants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Initial measurement, October 2009 financing warrants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Initial measurement, October 2009 warrants issued to employees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479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Compensation (income) expense for change in fair value of warrants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issued to former employees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(4,316)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(1,012)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2009</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41,520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205,153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205,153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Compensation (income) expense for change in fair value of warrants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issued to former employees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(22,317)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(22,317)</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2010</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230,069</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230,069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fair value of the June and July 2009 warrant derivative liability, using a Monte Carlo valuation model, was determined to be $2.8 million at initial measurement and $4.3 million at termination, applying the following assumptions: (i) risk-free rates of 2.35% and 2.55%, (ii) remaining terms of 5.0 and 4.8 years, (iii) no dividend yield, (iv) volatility of 112%, and (v) the stock price on the date of measurement. The fair value of the warrant derivative liability of $4.3 million was reclassified from liabilities during 2009 and included as a component of equity at December 31, 2009.</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fair value of the December 2007 warrant derivative liability, using a Monte Carlo valuation model, was determined to be $2.5 million at initial measurement and $1.0 million at termination, applying the following assumptions: (i) risk-free rates of 3.32% and 1.32%, (ii) remaining terms of 5.0 and 3.0 years, (iii) no dividend yield, (iv) volatility of 113% and 131%, and (v) the stock price on the date of measurement. The fair value of the warrant derivative liability of $1.0 million was reclassified from liabilities during 2009 and included as a component of equity at December 31, 2009.</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fair value of the December 2008 derivative liability, using a Monte Carlo valuation model, was determined to be $8.2 million at initial measurement and $0.5 million at termination, applying the following assumptions: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59"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risk-free rates of 2.24 to 0.04%, (ii) remaining terms of 0.6 and 0.2 years, (iii) no dividend yield, (iv) volatility of 90% and 131% and (v) the stock price on the date of measurement. The fair value of the warrant derivative liability of $0.5 million was recognized in the statement of operations as a gain on fair value of change in derivative liabilities at December 31,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the years ended December 31, 2010, 2009 and 2008,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15"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of the following at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 receivable (1)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$ 1,117</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1,975</w:t>
            </w:r>
          </w:p>
        </w:tc>
        <w:tc>
          <w:tcPr>
            <w:tcW w:w="1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16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refunds receivable in the U.K. for research and development expenditures incurred in 2009 and 2008 at Amarin Neuroscience Ltd (ANL). No recovery has been recorded for fiscal year 2010 since the expenditures at ANL during the year ended December 31, 2010 were negligible.</w:t>
      </w:r>
    </w:p>
    <w:p>
      <w:pPr>
        <w:spacing w:after="0" w:line="160"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&amp;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at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148</w:t>
            </w: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21"/>
        </w:trPr>
        <w:tc>
          <w:tcPr>
            <w:tcW w:w="7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180</w:t>
            </w:r>
          </w:p>
        </w:tc>
        <w:tc>
          <w:tcPr>
            <w:tcW w:w="120" w:type="dxa"/>
            <w:vAlign w:val="bottom"/>
          </w:tcPr>
          <w:p>
            <w:pPr>
              <w:spacing w:after="0"/>
              <w:rPr>
                <w:sz w:val="19"/>
                <w:szCs w:val="19"/>
                <w:color w:val="auto"/>
              </w:rPr>
            </w:pPr>
          </w:p>
        </w:tc>
      </w:tr>
      <w:tr>
        <w:trPr>
          <w:trHeight w:val="218"/>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(52)</w:t>
            </w:r>
          </w:p>
        </w:tc>
      </w:tr>
      <w:tr>
        <w:trPr>
          <w:trHeight w:val="20"/>
        </w:trPr>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7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128</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Depreciation expense for the years ended December 31, 2010, December 31, 2009, and December 31, 2008 was $0.1 million, $0.6 million, and $0.3 million, respectively.</w:t>
      </w:r>
    </w:p>
    <w:p>
      <w:pPr>
        <w:spacing w:after="0" w:line="207"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Ester Asset Purchase</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December 2007, the Company purchased 100% of the outstanding share capital of Ester Neurosciences Ltd (Ester). In conjunction with the purchase of Ester, Amarin primarily received the rights to Ester’s intellectual property related to EN101. The Ester transaction was accounted for as an asset purchase with the purchase price consisting of an upfront payment of $5.2 million, $10.0 million in common stock (with a fair value of $9.0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million) and a variable contingent payment, payable in common stock, of up to $5.0 million, based on the achievement of a performance milestone called Milestone Ia. The achievement of Milestone Ia was considered probable and, as a result, the Company recorded a stock based liability with a fair value of $4.8 million. The stock based liability was remeasured at each reporting date with changes in the fair value recorded as compensation expense (income) as a component of research and development expense. The fair value of this liability was determined to be approximately $3.4 million at December 31, 2007 and the Company recognized a reduction of compensation expense of $1.4 million for the period ended December 31, 2007. The fair value of this liability was determined to be approximately $0.9 million at December 31, 2008 and the company recognized a reduction of compensation expense of $2.5 million for the period ended December 31, 2008.</w:t>
      </w:r>
    </w:p>
    <w:p>
      <w:pPr>
        <w:spacing w:after="0" w:line="11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June 2009, the Company amended the terms of its acquisition agreement with the original shareholders of Ester. Under the terms of this amendment, Amarin was released from all research and development diligence obligations contained in the original agreement and authorized to seek a partner to continue the research and development for EN101. The amendment also provided that any future payment obligations payable by Amarin to the former shareholders of Ester would be made only out of income received from potential partners. Under the terms of this amendment agreement, the former Ester shareholders have the option of reacquiring the original share capital of Ester if Amarin is unable to successfully partner EN101. In August 2009, in connection with this amendment agreement, the Company settled the liability and issued 1,315,789 common shares to the former Ester shareholders, with a fair value on the settlement date of approximately $1.8 million. The $0.9 million difference between the $1.8 million fair value of the common shares issued at settlement and the $0.9 million fair value of the stock based liability at the settlement date was recognized as compensation expense within research and development for the period ended December 31, 2009.</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Accrued Expenses and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December 31, 2010 and 2009:</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1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payroll-related expenses</w:t>
            </w:r>
          </w:p>
        </w:tc>
        <w:tc>
          <w:tcPr>
            <w:tcW w:w="374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$1,631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740" w:type="dxa"/>
            <w:vAlign w:val="bottom"/>
            <w:gridSpan w:val="3"/>
          </w:tcPr>
          <w:p>
            <w:pPr>
              <w:jc w:val="right"/>
              <w:ind w:right="492"/>
              <w:spacing w:after="0"/>
              <w:rPr>
                <w:sz w:val="20"/>
                <w:szCs w:val="20"/>
                <w:color w:val="auto"/>
              </w:rPr>
            </w:pPr>
            <w:r>
              <w:rPr>
                <w:rFonts w:ascii="Arial" w:cs="Arial" w:eastAsia="Arial" w:hAnsi="Arial"/>
                <w:sz w:val="18"/>
                <w:szCs w:val="18"/>
                <w:color w:val="auto"/>
              </w:rPr>
              <w:t>340</w:t>
            </w: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74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585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All other</w:t>
            </w:r>
          </w:p>
        </w:tc>
        <w:tc>
          <w:tcPr>
            <w:tcW w:w="2680" w:type="dxa"/>
            <w:vAlign w:val="bottom"/>
          </w:tcPr>
          <w:p>
            <w:pPr>
              <w:spacing w:after="0"/>
              <w:rPr>
                <w:sz w:val="18"/>
                <w:szCs w:val="18"/>
                <w:color w:val="auto"/>
              </w:rPr>
            </w:pPr>
          </w:p>
        </w:tc>
        <w:tc>
          <w:tcPr>
            <w:tcW w:w="1060" w:type="dxa"/>
            <w:vAlign w:val="bottom"/>
            <w:gridSpan w:val="2"/>
          </w:tcPr>
          <w:p>
            <w:pPr>
              <w:jc w:val="right"/>
              <w:ind w:right="492"/>
              <w:spacing w:after="0"/>
              <w:rPr>
                <w:sz w:val="20"/>
                <w:szCs w:val="20"/>
                <w:color w:val="auto"/>
              </w:rPr>
            </w:pPr>
            <w:r>
              <w:rPr>
                <w:rFonts w:ascii="Arial" w:cs="Arial" w:eastAsia="Arial" w:hAnsi="Arial"/>
                <w:sz w:val="18"/>
                <w:szCs w:val="18"/>
                <w:color w:val="auto"/>
              </w:rPr>
              <w:t>572</w:t>
            </w:r>
          </w:p>
        </w:tc>
        <w:tc>
          <w:tcPr>
            <w:tcW w:w="50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r>
      <w:tr>
        <w:trPr>
          <w:trHeight w:val="27"/>
        </w:trPr>
        <w:tc>
          <w:tcPr>
            <w:tcW w:w="5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3,250</w:t>
            </w:r>
          </w:p>
        </w:tc>
        <w:tc>
          <w:tcPr>
            <w:tcW w:w="10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Warrants and Derivative Liability</w:t>
      </w:r>
    </w:p>
    <w:p>
      <w:pPr>
        <w:spacing w:after="0" w:line="9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Company has 34,024,132 warrants to purchase common shares outstanding at December 31, 2010 at a weighted-average exercise price of $1.50,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Issue Date</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4"/>
                <w:szCs w:val="14"/>
                <w:color w:val="auto"/>
              </w:rPr>
            </w:pPr>
          </w:p>
        </w:tc>
        <w:tc>
          <w:tcPr>
            <w:tcW w:w="230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w w:val="87"/>
              </w:rPr>
              <w:t>Exercise Price</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Expiration Date</w:t>
            </w:r>
          </w:p>
        </w:tc>
      </w:tr>
      <w:tr>
        <w:trPr>
          <w:trHeight w:val="20"/>
        </w:trPr>
        <w:tc>
          <w:tcPr>
            <w:tcW w:w="1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1/26/2006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30.60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1/26/2011</w:t>
            </w:r>
          </w:p>
        </w:tc>
      </w:tr>
      <w:tr>
        <w:trPr>
          <w:trHeight w:val="216"/>
        </w:trPr>
        <w:tc>
          <w:tcPr>
            <w:tcW w:w="3940" w:type="dxa"/>
            <w:vAlign w:val="bottom"/>
            <w:gridSpan w:val="3"/>
          </w:tcPr>
          <w:p>
            <w:pPr>
              <w:jc w:val="right"/>
              <w:ind w:right="1340"/>
              <w:spacing w:after="0"/>
              <w:rPr>
                <w:sz w:val="20"/>
                <w:szCs w:val="20"/>
                <w:color w:val="auto"/>
              </w:rPr>
            </w:pPr>
            <w:r>
              <w:rPr>
                <w:rFonts w:ascii="Arial" w:cs="Arial" w:eastAsia="Arial" w:hAnsi="Arial"/>
                <w:sz w:val="18"/>
                <w:szCs w:val="18"/>
                <w:color w:val="auto"/>
              </w:rPr>
              <w:t>4/27/07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jc w:val="right"/>
              <w:ind w:right="1440"/>
              <w:spacing w:after="0"/>
              <w:rPr>
                <w:sz w:val="20"/>
                <w:szCs w:val="20"/>
                <w:color w:val="auto"/>
              </w:rPr>
            </w:pPr>
            <w:r>
              <w:rPr>
                <w:rFonts w:ascii="Arial" w:cs="Arial" w:eastAsia="Arial" w:hAnsi="Arial"/>
                <w:sz w:val="18"/>
                <w:szCs w:val="18"/>
                <w:color w:val="auto"/>
              </w:rPr>
              <w:t>17.90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1/17/2014</w:t>
            </w:r>
          </w:p>
        </w:tc>
      </w:tr>
      <w:tr>
        <w:trPr>
          <w:trHeight w:val="216"/>
        </w:trPr>
        <w:tc>
          <w:tcPr>
            <w:tcW w:w="39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6/1/07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61,559</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7.20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5/31/12</w:t>
            </w:r>
          </w:p>
        </w:tc>
      </w:tr>
      <w:tr>
        <w:trPr>
          <w:trHeight w:val="216"/>
        </w:trPr>
        <w:tc>
          <w:tcPr>
            <w:tcW w:w="3940" w:type="dxa"/>
            <w:vAlign w:val="bottom"/>
            <w:gridSpan w:val="3"/>
          </w:tcPr>
          <w:p>
            <w:pPr>
              <w:jc w:val="right"/>
              <w:ind w:right="1340"/>
              <w:spacing w:after="0"/>
              <w:rPr>
                <w:sz w:val="20"/>
                <w:szCs w:val="20"/>
                <w:color w:val="auto"/>
              </w:rPr>
            </w:pPr>
            <w:r>
              <w:rPr>
                <w:rFonts w:ascii="Arial" w:cs="Arial" w:eastAsia="Arial" w:hAnsi="Arial"/>
                <w:sz w:val="18"/>
                <w:szCs w:val="18"/>
                <w:color w:val="auto"/>
              </w:rPr>
              <w:t>11/29/07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jc w:val="right"/>
              <w:ind w:right="1440"/>
              <w:spacing w:after="0"/>
              <w:rPr>
                <w:sz w:val="20"/>
                <w:szCs w:val="20"/>
                <w:color w:val="auto"/>
              </w:rPr>
            </w:pPr>
            <w:r>
              <w:rPr>
                <w:rFonts w:ascii="Arial" w:cs="Arial" w:eastAsia="Arial" w:hAnsi="Arial"/>
                <w:sz w:val="18"/>
                <w:szCs w:val="18"/>
                <w:color w:val="auto"/>
              </w:rPr>
              <w:t>3.60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11/28/12</w:t>
            </w:r>
          </w:p>
        </w:tc>
      </w:tr>
      <w:tr>
        <w:trPr>
          <w:trHeight w:val="216"/>
        </w:trPr>
        <w:tc>
          <w:tcPr>
            <w:tcW w:w="39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12/5/07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657,341</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w:t>
            </w:r>
          </w:p>
        </w:tc>
      </w:tr>
      <w:tr>
        <w:trPr>
          <w:trHeight w:val="216"/>
        </w:trPr>
        <w:tc>
          <w:tcPr>
            <w:tcW w:w="3940" w:type="dxa"/>
            <w:vAlign w:val="bottom"/>
            <w:gridSpan w:val="3"/>
          </w:tcPr>
          <w:p>
            <w:pPr>
              <w:jc w:val="right"/>
              <w:ind w:right="1340"/>
              <w:spacing w:after="0"/>
              <w:rPr>
                <w:sz w:val="20"/>
                <w:szCs w:val="20"/>
                <w:color w:val="auto"/>
              </w:rPr>
            </w:pPr>
            <w:r>
              <w:rPr>
                <w:rFonts w:ascii="Arial" w:cs="Arial" w:eastAsia="Arial" w:hAnsi="Arial"/>
                <w:sz w:val="18"/>
                <w:szCs w:val="18"/>
                <w:color w:val="auto"/>
              </w:rPr>
              <w:t>6/4/09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55,555</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jc w:val="right"/>
              <w:ind w:right="144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r>
      <w:tr>
        <w:trPr>
          <w:trHeight w:val="216"/>
        </w:trPr>
        <w:tc>
          <w:tcPr>
            <w:tcW w:w="39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7/31/09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736,108</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3940" w:type="dxa"/>
            <w:vAlign w:val="bottom"/>
            <w:gridSpan w:val="3"/>
          </w:tcPr>
          <w:p>
            <w:pPr>
              <w:jc w:val="right"/>
              <w:ind w:right="1340"/>
              <w:spacing w:after="0"/>
              <w:rPr>
                <w:sz w:val="20"/>
                <w:szCs w:val="20"/>
                <w:color w:val="auto"/>
              </w:rPr>
            </w:pPr>
            <w:r>
              <w:rPr>
                <w:rFonts w:ascii="Arial" w:cs="Arial" w:eastAsia="Arial" w:hAnsi="Arial"/>
                <w:sz w:val="18"/>
                <w:szCs w:val="18"/>
                <w:color w:val="auto"/>
              </w:rPr>
              <w:t>7/31/09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1,666,666</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jc w:val="right"/>
              <w:ind w:right="144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39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10/16/09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29,994,998</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1.50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10/15/14</w:t>
            </w:r>
          </w:p>
        </w:tc>
      </w:tr>
      <w:tr>
        <w:trPr>
          <w:trHeight w:val="216"/>
        </w:trPr>
        <w:tc>
          <w:tcPr>
            <w:tcW w:w="3940" w:type="dxa"/>
            <w:vAlign w:val="bottom"/>
            <w:gridSpan w:val="3"/>
          </w:tcPr>
          <w:p>
            <w:pPr>
              <w:jc w:val="right"/>
              <w:ind w:right="1340"/>
              <w:spacing w:after="0"/>
              <w:rPr>
                <w:sz w:val="20"/>
                <w:szCs w:val="20"/>
                <w:color w:val="auto"/>
              </w:rPr>
            </w:pPr>
            <w:r>
              <w:rPr>
                <w:rFonts w:ascii="Arial" w:cs="Arial" w:eastAsia="Arial" w:hAnsi="Arial"/>
                <w:sz w:val="18"/>
                <w:szCs w:val="18"/>
                <w:color w:val="auto"/>
              </w:rPr>
              <w:t>10/16/09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804,005</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jc w:val="right"/>
              <w:ind w:right="1440"/>
              <w:spacing w:after="0"/>
              <w:rPr>
                <w:sz w:val="20"/>
                <w:szCs w:val="20"/>
                <w:color w:val="auto"/>
              </w:rPr>
            </w:pPr>
            <w:r>
              <w:rPr>
                <w:rFonts w:ascii="Arial" w:cs="Arial" w:eastAsia="Arial" w:hAnsi="Arial"/>
                <w:sz w:val="18"/>
                <w:szCs w:val="18"/>
                <w:color w:val="auto"/>
              </w:rPr>
              <w:t>1.50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10/15/14</w:t>
            </w:r>
          </w:p>
        </w:tc>
      </w:tr>
      <w:tr>
        <w:trPr>
          <w:trHeight w:val="27"/>
        </w:trPr>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34,024,132</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b w:val="1"/>
                <w:bCs w:val="1"/>
                <w:color w:val="auto"/>
              </w:rPr>
              <w:t>1.50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F-13</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(see footnote 8—Debt). In consideration for the $62.3 million in net cash proceeds Amarin issued 66.4 million units, each unit consisting of (i) one ADS (representing one ordinary share) at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w:t>
      </w:r>
    </w:p>
    <w:p>
      <w:pPr>
        <w:spacing w:after="0" w:line="2" w:lineRule="exact"/>
        <w:rPr>
          <w:sz w:val="20"/>
          <w:szCs w:val="20"/>
          <w:color w:val="auto"/>
        </w:rPr>
      </w:pPr>
    </w:p>
    <w:p>
      <w:pPr>
        <w:ind w:right="280" w:firstLine="8"/>
        <w:spacing w:after="0" w:line="261"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warrant with a five year term to purchase 0.5 of an ADS an exercise price of $1.50 per ADS. The total number of warrants issued in conjunction with the financing was 35.2 million.</w:t>
      </w:r>
    </w:p>
    <w:p>
      <w:pPr>
        <w:spacing w:after="0" w:line="5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warrants issued in connection with the October 2009 financing contained a pricing variability feature which provided for an increase to the exercise price if the exchange rate between the U.S. dollar and British pound adjusts such that the warrants could be issued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initial fair value of these warrants was determined to be approximately $47.1 million using the Black-Scholes option pricing model. The Company recorded a reduction to additional paid-in capital.</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executives. The initial fair value of the warrant derivative liability associated with these warrants was determined to be $1.2 million using the Black-Scholes option pricing model. The Company recorded a warrant derivative liability of $1.2 million for these warrants and a corresponding charge to compensation expense of $1.2 million for the period ended December 31, 2009.</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fair value of this warrant derivative liability is remeasured at each reporting period, with changes in fair value recognized in the statement of operations. The fair value of the warrants at December 31, 2009 was determined to be approximately $41.5 million using the Black-Scholes option pricing model and the Company recognized a gain of approximately $6.6 million for a change in fair value of warrant derivative liability and a reduction to compensation expense of $0.2 million for the period ended December 31, 2009.</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warrants contain a pricing variability feature, the number of warrants issuable remains fixed. Therefore, the maximum number of common shares issuable as a result of the October 2009 private placement is 36.1 million. During the year ended December 31, 2010, approximately 5.3 million of these October 2009 warrants were exercised, resulting in gross proceeds to the Company of approximately $8.0 million. Upon exercise, the fair value of the warrants exercised is remeasured and reclassified from warrant liability to additional paid-in capital. The $22.3 million fair value of the exercised warrants was transferred from warrant liability to additional paid in capital with the change in the fair value on the exercise date recognized in the statement of operations. The fair value of the warrant liability at December 31, 2010 for the remaining warrants was determined to be approximately $230.1 million. The Company recognized a loss on change in fair value of derivative liability of $205.2 million and compensation expense of $5.7 million for the period ended December 31,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June and July 2009 Warrants</w:t>
      </w:r>
    </w:p>
    <w:p>
      <w:pPr>
        <w:spacing w:after="0" w:line="90"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In conjunction with the $2.6 million private placement of 8% convertible bridge loans due August 2009 in June 2009 the Company issued 1,444,442 warrants with an exercise price of $1.00. In July 2009, the Company completed a second private placement of $3.0 million of 8% convertible bridge loans due September 30, 2009. In conjunction with the July loan (i) $0.1 million of the June 2009 bridge notes were repaid, (ii) the maturity date of the June 2009 bridge notes was extended to September 30, 2009, (iii) the Company cancelled and reissued 1,388,887 of the June 2009 warrants with an exercise price of $1.00 and</w:t>
      </w:r>
    </w:p>
    <w:p>
      <w:pPr>
        <w:spacing w:after="0" w:line="3" w:lineRule="exact"/>
        <w:rPr>
          <w:sz w:val="20"/>
          <w:szCs w:val="20"/>
          <w:color w:val="auto"/>
        </w:rPr>
      </w:pPr>
    </w:p>
    <w:p>
      <w:pPr>
        <w:ind w:left="5540" w:right="5080" w:hanging="5532"/>
        <w:spacing w:after="0" w:line="568" w:lineRule="auto"/>
        <w:tabs>
          <w:tab w:leader="none" w:pos="29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Company issued an additional 1,666,666 warrants with an exercise price of $1.00. F-14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initial fair value of the warrants issued in conjunction with the June 2009 and July 2009 bridge loans was approximately $1.3 million and $1.5 million, respectively. Due to the lack of a fixed conversion feature, the warrants were classified as a derivative and the fair value of these warrants of $2.8 million was recorded in warrant derivative liability at the date of the transaction, with the remaining fair value of the proceeds received of $2.8 million recorded as loan payable. The difference between the loan payable of $2.8 million and the face value of the bridge notes of $5.6 million was recognized over the remaining term of the loan as interest expense of $2.8 million, and is included in the statement of operations for the period ended December 31, 2009.</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conjunction with the $70.0 million October 2009 private placement, $3.6 million of the $5.5 million outstanding bridge loan notes were converted into 3,999,996 common shares and new warrants were issued to purchase 1,999,996 common shares at an exercise price of $1.50. On October 16, 2009, the date of the conversion, the fair value of the June and July 2009 warrant derivative liability was $4.3 million. The resulting increase in the fair value of the bridge loan warrants of $1.5 million was recognized as a loss on change in fair value of derivative liabilities during the period ended December 31, 2009. At October 2009, the number and value of the underlying shares became fixed and determinable, therefore, the warrants were no longer classified as derivative liability and were remeasured to fair value and reclassified from derivative liability to additional paid-in capital with the change in the fair value on the exercise date recognized in the statement of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May 2008 Private Placement</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May 13, 2008, the Company completed a private placement of 13,043,479 common shares to institutional investors and certain current and former directors for $26.3 million in net proceeds. Under the terms of the agreement, these investors had the option to participate in a further financing dependent upon the Company achieving certain business milestones. The amount subscribed was split between an equity component and an “option” to subscribe for an additional amount of up to $30.0 million. On May 13, 2008 the initial fair value of this derivative liability was calculated to be approximately $8.2 million using a Monte Carlo option pricing model, and recorded as a reduction to additional paid-in capital. Due to the variable nature of this option, the Company classified the option as a derivative liability, which is remeasured at each reporting date with changes in fair value recognized in the statement of operations which contractually would expire at the date of the next financing. At December 31, 2008, the fair value of this option was recalculated to be $0.5 million and the Company recognized a $7.7 million gain on change in fair value of derivative liability for the period ended December 31, 2008.</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October 2009, in conjunction with the $70.0 million private placement, and per agreement with investors, this participation option was cancelled. As a result of the cancellation of the option, the Company recognized a gain on change in fair value of derivative liability of $0.5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December 2007 Warrants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conjunction with a registered direct offering in December 2007, the Company issued approximately 1.0 million warrants to purchase common stock at an initial exercise price of $4.80 per share, which was later adjusted to $1.17 based on a price protection provision in the warrant. Due to the pricing variability feature, the warrants were classified as derivative liabilities. The initial fair value of these warrants at December 31, 2007 was calculated to be approximately $2.1 million. The warrant liability was re-measured at each reporting date with subsequent changes in fair value recognized in the statement of operations.</w:t>
      </w:r>
    </w:p>
    <w:p>
      <w:pPr>
        <w:spacing w:after="0" w:line="11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At December 31, 2008, the fair value of these warrants was $0.5 million and the Company recognized a gain on change in fair value of derivative liability of approximately $1.6 million for the period ended December 31, 2008, due to the decrease in the fair value of these warrants from December 31, 2007.</w:t>
      </w:r>
    </w:p>
    <w:p>
      <w:pPr>
        <w:spacing w:after="0" w:line="8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At December 6, 2009, in accordance with the December 2007 purchase agreement, the pricing variability feature of these warrants expired and the number and value of the underlying shares became fixed. As such, the warrants were no longer considered a derivative liability and the fair value of the warrants at December 6, 2009 was determined to be $1.0 million. The resulting increase in the fair value of the warrants of $0.5 million was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recognized as a loss on change in fair value of derivative liability for the period ended December 31, 2009, and the $1.0 million fair value of the warrants was reclassified from derivative liability to additional paid-in capital.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Pre-December 2007 Warrants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issued several warrants in January 2006, April 2007, June 2007 and November 2007. These have been classified as equity instruments and have been included in on the Company’s balance sheet within equity at December 31, 2010 and 2009.</w:t>
      </w:r>
    </w:p>
    <w:p>
      <w:pPr>
        <w:spacing w:after="0" w:line="207"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and 2009, the Company had no borrowings.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June and July 2009 Bridge Notes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June 2009 Amarin completed a $2.6 million private placement of 8% convertible bridge loans due August 2009. In conjunction with the June 2009 bridge loan, the Company issued 1,444,442 warrants with an exercise price of $1.00. In July 2009, the Company completed a second private placement of $3.0 million of 8% convertible bridge loans due September 30, 2009. In conjunction with the July 2009 bridge loan (i) $0.1 million of the June 2009 bridge notes were repaid, (ii) the maturity date of the June 2009 bridge notes was extended to September 30, 2009, (iii) the Company cancelled and reissued 1,388,887 of the June 2009 warrants with an exercise price of $1.00 and (iv) issued an additional 1,666,663 warrants with an exercise price of $1.00 (see Note 7 – Warrants). The warrants were classified as a derivative and the fair value of these warrants of $2.8 million was recorded as a warrant derivative liability, with the remaining fair value of the proceeds received of $2.8 million recorded as loan payable. The difference between the loan payable of $2.8 million and the face value of the bridge notes of $5.6 million was recognized over the remaining term of the loan as interest expense of $2.8 million, and is included in the statement of operations for the period ended December 31, 2009.</w:t>
      </w:r>
    </w:p>
    <w:p>
      <w:pPr>
        <w:spacing w:after="0" w:line="12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conjunction with the $70.0 million October 2009 private placement, $3.6 million of the $5.5 million outstanding bridge loan notes were converted into 3,999,996 common stock and new warrants were issued to purchase 1,999,996 common shares at an exercise price of $1.50. The holders of the remaining bridge loans elected to have their principal of $1.9 million and accrued interest of $0.1 million which was repaid in cash in 2009.</w:t>
      </w:r>
    </w:p>
    <w:p>
      <w:pPr>
        <w:spacing w:after="0" w:line="182" w:lineRule="exact"/>
        <w:rPr>
          <w:sz w:val="20"/>
          <w:szCs w:val="20"/>
          <w:color w:val="auto"/>
        </w:rPr>
      </w:pPr>
    </w:p>
    <w:p>
      <w:pPr>
        <w:ind w:left="240" w:right="8540" w:hanging="232"/>
        <w:spacing w:after="0" w:line="347" w:lineRule="auto"/>
        <w:tabs>
          <w:tab w:leader="none" w:pos="39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from time to time, subject to disputes arising in the normal course of business. While ultimate results of any such disputes cannot be predicted with certainty, at December 31, 2010, there were no asserted claims against the Company which in the opinion of management, would have a material adverse effect on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Leases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Company leases office space and office equipment under operating and capital leases. Future minimum lease payments under these leases as of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 are as follows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48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Capital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10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21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10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21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4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4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7"/>
        </w:trPr>
        <w:tc>
          <w:tcPr>
            <w:tcW w:w="3760" w:type="dxa"/>
            <w:vAlign w:val="bottom"/>
            <w:gridSpan w:val="3"/>
            <w:vMerge w:val="continue"/>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principal obligations</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capital lease</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40" w:type="dxa"/>
            <w:vAlign w:val="bottom"/>
            <w:gridSpan w:val="2"/>
          </w:tcPr>
          <w:p>
            <w:pPr>
              <w:ind w:left="1320"/>
              <w:spacing w:after="0"/>
              <w:rPr>
                <w:sz w:val="20"/>
                <w:szCs w:val="20"/>
                <w:color w:val="auto"/>
              </w:rPr>
            </w:pPr>
            <w:r>
              <w:rPr>
                <w:rFonts w:ascii="Arial" w:cs="Arial" w:eastAsia="Arial" w:hAnsi="Arial"/>
                <w:sz w:val="18"/>
                <w:szCs w:val="18"/>
                <w:color w:val="auto"/>
              </w:rPr>
              <w:t>F-16</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1, 2008 the Company entered into a three year operating lease for office space in Mystic, CT expiring on October 31, 2011. The lease includes an option for Amarin to renew for three years. Total rent expense during the years ended 2010, 2009 and 2008 was approximately $0.3 million, $0.3 million, and $1.0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 Liability</w:t>
      </w:r>
    </w:p>
    <w:p>
      <w:pPr>
        <w:spacing w:after="0" w:line="9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 December 2005 the Company ceased using the office space in Ely, Cambridgeshire. Amarin is obligated to pay rent, service charges and rates to the end of the lease, which expires in November 2014. The premises have been sublet through November 2014. Liabilities for exited lease facilities at December 31, 2010 and 2009 were $0.1 million and $0.7 million respectively, and are included on the consolidated balance sheet under accrued expenses and other long-term liabilities.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agreement in respect of certain patents and other intellectual property rights relating to a formulation of the compound Apomorphine, no longer in development;</w:t>
      </w:r>
    </w:p>
    <w:p>
      <w:pPr>
        <w:spacing w:after="0" w:line="50" w:lineRule="exact"/>
        <w:rPr>
          <w:rFonts w:ascii="Arial" w:cs="Arial" w:eastAsia="Arial" w:hAnsi="Arial"/>
          <w:sz w:val="18"/>
          <w:szCs w:val="18"/>
          <w:color w:val="auto"/>
        </w:rPr>
      </w:pPr>
    </w:p>
    <w:p>
      <w:pPr>
        <w:ind w:left="900" w:right="200" w:hanging="325"/>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2010 supply agreement with the Company’s existing Japan-based supplier: (i) a one-time non refundable payment of $0.5 million is due to the supplier upon the first marketing approval of AMR101 in the United States (ii) the Company is subject to minimum supply purchase commitments of: (A) in all fiscal years pre-NDA submission - 1.08 metric tons each fiscal year (B) within 6 months after submission in the United States of an NDA for the first Marketing Approval of the drug substance - 20 metric tons and (C) within 6 months after the first Marketing Approval in the United States - 50 metric tons; and (iii) if the Company is not successful in obtaining NDA approval for AMR101, a penalty equal to the facility expansion costs incurred by the supplier to meet the supply demands, not to exceed $5.0 million, less any profits paid to the supplier for purchased materials under the existing agreement;</w:t>
      </w:r>
    </w:p>
    <w:p>
      <w:pPr>
        <w:spacing w:after="0" w:line="37" w:lineRule="exact"/>
        <w:rPr>
          <w:rFonts w:ascii="Arial" w:cs="Arial" w:eastAsia="Arial" w:hAnsi="Arial"/>
          <w:sz w:val="16"/>
          <w:szCs w:val="16"/>
          <w:color w:val="auto"/>
        </w:rPr>
      </w:pPr>
    </w:p>
    <w:p>
      <w:pPr>
        <w:ind w:left="900" w:right="220" w:hanging="325"/>
        <w:spacing w:after="0" w:line="335"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2009 Lorazepam sale agreement with Elan, whereunder Elan did not assume any obligations under a related Neurostat development agreement and, as a result, Amarin retained a potential obligation to make two milestone payments to Neurostat, contingent upon future events: (i) a $0.2 million payment if the drug is administered to human subjects and (ii) a $0.2 million payment if the drug is tested in an efficacy study; and</w:t>
      </w:r>
    </w:p>
    <w:p>
      <w:pPr>
        <w:spacing w:after="0" w:line="7" w:lineRule="exact"/>
        <w:rPr>
          <w:rFonts w:ascii="Arial" w:cs="Arial" w:eastAsia="Arial" w:hAnsi="Arial"/>
          <w:sz w:val="15"/>
          <w:szCs w:val="15"/>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connection with commercialization of AMR101, prior to the end of 2012 we are required to pay potential royalties of 1% on net sales up to</w:t>
      </w:r>
    </w:p>
    <w:p>
      <w:pPr>
        <w:spacing w:after="0" w:line="38" w:lineRule="exact"/>
        <w:rPr>
          <w:rFonts w:ascii="Arial" w:cs="Arial" w:eastAsia="Arial" w:hAnsi="Arial"/>
          <w:sz w:val="16"/>
          <w:szCs w:val="16"/>
          <w:color w:val="auto"/>
        </w:rPr>
      </w:pPr>
    </w:p>
    <w:p>
      <w:pPr>
        <w:ind w:left="900" w:right="40"/>
        <w:spacing w:after="0" w:line="287" w:lineRule="auto"/>
        <w:rPr>
          <w:rFonts w:ascii="Arial" w:cs="Arial" w:eastAsia="Arial" w:hAnsi="Arial"/>
          <w:sz w:val="16"/>
          <w:szCs w:val="16"/>
          <w:color w:val="auto"/>
        </w:rPr>
      </w:pPr>
      <w:r>
        <w:rPr>
          <w:rFonts w:ascii="Arial" w:cs="Arial" w:eastAsia="Arial" w:hAnsi="Arial"/>
          <w:sz w:val="16"/>
          <w:szCs w:val="16"/>
          <w:color w:val="auto"/>
        </w:rPr>
        <w:t>£100 million ($162.0 million at December 31, 2010); 0.5% for net sales between £100 million ($162.0 million) and £500 million ($810.0 million); and 0.25% for sales in excess of £500 million. In addition, upon receipt of marketing approval in the U.S. and/or Europe for the first indication for AMR101 (or first indication of any product containing Amarin Neuroscience intellectual property acquired from Laxdale Limited in 2004), Amarin must make an aggregate stock or cash payment (at the sole option of each of the sellers) of £7.5 million ($12.2 million) for each of the two potential marketing approvals (i.e. £15.0 million maximum, or $24.3 million). In addition, upon receipt of a marketing approval in the U.S. or Europe for a further indication of AMR101 (or further indication of any other product using Amarin Neuroscience intellectual property), the Company must make an aggregate stock or cash payment (at the sole option of each of the sellers) of £5.0 million ($8.1 million) for each of the two potential market approvals (i.e. £10.0 million maximum, or $16.2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these obligations since the amounts are either not probable or estimable as of December 31, 2010.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0060" w:hanging="232"/>
        <w:spacing w:after="0" w:line="417" w:lineRule="auto"/>
        <w:tabs>
          <w:tab w:leader="none" w:pos="48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net proceeds of $98.7 million. After the offering there were 120,636,652 shares of common stock outstanding.</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During the year ended December 31, 2010, the Company issued 1,706,016 shares as a result of the exercise of stock options, resulting in net proceeds of $3.6 million. In addition the Company issued 6,344,136 shares as a result of the exercise of warrants, resulting in net proceeds of $8.9 million.</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proceeds Amarin issued 66.4 million units, each unit consisting of (i) one ADS (representing one ordinary share) at purchase price of $1.00 and (ii) a warrant with a five year term to purchase 0.5 of an ADS at an exercise price of $1.50 per ADS.</w:t>
      </w:r>
    </w:p>
    <w:p>
      <w:pPr>
        <w:spacing w:after="0" w:line="143"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In conjunction with the $70.0 million October 2009 private placement, $3.6 million of the $5.5 million outstanding bridge loan notes were converted into 3,999,996 shares of common stock and new warrants were issued to purchase 1,999,996 common shares at an exercise price of $1.50.</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October 2009, the Company issued 39,473 common shares pursuant to an agreement with Proseed Capital Holdings, for a success fee related to the settlement of the Ester milestone Ia amendment.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2009, the Company amended the terms of its acquisition agreement with the original shareholders of Ester. Under the terms of this amendment, Amarin was released from all research and development diligence obligations contained in the original agreement and authorized to seek a partner for EN101. In connection with this amendment agreement, in August 2009 the Company issued 1,315,789 common shares to the former Ester shareholders, with a fair value on the settlement date of approximately $1.8 million.</w:t>
      </w:r>
    </w:p>
    <w:p>
      <w:pPr>
        <w:spacing w:after="0" w:line="21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2010, interest and penalties related to any uncertain tax positions have been insignificant. The Company recognizes interest and penalties related to uncertain tax positions in the provision for income taxes. The total amount of unrecognized tax benefits that would affect the Company’s effective tax rate if recognized is $0.5 million as of December 31,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total amounts of unrecognized tax benefits for the years ended December 31, 2010, 2009 and 2008:</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58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2009</w:t>
            </w:r>
          </w:p>
        </w:tc>
        <w:tc>
          <w:tcPr>
            <w:tcW w:w="5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Beginning uncertain tax benefits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Current year—increases</w:t>
            </w:r>
          </w:p>
        </w:tc>
        <w:tc>
          <w:tcPr>
            <w:tcW w:w="380" w:type="dxa"/>
            <w:vAlign w:val="bottom"/>
          </w:tcPr>
          <w:p>
            <w:pPr>
              <w:jc w:val="right"/>
              <w:spacing w:after="0"/>
              <w:rPr>
                <w:sz w:val="20"/>
                <w:szCs w:val="20"/>
                <w:color w:val="auto"/>
              </w:rPr>
            </w:pPr>
            <w:r>
              <w:rPr>
                <w:rFonts w:ascii="Arial" w:cs="Arial" w:eastAsia="Arial" w:hAnsi="Arial"/>
                <w:sz w:val="18"/>
                <w:szCs w:val="18"/>
                <w:color w:val="auto"/>
              </w:rPr>
              <w:t>254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256</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year—decreases</w:t>
            </w:r>
          </w:p>
        </w:tc>
        <w:tc>
          <w:tcPr>
            <w:tcW w:w="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Ending uncertain tax benefits</w:t>
            </w: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558</w:t>
            </w:r>
          </w:p>
        </w:tc>
        <w:tc>
          <w:tcPr>
            <w:tcW w:w="660" w:type="dxa"/>
            <w:vAlign w:val="bottom"/>
            <w:gridSpan w:val="2"/>
          </w:tcPr>
          <w:p>
            <w:pPr>
              <w:ind w:left="560"/>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304</w:t>
            </w:r>
          </w:p>
        </w:tc>
        <w:tc>
          <w:tcPr>
            <w:tcW w:w="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files income tax returns in the U.S., Ireland and United Kingdom. The Company remains subject to tax examinations in the following jurisdictions at December 31, 2010:</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Jurisdiction</w:t>
            </w:r>
          </w:p>
        </w:tc>
        <w:tc>
          <w:tcPr>
            <w:tcW w:w="420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Tax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w w:val="88"/>
              </w:rPr>
              <w:t>2007-2010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5200" w:type="dxa"/>
            <w:vAlign w:val="bottom"/>
            <w:gridSpan w:val="2"/>
          </w:tcPr>
          <w:p>
            <w:pPr>
              <w:ind w:left="4420"/>
              <w:spacing w:after="0"/>
              <w:rPr>
                <w:sz w:val="20"/>
                <w:szCs w:val="20"/>
                <w:color w:val="auto"/>
              </w:rPr>
            </w:pPr>
            <w:r>
              <w:rPr>
                <w:rFonts w:ascii="Arial" w:cs="Arial" w:eastAsia="Arial" w:hAnsi="Arial"/>
                <w:sz w:val="18"/>
                <w:szCs w:val="18"/>
                <w:color w:val="auto"/>
                <w:w w:val="88"/>
              </w:rPr>
              <w:t>2005-2010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20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w w:val="88"/>
              </w:rPr>
              <w:t>2009-2010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320" w:type="dxa"/>
            <w:vAlign w:val="bottom"/>
            <w:gridSpan w:val="3"/>
          </w:tcPr>
          <w:p>
            <w:pPr>
              <w:ind w:left="126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from operations before taxes were as follows at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34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(252,077)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(31,669)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(18,764)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(250,090)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(31,507)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(19,537)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benefit from income taxes shown in the accompanying consolidated statements of operations consists of the following for fiscal 2010, 2009 and 2008:</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Federal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(1,604)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(6,035)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(3,540)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6,035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3,540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(23,539)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(901)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benefit from income taxes differs from the amount computed by applying the statutory income tax rate to income before taxes due to the following for fiscal 2010, 2009 and 2008:</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38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Benefits from taxes at statutory rate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(62,523)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(7,877)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Rate differential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1,945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Irish migration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 in valuation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6,035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3,540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(23,539)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Permanent &amp;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52,761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(1,406)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(901)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tax residency of Amarin Corporation plc migrated from the UK to Ireland in April 2008. As a result of the migration, unutilized UK trading losses at the date of migration are no longer available for offset against taxable profits. The Company is subject to corporate tax rate in Ireland of 25% for non-trading activities and 12.5% for trading activities. For the years ended December 31, 2010, 2009 and 2008, the Company’s corporate tax rate was 25% as Amarin Corporation plc is subject to the 25% tax rate in Ireland.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effect of each type of temporary difference comprising the net deferred tax asset at December 31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Net operating losses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27,171</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21,705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Other reserves and accrued liabilities</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30,752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(27,978)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(22,892)</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foreign net operating losses and the related deferred tax assets would not be realized in future periods and a full valuation allowance has been provided for all periods.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foreign net operating loss carryforwards of $133.8 million, which begin to expire in 2011. In addition, the Company has available U.S. Federal tax credit carryforwards of $0.01 million and state tax credit carryforwards of $0.4 million. These carryforwards which will expire between 2028 and 2030 may be used to offset future taxable income, if any. The Company believes that net operating losses attributable to Ester of $9.9 million are not likely to be realized in the future.</w:t>
      </w:r>
    </w:p>
    <w:p>
      <w:pPr>
        <w:spacing w:after="0" w:line="218"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and Stock Based Compensation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Amarin Corporation plc 2002 Stock Option Plan (2002 Plan) as amended, effective January 1, 2002, provides for a maximum of 14.0 million common shares to be issued to eligible persons. The 2002 Plan is administered by the remuneration committee of our Board of Directors and expires on January 1, 2012. Under the terms of the 2002 Plan, options are exercisable at various periods and expire as set forth in the grant document. In the case where an incentive stock option is granted, the maximum expiration date is not later than 10 years from the date of grant.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 ended December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5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35"/>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74"/>
              </w:rPr>
              <w:t>except for</w:t>
            </w: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per share amounts)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7,870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Cancelled/Expired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(1,706)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2.16</w:t>
            </w: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8.51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$ 59,515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2010</w:t>
            </w: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8"/>
                <w:szCs w:val="18"/>
                <w:color w:val="auto"/>
              </w:rPr>
              <w:t>6.97 years</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2"/>
              </w:rPr>
              <w:t>$ 18,257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3.94</w:t>
            </w:r>
          </w:p>
        </w:tc>
        <w:tc>
          <w:tcPr>
            <w:tcW w:w="5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8.51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 at December 31, 2010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fair value of the stock options granted during the year ended December 31, 2010, 2009 and 2008 was $2.21, $1.12, and $2.22, respectively.</w:t>
      </w:r>
    </w:p>
    <w:p>
      <w:pPr>
        <w:spacing w:after="0" w:line="20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year ended December 31, 2010, the Company received cash of $3.7 million from the exercise of options. The intrinsic value of options exercised during fiscal 2010 was $10.3 million. As of December 31, 2010 and 2009, there was $9.6 million of unrecognized stock-based compensation expense related to unvested stock option share-based compensation arrangements granted under the Company’s stock award plans. This expense is expected to be recognized over a weighted-average period of approximately 2.9 years. There was an impact of $0.5 million, on the presentation in the consolidated statement of cash flows relating to excess tax benefits on the federal level that have been realized as a reduction in taxes payable for the year ended December 31, 2010. The Company recognizes compensation expense for the fair values of those awards which have graded vesting on a straight line basis. There were no option exercises during fiscal years 2009 or 2008. The following table presents the stock-based compensation expense related to option awards for the period ended December 31:</w:t>
      </w:r>
    </w:p>
    <w:p>
      <w:pPr>
        <w:spacing w:after="0" w:line="1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ind w:left="340"/>
              <w:spacing w:after="0" w:line="142" w:lineRule="exact"/>
              <w:rPr>
                <w:sz w:val="20"/>
                <w:szCs w:val="20"/>
                <w:color w:val="auto"/>
              </w:rPr>
            </w:pPr>
            <w:r>
              <w:rPr>
                <w:rFonts w:ascii="Arial" w:cs="Arial" w:eastAsia="Arial" w:hAnsi="Arial"/>
                <w:sz w:val="14"/>
                <w:szCs w:val="14"/>
                <w:b w:val="1"/>
                <w:bCs w:val="1"/>
                <w:color w:val="auto"/>
                <w:w w:val="81"/>
              </w:rPr>
              <w:t>(in</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fair value of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based on the expected holding period of an industry peer group due to lack of history of employee exercises. The risk-free interest rate is based on zero-coupon U.S. Treasury securities with a maturity term approximating the expected life of the option at the date of grant. No dividend yield has been assumed as the Company does not currently pay dividends on its common stock.</w:t>
      </w:r>
    </w:p>
    <w:p>
      <w:pPr>
        <w:spacing w:after="0" w:line="11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Employee stock options granted prior to June 30, 2009 generally vested over a three-year service period. Employee stock options granted after June 30, 2009 generally vest over a four-year service period and all stock options are settled by the issuance of new shares. Compensation expense recognized for all option grants is net of estimated forfeitures and is recognized over the awards’ respective requisite service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 2010, 2009 and 2008, the Company used the following assumptions to estimate the fair value of share-based payment awards: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3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352"/>
              <w:spacing w:after="0"/>
              <w:rPr>
                <w:sz w:val="20"/>
                <w:szCs w:val="20"/>
                <w:color w:val="auto"/>
              </w:rPr>
            </w:pPr>
            <w:r>
              <w:rPr>
                <w:rFonts w:ascii="Arial" w:cs="Arial" w:eastAsia="Arial" w:hAnsi="Arial"/>
                <w:sz w:val="18"/>
                <w:szCs w:val="18"/>
                <w:color w:val="auto"/>
              </w:rPr>
              <w:t>0.00%</w:t>
            </w:r>
          </w:p>
        </w:tc>
        <w:tc>
          <w:tcPr>
            <w:tcW w:w="1640" w:type="dxa"/>
            <w:vAlign w:val="bottom"/>
            <w:gridSpan w:val="3"/>
          </w:tcPr>
          <w:p>
            <w:pPr>
              <w:jc w:val="right"/>
              <w:ind w:right="372"/>
              <w:spacing w:after="0"/>
              <w:rPr>
                <w:sz w:val="20"/>
                <w:szCs w:val="20"/>
                <w:color w:val="auto"/>
              </w:rPr>
            </w:pPr>
            <w:r>
              <w:rPr>
                <w:rFonts w:ascii="Arial" w:cs="Arial" w:eastAsia="Arial" w:hAnsi="Arial"/>
                <w:sz w:val="18"/>
                <w:szCs w:val="18"/>
                <w:color w:val="auto"/>
              </w:rPr>
              <w:t>0.00%</w:t>
            </w:r>
          </w:p>
        </w:tc>
        <w:tc>
          <w:tcPr>
            <w:tcW w:w="1520" w:type="dxa"/>
            <w:vAlign w:val="bottom"/>
            <w:gridSpan w:val="3"/>
          </w:tcPr>
          <w:p>
            <w:pPr>
              <w:jc w:val="center"/>
              <w:ind w:left="192"/>
              <w:spacing w:after="0"/>
              <w:rPr>
                <w:sz w:val="20"/>
                <w:szCs w:val="20"/>
                <w:color w:val="auto"/>
              </w:rPr>
            </w:pPr>
            <w:r>
              <w:rPr>
                <w:rFonts w:ascii="Arial" w:cs="Arial" w:eastAsia="Arial" w:hAnsi="Arial"/>
                <w:sz w:val="18"/>
                <w:szCs w:val="18"/>
                <w:color w:val="auto"/>
                <w:w w:val="86"/>
              </w:rPr>
              <w:t>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- 6.0</w:t>
            </w: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720" w:type="dxa"/>
            <w:vAlign w:val="bottom"/>
          </w:tcPr>
          <w:p>
            <w:pPr>
              <w:ind w:left="20"/>
              <w:spacing w:after="0"/>
              <w:rPr>
                <w:sz w:val="20"/>
                <w:szCs w:val="20"/>
                <w:color w:val="auto"/>
              </w:rPr>
            </w:pPr>
            <w:r>
              <w:rPr>
                <w:rFonts w:ascii="Arial" w:cs="Arial" w:eastAsia="Arial" w:hAnsi="Arial"/>
                <w:sz w:val="18"/>
                <w:szCs w:val="18"/>
                <w:color w:val="auto"/>
              </w:rPr>
              <w:t>- 110%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720" w:type="dxa"/>
            <w:vAlign w:val="bottom"/>
          </w:tcPr>
          <w:p>
            <w:pPr>
              <w:ind w:left="20"/>
              <w:spacing w:after="0"/>
              <w:rPr>
                <w:sz w:val="20"/>
                <w:szCs w:val="20"/>
                <w:color w:val="auto"/>
              </w:rPr>
            </w:pPr>
            <w:r>
              <w:rPr>
                <w:rFonts w:ascii="Arial" w:cs="Arial" w:eastAsia="Arial" w:hAnsi="Arial"/>
                <w:sz w:val="18"/>
                <w:szCs w:val="18"/>
                <w:color w:val="auto"/>
              </w:rPr>
              <w:t>- 110%</w:t>
            </w:r>
          </w:p>
        </w:tc>
        <w:tc>
          <w:tcPr>
            <w:tcW w:w="1520" w:type="dxa"/>
            <w:vAlign w:val="bottom"/>
            <w:gridSpan w:val="3"/>
          </w:tcPr>
          <w:p>
            <w:pPr>
              <w:jc w:val="center"/>
              <w:ind w:left="192"/>
              <w:spacing w:after="0"/>
              <w:rPr>
                <w:sz w:val="20"/>
                <w:szCs w:val="20"/>
                <w:color w:val="auto"/>
              </w:rPr>
            </w:pPr>
            <w:r>
              <w:rPr>
                <w:rFonts w:ascii="Arial" w:cs="Arial" w:eastAsia="Arial" w:hAnsi="Arial"/>
                <w:sz w:val="18"/>
                <w:szCs w:val="18"/>
                <w:color w:val="auto"/>
                <w:w w:val="86"/>
              </w:rPr>
              <w:t>110%</w:t>
            </w:r>
          </w:p>
        </w:tc>
      </w:tr>
    </w:tbl>
    <w:p>
      <w:pPr>
        <w:spacing w:after="0" w:line="222"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sponsored a defined contribution plan for certain of its employees and makes available a 401(k) plan for its U.S. employees to which it made contributions in prior years. Contributions made by the Company for the years ended December 31, 2010, 2009 and 2008 amounted to $21,000, $306,000 and $548,000, respectively.</w:t>
      </w:r>
    </w:p>
    <w:p>
      <w:pPr>
        <w:spacing w:after="0" w:line="215"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October 2009 Private Placement</w:t>
      </w:r>
    </w:p>
    <w:p>
      <w:pPr>
        <w:spacing w:after="0" w:line="9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Several of Amarin’s current and former directors and funds connected with them purchased approximately 36.0 million of its ADSs (in the form of common stock) in the October 2009 private placement, including: (i) 17 million ADSs purchased by funds managed by Abingworth LLP, where Mr. Joe Anderson, a Director of Amarin, is a partner; (ii) 7 million ADSs purchased by Orbimed Advisors LLC, where Dr. Carl L. Gordon, a Director of Amarin, is a General Partner;</w:t>
      </w:r>
    </w:p>
    <w:p>
      <w:pPr>
        <w:spacing w:after="0" w:line="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7 million ADSs purchased by Sofinnova Venture Partners VII, L.P., where Dr. James I. Healy, a Director of Amarin, is a Managing General Partner; and</w:t>
      </w:r>
    </w:p>
    <w:p>
      <w:pPr>
        <w:spacing w:after="0" w:line="32" w:lineRule="exact"/>
        <w:rPr>
          <w:rFonts w:ascii="Arial" w:cs="Arial" w:eastAsia="Arial" w:hAnsi="Arial"/>
          <w:sz w:val="16"/>
          <w:szCs w:val="16"/>
          <w:color w:val="auto"/>
        </w:rPr>
      </w:pPr>
    </w:p>
    <w:p>
      <w:pPr>
        <w:jc w:val="both"/>
        <w:ind w:right="20" w:firstLine="8"/>
        <w:spacing w:after="0" w:line="295" w:lineRule="auto"/>
        <w:tabs>
          <w:tab w:leader="none" w:pos="297" w:val="left"/>
        </w:tabs>
        <w:numPr>
          <w:ilvl w:val="0"/>
          <w:numId w:val="42"/>
        </w:numPr>
        <w:rPr>
          <w:rFonts w:ascii="Arial" w:cs="Arial" w:eastAsia="Arial" w:hAnsi="Arial"/>
          <w:sz w:val="16"/>
          <w:szCs w:val="16"/>
          <w:color w:val="auto"/>
        </w:rPr>
      </w:pPr>
      <w:r>
        <w:rPr>
          <w:rFonts w:ascii="Arial" w:cs="Arial" w:eastAsia="Arial" w:hAnsi="Arial"/>
          <w:sz w:val="16"/>
          <w:szCs w:val="16"/>
          <w:color w:val="auto"/>
        </w:rPr>
        <w:t>5 million ADSs purchased by Fountain Healthcare Partners Fund 1, L.P. Fountain Healthcare Partners Ltd. is the sole General Partner of Fountain Healthcare Partners Fund 1, L.P. Dr Manus Rogan is a Managing Partner of Fountain Healthcare Partners Ltd. and is also a non-executive director of Amarin. In addition, for every ADS purchased, the investor received warrants to purchase 0.5 of an ADS. Of the $230.1 million warrant derivative liability at December 31, 2010, the fair value of the warrants held by the current and former directors of the Company and their related investment funds amounted to $134.5 million.</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June 2009 Convertible Bridge Notes</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Sunninghill Ltd, a company controlled by Dr. John Climax, a non-executive director of Amarin until October 2009, purchased $2.0 million of the Company’s June 2009 convertible bridge loans and $1.0 million of the Company’s July 2009 convertible bridge loans. In addition, Mr. Thomas Lynch, then an executive director of Amarin, purchased $0.3 million of the Company’s June 2009 bridge loans. These loans were retired in October 2009 in conjunction with the private placement.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Elan</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2007 Amarin signed a development and license agreement with Elan Pharma International Ltd, a subsidiary of Elan Corporation, plc (Elan), licensing the rights to develop and market a nasal formulation of lorazepam (NanoCrystal</w:t>
      </w:r>
      <w:r>
        <w:rPr>
          <w:rFonts w:ascii="Arial" w:cs="Arial" w:eastAsia="Arial" w:hAnsi="Arial"/>
          <w:sz w:val="10"/>
          <w:szCs w:val="10"/>
          <w:color w:val="auto"/>
        </w:rPr>
        <w:t>®</w:t>
      </w:r>
      <w:r>
        <w:rPr>
          <w:rFonts w:ascii="Arial" w:cs="Arial" w:eastAsia="Arial" w:hAnsi="Arial"/>
          <w:sz w:val="16"/>
          <w:szCs w:val="16"/>
          <w:color w:val="auto"/>
        </w:rPr>
        <w:t>). Mr. Shane Cooke, chief financial officer of Elan is related to Mr. Alan Cooke, former president of Amarin. Under the terms of the agreement, we paid $0.2 million to Elan during the year ended December 31, 2008. In 2009 we sold all rights in lorazepam back to Elan for $0.7 million, which has been included in other income at December 31, 2009.</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Icon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2009 Poplar Ltd, a company controlled by Dr. Climax, a non-executive Director of the Company until October 2009, owned approximately</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5.5% of Icon plc. Under a 2005 agreement with Amarin, Icon Clinical Research Ltd (a company wholly owned by Icon plc) performed trial management services for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Amarin’s studies on AMR101 for Huntington’s disease. For the years ended December 31, 2010, 2009 and 2008 Amarin incurred costs of $-0-, $0.3 million and $0.4 million, respectively, under this agreement. The Company’s former Chairman and Chief Executive Officer, Mr. Thomas Lynch served as an outside director of Icon during the period of the agreement with Icon.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Transactions with Directors and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Mr. Thomas Lynch</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March 2007 Amarin’s Remuneration Committee approved an agreement between the Company and Dalriada Ltd for consultancy services relating to financing and other corporate matters. Under the agreement, the Company paid Dalriada Ltd £240,000 per annum through June 30, 2010, at which time the agreement terminated. An additional amount of £195,000 was approved by the remuneration committee of which £75,000 ($121,500) was paid during the year ended December 31, 2007 for consultancy services, with the remainder being paid during the year ended December 31, 2008. In January 2009, the annual consultancy fee was revised to €300,000 ($400,000) per annum and an additional performance related payment of $100,000 was paid. Dalriada Ltd is owned by a family trust, the beneficiaries of which include Mr. Thomas Lynch, former Amarin Chairman and Chief Executive Officer.</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October 16, 2009, Mr. Lynch was issued 500,000 warrants to purchase common shares of Amarin upon the completion of the $70.0 million financing. The fair value of these warrants on the date of grant was $669,000, which was included in stock compensation expense for the year ended December 31, 2009. In conjunction with Mr. Lynch’s participation in the June and July 2009 bridge loans, he received 277,777 shares and 277,776 warrants. The warrants are exercisable for five years from issuance, 138,888 warrants have an exercise price of $1.00 and 138,888 warrants have an exercise price of $1.50.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Mr. Alan Cooke</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On October 16, 2009, Mr. Cooke, Amarin’s former President, entered a compromise agreement with the Company. Pursuant to the compromise agreement, Mr. Cooke received a termination payment of €375,000 ($607,500) and his options to purchase shares in the Company became fully vested. These options were exercised during 2010. Also on October 16, 2009, Mr. Cooke was issued 247,050 warrants to purchase shares in Amarin. The fair value of these warrants on the date of grant was $331,000, which was included in stock compensation expense for the year ended December 31, 2009. The warrant exercise price is $1.50 and they are exercisable for five years from the issuance date.</w:t>
      </w:r>
    </w:p>
    <w:p>
      <w:pPr>
        <w:spacing w:after="0" w:line="191"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Summarized Financial Information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3"/>
          </w:tcPr>
          <w:p>
            <w:pPr>
              <w:jc w:val="right"/>
              <w:ind w:right="360"/>
              <w:spacing w:after="0"/>
              <w:rPr>
                <w:sz w:val="20"/>
                <w:szCs w:val="20"/>
                <w:color w:val="auto"/>
              </w:rPr>
            </w:pPr>
            <w:r>
              <w:rPr>
                <w:rFonts w:ascii="Arial" w:cs="Arial" w:eastAsia="Arial" w:hAnsi="Arial"/>
                <w:sz w:val="14"/>
                <w:szCs w:val="14"/>
                <w:b w:val="1"/>
                <w:bCs w:val="1"/>
                <w:color w:val="auto"/>
              </w:rPr>
              <w:t>Fiscal year ended December 31, 2010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272"/>
              <w:spacing w:after="0" w:line="129" w:lineRule="exact"/>
              <w:rPr>
                <w:sz w:val="20"/>
                <w:szCs w:val="20"/>
                <w:color w:val="auto"/>
              </w:rPr>
            </w:pPr>
            <w:r>
              <w:rPr>
                <w:rFonts w:ascii="Arial" w:cs="Arial" w:eastAsia="Arial" w:hAnsi="Arial"/>
                <w:sz w:val="14"/>
                <w:szCs w:val="14"/>
                <w:b w:val="1"/>
                <w:bCs w:val="1"/>
                <w:color w:val="auto"/>
              </w:rPr>
              <w:t>1st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2nd</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3rd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98"/>
              <w:spacing w:after="0" w:line="129" w:lineRule="exact"/>
              <w:rPr>
                <w:sz w:val="20"/>
                <w:szCs w:val="20"/>
                <w:color w:val="auto"/>
              </w:rPr>
            </w:pPr>
            <w:r>
              <w:rPr>
                <w:rFonts w:ascii="Arial" w:cs="Arial" w:eastAsia="Arial" w:hAnsi="Arial"/>
                <w:sz w:val="14"/>
                <w:szCs w:val="14"/>
                <w:b w:val="1"/>
                <w:bCs w:val="1"/>
                <w:color w:val="auto"/>
                <w:w w:val="85"/>
              </w:rPr>
              <w:t>4th</w:t>
            </w:r>
          </w:p>
        </w:tc>
        <w:tc>
          <w:tcPr>
            <w:tcW w:w="100" w:type="dxa"/>
            <w:vAlign w:val="bottom"/>
          </w:tcPr>
          <w:p>
            <w:pPr>
              <w:spacing w:after="0"/>
              <w:rPr>
                <w:sz w:val="11"/>
                <w:szCs w:val="11"/>
                <w:color w:val="auto"/>
              </w:rPr>
            </w:pPr>
          </w:p>
        </w:tc>
      </w:tr>
      <w:tr>
        <w:trPr>
          <w:trHeight w:val="161"/>
        </w:trPr>
        <w:tc>
          <w:tcPr>
            <w:tcW w:w="69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Quarter</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Quarter</w:t>
            </w:r>
          </w:p>
        </w:tc>
        <w:tc>
          <w:tcPr>
            <w:tcW w:w="5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77"/>
              </w:rPr>
              <w:t>thousands,</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except per</w:t>
            </w:r>
          </w:p>
        </w:tc>
        <w:tc>
          <w:tcPr>
            <w:tcW w:w="120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share amounts)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600" w:type="dxa"/>
            <w:vAlign w:val="bottom"/>
            <w:gridSpan w:val="3"/>
          </w:tcPr>
          <w:p>
            <w:pPr>
              <w:jc w:val="right"/>
              <w:ind w:right="12"/>
              <w:spacing w:after="0"/>
              <w:rPr>
                <w:sz w:val="20"/>
                <w:szCs w:val="20"/>
                <w:color w:val="auto"/>
              </w:rPr>
            </w:pPr>
            <w:r>
              <w:rPr>
                <w:rFonts w:ascii="Arial" w:cs="Arial" w:eastAsia="Arial" w:hAnsi="Arial"/>
                <w:sz w:val="18"/>
                <w:szCs w:val="18"/>
                <w:color w:val="auto"/>
                <w:w w:val="87"/>
              </w:rPr>
              <w:t>(9,211)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286"/>
              <w:spacing w:after="0"/>
              <w:rPr>
                <w:sz w:val="20"/>
                <w:szCs w:val="20"/>
                <w:color w:val="auto"/>
              </w:rPr>
            </w:pPr>
            <w:r>
              <w:rPr>
                <w:rFonts w:ascii="Arial" w:cs="Arial" w:eastAsia="Arial" w:hAnsi="Arial"/>
                <w:sz w:val="18"/>
                <w:szCs w:val="18"/>
                <w:color w:val="auto"/>
                <w:w w:val="89"/>
              </w:rPr>
              <w:t>(41,357)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(11,209)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(187,812)</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basic and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86"/>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351"/>
        </w:trPr>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1"/>
          </w:tcPr>
          <w:p>
            <w:pPr>
              <w:jc w:val="center"/>
              <w:ind w:left="41"/>
              <w:spacing w:after="0"/>
              <w:rPr>
                <w:sz w:val="20"/>
                <w:szCs w:val="20"/>
                <w:color w:val="auto"/>
              </w:rPr>
            </w:pPr>
            <w:r>
              <w:rPr>
                <w:rFonts w:ascii="Arial" w:cs="Arial" w:eastAsia="Arial" w:hAnsi="Arial"/>
                <w:sz w:val="14"/>
                <w:szCs w:val="14"/>
                <w:b w:val="1"/>
                <w:bCs w:val="1"/>
                <w:color w:val="auto"/>
                <w:w w:val="85"/>
              </w:rPr>
              <w:t>Fiscal year ended December 31, 2009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32"/>
              <w:spacing w:after="0" w:line="129" w:lineRule="exact"/>
              <w:rPr>
                <w:sz w:val="20"/>
                <w:szCs w:val="20"/>
                <w:color w:val="auto"/>
              </w:rPr>
            </w:pPr>
            <w:r>
              <w:rPr>
                <w:rFonts w:ascii="Arial" w:cs="Arial" w:eastAsia="Arial" w:hAnsi="Arial"/>
                <w:sz w:val="14"/>
                <w:szCs w:val="14"/>
                <w:b w:val="1"/>
                <w:bCs w:val="1"/>
                <w:color w:val="auto"/>
              </w:rPr>
              <w:t>1st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ind w:right="292"/>
              <w:spacing w:after="0" w:line="129" w:lineRule="exact"/>
              <w:rPr>
                <w:sz w:val="20"/>
                <w:szCs w:val="20"/>
                <w:color w:val="auto"/>
              </w:rPr>
            </w:pPr>
            <w:r>
              <w:rPr>
                <w:rFonts w:ascii="Arial" w:cs="Arial" w:eastAsia="Arial" w:hAnsi="Arial"/>
                <w:sz w:val="14"/>
                <w:szCs w:val="14"/>
                <w:b w:val="1"/>
                <w:bCs w:val="1"/>
                <w:color w:val="auto"/>
                <w:w w:val="88"/>
              </w:rPr>
              <w:t>2nd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3rd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4th</w:t>
            </w:r>
          </w:p>
        </w:tc>
        <w:tc>
          <w:tcPr>
            <w:tcW w:w="100" w:type="dxa"/>
            <w:vAlign w:val="bottom"/>
          </w:tcPr>
          <w:p>
            <w:pPr>
              <w:spacing w:after="0"/>
              <w:rPr>
                <w:sz w:val="11"/>
                <w:szCs w:val="11"/>
                <w:color w:val="auto"/>
              </w:rPr>
            </w:pPr>
          </w:p>
        </w:tc>
      </w:t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74"/>
              </w:rPr>
              <w:t>except per</w:t>
            </w:r>
          </w:p>
        </w:tc>
        <w:tc>
          <w:tcPr>
            <w:tcW w:w="100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w w:val="90"/>
              </w:rPr>
              <w:t>share 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321"/>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loss(1)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4"/>
              </w:rPr>
              <w:t>(8,048)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72"/>
              <w:spacing w:after="0"/>
              <w:rPr>
                <w:sz w:val="20"/>
                <w:szCs w:val="20"/>
                <w:color w:val="auto"/>
              </w:rPr>
            </w:pPr>
            <w:r>
              <w:rPr>
                <w:rFonts w:ascii="Arial" w:cs="Arial" w:eastAsia="Arial" w:hAnsi="Arial"/>
                <w:sz w:val="18"/>
                <w:szCs w:val="18"/>
                <w:color w:val="auto"/>
                <w:w w:val="84"/>
              </w:rPr>
              <w:t>(8,522)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(7,948)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(6,088)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basic and diluted share: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20" w:type="dxa"/>
            <w:vAlign w:val="bottom"/>
            <w:gridSpan w:val="2"/>
            <w:shd w:val="clear" w:color="auto" w:fill="CCEEFF"/>
          </w:tcPr>
          <w:p>
            <w:pPr>
              <w:jc w:val="center"/>
              <w:ind w:left="321"/>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r>
    </w:tbl>
    <w:p>
      <w:pPr>
        <w:spacing w:after="0" w:line="194" w:lineRule="exact"/>
        <w:rPr>
          <w:sz w:val="20"/>
          <w:szCs w:val="20"/>
          <w:color w:val="auto"/>
        </w:rPr>
      </w:pPr>
    </w:p>
    <w:p>
      <w:pPr>
        <w:ind w:left="460" w:right="44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increase in net loss in the fourth quarter of 2010 is primarily due to the change in the fair value of the warrant derivative liability as a result of the change in the Company’s stock price at December 31, 2010.</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118110</wp:posOffset>
            </wp:positionV>
            <wp:extent cx="5411470" cy="6946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1147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2"/>
          <w:szCs w:val="12"/>
          <w:color w:val="FFFFFF"/>
        </w:rPr>
        <w:t>MARLN August 1, 2008 Mr. Paresh Soni 148 Long Wharf Drive Mystic, CT USA Dear Paresh, I refer to recent conversations regarding your proposed employment in the position of Head of Development and</w:t>
      </w:r>
    </w:p>
    <w:p>
      <w:pPr>
        <w:spacing w:after="0" w:line="211" w:lineRule="auto"/>
        <w:rPr>
          <w:sz w:val="20"/>
          <w:szCs w:val="20"/>
          <w:color w:val="auto"/>
        </w:rPr>
      </w:pPr>
      <w:r>
        <w:rPr>
          <w:rFonts w:ascii="Arial" w:cs="Arial" w:eastAsia="Arial" w:hAnsi="Arial"/>
          <w:sz w:val="6"/>
          <w:szCs w:val="6"/>
          <w:color w:val="FFFFFF"/>
        </w:rPr>
        <w:t>SeniorotherVicebusiness-PresidententityofwhichAmarin.ispartIamofdelightedthesame toenterpriseofferyougroupingthispositionasAmarinonthe andfollowingwhich terms.iscontrolledFortheby,purposesiceunderofcommonthislettercontrol“Amarin”reportingwith,shallcontrolsmeanAmarinAmarin,Pharina,wherecontrolInc.“Affiliates”includestheshallabilitymeantoanyvotecorporationleast majority of the voting shares of andentity. 1. Role/Title Your title will be Head of Development and Senior V -President of Amarin to Declan Doogan, Head of R&amp;amp;D. In such position, you shall</w:t>
      </w:r>
    </w:p>
    <w:p>
      <w:pPr>
        <w:ind w:left="10980"/>
        <w:spacing w:after="0"/>
        <w:rPr>
          <w:sz w:val="20"/>
          <w:szCs w:val="20"/>
          <w:color w:val="auto"/>
        </w:rPr>
      </w:pPr>
      <w:r>
        <w:rPr>
          <w:rFonts w:ascii="Arial" w:cs="Arial" w:eastAsia="Arial" w:hAnsi="Arial"/>
          <w:sz w:val="1"/>
          <w:szCs w:val="1"/>
          <w:color w:val="FFFFFF"/>
        </w:rPr>
        <w:t>includehavetheclinicalduties, researoh,responsibilitiesregulatory authorityaffairs,clinicalnormallyoperationsassociatedandwithprojectyourmanagement.positionand2.titlesCommencementatsimilarly Date/Locationpositionedpharmaceuti.calAs developmentyourstartingcompany.datewill Thebeasscopesoon ofas responsibilityispracticable offollowingthepositionyour will</w:t>
      </w:r>
    </w:p>
    <w:p>
      <w:pPr>
        <w:ind w:right="80"/>
        <w:spacing w:after="0" w:line="209" w:lineRule="auto"/>
        <w:rPr>
          <w:sz w:val="20"/>
          <w:szCs w:val="20"/>
          <w:color w:val="auto"/>
        </w:rPr>
      </w:pPr>
      <w:r>
        <w:rPr>
          <w:rFonts w:ascii="Arial" w:cs="Arial" w:eastAsia="Arial" w:hAnsi="Arial"/>
          <w:sz w:val="12"/>
          <w:szCs w:val="12"/>
          <w:color w:val="FFFFFF"/>
        </w:rPr>
        <w:t>departure from your current employment (“Commencement Date”). Your principal place of work will be Massachusetts; howeverdiscussed,youmay be required to travel and work at other locations from time to time, to the extent such travel is reasonably necessary to perform your duties hereunder. Reasonable costs of such travel and lodging will be reimbursed in accordance with Paragraph 8. 3. Base Salary/Sign-On Bonus</w:t>
      </w:r>
    </w:p>
    <w:p>
      <w:pPr>
        <w:sectPr>
          <w:pgSz w:w="11900" w:h="16838" w:orient="portrait"/>
          <w:cols w:equalWidth="0" w:num="1">
            <w:col w:w="11420"/>
          </w:cols>
          <w:pgMar w:left="240" w:top="125" w:right="2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sz w:val="20"/>
                <w:szCs w:val="20"/>
                <w:color w:val="auto"/>
              </w:rPr>
            </w:pPr>
            <w:r>
              <w:rPr>
                <w:rFonts w:ascii="Arial" w:cs="Arial" w:eastAsia="Arial" w:hAnsi="Arial"/>
                <w:sz w:val="14"/>
                <w:szCs w:val="14"/>
                <w:color w:val="FFFFFF"/>
                <w:w w:val="88"/>
              </w:rPr>
              <w:t>Amarin shall pay you the sum of US$300,000 gross per annum payable in equal installments on or</w:t>
            </w:r>
          </w:p>
        </w:tc>
        <w:tc>
          <w:tcPr>
            <w:tcW w:w="5980" w:type="dxa"/>
            <w:vAlign w:val="bottom"/>
            <w:gridSpan w:val="2"/>
          </w:tcPr>
          <w:p>
            <w:pPr>
              <w:ind w:left="40"/>
              <w:spacing w:after="0"/>
              <w:rPr>
                <w:sz w:val="20"/>
                <w:szCs w:val="20"/>
                <w:color w:val="auto"/>
              </w:rPr>
            </w:pPr>
            <w:r>
              <w:rPr>
                <w:rFonts w:ascii="Arial" w:cs="Arial" w:eastAsia="Arial" w:hAnsi="Arial"/>
                <w:sz w:val="14"/>
                <w:szCs w:val="14"/>
                <w:color w:val="FFFFFF"/>
                <w:w w:val="90"/>
              </w:rPr>
              <w:t>round the last Friday in each calendar month. You will also receive a sign-on bonus of US$65,000 payable</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within 30 days of the Commencement Date. 4. Stock Options Subject to Remuneration Committee approval, you will be granted nonqualified options to purchase 100,000 ordinary shares in Amarin Corporation</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plc (equivalent to 100,000 American Depositary Receipts). T   exercise price per share of the options will be the fair market value of the ordinary shares on the date of grant. The options will vest and become</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exercisable in three equal annual installments, beginning on the first  nniversary of the date of grant and continuing on each of the following three anniversaries of the date of grant, so long as your employment</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continues through such vesting dates. Subject to the requirements of applicable laws and regulations, the options will be priced, approved and granted at the first remuneration committee meeting following the</w:t>
            </w:r>
          </w:p>
        </w:tc>
      </w:tr>
      <w:tr>
        <w:trPr>
          <w:trHeight w:val="41"/>
        </w:trPr>
        <w:tc>
          <w:tcPr>
            <w:tcW w:w="11380" w:type="dxa"/>
            <w:vAlign w:val="bottom"/>
            <w:gridSpan w:val="4"/>
          </w:tcPr>
          <w:p>
            <w:pPr>
              <w:ind w:left="380"/>
              <w:spacing w:after="0"/>
              <w:rPr>
                <w:sz w:val="20"/>
                <w:szCs w:val="20"/>
                <w:color w:val="auto"/>
              </w:rPr>
            </w:pPr>
            <w:r>
              <w:rPr>
                <w:rFonts w:ascii="Arial" w:cs="Arial" w:eastAsia="Arial" w:hAnsi="Arial"/>
                <w:sz w:val="3"/>
                <w:szCs w:val="3"/>
                <w:color w:val="FFFFFF"/>
              </w:rPr>
              <w:t>encement Date. The provisions of the Amarin Corporation plc 2002 Stock Option Plan (as may be amended from time to time) shall apply to any options granted. In addition, subject to</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Committee approval, you will be entitled to an additional grant of 15,000 ordinary shares   Amarin Corporation plc (equivalent to 15,000 American Depositary Receipts) which shall vest immediatelyRemunerationthe</w:t>
            </w: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date of grant. No later than the</w:t>
            </w:r>
          </w:p>
        </w:tc>
        <w:tc>
          <w:tcPr>
            <w:tcW w:w="9620" w:type="dxa"/>
            <w:vAlign w:val="bottom"/>
            <w:gridSpan w:val="3"/>
          </w:tcPr>
          <w:p>
            <w:pPr>
              <w:ind w:left="200"/>
              <w:spacing w:after="0"/>
              <w:rPr>
                <w:sz w:val="20"/>
                <w:szCs w:val="20"/>
                <w:color w:val="auto"/>
              </w:rPr>
            </w:pPr>
            <w:r>
              <w:rPr>
                <w:rFonts w:ascii="Arial" w:cs="Arial" w:eastAsia="Arial" w:hAnsi="Arial"/>
                <w:sz w:val="3"/>
                <w:szCs w:val="3"/>
                <w:color w:val="FFFFFF"/>
              </w:rPr>
              <w:t>of vesting (i.e., the date of grant), you shall pay to Amarin or make arrangements satisfactory to Amarin regarding payment of any federal, state or local taxes of any kind</w:t>
            </w:r>
          </w:p>
        </w:tc>
      </w:tr>
      <w:tr>
        <w:trPr>
          <w:trHeight w:val="41"/>
        </w:trPr>
        <w:tc>
          <w:tcPr>
            <w:tcW w:w="7400" w:type="dxa"/>
            <w:vAlign w:val="bottom"/>
            <w:gridSpan w:val="3"/>
          </w:tcPr>
          <w:p>
            <w:pPr>
              <w:ind w:left="120"/>
              <w:spacing w:after="0"/>
              <w:rPr>
                <w:sz w:val="20"/>
                <w:szCs w:val="20"/>
                <w:color w:val="auto"/>
              </w:rPr>
            </w:pPr>
            <w:r>
              <w:rPr>
                <w:rFonts w:ascii="Arial" w:cs="Arial" w:eastAsia="Arial" w:hAnsi="Arial"/>
                <w:sz w:val="3"/>
                <w:szCs w:val="3"/>
                <w:color w:val="FFFFFF"/>
              </w:rPr>
              <w:t>quired by law to be withheld datesuch time with respect to such shares and Amarin shall, to the extent permitted or required by law,</w:t>
            </w:r>
          </w:p>
        </w:tc>
        <w:tc>
          <w:tcPr>
            <w:tcW w:w="3980" w:type="dxa"/>
            <w:vAlign w:val="bottom"/>
          </w:tcPr>
          <w:p>
            <w:pPr>
              <w:ind w:left="60"/>
              <w:spacing w:after="0"/>
              <w:rPr>
                <w:sz w:val="20"/>
                <w:szCs w:val="20"/>
                <w:color w:val="auto"/>
              </w:rPr>
            </w:pPr>
            <w:r>
              <w:rPr>
                <w:rFonts w:ascii="Arial" w:cs="Arial" w:eastAsia="Arial" w:hAnsi="Arial"/>
                <w:sz w:val="3"/>
                <w:szCs w:val="3"/>
                <w:color w:val="FFFFFF"/>
              </w:rPr>
              <w:t>the right to deduct from any payment of any kind otherwise due to you,</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federal, state and local taxes of any kind required by law to be withheld at such time. 5. Bonus You will be entitled to be considered forhave discretionary bonus for each calendar year during your employment with</w:t>
            </w: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Amarin, including calendar</w:t>
            </w:r>
          </w:p>
        </w:tc>
        <w:tc>
          <w:tcPr>
            <w:tcW w:w="5640" w:type="dxa"/>
            <w:vAlign w:val="bottom"/>
            <w:gridSpan w:val="2"/>
          </w:tcPr>
          <w:p>
            <w:pPr>
              <w:ind w:left="20"/>
              <w:spacing w:after="0"/>
              <w:rPr>
                <w:sz w:val="20"/>
                <w:szCs w:val="20"/>
                <w:color w:val="auto"/>
              </w:rPr>
            </w:pPr>
            <w:r>
              <w:rPr>
                <w:rFonts w:ascii="Arial" w:cs="Arial" w:eastAsia="Arial" w:hAnsi="Arial"/>
                <w:sz w:val="3"/>
                <w:szCs w:val="3"/>
                <w:color w:val="FFFFFF"/>
              </w:rPr>
              <w:t>2008, up to a maximum of 50% of your annual salary. Any such bonus shall be payable in the absolute</w:t>
            </w:r>
          </w:p>
        </w:tc>
        <w:tc>
          <w:tcPr>
            <w:tcW w:w="3980" w:type="dxa"/>
            <w:vAlign w:val="bottom"/>
          </w:tcPr>
          <w:p>
            <w:pPr>
              <w:ind w:left="540"/>
              <w:spacing w:after="0"/>
              <w:rPr>
                <w:sz w:val="20"/>
                <w:szCs w:val="20"/>
                <w:color w:val="auto"/>
              </w:rPr>
            </w:pPr>
            <w:r>
              <w:rPr>
                <w:rFonts w:ascii="Arial" w:cs="Arial" w:eastAsia="Arial" w:hAnsi="Arial"/>
                <w:sz w:val="3"/>
                <w:szCs w:val="3"/>
                <w:color w:val="FFFFFF"/>
              </w:rPr>
              <w:t>of Amarin’ management, taking into account the</w:t>
            </w:r>
          </w:p>
        </w:tc>
      </w:tr>
      <w:tr>
        <w:trPr>
          <w:trHeight w:val="0"/>
        </w:trPr>
        <w:tc>
          <w:tcPr>
            <w:tcW w:w="1760" w:type="dxa"/>
            <w:vAlign w:val="bottom"/>
          </w:tcPr>
          <w:p>
            <w:pPr>
              <w:spacing w:after="0" w:line="80" w:lineRule="exact"/>
              <w:rPr>
                <w:sz w:val="20"/>
                <w:szCs w:val="20"/>
                <w:color w:val="auto"/>
              </w:rPr>
            </w:pPr>
            <w:r>
              <w:rPr>
                <w:rFonts w:ascii="Arial" w:cs="Arial" w:eastAsia="Arial" w:hAnsi="Arial"/>
                <w:sz w:val="9"/>
                <w:szCs w:val="9"/>
                <w:color w:val="FFFFFF"/>
              </w:rPr>
              <w:t>of Amarin and its Affiliates yearas</w:t>
            </w:r>
          </w:p>
        </w:tc>
        <w:tc>
          <w:tcPr>
            <w:tcW w:w="3640" w:type="dxa"/>
            <w:vAlign w:val="bottom"/>
          </w:tcPr>
          <w:p>
            <w:pPr>
              <w:ind w:left="20"/>
              <w:spacing w:after="0" w:line="80" w:lineRule="exact"/>
              <w:rPr>
                <w:sz w:val="20"/>
                <w:szCs w:val="20"/>
                <w:color w:val="auto"/>
              </w:rPr>
            </w:pPr>
            <w:r>
              <w:rPr>
                <w:rFonts w:ascii="Arial" w:cs="Arial" w:eastAsia="Arial" w:hAnsi="Arial"/>
                <w:sz w:val="9"/>
                <w:szCs w:val="9"/>
                <w:color w:val="FFFFFF"/>
              </w:rPr>
              <w:t>whole and in light of your personal performance during such year,</w:t>
            </w:r>
          </w:p>
        </w:tc>
        <w:tc>
          <w:tcPr>
            <w:tcW w:w="5980" w:type="dxa"/>
            <w:vAlign w:val="bottom"/>
            <w:gridSpan w:val="2"/>
          </w:tcPr>
          <w:p>
            <w:pPr>
              <w:ind w:left="660"/>
              <w:spacing w:after="0" w:line="80" w:lineRule="exact"/>
              <w:rPr>
                <w:sz w:val="20"/>
                <w:szCs w:val="20"/>
                <w:color w:val="auto"/>
              </w:rPr>
            </w:pPr>
            <w:r>
              <w:rPr>
                <w:rFonts w:ascii="Arial" w:cs="Arial" w:eastAsia="Arial" w:hAnsi="Arial"/>
                <w:sz w:val="9"/>
                <w:szCs w:val="9"/>
                <w:color w:val="FFFFFF"/>
              </w:rPr>
              <w:t>, in the event that Amarin’discretionmanagement determines, in its absolute discretion, to makeperformanceannual</w:t>
            </w:r>
          </w:p>
        </w:tc>
      </w:tr>
    </w:tbl>
    <w:p>
      <w:pPr>
        <w:spacing w:after="0" w:line="187" w:lineRule="auto"/>
        <w:rPr>
          <w:sz w:val="20"/>
          <w:szCs w:val="20"/>
          <w:color w:val="auto"/>
        </w:rPr>
      </w:pPr>
      <w:r>
        <w:rPr>
          <w:rFonts w:ascii="Arial" w:cs="Arial" w:eastAsia="Arial" w:hAnsi="Arial"/>
          <w:sz w:val="9"/>
          <w:szCs w:val="9"/>
          <w:color w:val="FFFFFF"/>
        </w:rPr>
        <w:t>performance stock option grant to senior management, you will be entitled to be considered for suchAdditionallygrant.6.Health Insurance You will be entitled to such major medical, life insurance and disability insurance coverage as is, or may during your employment, be provided generally for other senior executives of Amarin as set forth from time to time in the applicable plan documents. Until such insurance coverage is provided, Amarin will reimburse you for the COBRA premium cost of your existing health and life insurance coverage. In the event that such insurance coverage is not provided by Amarin at the end of the COBRA period, Amarin will pay to you a monthly sum equal to what the COBRA coverage would have cost, for as long as an Amarin plan is not available to you.</w:t>
      </w:r>
    </w:p>
    <w:p>
      <w:pPr>
        <w:sectPr>
          <w:pgSz w:w="11900" w:h="16838" w:orient="portrait"/>
          <w:cols w:equalWidth="0" w:num="1">
            <w:col w:w="11400"/>
          </w:cols>
          <w:pgMar w:left="240" w:top="1440" w:right="2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31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703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5"/>
          </w:tcPr>
          <w:p>
            <w:pPr>
              <w:spacing w:after="0"/>
              <w:rPr>
                <w:sz w:val="20"/>
                <w:szCs w:val="20"/>
                <w:color w:val="auto"/>
              </w:rPr>
            </w:pPr>
            <w:r>
              <w:rPr>
                <w:rFonts w:ascii="Arial" w:cs="Arial" w:eastAsia="Arial" w:hAnsi="Arial"/>
                <w:sz w:val="14"/>
                <w:szCs w:val="14"/>
                <w:color w:val="FFFFFF"/>
                <w:w w:val="88"/>
              </w:rPr>
              <w:t>7. Pension You shall be eligible to participate in any 40 1(k) plan maintained by the company for the benefit of its employees on the same terms as all other 401(k) plan participants. 8. Expenses Amarin shall</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reimburse you for all reasonable expenses that you are authorised to incur while carrying out your duties on behalf of Aniarin. You must follow the correct claims procedure and provide invoices or other</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evidence of payment in order to be reimbursed. 9. Hours of work Your normal hours of work shall be 40 hours per week, although Amarin expects you to work such hours and at such times as, may be</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reasonably necessary in order for you to carry out your duties effectively. There is no entitlement to payment for overtime. During working hours you shall devote all of your time, attention and skill to Amarin’s</w:t>
            </w: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business and interests</w:t>
            </w:r>
          </w:p>
        </w:tc>
        <w:tc>
          <w:tcPr>
            <w:tcW w:w="10180" w:type="dxa"/>
            <w:vAlign w:val="bottom"/>
            <w:gridSpan w:val="4"/>
          </w:tcPr>
          <w:p>
            <w:pPr>
              <w:ind w:left="180"/>
              <w:spacing w:after="0"/>
              <w:rPr>
                <w:sz w:val="20"/>
                <w:szCs w:val="20"/>
                <w:color w:val="auto"/>
              </w:rPr>
            </w:pPr>
            <w:r>
              <w:rPr>
                <w:rFonts w:ascii="Arial" w:cs="Arial" w:eastAsia="Arial" w:hAnsi="Arial"/>
                <w:sz w:val="3"/>
                <w:szCs w:val="3"/>
                <w:color w:val="FFFFFF"/>
              </w:rPr>
              <w:t>a proper and efficient manner, and shall use your best efforts to further and promote Amarin’s business and to act loyally and to the best of your ability. 10. Holidays You are entitl   to</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paid holidays of 20 business days per annum, excluding U.S. Federal holidays. The holiday year is from 1 January to 31 December and unused holiday entitlement to a maximum of five days may be carried</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forward to the subsequent year. Holidays must be taken at times convenient to Amarin and sufficient notice of intention to take holiday must be given o accommodate the needs of the business. 11. Confidential</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Information and Company Documents You shall neither during your engagement with Amarin (except in the proper performance of your duties) nor at any time after the termination of your engagement with</w:t>
            </w: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Amarin: (a) divulge</w:t>
            </w:r>
          </w:p>
        </w:tc>
        <w:tc>
          <w:tcPr>
            <w:tcW w:w="3080" w:type="dxa"/>
            <w:vAlign w:val="bottom"/>
          </w:tcPr>
          <w:p>
            <w:pPr>
              <w:spacing w:after="0"/>
              <w:rPr>
                <w:sz w:val="20"/>
                <w:szCs w:val="20"/>
                <w:color w:val="auto"/>
              </w:rPr>
            </w:pPr>
            <w:r>
              <w:rPr>
                <w:rFonts w:ascii="Arial" w:cs="Arial" w:eastAsia="Arial" w:hAnsi="Arial"/>
                <w:sz w:val="3"/>
                <w:szCs w:val="3"/>
                <w:color w:val="FFFFFF"/>
              </w:rPr>
              <w:t>r communicate to any person, company, business entity</w:t>
            </w:r>
          </w:p>
        </w:tc>
        <w:tc>
          <w:tcPr>
            <w:tcW w:w="7100" w:type="dxa"/>
            <w:vAlign w:val="bottom"/>
            <w:gridSpan w:val="3"/>
          </w:tcPr>
          <w:p>
            <w:pPr>
              <w:ind w:left="100"/>
              <w:spacing w:after="0"/>
              <w:rPr>
                <w:sz w:val="20"/>
                <w:szCs w:val="20"/>
                <w:color w:val="auto"/>
              </w:rPr>
            </w:pPr>
            <w:r>
              <w:rPr>
                <w:rFonts w:ascii="Arial" w:cs="Arial" w:eastAsia="Arial" w:hAnsi="Arial"/>
                <w:sz w:val="3"/>
                <w:szCs w:val="3"/>
                <w:color w:val="FFFFFF"/>
              </w:rPr>
              <w:t>other organisation; (b) use for your own purposes or for any  her purposes other than those of Amarin   any Affiliate; or (c)</w:t>
            </w:r>
          </w:p>
        </w:tc>
      </w:tr>
      <w:tr>
        <w:trPr>
          <w:trHeight w:val="0"/>
        </w:trPr>
        <w:tc>
          <w:tcPr>
            <w:tcW w:w="4260" w:type="dxa"/>
            <w:vAlign w:val="bottom"/>
            <w:gridSpan w:val="2"/>
          </w:tcPr>
          <w:p>
            <w:pPr>
              <w:spacing w:after="0" w:line="121" w:lineRule="exact"/>
              <w:rPr>
                <w:sz w:val="20"/>
                <w:szCs w:val="20"/>
                <w:color w:val="auto"/>
              </w:rPr>
            </w:pPr>
            <w:r>
              <w:rPr>
                <w:rFonts w:ascii="Arial" w:cs="Arial" w:eastAsia="Arial" w:hAnsi="Arial"/>
                <w:sz w:val="12"/>
                <w:szCs w:val="12"/>
                <w:color w:val="FFFFFF"/>
              </w:rPr>
              <w:t>through  ny failure to exercise due care and diligence, permit or cause any</w:t>
            </w:r>
          </w:p>
        </w:tc>
        <w:tc>
          <w:tcPr>
            <w:tcW w:w="2500" w:type="dxa"/>
            <w:vAlign w:val="bottom"/>
          </w:tcPr>
          <w:p>
            <w:pPr>
              <w:ind w:left="540"/>
              <w:spacing w:after="0" w:line="121" w:lineRule="exact"/>
              <w:rPr>
                <w:sz w:val="20"/>
                <w:szCs w:val="20"/>
                <w:color w:val="auto"/>
              </w:rPr>
            </w:pPr>
            <w:r>
              <w:rPr>
                <w:rFonts w:ascii="Arial" w:cs="Arial" w:eastAsia="Arial" w:hAnsi="Arial"/>
                <w:sz w:val="12"/>
                <w:szCs w:val="12"/>
                <w:color w:val="FFFFFF"/>
              </w:rPr>
              <w:t>disclosure of any Confidential</w:t>
            </w:r>
          </w:p>
        </w:tc>
        <w:tc>
          <w:tcPr>
            <w:tcW w:w="2300" w:type="dxa"/>
            <w:vAlign w:val="bottom"/>
          </w:tcPr>
          <w:p>
            <w:pPr>
              <w:ind w:left="340"/>
              <w:spacing w:after="0" w:line="121" w:lineRule="exact"/>
              <w:rPr>
                <w:sz w:val="20"/>
                <w:szCs w:val="20"/>
                <w:color w:val="auto"/>
              </w:rPr>
            </w:pPr>
            <w:r>
              <w:rPr>
                <w:rFonts w:ascii="Arial" w:cs="Arial" w:eastAsia="Arial" w:hAnsi="Arial"/>
                <w:sz w:val="12"/>
                <w:szCs w:val="12"/>
                <w:color w:val="FFFFFF"/>
              </w:rPr>
              <w:t>. These restrictions shall cease to</w:t>
            </w:r>
          </w:p>
        </w:tc>
        <w:tc>
          <w:tcPr>
            <w:tcW w:w="2300" w:type="dxa"/>
            <w:vAlign w:val="bottom"/>
          </w:tcPr>
          <w:p>
            <w:pPr>
              <w:ind w:left="200"/>
              <w:spacing w:after="0" w:line="121" w:lineRule="exact"/>
              <w:rPr>
                <w:sz w:val="20"/>
                <w:szCs w:val="20"/>
                <w:color w:val="auto"/>
              </w:rPr>
            </w:pPr>
            <w:r>
              <w:rPr>
                <w:rFonts w:ascii="Arial" w:cs="Arial" w:eastAsia="Arial" w:hAnsi="Arial"/>
                <w:sz w:val="12"/>
                <w:szCs w:val="12"/>
                <w:color w:val="FFFFFF"/>
              </w:rPr>
              <w:t>to (i) any information which shall</w:t>
            </w:r>
          </w:p>
        </w:tc>
      </w:tr>
    </w:tbl>
    <w:p>
      <w:pPr>
        <w:ind w:right="440"/>
        <w:spacing w:after="0" w:line="187" w:lineRule="auto"/>
        <w:rPr>
          <w:sz w:val="20"/>
          <w:szCs w:val="20"/>
          <w:color w:val="auto"/>
        </w:rPr>
      </w:pPr>
      <w:r>
        <w:rPr>
          <w:rFonts w:ascii="Arial" w:cs="Arial" w:eastAsia="Arial" w:hAnsi="Arial"/>
          <w:sz w:val="9"/>
          <w:szCs w:val="9"/>
          <w:color w:val="FFFFFF"/>
        </w:rPr>
        <w:t>become available to the public generally otherwise than through your default;unauthorised(ii)any requirement by law or, order ofInformationjudicialor regulatory authority, that you makeapply disclosure. In the event you are requested or ordered under (ii) to make a disclosure, you will use your best</w:t>
      </w:r>
    </w:p>
    <w:p>
      <w:pPr>
        <w:sectPr>
          <w:pgSz w:w="11900" w:h="16838" w:orient="portrait"/>
          <w:cols w:equalWidth="0" w:num="1">
            <w:col w:w="11360"/>
          </w:cols>
          <w:pgMar w:left="240" w:top="1440" w:right="29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7"/>
          </w:tcPr>
          <w:p>
            <w:pPr>
              <w:spacing w:after="0"/>
              <w:rPr>
                <w:sz w:val="20"/>
                <w:szCs w:val="20"/>
                <w:color w:val="auto"/>
              </w:rPr>
            </w:pPr>
            <w:r>
              <w:rPr>
                <w:rFonts w:ascii="Arial" w:cs="Arial" w:eastAsia="Arial" w:hAnsi="Arial"/>
                <w:sz w:val="14"/>
                <w:szCs w:val="14"/>
                <w:color w:val="FFFFFF"/>
                <w:w w:val="90"/>
              </w:rPr>
              <w:t>efforts to contact Amarin prior to providing any information so as to permit Amarin to undertake legal steps to protect its interests. “Confidential Information” shall mean any proprietary information of Amarin</w:t>
            </w: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and its Affiliates, including, without limitation, information relating to products, processes, services, businesses, personnel, research, financial strategies and activities, commercial strategies and</w:t>
            </w:r>
          </w:p>
        </w:tc>
        <w:tc>
          <w:tcPr>
            <w:tcW w:w="240" w:type="dxa"/>
            <w:vAlign w:val="bottom"/>
          </w:tcPr>
          <w:p>
            <w:pPr>
              <w:spacing w:after="0"/>
              <w:rPr>
                <w:sz w:val="3"/>
                <w:szCs w:val="3"/>
                <w:color w:val="auto"/>
              </w:rPr>
            </w:pPr>
          </w:p>
        </w:tc>
      </w:tr>
      <w:tr>
        <w:trPr>
          <w:trHeight w:val="41"/>
        </w:trPr>
        <w:tc>
          <w:tcPr>
            <w:tcW w:w="1600" w:type="dxa"/>
            <w:vAlign w:val="bottom"/>
            <w:gridSpan w:val="2"/>
          </w:tcPr>
          <w:p>
            <w:pPr>
              <w:spacing w:after="0"/>
              <w:rPr>
                <w:sz w:val="20"/>
                <w:szCs w:val="20"/>
                <w:color w:val="auto"/>
              </w:rPr>
            </w:pPr>
            <w:r>
              <w:rPr>
                <w:rFonts w:ascii="Arial" w:cs="Arial" w:eastAsia="Arial" w:hAnsi="Arial"/>
                <w:sz w:val="3"/>
                <w:szCs w:val="3"/>
                <w:color w:val="FFFFFF"/>
              </w:rPr>
              <w:t>formulas, materials, compou</w:t>
            </w:r>
          </w:p>
        </w:tc>
        <w:tc>
          <w:tcPr>
            <w:tcW w:w="9800" w:type="dxa"/>
            <w:vAlign w:val="bottom"/>
            <w:gridSpan w:val="5"/>
          </w:tcPr>
          <w:p>
            <w:pPr>
              <w:ind w:left="20"/>
              <w:spacing w:after="0"/>
              <w:rPr>
                <w:sz w:val="20"/>
                <w:szCs w:val="20"/>
                <w:color w:val="auto"/>
              </w:rPr>
            </w:pPr>
            <w:r>
              <w:rPr>
                <w:rFonts w:ascii="Arial" w:cs="Arial" w:eastAsia="Arial" w:hAnsi="Arial"/>
                <w:sz w:val="3"/>
                <w:szCs w:val="3"/>
                <w:color w:val="FFFFFF"/>
              </w:rPr>
              <w:t>ds, substances, programmes, devices, concepts, inventions, patents, designs, methods, techniques, intellectual property, marketing strategies, data, trade secrets, knowactivities,-howplans,</w:t>
            </w:r>
          </w:p>
        </w:tc>
      </w:tr>
      <w:tr>
        <w:trPr>
          <w:trHeight w:val="41"/>
        </w:trPr>
        <w:tc>
          <w:tcPr>
            <w:tcW w:w="9300" w:type="dxa"/>
            <w:vAlign w:val="bottom"/>
            <w:gridSpan w:val="5"/>
          </w:tcPr>
          <w:p>
            <w:pPr>
              <w:spacing w:after="0"/>
              <w:rPr>
                <w:sz w:val="20"/>
                <w:szCs w:val="20"/>
                <w:color w:val="auto"/>
              </w:rPr>
            </w:pPr>
            <w:r>
              <w:rPr>
                <w:rFonts w:ascii="Arial" w:cs="Arial" w:eastAsia="Arial" w:hAnsi="Arial"/>
                <w:sz w:val="3"/>
                <w:szCs w:val="3"/>
                <w:color w:val="FFFFFF"/>
              </w:rPr>
              <w:t>operations, tests, studies, manuals, market reports, customers, financial status, cash flow projections and the like or any other matter connected with the business of Amarin</w:t>
            </w:r>
          </w:p>
        </w:tc>
        <w:tc>
          <w:tcPr>
            <w:tcW w:w="2100" w:type="dxa"/>
            <w:vAlign w:val="bottom"/>
            <w:gridSpan w:val="2"/>
          </w:tcPr>
          <w:p>
            <w:pPr>
              <w:ind w:left="160"/>
              <w:spacing w:after="0"/>
              <w:rPr>
                <w:sz w:val="20"/>
                <w:szCs w:val="20"/>
                <w:color w:val="auto"/>
              </w:rPr>
            </w:pPr>
            <w:r>
              <w:rPr>
                <w:rFonts w:ascii="Arial" w:cs="Arial" w:eastAsia="Arial" w:hAnsi="Arial"/>
                <w:sz w:val="3"/>
                <w:szCs w:val="3"/>
                <w:color w:val="FFFFFF"/>
              </w:rPr>
              <w:t>its Affiliates, or any of its suppliers,</w:t>
            </w:r>
          </w:p>
        </w:tc>
      </w:tr>
      <w:tr>
        <w:trPr>
          <w:trHeight w:val="41"/>
        </w:trPr>
        <w:tc>
          <w:tcPr>
            <w:tcW w:w="1600" w:type="dxa"/>
            <w:vAlign w:val="bottom"/>
            <w:gridSpan w:val="2"/>
          </w:tcPr>
          <w:p>
            <w:pPr>
              <w:spacing w:after="0"/>
              <w:rPr>
                <w:sz w:val="20"/>
                <w:szCs w:val="20"/>
                <w:color w:val="auto"/>
              </w:rPr>
            </w:pPr>
            <w:r>
              <w:rPr>
                <w:rFonts w:ascii="Arial" w:cs="Arial" w:eastAsia="Arial" w:hAnsi="Arial"/>
                <w:sz w:val="3"/>
                <w:szCs w:val="3"/>
                <w:color w:val="FFFFFF"/>
              </w:rPr>
              <w:t>partners or customers related</w:t>
            </w:r>
          </w:p>
        </w:tc>
        <w:tc>
          <w:tcPr>
            <w:tcW w:w="3960" w:type="dxa"/>
            <w:vAlign w:val="bottom"/>
          </w:tcPr>
          <w:p>
            <w:pPr>
              <w:ind w:left="140"/>
              <w:spacing w:after="0"/>
              <w:rPr>
                <w:sz w:val="20"/>
                <w:szCs w:val="20"/>
                <w:color w:val="auto"/>
              </w:rPr>
            </w:pPr>
            <w:r>
              <w:rPr>
                <w:rFonts w:ascii="Arial" w:cs="Arial" w:eastAsia="Arial" w:hAnsi="Arial"/>
                <w:sz w:val="3"/>
                <w:szCs w:val="3"/>
                <w:color w:val="FFFFFF"/>
              </w:rPr>
              <w:t>Arnarin, its Affiliates or their businesses. All books, notes,</w:t>
            </w:r>
          </w:p>
        </w:tc>
        <w:tc>
          <w:tcPr>
            <w:tcW w:w="5840" w:type="dxa"/>
            <w:vAlign w:val="bottom"/>
            <w:gridSpan w:val="4"/>
          </w:tcPr>
          <w:p>
            <w:pPr>
              <w:ind w:left="100"/>
              <w:spacing w:after="0"/>
              <w:rPr>
                <w:sz w:val="20"/>
                <w:szCs w:val="20"/>
                <w:color w:val="auto"/>
              </w:rPr>
            </w:pPr>
            <w:r>
              <w:rPr>
                <w:rFonts w:ascii="Arial" w:cs="Arial" w:eastAsia="Arial" w:hAnsi="Arial"/>
                <w:sz w:val="3"/>
                <w:szCs w:val="3"/>
                <w:color w:val="FFFFFF"/>
              </w:rPr>
              <w:t>records, lists of customers and suppliers and employees, correspondence, documents, computer and other</w:t>
            </w:r>
          </w:p>
        </w:tc>
      </w:tr>
      <w:tr>
        <w:trPr>
          <w:trHeight w:val="41"/>
        </w:trPr>
        <w:tc>
          <w:tcPr>
            <w:tcW w:w="760" w:type="dxa"/>
            <w:vAlign w:val="bottom"/>
          </w:tcPr>
          <w:p>
            <w:pPr>
              <w:spacing w:after="0"/>
              <w:rPr>
                <w:sz w:val="20"/>
                <w:szCs w:val="20"/>
                <w:color w:val="auto"/>
              </w:rPr>
            </w:pPr>
            <w:r>
              <w:rPr>
                <w:rFonts w:ascii="Arial" w:cs="Arial" w:eastAsia="Arial" w:hAnsi="Arial"/>
                <w:sz w:val="3"/>
                <w:szCs w:val="3"/>
                <w:color w:val="FFFFFF"/>
              </w:rPr>
              <w:t>discs, tapes</w:t>
            </w:r>
          </w:p>
        </w:tc>
        <w:tc>
          <w:tcPr>
            <w:tcW w:w="8540" w:type="dxa"/>
            <w:vAlign w:val="bottom"/>
            <w:gridSpan w:val="4"/>
          </w:tcPr>
          <w:p>
            <w:pPr>
              <w:ind w:left="120"/>
              <w:spacing w:after="0"/>
              <w:rPr>
                <w:sz w:val="20"/>
                <w:szCs w:val="20"/>
                <w:color w:val="auto"/>
              </w:rPr>
            </w:pPr>
            <w:r>
              <w:rPr>
                <w:rFonts w:ascii="Arial" w:cs="Arial" w:eastAsia="Arial" w:hAnsi="Arial"/>
                <w:sz w:val="3"/>
                <w:szCs w:val="3"/>
                <w:color w:val="FFFFFF"/>
              </w:rPr>
              <w:t>other data storage, date listings, codes, designs, and drawings and other documentsmemoranda, material whatsoever (whether made or created by you or</w:t>
            </w:r>
          </w:p>
        </w:tc>
        <w:tc>
          <w:tcPr>
            <w:tcW w:w="1860" w:type="dxa"/>
            <w:vAlign w:val="bottom"/>
          </w:tcPr>
          <w:p>
            <w:pPr>
              <w:ind w:left="20"/>
              <w:spacing w:after="0"/>
              <w:rPr>
                <w:sz w:val="20"/>
                <w:szCs w:val="20"/>
                <w:color w:val="auto"/>
              </w:rPr>
            </w:pPr>
            <w:r>
              <w:rPr>
                <w:rFonts w:ascii="Arial" w:cs="Arial" w:eastAsia="Arial" w:hAnsi="Arial"/>
                <w:sz w:val="3"/>
                <w:szCs w:val="3"/>
                <w:color w:val="FFFFFF"/>
              </w:rPr>
              <w:t>relating to the business of</w:t>
            </w:r>
          </w:p>
        </w:tc>
        <w:tc>
          <w:tcPr>
            <w:tcW w:w="240" w:type="dxa"/>
            <w:vAlign w:val="bottom"/>
          </w:tcPr>
          <w:p>
            <w:pPr>
              <w:ind w:left="20"/>
              <w:spacing w:after="0"/>
              <w:rPr>
                <w:sz w:val="20"/>
                <w:szCs w:val="20"/>
                <w:color w:val="auto"/>
              </w:rPr>
            </w:pPr>
            <w:r>
              <w:rPr>
                <w:rFonts w:ascii="Arial" w:cs="Arial" w:eastAsia="Arial" w:hAnsi="Arial"/>
                <w:sz w:val="3"/>
                <w:szCs w:val="3"/>
                <w:color w:val="FFFFFF"/>
              </w:rPr>
              <w:t>or</w:t>
            </w: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its Affiliates(and copies of the same): (a) shall be and remain the property of Amarin or the relevant Affiliate; and (b) shall be handed over by you to Amarin or tootherwise)relevant Affiliate on demand andAmarinany</w:t>
            </w:r>
          </w:p>
        </w:tc>
        <w:tc>
          <w:tcPr>
            <w:tcW w:w="240" w:type="dxa"/>
            <w:vAlign w:val="bottom"/>
          </w:tcPr>
          <w:p>
            <w:pPr>
              <w:spacing w:after="0"/>
              <w:rPr>
                <w:sz w:val="3"/>
                <w:szCs w:val="3"/>
                <w:color w:val="auto"/>
              </w:rPr>
            </w:pPr>
          </w:p>
        </w:tc>
      </w:tr>
      <w:tr>
        <w:trPr>
          <w:trHeight w:val="41"/>
        </w:trPr>
        <w:tc>
          <w:tcPr>
            <w:tcW w:w="5560" w:type="dxa"/>
            <w:vAlign w:val="bottom"/>
            <w:gridSpan w:val="3"/>
          </w:tcPr>
          <w:p>
            <w:pPr>
              <w:spacing w:after="0"/>
              <w:rPr>
                <w:sz w:val="20"/>
                <w:szCs w:val="20"/>
                <w:color w:val="auto"/>
              </w:rPr>
            </w:pPr>
            <w:r>
              <w:rPr>
                <w:rFonts w:ascii="Arial" w:cs="Arial" w:eastAsia="Arial" w:hAnsi="Arial"/>
                <w:sz w:val="3"/>
                <w:szCs w:val="3"/>
                <w:color w:val="FFFFFF"/>
              </w:rPr>
              <w:t>event on the termination of your engagement with Amarin. 12. Termination of Employment 12.1 It is</w:t>
            </w:r>
          </w:p>
        </w:tc>
        <w:tc>
          <w:tcPr>
            <w:tcW w:w="5840" w:type="dxa"/>
            <w:vAlign w:val="bottom"/>
            <w:gridSpan w:val="4"/>
          </w:tcPr>
          <w:p>
            <w:pPr>
              <w:jc w:val="center"/>
              <w:ind w:left="483"/>
              <w:spacing w:after="0"/>
              <w:rPr>
                <w:sz w:val="20"/>
                <w:szCs w:val="20"/>
                <w:color w:val="auto"/>
              </w:rPr>
            </w:pPr>
            <w:r>
              <w:rPr>
                <w:rFonts w:ascii="Arial" w:cs="Arial" w:eastAsia="Arial" w:hAnsi="Arial"/>
                <w:sz w:val="3"/>
                <w:szCs w:val="3"/>
                <w:color w:val="FFFFFF"/>
              </w:rPr>
              <w:t>that the employment relationship between you and Amarin is “at will,” and this offer letter does</w:t>
            </w:r>
          </w:p>
        </w:tc>
      </w:tr>
      <w:tr>
        <w:trPr>
          <w:trHeight w:val="0"/>
        </w:trPr>
        <w:tc>
          <w:tcPr>
            <w:tcW w:w="6320" w:type="dxa"/>
            <w:vAlign w:val="bottom"/>
            <w:gridSpan w:val="4"/>
          </w:tcPr>
          <w:p>
            <w:pPr>
              <w:spacing w:after="0" w:line="80" w:lineRule="exact"/>
              <w:rPr>
                <w:sz w:val="20"/>
                <w:szCs w:val="20"/>
                <w:color w:val="auto"/>
              </w:rPr>
            </w:pPr>
            <w:r>
              <w:rPr>
                <w:rFonts w:ascii="Arial" w:cs="Arial" w:eastAsia="Arial" w:hAnsi="Arial"/>
                <w:sz w:val="9"/>
                <w:szCs w:val="9"/>
                <w:color w:val="FFFFFF"/>
              </w:rPr>
              <w:t>not alter the “employment at will” relationship in any way. Except as provided below you shall provideunderstoodAmarin</w:t>
            </w:r>
          </w:p>
        </w:tc>
        <w:tc>
          <w:tcPr>
            <w:tcW w:w="4840" w:type="dxa"/>
            <w:vAlign w:val="bottom"/>
            <w:gridSpan w:val="2"/>
          </w:tcPr>
          <w:p>
            <w:pPr>
              <w:jc w:val="center"/>
              <w:ind w:right="3"/>
              <w:spacing w:after="0" w:line="80" w:lineRule="exact"/>
              <w:rPr>
                <w:sz w:val="20"/>
                <w:szCs w:val="20"/>
                <w:color w:val="auto"/>
              </w:rPr>
            </w:pPr>
            <w:r>
              <w:rPr>
                <w:rFonts w:ascii="Arial" w:cs="Arial" w:eastAsia="Arial" w:hAnsi="Arial"/>
                <w:sz w:val="9"/>
                <w:szCs w:val="9"/>
                <w:color w:val="FFFFFF"/>
              </w:rPr>
              <w:t>shall receive from Amarin one month prior written notice of the termination of your</w:t>
            </w:r>
          </w:p>
        </w:tc>
        <w:tc>
          <w:tcPr>
            <w:tcW w:w="240" w:type="dxa"/>
            <w:vAlign w:val="bottom"/>
          </w:tcPr>
          <w:p>
            <w:pPr>
              <w:spacing w:after="0" w:line="20" w:lineRule="exact"/>
              <w:rPr>
                <w:sz w:val="1"/>
                <w:szCs w:val="1"/>
                <w:color w:val="auto"/>
              </w:rPr>
            </w:pPr>
          </w:p>
        </w:tc>
      </w:tr>
    </w:tbl>
    <w:p>
      <w:pPr>
        <w:spacing w:after="0" w:line="197" w:lineRule="auto"/>
        <w:rPr>
          <w:sz w:val="20"/>
          <w:szCs w:val="20"/>
          <w:color w:val="auto"/>
        </w:rPr>
      </w:pPr>
      <w:r>
        <w:rPr>
          <w:rFonts w:ascii="Arial" w:cs="Arial" w:eastAsia="Arial" w:hAnsi="Arial"/>
          <w:sz w:val="6"/>
          <w:szCs w:val="6"/>
          <w:color w:val="FFFFFF"/>
        </w:rPr>
        <w:t>employment. If written notice is given by you or by Amarin to terminate your employment, Amarin may, notwithstanding any other terms of these terms and conditions and in its absolute discretion, require you to: (a) continue to perform such duties as Amarin may direct or to perform no duties during the period of your notice; provided always that it shall continue to pay you your base salary and provide all contractual benefits to which you are entitled during such notice period. You agree that, during any part of any period of notice, you will not work for any other employer; or (b) accept a payment of base salary in lieu of notice</w:t>
      </w:r>
      <w:r>
        <w:rPr>
          <w:rFonts w:ascii="Arial" w:cs="Arial" w:eastAsia="Arial" w:hAnsi="Arial"/>
          <w:sz w:val="7"/>
          <w:szCs w:val="7"/>
          <w:color w:val="FFFFFF"/>
          <w:vertAlign w:val="subscript"/>
        </w:rPr>
        <w:t>Cause,</w:t>
      </w:r>
      <w:r>
        <w:rPr>
          <w:rFonts w:ascii="Arial" w:cs="Arial" w:eastAsia="Arial" w:hAnsi="Arial"/>
          <w:sz w:val="6"/>
          <w:szCs w:val="6"/>
          <w:color w:val="FFFFFF"/>
        </w:rPr>
        <w:t>(i.., one month base salary) and your employment shall terminate immediately but without prejudice to any other cl</w:t>
      </w:r>
      <w:r>
        <w:rPr>
          <w:rFonts w:ascii="Arial" w:cs="Arial" w:eastAsia="Arial" w:hAnsi="Arial"/>
          <w:sz w:val="7"/>
          <w:szCs w:val="7"/>
          <w:color w:val="FFFFFF"/>
          <w:vertAlign w:val="subscript"/>
        </w:rPr>
        <w:t>damages</w:t>
      </w:r>
      <w:r>
        <w:rPr>
          <w:rFonts w:ascii="Arial" w:cs="Arial" w:eastAsia="Arial" w:hAnsi="Arial"/>
          <w:sz w:val="6"/>
          <w:szCs w:val="6"/>
          <w:color w:val="FFFFFF"/>
        </w:rPr>
        <w:t>imAmarin or you may have against the other. 12.2 In the event that you are terminated</w:t>
      </w:r>
    </w:p>
    <w:p>
      <w:pPr>
        <w:spacing w:after="0"/>
        <w:tabs>
          <w:tab w:leader="none" w:pos="580" w:val="left"/>
          <w:tab w:leader="none" w:pos="7040" w:val="left"/>
        </w:tabs>
        <w:rPr>
          <w:sz w:val="20"/>
          <w:szCs w:val="20"/>
          <w:color w:val="auto"/>
        </w:rPr>
      </w:pPr>
      <w:r>
        <w:rPr>
          <w:rFonts w:ascii="Arial" w:cs="Arial" w:eastAsia="Arial" w:hAnsi="Arial"/>
          <w:sz w:val="14"/>
          <w:szCs w:val="14"/>
          <w:color w:val="FFFFFF"/>
        </w:rPr>
        <w:t>for</w:t>
      </w:r>
      <w:r>
        <w:rPr>
          <w:sz w:val="20"/>
          <w:szCs w:val="20"/>
          <w:color w:val="auto"/>
        </w:rPr>
        <w:tab/>
      </w:r>
      <w:r>
        <w:rPr>
          <w:rFonts w:ascii="Arial" w:cs="Arial" w:eastAsia="Arial" w:hAnsi="Arial"/>
          <w:sz w:val="14"/>
          <w:szCs w:val="14"/>
          <w:color w:val="FFFFFF"/>
        </w:rPr>
        <w:t>Amarin may terminate your engagement immediately without notice and without liability for compensation or</w:t>
      </w:r>
      <w:r>
        <w:rPr>
          <w:sz w:val="20"/>
          <w:szCs w:val="20"/>
          <w:color w:val="auto"/>
        </w:rPr>
        <w:tab/>
      </w:r>
      <w:r>
        <w:rPr>
          <w:rFonts w:ascii="Arial" w:cs="Arial" w:eastAsia="Arial" w:hAnsi="Arial"/>
          <w:sz w:val="12"/>
          <w:szCs w:val="12"/>
          <w:color w:val="FFFFFF"/>
        </w:rPr>
        <w:t>. “Cause”</w:t>
      </w:r>
    </w:p>
    <w:p>
      <w:pPr>
        <w:sectPr>
          <w:pgSz w:w="11900" w:h="16838" w:orient="portrait"/>
          <w:cols w:equalWidth="0" w:num="1">
            <w:col w:w="11420"/>
          </w:cols>
          <w:pgMar w:left="240" w:top="1440" w:right="2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20"/>
                <w:szCs w:val="20"/>
                <w:color w:val="auto"/>
              </w:rPr>
            </w:pPr>
            <w:r>
              <w:rPr>
                <w:rFonts w:ascii="Arial" w:cs="Arial" w:eastAsia="Arial" w:hAnsi="Arial"/>
                <w:sz w:val="14"/>
                <w:szCs w:val="14"/>
                <w:color w:val="FFFFFF"/>
              </w:rPr>
              <w:t>shall mean: (a) neglect or misconduct in the</w:t>
            </w:r>
          </w:p>
        </w:tc>
        <w:tc>
          <w:tcPr>
            <w:tcW w:w="8240" w:type="dxa"/>
            <w:vAlign w:val="bottom"/>
            <w:gridSpan w:val="3"/>
          </w:tcPr>
          <w:p>
            <w:pPr>
              <w:jc w:val="right"/>
              <w:ind w:right="83"/>
              <w:spacing w:after="0"/>
              <w:rPr>
                <w:sz w:val="20"/>
                <w:szCs w:val="20"/>
                <w:color w:val="auto"/>
              </w:rPr>
            </w:pPr>
            <w:r>
              <w:rPr>
                <w:rFonts w:ascii="Arial" w:cs="Arial" w:eastAsia="Arial" w:hAnsi="Arial"/>
                <w:sz w:val="14"/>
                <w:szCs w:val="14"/>
                <w:color w:val="FFFFFF"/>
                <w:w w:val="89"/>
              </w:rPr>
              <w:t>of your duties which results in material harm to Arnarin or its Affiliates; (b) your conviction of, or plea of nolo contendere to, (i) any felony or (ii) any</w:t>
            </w: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other crime involving either moral turpitude performanceyourpersonal enrichment at the expense of Amarin</w:t>
            </w:r>
          </w:p>
        </w:tc>
        <w:tc>
          <w:tcPr>
            <w:tcW w:w="6000" w:type="dxa"/>
            <w:vAlign w:val="bottom"/>
            <w:gridSpan w:val="2"/>
          </w:tcPr>
          <w:p>
            <w:pPr>
              <w:jc w:val="right"/>
              <w:spacing w:after="0"/>
              <w:rPr>
                <w:sz w:val="20"/>
                <w:szCs w:val="20"/>
                <w:color w:val="auto"/>
              </w:rPr>
            </w:pPr>
            <w:r>
              <w:rPr>
                <w:rFonts w:ascii="Arial" w:cs="Arial" w:eastAsia="Arial" w:hAnsi="Arial"/>
                <w:sz w:val="3"/>
                <w:szCs w:val="3"/>
                <w:color w:val="FFFFFF"/>
              </w:rPr>
              <w:t>its Affiliates; (c) your failure or refusal to perform your lawful duties and responsibilities with Amarin or its</w:t>
            </w: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Affiliates or (d) ) the material breach by you of any of the covenants contained in this Offer Letter.</w:t>
            </w:r>
          </w:p>
        </w:tc>
        <w:tc>
          <w:tcPr>
            <w:tcW w:w="6000" w:type="dxa"/>
            <w:vAlign w:val="bottom"/>
            <w:gridSpan w:val="2"/>
          </w:tcPr>
          <w:p>
            <w:pPr>
              <w:jc w:val="right"/>
              <w:ind w:right="383"/>
              <w:spacing w:after="0"/>
              <w:rPr>
                <w:sz w:val="20"/>
                <w:szCs w:val="20"/>
                <w:color w:val="auto"/>
              </w:rPr>
            </w:pPr>
            <w:r>
              <w:rPr>
                <w:rFonts w:ascii="Arial" w:cs="Arial" w:eastAsia="Arial" w:hAnsi="Arial"/>
                <w:sz w:val="3"/>
                <w:szCs w:val="3"/>
                <w:color w:val="FFFFFF"/>
              </w:rPr>
              <w:t>Prior to or contemporaneously with any termination for Cause, Amarin shall provide you with a written</w:t>
            </w: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detailed statement of the factual basis for the determination that Cause is present. In the event of a dispute arising in respect of any such termination by Amarin this dispute will be governed by the laws of the</w:t>
            </w:r>
          </w:p>
        </w:tc>
      </w:tr>
      <w:tr>
        <w:trPr>
          <w:trHeight w:val="41"/>
        </w:trPr>
        <w:tc>
          <w:tcPr>
            <w:tcW w:w="10240" w:type="dxa"/>
            <w:vAlign w:val="bottom"/>
            <w:gridSpan w:val="3"/>
          </w:tcPr>
          <w:p>
            <w:pPr>
              <w:spacing w:after="0"/>
              <w:rPr>
                <w:sz w:val="20"/>
                <w:szCs w:val="20"/>
                <w:color w:val="auto"/>
              </w:rPr>
            </w:pPr>
            <w:r>
              <w:rPr>
                <w:rFonts w:ascii="Arial" w:cs="Arial" w:eastAsia="Arial" w:hAnsi="Arial"/>
                <w:sz w:val="3"/>
                <w:szCs w:val="3"/>
                <w:color w:val="FFFFFF"/>
              </w:rPr>
              <w:t>State of New York and shall be subject to the exclusive jurisdiction of the state and federal courts in New York. 13. Intellectual Property Rights It shall be part of your contractual duties</w:t>
            </w:r>
          </w:p>
        </w:tc>
        <w:tc>
          <w:tcPr>
            <w:tcW w:w="1120" w:type="dxa"/>
            <w:vAlign w:val="bottom"/>
          </w:tcPr>
          <w:p>
            <w:pPr>
              <w:jc w:val="right"/>
              <w:ind w:right="103"/>
              <w:spacing w:after="0"/>
              <w:rPr>
                <w:sz w:val="20"/>
                <w:szCs w:val="20"/>
                <w:color w:val="auto"/>
              </w:rPr>
            </w:pPr>
            <w:r>
              <w:rPr>
                <w:rFonts w:ascii="Arial" w:cs="Arial" w:eastAsia="Arial" w:hAnsi="Arial"/>
                <w:sz w:val="3"/>
                <w:szCs w:val="3"/>
                <w:color w:val="FFFFFF"/>
              </w:rPr>
              <w:t>alone or with</w:t>
            </w:r>
          </w:p>
        </w:tc>
      </w:tr>
      <w:tr>
        <w:trPr>
          <w:trHeight w:val="41"/>
        </w:trPr>
        <w:tc>
          <w:tcPr>
            <w:tcW w:w="10240" w:type="dxa"/>
            <w:vAlign w:val="bottom"/>
            <w:gridSpan w:val="3"/>
          </w:tcPr>
          <w:p>
            <w:pPr>
              <w:spacing w:after="0"/>
              <w:rPr>
                <w:sz w:val="20"/>
                <w:szCs w:val="20"/>
                <w:color w:val="auto"/>
              </w:rPr>
            </w:pPr>
            <w:r>
              <w:rPr>
                <w:rFonts w:ascii="Arial" w:cs="Arial" w:eastAsia="Arial" w:hAnsi="Arial"/>
                <w:sz w:val="3"/>
                <w:szCs w:val="3"/>
                <w:color w:val="FFFFFF"/>
              </w:rPr>
              <w:t>any other employee of Arnarin or any Affiliate) at all times to further the interests of Amarin and, without prejudice to the generality of the foregoing and to the extent as is consistent with</w:t>
            </w:r>
          </w:p>
        </w:tc>
        <w:tc>
          <w:tcPr>
            <w:tcW w:w="1120" w:type="dxa"/>
            <w:vAlign w:val="bottom"/>
          </w:tcPr>
          <w:p>
            <w:pPr>
              <w:jc w:val="right"/>
              <w:ind w:right="103"/>
              <w:spacing w:after="0"/>
              <w:rPr>
                <w:sz w:val="20"/>
                <w:szCs w:val="20"/>
                <w:color w:val="auto"/>
              </w:rPr>
            </w:pPr>
            <w:r>
              <w:rPr>
                <w:rFonts w:ascii="Arial" w:cs="Arial" w:eastAsia="Arial" w:hAnsi="Arial"/>
                <w:sz w:val="3"/>
                <w:szCs w:val="3"/>
                <w:color w:val="FFFFFF"/>
              </w:rPr>
              <w:t>your role within</w:t>
            </w:r>
          </w:p>
        </w:tc>
      </w:tr>
      <w:tr>
        <w:trPr>
          <w:trHeight w:val="41"/>
        </w:trPr>
        <w:tc>
          <w:tcPr>
            <w:tcW w:w="11360" w:type="dxa"/>
            <w:vAlign w:val="bottom"/>
            <w:gridSpan w:val="4"/>
          </w:tcPr>
          <w:p>
            <w:pPr>
              <w:ind w:left="420"/>
              <w:spacing w:after="0"/>
              <w:rPr>
                <w:sz w:val="20"/>
                <w:szCs w:val="20"/>
                <w:color w:val="auto"/>
              </w:rPr>
            </w:pPr>
            <w:r>
              <w:rPr>
                <w:rFonts w:ascii="Arial" w:cs="Arial" w:eastAsia="Arial" w:hAnsi="Arial"/>
                <w:sz w:val="3"/>
                <w:szCs w:val="3"/>
                <w:color w:val="FFFFFF"/>
              </w:rPr>
              <w:t>; (a) to make, discover and conceive inventions, processes, techniques, designs, improvements or developments relating to or capable of use or adaptation for use in connection with(whetherbusiness of</w:t>
            </w: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Amarin or any Affiliate (“an Invention”); (b) to consider in what manner and by what new methods or devices the products, services, processes, equipment or systems of Ainarin or any Affiliate with which you</w:t>
            </w: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are concerned or for which you are responsible, might be improved (“a Development”); (c) promptly to give to Amarin or any Affiliate full details of any such Invention or Development which you may from</w:t>
            </w: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time to time make or discover in the course of your engagement with Amarin; and (d) to further the interests of Amarin’s or any Affiliate’s undertaking with regard thereto and armn or any Affiliate shall be</w:t>
            </w:r>
          </w:p>
        </w:tc>
      </w:tr>
      <w:tr>
        <w:trPr>
          <w:trHeight w:val="41"/>
        </w:trPr>
        <w:tc>
          <w:tcPr>
            <w:tcW w:w="3120" w:type="dxa"/>
            <w:vAlign w:val="bottom"/>
          </w:tcPr>
          <w:p>
            <w:pPr>
              <w:spacing w:after="0"/>
              <w:rPr>
                <w:sz w:val="20"/>
                <w:szCs w:val="20"/>
                <w:color w:val="auto"/>
              </w:rPr>
            </w:pPr>
            <w:r>
              <w:rPr>
                <w:rFonts w:ascii="Arial" w:cs="Arial" w:eastAsia="Arial" w:hAnsi="Arial"/>
                <w:sz w:val="3"/>
                <w:szCs w:val="3"/>
                <w:color w:val="FFFFFF"/>
              </w:rPr>
              <w:t>entitled to the exclusive ownership of any such Invention</w:t>
            </w:r>
          </w:p>
        </w:tc>
        <w:tc>
          <w:tcPr>
            <w:tcW w:w="8240" w:type="dxa"/>
            <w:vAlign w:val="bottom"/>
            <w:gridSpan w:val="3"/>
          </w:tcPr>
          <w:p>
            <w:pPr>
              <w:jc w:val="right"/>
              <w:ind w:right="143"/>
              <w:spacing w:after="0"/>
              <w:rPr>
                <w:sz w:val="20"/>
                <w:szCs w:val="20"/>
                <w:color w:val="auto"/>
              </w:rPr>
            </w:pPr>
            <w:r>
              <w:rPr>
                <w:rFonts w:ascii="Arial" w:cs="Arial" w:eastAsia="Arial" w:hAnsi="Arial"/>
                <w:sz w:val="3"/>
                <w:szCs w:val="3"/>
                <w:color w:val="FFFFFF"/>
              </w:rPr>
              <w:t>Development and to the exclusive use thereof. You shall immediately give full information to the board of directors of Am arm (the “Board”) as to</w:t>
            </w: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such Invention or Development and the exact mode of working, producing, using and exploiting the same and shall also give all such explanations and instructions to the Board as may be necessary or useful to</w:t>
            </w:r>
          </w:p>
        </w:tc>
      </w:tr>
      <w:tr>
        <w:trPr>
          <w:trHeight w:val="0"/>
        </w:trPr>
        <w:tc>
          <w:tcPr>
            <w:tcW w:w="5360" w:type="dxa"/>
            <w:vAlign w:val="bottom"/>
            <w:gridSpan w:val="2"/>
          </w:tcPr>
          <w:p>
            <w:pPr>
              <w:spacing w:after="0" w:line="80" w:lineRule="exact"/>
              <w:rPr>
                <w:sz w:val="20"/>
                <w:szCs w:val="20"/>
                <w:color w:val="auto"/>
              </w:rPr>
            </w:pPr>
            <w:r>
              <w:rPr>
                <w:rFonts w:ascii="Arial" w:cs="Arial" w:eastAsia="Arial" w:hAnsi="Arial"/>
                <w:sz w:val="9"/>
                <w:szCs w:val="9"/>
                <w:color w:val="FFFFFF"/>
              </w:rPr>
              <w:t>enable Am rin or any Affiliate to obtain full benefit of them and will at the expense of Amarin or a</w:t>
            </w:r>
          </w:p>
        </w:tc>
        <w:tc>
          <w:tcPr>
            <w:tcW w:w="6000" w:type="dxa"/>
            <w:vAlign w:val="bottom"/>
            <w:gridSpan w:val="2"/>
          </w:tcPr>
          <w:p>
            <w:pPr>
              <w:jc w:val="right"/>
              <w:spacing w:after="0" w:line="80" w:lineRule="exact"/>
              <w:rPr>
                <w:sz w:val="20"/>
                <w:szCs w:val="20"/>
                <w:color w:val="auto"/>
              </w:rPr>
            </w:pPr>
            <w:r>
              <w:rPr>
                <w:rFonts w:ascii="Arial" w:cs="Arial" w:eastAsia="Arial" w:hAnsi="Arial"/>
                <w:sz w:val="9"/>
                <w:szCs w:val="9"/>
                <w:color w:val="FFFFFF"/>
              </w:rPr>
              <w:t>Affiliate furnish it with all necessary plans, drawings, formulae and models applicable to the same and shall</w:t>
            </w:r>
          </w:p>
        </w:tc>
      </w:tr>
    </w:tbl>
    <w:p>
      <w:pPr>
        <w:spacing w:after="0" w:line="187" w:lineRule="auto"/>
        <w:rPr>
          <w:sz w:val="20"/>
          <w:szCs w:val="20"/>
          <w:color w:val="auto"/>
        </w:rPr>
      </w:pPr>
      <w:r>
        <w:rPr>
          <w:rFonts w:ascii="Arial" w:cs="Arial" w:eastAsia="Arial" w:hAnsi="Arial"/>
          <w:sz w:val="9"/>
          <w:szCs w:val="9"/>
          <w:color w:val="FFFFFF"/>
        </w:rPr>
        <w:t>at the cost and expense of Amann or any Affiliate execute all documents and do all acts and things necessary to enable Amarin or any Affiliate (or its or their nominees) to apply for and obtain protection for such Inventions and Developments throughout the world and for vesting the ownership of them in Amarin or any Affiliate (or its or their nominees).</w:t>
      </w:r>
    </w:p>
    <w:p>
      <w:pPr>
        <w:sectPr>
          <w:pgSz w:w="11900" w:h="16838" w:orient="portrait"/>
          <w:cols w:equalWidth="0" w:num="1">
            <w:col w:w="11420"/>
          </w:cols>
          <w:pgMar w:left="240" w:top="1440" w:right="2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31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703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4"/>
          </w:tcPr>
          <w:p>
            <w:pPr>
              <w:spacing w:after="0"/>
              <w:rPr>
                <w:sz w:val="20"/>
                <w:szCs w:val="20"/>
                <w:color w:val="auto"/>
              </w:rPr>
            </w:pPr>
            <w:r>
              <w:rPr>
                <w:rFonts w:ascii="Arial" w:cs="Arial" w:eastAsia="Arial" w:hAnsi="Arial"/>
                <w:sz w:val="14"/>
                <w:szCs w:val="14"/>
                <w:color w:val="FFFFFF"/>
                <w:w w:val="88"/>
              </w:rPr>
              <w:t>You shall not knowingly do anything to imperil the validity of any patent or protection related to the business of Amarin or any Affiliate or any application therefore but shall at the sole expense of Amarin or any</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Affiliate use your best efforts to assist Amarin or any Affiliate, both in obtaining and in maintaining such patents or other protection. Y  shall not either during your engagement with Amarin or any time</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thereafter exploit  r assist others to exploit any Invention or Dev lopment which you may from time to time make or discover hi the course of your employment with Aniarin or (unless the same shall have</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become public knowledge otherwise than by breach by you of the terms of this Offer Letter) make public or disclose any such Invention or Development or improvement or give any information in respect of the</w:t>
            </w:r>
          </w:p>
        </w:tc>
      </w:tr>
      <w:tr>
        <w:trPr>
          <w:trHeight w:val="41"/>
        </w:trPr>
        <w:tc>
          <w:tcPr>
            <w:tcW w:w="6940" w:type="dxa"/>
            <w:vAlign w:val="bottom"/>
            <w:gridSpan w:val="3"/>
          </w:tcPr>
          <w:p>
            <w:pPr>
              <w:spacing w:after="0"/>
              <w:rPr>
                <w:sz w:val="20"/>
                <w:szCs w:val="20"/>
                <w:color w:val="auto"/>
              </w:rPr>
            </w:pPr>
            <w:r>
              <w:rPr>
                <w:rFonts w:ascii="Arial" w:cs="Arial" w:eastAsia="Arial" w:hAnsi="Arial"/>
                <w:sz w:val="3"/>
                <w:szCs w:val="3"/>
                <w:color w:val="FFFFFF"/>
              </w:rPr>
              <w:t>same except to Amarin or any Affiliate or as it may direct. Y  hereby irrevocably appoint Amarin or any Affiliate to be your</w:t>
            </w:r>
          </w:p>
        </w:tc>
        <w:tc>
          <w:tcPr>
            <w:tcW w:w="4480" w:type="dxa"/>
            <w:vAlign w:val="bottom"/>
          </w:tcPr>
          <w:p>
            <w:pPr>
              <w:ind w:left="360"/>
              <w:spacing w:after="0"/>
              <w:rPr>
                <w:sz w:val="20"/>
                <w:szCs w:val="20"/>
                <w:color w:val="auto"/>
              </w:rPr>
            </w:pPr>
            <w:r>
              <w:rPr>
                <w:rFonts w:ascii="Arial" w:cs="Arial" w:eastAsia="Arial" w:hAnsi="Arial"/>
                <w:sz w:val="3"/>
                <w:szCs w:val="3"/>
                <w:color w:val="FFFFFF"/>
              </w:rPr>
              <w:t>in your name and on your behalf for the sole purpose to execute all</w:t>
            </w: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documents and do all things</w:t>
            </w:r>
          </w:p>
        </w:tc>
        <w:tc>
          <w:tcPr>
            <w:tcW w:w="5120" w:type="dxa"/>
            <w:vAlign w:val="bottom"/>
            <w:gridSpan w:val="2"/>
          </w:tcPr>
          <w:p>
            <w:pPr>
              <w:ind w:left="300"/>
              <w:spacing w:after="0"/>
              <w:rPr>
                <w:sz w:val="20"/>
                <w:szCs w:val="20"/>
                <w:color w:val="auto"/>
              </w:rPr>
            </w:pPr>
            <w:r>
              <w:rPr>
                <w:rFonts w:ascii="Arial" w:cs="Arial" w:eastAsia="Arial" w:hAnsi="Arial"/>
                <w:sz w:val="3"/>
                <w:szCs w:val="3"/>
                <w:color w:val="FFFFFF"/>
              </w:rPr>
              <w:t>and generally to use your name for the purpose of giving Amarin or any Affiliate (or its</w:t>
            </w:r>
          </w:p>
        </w:tc>
        <w:tc>
          <w:tcPr>
            <w:tcW w:w="4480" w:type="dxa"/>
            <w:vAlign w:val="bottom"/>
          </w:tcPr>
          <w:p>
            <w:pPr>
              <w:ind w:left="80"/>
              <w:spacing w:after="0"/>
              <w:rPr>
                <w:sz w:val="20"/>
                <w:szCs w:val="20"/>
                <w:color w:val="auto"/>
              </w:rPr>
            </w:pPr>
            <w:r>
              <w:rPr>
                <w:rFonts w:ascii="Arial" w:cs="Arial" w:eastAsia="Arial" w:hAnsi="Arial"/>
                <w:sz w:val="3"/>
                <w:szCs w:val="3"/>
                <w:color w:val="FFFFFF"/>
              </w:rPr>
              <w:t>their nominees) the full benefit of the provisions of this clause 13 and in favour</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of any third party a certificatenecessarywriting signed by any director or the secretary of Amarin or any Affiliate that any instrument attorneyactwhich falls within the authority conferred by this clause which shall be</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conclusive evidence that such is the case. Amarin and its Affiliates agree to indemnify and hold you harmless against all cost, expense, liability and loss (including reasonable attorney fees) reasonably incurred</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or suffered by you in connection therewith. This provision shall survive the termination of your employment relationship. Copyright and unregistered design rights in all works created by you in the course of</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your engagement with Amarin will, in accordance with the Copyright Designs and Patent Act 1988, vest in Amarin or any Affiliate. Rights   any design registerable pursuant to the Registered Designs Act</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1949, (as amended) (the “Act”) created by you in the course of your engagement with Amarin shall, in accordance with the Act, vest in Aniarin or any Affiliate. Any copyrightable work prepared in whole or in</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part by you during the employment period will be deemed “a work made for hire” under Section 201(b) of the Copyright Act of 1976, as amended, and Arnarin will own all of the rights comprised in the</w:t>
            </w:r>
          </w:p>
        </w:tc>
      </w:tr>
      <w:tr>
        <w:trPr>
          <w:trHeight w:val="41"/>
        </w:trPr>
        <w:tc>
          <w:tcPr>
            <w:tcW w:w="11420" w:type="dxa"/>
            <w:vAlign w:val="bottom"/>
            <w:gridSpan w:val="4"/>
          </w:tcPr>
          <w:p>
            <w:pPr>
              <w:ind w:left="140"/>
              <w:spacing w:after="0"/>
              <w:rPr>
                <w:sz w:val="20"/>
                <w:szCs w:val="20"/>
                <w:color w:val="auto"/>
              </w:rPr>
            </w:pPr>
            <w:r>
              <w:rPr>
                <w:rFonts w:ascii="Arial" w:cs="Arial" w:eastAsia="Arial" w:hAnsi="Arial"/>
                <w:sz w:val="3"/>
                <w:szCs w:val="3"/>
                <w:color w:val="FFFFFF"/>
              </w:rPr>
              <w:t>pyright therein. Amarin and its Affiliates agree to indemnify and hold you harmless against all cost, expense, liability and loss (including reasonable attorney fees) reasonably incurred or suffered by you in</w:t>
            </w:r>
          </w:p>
        </w:tc>
      </w:tr>
      <w:tr>
        <w:trPr>
          <w:trHeight w:val="0"/>
        </w:trPr>
        <w:tc>
          <w:tcPr>
            <w:tcW w:w="6500" w:type="dxa"/>
            <w:vAlign w:val="bottom"/>
            <w:gridSpan w:val="2"/>
          </w:tcPr>
          <w:p>
            <w:pPr>
              <w:spacing w:after="0" w:line="80" w:lineRule="exact"/>
              <w:rPr>
                <w:sz w:val="20"/>
                <w:szCs w:val="20"/>
                <w:color w:val="auto"/>
              </w:rPr>
            </w:pPr>
            <w:r>
              <w:rPr>
                <w:rFonts w:ascii="Arial" w:cs="Arial" w:eastAsia="Arial" w:hAnsi="Arial"/>
                <w:sz w:val="9"/>
                <w:szCs w:val="9"/>
                <w:color w:val="FFFFFF"/>
              </w:rPr>
              <w:t>connection therewith. This provision shall survive the termination of your employment relationship. 14. Restrictions</w:t>
            </w:r>
          </w:p>
        </w:tc>
        <w:tc>
          <w:tcPr>
            <w:tcW w:w="492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employment During the course of your engagement with Arnarin, you shall not: (a) be</w:t>
            </w:r>
          </w:p>
        </w:tc>
      </w:tr>
    </w:tbl>
    <w:p>
      <w:pPr>
        <w:spacing w:after="0" w:line="25" w:lineRule="auto"/>
        <w:rPr>
          <w:sz w:val="20"/>
          <w:szCs w:val="20"/>
          <w:color w:val="auto"/>
        </w:rPr>
      </w:pPr>
      <w:r>
        <w:rPr>
          <w:rFonts w:ascii="Arial" w:cs="Arial" w:eastAsia="Arial" w:hAnsi="Arial"/>
          <w:sz w:val="1"/>
          <w:szCs w:val="1"/>
          <w:color w:val="FFFFFF"/>
        </w:rPr>
        <w:t>directly or indirectly employed, engaged, concerned or interested in any other business or undertaking;</w:t>
      </w:r>
      <w:r>
        <w:rPr>
          <w:rFonts w:ascii="Arial" w:cs="Arial" w:eastAsia="Arial" w:hAnsi="Arial"/>
          <w:sz w:val="1"/>
          <w:szCs w:val="1"/>
          <w:color w:val="FFFFFF"/>
          <w:vertAlign w:val="subscript"/>
        </w:rPr>
        <w:t>performance</w:t>
      </w:r>
      <w:r>
        <w:rPr>
          <w:rFonts w:ascii="Arial" w:cs="Arial" w:eastAsia="Arial" w:hAnsi="Arial"/>
          <w:sz w:val="1"/>
          <w:szCs w:val="1"/>
          <w:color w:val="FFFFFF"/>
        </w:rPr>
        <w:t>(b)engage duringany activity which the Board reasonably considers may be, or become, harmful to the</w:t>
      </w:r>
    </w:p>
    <w:p>
      <w:pPr>
        <w:spacing w:after="0"/>
        <w:tabs>
          <w:tab w:leader="none" w:pos="6000" w:val="left"/>
        </w:tabs>
        <w:rPr>
          <w:sz w:val="20"/>
          <w:szCs w:val="20"/>
          <w:color w:val="auto"/>
        </w:rPr>
      </w:pPr>
      <w:r>
        <w:rPr>
          <w:rFonts w:ascii="Arial" w:cs="Arial" w:eastAsia="Arial" w:hAnsi="Arial"/>
          <w:sz w:val="14"/>
          <w:szCs w:val="14"/>
          <w:color w:val="FFFFFF"/>
        </w:rPr>
        <w:t>interests of Amarin or any Affiliate or which might reasonably be considered to interfere with the</w:t>
      </w:r>
      <w:r>
        <w:rPr>
          <w:sz w:val="20"/>
          <w:szCs w:val="20"/>
          <w:color w:val="auto"/>
        </w:rPr>
        <w:tab/>
      </w:r>
      <w:r>
        <w:rPr>
          <w:rFonts w:ascii="Arial" w:cs="Arial" w:eastAsia="Arial" w:hAnsi="Arial"/>
          <w:sz w:val="12"/>
          <w:szCs w:val="12"/>
          <w:color w:val="FFFFFF"/>
        </w:rPr>
        <w:t>of your duties under this Agreement.</w:t>
      </w:r>
    </w:p>
    <w:p>
      <w:pPr>
        <w:sectPr>
          <w:pgSz w:w="11900" w:h="16838" w:orient="portrait"/>
          <w:cols w:equalWidth="0" w:num="1">
            <w:col w:w="11420"/>
          </w:cols>
          <w:pgMar w:left="240" w:top="1440" w:right="2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3"/>
          </w:tcPr>
          <w:p>
            <w:pPr>
              <w:spacing w:after="0"/>
              <w:rPr>
                <w:sz w:val="20"/>
                <w:szCs w:val="20"/>
                <w:color w:val="auto"/>
              </w:rPr>
            </w:pPr>
            <w:r>
              <w:rPr>
                <w:rFonts w:ascii="Arial" w:cs="Arial" w:eastAsia="Arial" w:hAnsi="Arial"/>
                <w:sz w:val="14"/>
                <w:szCs w:val="14"/>
                <w:color w:val="FFFFFF"/>
                <w:w w:val="90"/>
              </w:rPr>
              <w:t>The ab ve provisions shall not apply: (a) to the holding by you (directly or through nominees) of investments listed on any recognised stock exchange as long as you do not hold more than 5 % of the issued</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shares or other securities of any class of any one company; or (b) to any act undertaken by you with the prior written consent of the Board; or (c) to any interest permitted with the prior approval of the Board</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(such interest not to be unreasonably withheld) for you to serve from time to time and continue to serve on the boards of, and hold any other offices or positions in, companies or organisations which will not</w:t>
            </w:r>
          </w:p>
        </w:tc>
      </w:tr>
      <w:tr>
        <w:trPr>
          <w:trHeight w:val="41"/>
        </w:trPr>
        <w:tc>
          <w:tcPr>
            <w:tcW w:w="1180" w:type="dxa"/>
            <w:vAlign w:val="bottom"/>
          </w:tcPr>
          <w:p>
            <w:pPr>
              <w:ind w:left="80"/>
              <w:spacing w:after="0"/>
              <w:rPr>
                <w:sz w:val="20"/>
                <w:szCs w:val="20"/>
                <w:color w:val="auto"/>
              </w:rPr>
            </w:pPr>
            <w:r>
              <w:rPr>
                <w:rFonts w:ascii="Arial" w:cs="Arial" w:eastAsia="Arial" w:hAnsi="Arial"/>
                <w:sz w:val="3"/>
                <w:szCs w:val="3"/>
                <w:color w:val="FFFFFF"/>
              </w:rPr>
              <w:t>resent any conflict</w:t>
            </w:r>
          </w:p>
        </w:tc>
        <w:tc>
          <w:tcPr>
            <w:tcW w:w="7360" w:type="dxa"/>
            <w:vAlign w:val="bottom"/>
          </w:tcPr>
          <w:p>
            <w:pPr>
              <w:ind w:left="120"/>
              <w:spacing w:after="0"/>
              <w:rPr>
                <w:sz w:val="20"/>
                <w:szCs w:val="20"/>
                <w:color w:val="auto"/>
              </w:rPr>
            </w:pPr>
            <w:r>
              <w:rPr>
                <w:rFonts w:ascii="Arial" w:cs="Arial" w:eastAsia="Arial" w:hAnsi="Arial"/>
                <w:sz w:val="3"/>
                <w:szCs w:val="3"/>
                <w:color w:val="FFFFFF"/>
              </w:rPr>
              <w:t>nterest with Amarin or any Affiliate and provided that such activities do not materially detract from the performance of your duties;</w:t>
            </w:r>
          </w:p>
        </w:tc>
        <w:tc>
          <w:tcPr>
            <w:tcW w:w="2880" w:type="dxa"/>
            <w:vAlign w:val="bottom"/>
          </w:tcPr>
          <w:p>
            <w:pPr>
              <w:jc w:val="right"/>
              <w:ind w:right="323"/>
              <w:spacing w:after="0"/>
              <w:rPr>
                <w:sz w:val="20"/>
                <w:szCs w:val="20"/>
                <w:color w:val="auto"/>
              </w:rPr>
            </w:pPr>
            <w:r>
              <w:rPr>
                <w:rFonts w:ascii="Arial" w:cs="Arial" w:eastAsia="Arial" w:hAnsi="Arial"/>
                <w:sz w:val="3"/>
                <w:szCs w:val="3"/>
                <w:color w:val="FFFFFF"/>
              </w:rPr>
              <w:t>(d) to any not for profit volunteer activities, or</w:t>
            </w:r>
          </w:p>
        </w:tc>
      </w:tr>
      <w:tr>
        <w:trPr>
          <w:trHeight w:val="41"/>
        </w:trPr>
        <w:tc>
          <w:tcPr>
            <w:tcW w:w="11420" w:type="dxa"/>
            <w:vAlign w:val="bottom"/>
            <w:gridSpan w:val="3"/>
          </w:tcPr>
          <w:p>
            <w:pPr>
              <w:jc w:val="right"/>
              <w:ind w:right="3"/>
              <w:spacing w:after="0"/>
              <w:rPr>
                <w:sz w:val="20"/>
                <w:szCs w:val="20"/>
                <w:color w:val="auto"/>
              </w:rPr>
            </w:pPr>
            <w:r>
              <w:rPr>
                <w:rFonts w:ascii="Arial" w:cs="Arial" w:eastAsia="Arial" w:hAnsi="Arial"/>
                <w:sz w:val="3"/>
                <w:szCs w:val="3"/>
                <w:color w:val="FFFFFF"/>
              </w:rPr>
              <w:t>in professional associations, or continuing education in the health care and related areas, which do not unreasonably interfere with the performance of your duties. 15. General Indemnification If you</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participationaremadeparty, or are threatened to be made a party, to any action, suit or proceeding, whether civil, criminal, administrative or investigative, by reason of the fact that you are an officer or employee of Amarin</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or provided services to an Affiliate, you shall be indemnified and held harmless by Ainarin and the Affiliate to the fullest extent permitted or authorized by applicable law and its organizational documents,</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against all cost, expense, liability and loss reasonably incurred or suffered by you in connection therewith. You shall be covered under Amarin’s (or its Affiliate’s) directors’ and officers’ liability insurance policy</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to the extent the company provides such coverage for other similarly situated executives. This provision shall survive the termination of your employment relationship. 16. Share Dealings You shall comply fully</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with Amarin’s Share Dealing Code. 17. Section 409A It is intended that this Offer Letter will comply with Section 409A of the Internal Revenue Code of 1986,   amended (the “Code”) and any regulations and</w:t>
            </w:r>
          </w:p>
        </w:tc>
      </w:tr>
      <w:tr>
        <w:trPr>
          <w:trHeight w:val="41"/>
        </w:trPr>
        <w:tc>
          <w:tcPr>
            <w:tcW w:w="8540" w:type="dxa"/>
            <w:vAlign w:val="bottom"/>
            <w:gridSpan w:val="2"/>
          </w:tcPr>
          <w:p>
            <w:pPr>
              <w:spacing w:after="0"/>
              <w:rPr>
                <w:sz w:val="20"/>
                <w:szCs w:val="20"/>
                <w:color w:val="auto"/>
              </w:rPr>
            </w:pPr>
            <w:r>
              <w:rPr>
                <w:rFonts w:ascii="Arial" w:cs="Arial" w:eastAsia="Arial" w:hAnsi="Arial"/>
                <w:sz w:val="3"/>
                <w:szCs w:val="3"/>
                <w:color w:val="FFFFFF"/>
              </w:rPr>
              <w:t>guidelines promulgated thereunder (collectively, “Section 409A”), to the extent the Offer Letter is subject thereto, and the Offer Letter shall be interpreted on</w:t>
            </w:r>
          </w:p>
        </w:tc>
        <w:tc>
          <w:tcPr>
            <w:tcW w:w="2880" w:type="dxa"/>
            <w:vAlign w:val="bottom"/>
          </w:tcPr>
          <w:p>
            <w:pPr>
              <w:jc w:val="right"/>
              <w:ind w:right="3"/>
              <w:spacing w:after="0"/>
              <w:rPr>
                <w:sz w:val="20"/>
                <w:szCs w:val="20"/>
                <w:color w:val="auto"/>
              </w:rPr>
            </w:pPr>
            <w:r>
              <w:rPr>
                <w:rFonts w:ascii="Arial" w:cs="Arial" w:eastAsia="Arial" w:hAnsi="Arial"/>
                <w:sz w:val="3"/>
                <w:szCs w:val="3"/>
                <w:color w:val="FFFFFF"/>
              </w:rPr>
              <w:t>basis consistent with such intent, However, Amarin</w:t>
            </w:r>
          </w:p>
        </w:tc>
      </w:tr>
      <w:tr>
        <w:trPr>
          <w:trHeight w:val="0"/>
        </w:trPr>
        <w:tc>
          <w:tcPr>
            <w:tcW w:w="1180" w:type="dxa"/>
            <w:vAlign w:val="bottom"/>
          </w:tcPr>
          <w:p>
            <w:pPr>
              <w:spacing w:after="0" w:line="80" w:lineRule="exact"/>
              <w:rPr>
                <w:sz w:val="20"/>
                <w:szCs w:val="20"/>
                <w:color w:val="auto"/>
              </w:rPr>
            </w:pPr>
            <w:r>
              <w:rPr>
                <w:rFonts w:ascii="Arial" w:cs="Arial" w:eastAsia="Arial" w:hAnsi="Arial"/>
                <w:sz w:val="9"/>
                <w:szCs w:val="9"/>
                <w:color w:val="FFFFFF"/>
              </w:rPr>
              <w:t>shall not have any</w:t>
            </w:r>
          </w:p>
        </w:tc>
        <w:tc>
          <w:tcPr>
            <w:tcW w:w="10240" w:type="dxa"/>
            <w:vAlign w:val="bottom"/>
            <w:gridSpan w:val="2"/>
          </w:tcPr>
          <w:p>
            <w:pPr>
              <w:jc w:val="right"/>
              <w:spacing w:after="0" w:line="80" w:lineRule="exact"/>
              <w:rPr>
                <w:sz w:val="20"/>
                <w:szCs w:val="20"/>
                <w:color w:val="auto"/>
              </w:rPr>
            </w:pPr>
            <w:r>
              <w:rPr>
                <w:rFonts w:ascii="Arial" w:cs="Arial" w:eastAsia="Arial" w:hAnsi="Arial"/>
                <w:sz w:val="9"/>
                <w:szCs w:val="9"/>
                <w:color w:val="FFFFFF"/>
              </w:rPr>
              <w:t>to indemnify or otherwise protect you from the obligation to pay any taxes, interest or penalties pursuant to Section 409A. Notwithstanding any provision to the contrary in this Offer</w:t>
            </w:r>
          </w:p>
        </w:tc>
      </w:tr>
    </w:tbl>
    <w:p>
      <w:pPr>
        <w:ind w:right="240"/>
        <w:spacing w:after="0" w:line="187" w:lineRule="auto"/>
        <w:rPr>
          <w:sz w:val="20"/>
          <w:szCs w:val="20"/>
          <w:color w:val="auto"/>
        </w:rPr>
      </w:pPr>
      <w:r>
        <w:rPr>
          <w:rFonts w:ascii="Arial" w:cs="Arial" w:eastAsia="Arial" w:hAnsi="Arial"/>
          <w:sz w:val="9"/>
          <w:szCs w:val="9"/>
          <w:color w:val="FFFFFF"/>
        </w:rPr>
        <w:t>Letter, if you are deemedobligationthe date of your “separation from service” (within the meaning of Treas. Reg. Section 1 .409A-l(h)) with Amarin to be a “specified employee” (within the meaning of Treas. Reg. Section 1 .409A-l(i)), then with regard to any payment that is considered -7-</w:t>
      </w:r>
    </w:p>
    <w:p>
      <w:pPr>
        <w:sectPr>
          <w:pgSz w:w="11900" w:h="16838" w:orient="portrait"/>
          <w:cols w:equalWidth="0" w:num="1">
            <w:col w:w="11420"/>
          </w:cols>
          <w:pgMar w:left="240" w:top="1440" w:right="2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spacing w:after="0"/>
              <w:rPr>
                <w:sz w:val="20"/>
                <w:szCs w:val="20"/>
                <w:color w:val="auto"/>
              </w:rPr>
            </w:pPr>
            <w:r>
              <w:rPr>
                <w:rFonts w:ascii="Arial" w:cs="Arial" w:eastAsia="Arial" w:hAnsi="Arial"/>
                <w:sz w:val="14"/>
                <w:szCs w:val="14"/>
                <w:color w:val="FFFFFF"/>
                <w:w w:val="87"/>
              </w:rPr>
              <w:t>deferred compensation under Section 409A payable on account of a</w:t>
            </w:r>
          </w:p>
        </w:tc>
        <w:tc>
          <w:tcPr>
            <w:tcW w:w="7700" w:type="dxa"/>
            <w:vAlign w:val="bottom"/>
            <w:gridSpan w:val="6"/>
          </w:tcPr>
          <w:p>
            <w:pPr>
              <w:jc w:val="right"/>
              <w:ind w:right="503"/>
              <w:spacing w:after="0"/>
              <w:rPr>
                <w:sz w:val="20"/>
                <w:szCs w:val="20"/>
                <w:color w:val="auto"/>
              </w:rPr>
            </w:pPr>
            <w:r>
              <w:rPr>
                <w:rFonts w:ascii="Arial" w:cs="Arial" w:eastAsia="Arial" w:hAnsi="Arial"/>
                <w:sz w:val="14"/>
                <w:szCs w:val="14"/>
                <w:color w:val="FFFFFF"/>
                <w:w w:val="96"/>
              </w:rPr>
              <w:t>from service” that is required to be delayed pursuant to Section 409A(a)(2)(B) of the Code (after taking into account any</w:t>
            </w:r>
          </w:p>
        </w:tc>
      </w:tr>
      <w:tr>
        <w:trPr>
          <w:trHeight w:val="41"/>
        </w:trPr>
        <w:tc>
          <w:tcPr>
            <w:tcW w:w="9020" w:type="dxa"/>
            <w:vAlign w:val="bottom"/>
            <w:gridSpan w:val="5"/>
          </w:tcPr>
          <w:p>
            <w:pPr>
              <w:spacing w:after="0"/>
              <w:rPr>
                <w:sz w:val="20"/>
                <w:szCs w:val="20"/>
                <w:color w:val="auto"/>
              </w:rPr>
            </w:pPr>
            <w:r>
              <w:rPr>
                <w:rFonts w:ascii="Arial" w:cs="Arial" w:eastAsia="Arial" w:hAnsi="Arial"/>
                <w:sz w:val="3"/>
                <w:szCs w:val="3"/>
                <w:color w:val="FFFFFF"/>
              </w:rPr>
              <w:t>applicable exceptions to such requirement), such payment shall be made“separationthedate that is the earlier of (i) the expiration of the six (6)-month period measured from</w:t>
            </w:r>
          </w:p>
        </w:tc>
        <w:tc>
          <w:tcPr>
            <w:tcW w:w="1120" w:type="dxa"/>
            <w:vAlign w:val="bottom"/>
            <w:gridSpan w:val="2"/>
          </w:tcPr>
          <w:p>
            <w:pPr>
              <w:ind w:left="120"/>
              <w:spacing w:after="0"/>
              <w:rPr>
                <w:sz w:val="20"/>
                <w:szCs w:val="20"/>
                <w:color w:val="auto"/>
              </w:rPr>
            </w:pPr>
            <w:r>
              <w:rPr>
                <w:rFonts w:ascii="Arial" w:cs="Arial" w:eastAsia="Arial" w:hAnsi="Arial"/>
                <w:sz w:val="3"/>
                <w:szCs w:val="3"/>
                <w:color w:val="FFFFFF"/>
              </w:rPr>
              <w:t>date of your</w:t>
            </w:r>
          </w:p>
        </w:tc>
        <w:tc>
          <w:tcPr>
            <w:tcW w:w="1260" w:type="dxa"/>
            <w:vAlign w:val="bottom"/>
          </w:tcPr>
          <w:p>
            <w:pPr>
              <w:jc w:val="right"/>
              <w:spacing w:after="0"/>
              <w:rPr>
                <w:sz w:val="20"/>
                <w:szCs w:val="20"/>
                <w:color w:val="auto"/>
              </w:rPr>
            </w:pPr>
            <w:r>
              <w:rPr>
                <w:rFonts w:ascii="Arial" w:cs="Arial" w:eastAsia="Arial" w:hAnsi="Arial"/>
                <w:sz w:val="3"/>
                <w:szCs w:val="3"/>
                <w:color w:val="FFFFFF"/>
              </w:rPr>
              <w:t>from service,” or</w:t>
            </w:r>
          </w:p>
        </w:tc>
      </w:tr>
      <w:tr>
        <w:trPr>
          <w:trHeight w:val="41"/>
        </w:trPr>
        <w:tc>
          <w:tcPr>
            <w:tcW w:w="3700" w:type="dxa"/>
            <w:vAlign w:val="bottom"/>
            <w:gridSpan w:val="2"/>
          </w:tcPr>
          <w:p>
            <w:pPr>
              <w:spacing w:after="0"/>
              <w:rPr>
                <w:sz w:val="20"/>
                <w:szCs w:val="20"/>
                <w:color w:val="auto"/>
              </w:rPr>
            </w:pPr>
            <w:r>
              <w:rPr>
                <w:rFonts w:ascii="Arial" w:cs="Arial" w:eastAsia="Arial" w:hAnsi="Arial"/>
                <w:sz w:val="3"/>
                <w:szCs w:val="3"/>
                <w:color w:val="FFFFFF"/>
              </w:rPr>
              <w:t>(ii) the date of your death (the “Delay Period”). Upon the</w:t>
            </w:r>
          </w:p>
        </w:tc>
        <w:tc>
          <w:tcPr>
            <w:tcW w:w="5320" w:type="dxa"/>
            <w:vAlign w:val="bottom"/>
            <w:gridSpan w:val="3"/>
          </w:tcPr>
          <w:p>
            <w:pPr>
              <w:ind w:left="20"/>
              <w:spacing w:after="0"/>
              <w:rPr>
                <w:sz w:val="20"/>
                <w:szCs w:val="20"/>
                <w:color w:val="auto"/>
              </w:rPr>
            </w:pPr>
            <w:r>
              <w:rPr>
                <w:rFonts w:ascii="Arial" w:cs="Arial" w:eastAsia="Arial" w:hAnsi="Arial"/>
                <w:sz w:val="3"/>
                <w:szCs w:val="3"/>
                <w:color w:val="FFFFFF"/>
              </w:rPr>
              <w:t>of the Delay Period, all payments delayed pursuant to this Section 17 (whether they would have</w:t>
            </w:r>
          </w:p>
        </w:tc>
        <w:tc>
          <w:tcPr>
            <w:tcW w:w="440" w:type="dxa"/>
            <w:vAlign w:val="bottom"/>
          </w:tcPr>
          <w:p>
            <w:pPr>
              <w:spacing w:after="0"/>
              <w:rPr>
                <w:sz w:val="3"/>
                <w:szCs w:val="3"/>
                <w:color w:val="auto"/>
              </w:rPr>
            </w:pPr>
          </w:p>
        </w:tc>
        <w:tc>
          <w:tcPr>
            <w:tcW w:w="1940" w:type="dxa"/>
            <w:vAlign w:val="bottom"/>
            <w:gridSpan w:val="2"/>
          </w:tcPr>
          <w:p>
            <w:pPr>
              <w:jc w:val="right"/>
              <w:ind w:right="63"/>
              <w:spacing w:after="0"/>
              <w:rPr>
                <w:sz w:val="20"/>
                <w:szCs w:val="20"/>
                <w:color w:val="auto"/>
              </w:rPr>
            </w:pPr>
            <w:r>
              <w:rPr>
                <w:rFonts w:ascii="Arial" w:cs="Arial" w:eastAsia="Arial" w:hAnsi="Arial"/>
                <w:sz w:val="3"/>
                <w:szCs w:val="3"/>
                <w:color w:val="FFFFFF"/>
              </w:rPr>
              <w:t>been payable“separationin single sum or in</w:t>
            </w:r>
          </w:p>
        </w:tc>
      </w:tr>
      <w:tr>
        <w:trPr>
          <w:trHeight w:val="41"/>
        </w:trPr>
        <w:tc>
          <w:tcPr>
            <w:tcW w:w="9460" w:type="dxa"/>
            <w:vAlign w:val="bottom"/>
            <w:gridSpan w:val="6"/>
          </w:tcPr>
          <w:p>
            <w:pPr>
              <w:spacing w:after="0"/>
              <w:rPr>
                <w:sz w:val="20"/>
                <w:szCs w:val="20"/>
                <w:color w:val="auto"/>
              </w:rPr>
            </w:pPr>
            <w:r>
              <w:rPr>
                <w:rFonts w:ascii="Arial" w:cs="Arial" w:eastAsia="Arial" w:hAnsi="Arial"/>
                <w:sz w:val="3"/>
                <w:szCs w:val="3"/>
                <w:color w:val="FFFFFF"/>
              </w:rPr>
              <w:t>installments   the ab ence of such delay) shall be paid to expirationyouinlump sum and any remaining payments due under this Offer Letter shall be paid in accordance withotherwise</w:t>
            </w:r>
          </w:p>
        </w:tc>
        <w:tc>
          <w:tcPr>
            <w:tcW w:w="1940" w:type="dxa"/>
            <w:vAlign w:val="bottom"/>
            <w:gridSpan w:val="2"/>
          </w:tcPr>
          <w:p>
            <w:pPr>
              <w:jc w:val="right"/>
              <w:ind w:right="263"/>
              <w:spacing w:after="0"/>
              <w:rPr>
                <w:sz w:val="20"/>
                <w:szCs w:val="20"/>
                <w:color w:val="auto"/>
              </w:rPr>
            </w:pPr>
            <w:r>
              <w:rPr>
                <w:rFonts w:ascii="Arial" w:cs="Arial" w:eastAsia="Arial" w:hAnsi="Arial"/>
                <w:sz w:val="3"/>
                <w:szCs w:val="3"/>
                <w:color w:val="FFFFFF"/>
              </w:rPr>
              <w:t>payment dates specified for</w:t>
            </w:r>
          </w:p>
        </w:tc>
      </w:tr>
      <w:tr>
        <w:trPr>
          <w:trHeight w:val="41"/>
        </w:trPr>
        <w:tc>
          <w:tcPr>
            <w:tcW w:w="11400" w:type="dxa"/>
            <w:vAlign w:val="bottom"/>
            <w:gridSpan w:val="8"/>
          </w:tcPr>
          <w:p>
            <w:pPr>
              <w:ind w:left="40"/>
              <w:spacing w:after="0"/>
              <w:rPr>
                <w:sz w:val="20"/>
                <w:szCs w:val="20"/>
                <w:color w:val="auto"/>
              </w:rPr>
            </w:pPr>
            <w:r>
              <w:rPr>
                <w:rFonts w:ascii="Arial" w:cs="Arial" w:eastAsia="Arial" w:hAnsi="Arial"/>
                <w:sz w:val="3"/>
                <w:szCs w:val="3"/>
                <w:color w:val="FFFFFF"/>
              </w:rPr>
              <w:t>hem herein. Notwithstanding any provision of this Offer Letter to the contrary, for purposes of any provision of this Offer Letter providing for the payment of any amountsnormalbenefits upon or following a</w:t>
            </w:r>
          </w:p>
        </w:tc>
      </w:tr>
      <w:tr>
        <w:trPr>
          <w:trHeight w:val="41"/>
        </w:trPr>
        <w:tc>
          <w:tcPr>
            <w:tcW w:w="4720" w:type="dxa"/>
            <w:vAlign w:val="bottom"/>
            <w:gridSpan w:val="3"/>
          </w:tcPr>
          <w:p>
            <w:pPr>
              <w:ind w:left="660"/>
              <w:spacing w:after="0"/>
              <w:rPr>
                <w:sz w:val="20"/>
                <w:szCs w:val="20"/>
                <w:color w:val="auto"/>
              </w:rPr>
            </w:pPr>
            <w:r>
              <w:rPr>
                <w:rFonts w:ascii="Arial" w:cs="Arial" w:eastAsia="Arial" w:hAnsi="Arial"/>
                <w:sz w:val="3"/>
                <w:szCs w:val="3"/>
                <w:color w:val="FFFFFF"/>
              </w:rPr>
              <w:t>of employment, references to your “termination of employment” (and</w:t>
            </w:r>
          </w:p>
        </w:tc>
        <w:tc>
          <w:tcPr>
            <w:tcW w:w="6680" w:type="dxa"/>
            <w:vAlign w:val="bottom"/>
            <w:gridSpan w:val="5"/>
          </w:tcPr>
          <w:p>
            <w:pPr>
              <w:jc w:val="right"/>
              <w:ind w:right="143"/>
              <w:spacing w:after="0"/>
              <w:rPr>
                <w:sz w:val="20"/>
                <w:szCs w:val="20"/>
                <w:color w:val="auto"/>
              </w:rPr>
            </w:pPr>
            <w:r>
              <w:rPr>
                <w:rFonts w:ascii="Arial" w:cs="Arial" w:eastAsia="Arial" w:hAnsi="Arial"/>
                <w:sz w:val="3"/>
                <w:szCs w:val="3"/>
                <w:color w:val="FFFFFF"/>
              </w:rPr>
              <w:t>terms) with Amarin shall be construed to refer to your “separation from service” (within the meaning of Treas. Reg.</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terminationSecti.409A-l(h)) with Amarin. Whenever a payment under this Offer Letter specifiescorollarypayment period with reference to a number of days “payment shall be made within thirty (30) days after termination of</w:t>
            </w:r>
          </w:p>
        </w:tc>
      </w:tr>
      <w:tr>
        <w:trPr>
          <w:trHeight w:val="41"/>
        </w:trPr>
        <w:tc>
          <w:tcPr>
            <w:tcW w:w="2040" w:type="dxa"/>
            <w:vAlign w:val="bottom"/>
          </w:tcPr>
          <w:p>
            <w:pPr>
              <w:spacing w:after="0"/>
              <w:rPr>
                <w:sz w:val="20"/>
                <w:szCs w:val="20"/>
                <w:color w:val="auto"/>
              </w:rPr>
            </w:pPr>
            <w:r>
              <w:rPr>
                <w:rFonts w:ascii="Arial" w:cs="Arial" w:eastAsia="Arial" w:hAnsi="Arial"/>
                <w:sz w:val="3"/>
                <w:szCs w:val="3"/>
                <w:color w:val="FFFFFF"/>
              </w:rPr>
              <w:t>employment”), the actual date of</w:t>
            </w:r>
          </w:p>
        </w:tc>
        <w:tc>
          <w:tcPr>
            <w:tcW w:w="9360" w:type="dxa"/>
            <w:vAlign w:val="bottom"/>
            <w:gridSpan w:val="7"/>
          </w:tcPr>
          <w:p>
            <w:pPr>
              <w:jc w:val="right"/>
              <w:ind w:right="523"/>
              <w:spacing w:after="0"/>
              <w:rPr>
                <w:sz w:val="20"/>
                <w:szCs w:val="20"/>
                <w:color w:val="auto"/>
              </w:rPr>
            </w:pPr>
            <w:r>
              <w:rPr>
                <w:rFonts w:ascii="Arial" w:cs="Arial" w:eastAsia="Arial" w:hAnsi="Arial"/>
                <w:sz w:val="3"/>
                <w:szCs w:val="3"/>
                <w:color w:val="FFFFFF"/>
              </w:rPr>
              <w:t>within the specified period shall be within the sole discretion of Amarin. Whenever payments under this Offer Letter are to be made in installments, each such</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installments shall be deemed to bepaymentseparate pa ment for purposes of Section 409k 18. No Conflict You represent and warrant to Amarin that (a) your employment with Amarin does not and will not conflict</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with, breach, violate or cause  def ult under any contract, agreement, instrument, order, judgment or decree to which you are  party. 19. Conditions of offer This offer of employment is conditional upon: (a)</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receipt by the Amarin   two satisfactory employment references, one of which must be given by your current employer. Please provide names and addresses of two referees, who may be contacted immediately;</w:t>
            </w:r>
          </w:p>
        </w:tc>
      </w:tr>
      <w:tr>
        <w:trPr>
          <w:trHeight w:val="0"/>
        </w:trPr>
        <w:tc>
          <w:tcPr>
            <w:tcW w:w="8540" w:type="dxa"/>
            <w:vAlign w:val="bottom"/>
            <w:gridSpan w:val="4"/>
          </w:tcPr>
          <w:p>
            <w:pPr>
              <w:spacing w:after="0" w:line="80" w:lineRule="exact"/>
              <w:rPr>
                <w:sz w:val="20"/>
                <w:szCs w:val="20"/>
                <w:color w:val="auto"/>
              </w:rPr>
            </w:pPr>
            <w:r>
              <w:rPr>
                <w:rFonts w:ascii="Arial" w:cs="Arial" w:eastAsia="Arial" w:hAnsi="Arial"/>
                <w:sz w:val="9"/>
                <w:szCs w:val="9"/>
                <w:color w:val="FFFFFF"/>
              </w:rPr>
              <w:t>(b) receipt of original professiGnal and educational qualifications (where requested); (c) all pre-employment checks being acceptable to the Amarin and</w:t>
            </w:r>
          </w:p>
        </w:tc>
        <w:tc>
          <w:tcPr>
            <w:tcW w:w="2860" w:type="dxa"/>
            <w:vAlign w:val="bottom"/>
            <w:gridSpan w:val="4"/>
          </w:tcPr>
          <w:p>
            <w:pPr>
              <w:jc w:val="right"/>
              <w:spacing w:after="0" w:line="80" w:lineRule="exact"/>
              <w:rPr>
                <w:sz w:val="20"/>
                <w:szCs w:val="20"/>
                <w:color w:val="auto"/>
              </w:rPr>
            </w:pPr>
            <w:r>
              <w:rPr>
                <w:rFonts w:ascii="Arial" w:cs="Arial" w:eastAsia="Arial" w:hAnsi="Arial"/>
                <w:sz w:val="9"/>
                <w:szCs w:val="9"/>
                <w:color w:val="FFFFFF"/>
              </w:rPr>
              <w:t>no later than August 15, 2008. If you choose to</w:t>
            </w:r>
          </w:p>
        </w:tc>
      </w:tr>
    </w:tbl>
    <w:p>
      <w:pPr>
        <w:ind w:right="100"/>
        <w:spacing w:after="0"/>
        <w:rPr>
          <w:sz w:val="20"/>
          <w:szCs w:val="20"/>
          <w:color w:val="auto"/>
        </w:rPr>
      </w:pPr>
      <w:r>
        <w:rPr>
          <w:rFonts w:ascii="Arial" w:cs="Arial" w:eastAsia="Arial" w:hAnsi="Arial"/>
          <w:sz w:val="10"/>
          <w:szCs w:val="10"/>
          <w:color w:val="FFFFFF"/>
        </w:rPr>
        <w:t>accept the offer on the above terms and conditions, please sign and return the copy of this Offer Letter to the General Counsel of Amarin Corporation plc,completedTMaher at Amarin, First Floor, Block 3, The Oval, Shelbourne Road, Ballsbridge, Dublin 4.</w:t>
      </w:r>
    </w:p>
    <w:p>
      <w:pPr>
        <w:sectPr>
          <w:pgSz w:w="11900" w:h="16838" w:orient="portrait"/>
          <w:cols w:equalWidth="0" w:num="1">
            <w:col w:w="11400"/>
          </w:cols>
          <w:pgMar w:left="240" w:top="1440" w:right="25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color w:val="FFFFFF"/>
        </w:rPr>
        <w:t>We look forward to you joining our company and I am sure you will have a successful and challenging career with Amarin. -9-</w:t>
      </w:r>
    </w:p>
    <w:p>
      <w:pPr>
        <w:sectPr>
          <w:pgSz w:w="11900" w:h="16838" w:orient="portrait"/>
          <w:cols w:equalWidth="0" w:num="1">
            <w:col w:w="10219"/>
          </w:cols>
          <w:pgMar w:left="24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color w:val="FFFFFF"/>
        </w:rPr>
        <w:t>DeclanSigned forDooganandon behalf of: AMARIN PHARMA, Inc. Name: I hereby accept and agree to be bound by the terms and conditions of the Offer Letter set out above. Signed: Name Paresh Soni, M.D., Ph.D. Dated:</w:t>
      </w:r>
    </w:p>
    <w:p>
      <w:pPr>
        <w:sectPr>
          <w:pgSz w:w="11900" w:h="16838" w:orient="portrait"/>
          <w:cols w:equalWidth="0" w:num="1">
            <w:col w:w="11400"/>
          </w:cols>
          <w:pgMar w:left="240" w:top="1440" w:right="2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BRIDGE LOAN AGREEMENT AND NOTES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AMENDMENT NO. 1 TO BRIDGE LOAN AGREEMENT AND NOTES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September 30, 2009, by and among Amarin Corporation plc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Lenders party hereto.</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WHEREAS, pursuant to that certain Bridge Loan Agreement, dated as of July 31, 2009, among the Company and the Lenders party thereto (the “</w:t>
      </w:r>
      <w:r>
        <w:rPr>
          <w:rFonts w:ascii="Arial" w:cs="Arial" w:eastAsia="Arial" w:hAnsi="Arial"/>
          <w:sz w:val="18"/>
          <w:szCs w:val="18"/>
          <w:u w:val="single" w:color="auto"/>
          <w:color w:val="auto"/>
        </w:rPr>
        <w:t>Bridge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Company issued Notes as of July 31, 2009 to the Lenders (the “</w:t>
      </w:r>
      <w:r>
        <w:rPr>
          <w:rFonts w:ascii="Arial" w:cs="Arial" w:eastAsia="Arial" w:hAnsi="Arial"/>
          <w:sz w:val="18"/>
          <w:szCs w:val="18"/>
          <w:u w:val="single" w:color="auto"/>
          <w:color w:val="auto"/>
        </w:rPr>
        <w:t>Notes</w:t>
      </w:r>
      <w:r>
        <w:rPr>
          <w:rFonts w:ascii="Arial" w:cs="Arial" w:eastAsia="Arial" w:hAnsi="Arial"/>
          <w:sz w:val="18"/>
          <w:szCs w:val="18"/>
          <w:color w:val="auto"/>
        </w:rPr>
        <w:t>”; undefined capitalized terms used herein, shall have the meanings ascribed thereto in the Notes or the Bridge Agreement, as applicable);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Company and the Lenders party hereto, who constitute the Required Lenders, have agreed, subject to the terms and conditions hereinafter set forth, to amend certain provisions of the Bridge Agreement and the Notes as set forth below;</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7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 to Bridge Agreement and Notes</w:t>
      </w:r>
      <w:r>
        <w:rPr>
          <w:rFonts w:ascii="Arial" w:cs="Arial" w:eastAsia="Arial" w:hAnsi="Arial"/>
          <w:sz w:val="18"/>
          <w:szCs w:val="18"/>
          <w:b w:val="1"/>
          <w:bCs w:val="1"/>
          <w:color w:val="auto"/>
        </w:rPr>
        <w:t xml:space="preserve">. </w:t>
      </w:r>
      <w:r>
        <w:rPr>
          <w:rFonts w:ascii="Arial" w:cs="Arial" w:eastAsia="Arial" w:hAnsi="Arial"/>
          <w:sz w:val="18"/>
          <w:szCs w:val="18"/>
          <w:color w:val="auto"/>
        </w:rPr>
        <w:t>The definition of “Term Date” in the Notes is amended by replacing it in its entirety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Date</w:t>
      </w:r>
      <w:r>
        <w:rPr>
          <w:rFonts w:ascii="Arial" w:cs="Arial" w:eastAsia="Arial" w:hAnsi="Arial"/>
          <w:sz w:val="18"/>
          <w:szCs w:val="18"/>
          <w:color w:val="auto"/>
        </w:rPr>
        <w:t>” means October 16,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represents and warrants to the Lenders as of the date hereof:</w:t>
      </w:r>
    </w:p>
    <w:p>
      <w:pPr>
        <w:spacing w:after="0" w:line="177" w:lineRule="exact"/>
        <w:rPr>
          <w:sz w:val="20"/>
          <w:szCs w:val="20"/>
          <w:color w:val="auto"/>
        </w:rPr>
      </w:pPr>
    </w:p>
    <w:p>
      <w:pPr>
        <w:ind w:right="620" w:firstLine="464"/>
        <w:spacing w:after="0" w:line="332"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It is duly organized, validly existing and in good standing under the laws of England and Wales and is duly qualified and in good standing to do business in each jurisdiction where, because of the nature of its activities or properties, such qualification is required.</w:t>
      </w:r>
    </w:p>
    <w:p>
      <w:pPr>
        <w:spacing w:after="0" w:line="85" w:lineRule="exact"/>
        <w:rPr>
          <w:rFonts w:ascii="Arial" w:cs="Arial" w:eastAsia="Arial" w:hAnsi="Arial"/>
          <w:sz w:val="16"/>
          <w:szCs w:val="16"/>
          <w:color w:val="auto"/>
        </w:rPr>
      </w:pPr>
    </w:p>
    <w:p>
      <w:pPr>
        <w:jc w:val="both"/>
        <w:ind w:right="140" w:firstLine="464"/>
        <w:spacing w:after="0" w:line="256"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execution and delivery of this Amendment is all within its corporate powers, has been duly authorized by all necessary action, has, or by the time of its execution and delivery shall have, received any necessary governmental or regulatory approval, and does not and will not contravene or conflict with any provision of (i) law, rule, regulation or ordinance, (ii) its certificate of incorporation or by-laws; or (iii) any agreement binding upon it or any of its properties, as the case may be.</w:t>
      </w:r>
    </w:p>
    <w:p>
      <w:pPr>
        <w:spacing w:after="0" w:line="143" w:lineRule="exact"/>
        <w:rPr>
          <w:rFonts w:ascii="Arial" w:cs="Arial" w:eastAsia="Arial" w:hAnsi="Arial"/>
          <w:sz w:val="18"/>
          <w:szCs w:val="18"/>
          <w:color w:val="auto"/>
        </w:rPr>
      </w:pPr>
    </w:p>
    <w:p>
      <w:pPr>
        <w:ind w:right="220" w:firstLine="464"/>
        <w:spacing w:after="0" w:line="256"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Amendment executed by the Company is the legal, valid and binding obligation of the Company, enforceable against it, in accordance with its respective terms, except as limited by applicable bankruptcy, insolvency, reorganization, moratorium, fraudulent conveyance, and any other laws of general application affecting enforcement of creditors’ rights generally, and as limited by laws relating to the availability of a specific performance, injunctive relief, or other equitable remedies.</w:t>
      </w:r>
    </w:p>
    <w:p>
      <w:pPr>
        <w:spacing w:after="0" w:line="143"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a sufficient number of Ordinary Shares duly authorized and reserved for issuance upon conversion of the Notes and exercise of the Warrants. The Ordinary</w:t>
      </w:r>
    </w:p>
    <w:p>
      <w:pPr>
        <w:sectPr>
          <w:pgSz w:w="11900" w:h="16838" w:orient="portrait"/>
          <w:cols w:equalWidth="0" w:num="1">
            <w:col w:w="11420"/>
          </w:cols>
          <w:pgMar w:left="240" w:top="125" w:right="239" w:bottom="1440" w:gutter="0" w:footer="0" w:header="0"/>
        </w:sectPr>
      </w:pPr>
    </w:p>
    <w:bookmarkStart w:id="98" w:name="page99"/>
    <w:bookmarkEnd w:id="98"/>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issued upon conversion of the Notes and exercise of the Warrants in accordance with the terms thereof will be validly issued, fully paid and nonassessable and free from all taxes or liens created by the Company, with the holders being entitled to all rights accorded to the holders of the Company’s Ordinary Shares.</w:t>
      </w:r>
    </w:p>
    <w:p>
      <w:pPr>
        <w:spacing w:after="0" w:line="5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and by different parties hereto on separate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when so executed and delivered shall be deemed to be an original, but all of which when taken together shall constitute a single instrument. Delivery of an executed counterpart of a signature page of this Amendment by facsimile transmission or by email in Adobe “.pdf’ format shall be effective as delivery of a manually executed counterpart hereof.</w:t>
      </w:r>
    </w:p>
    <w:p>
      <w:pPr>
        <w:spacing w:after="0" w:line="13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Governing Law; Jurisdition; Waiver of Jury Trial; Service of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IN ACCORDANCE WITH THE LAWS OF THE STATE OF NEW YORK, WITHOUT REGARD TO CONFLICT-OF-LAW PROVISIONS. IN CONNECTION WITH THE ADJUDICATION OF ANY DISPUTES RELATING TO THIS AMENDMENT, EACH PARTY HEREBY IRREVOCABLY</w:t>
      </w:r>
    </w:p>
    <w:p>
      <w:pPr>
        <w:spacing w:after="0" w:line="1" w:lineRule="exact"/>
        <w:rPr>
          <w:sz w:val="20"/>
          <w:szCs w:val="20"/>
          <w:color w:val="auto"/>
        </w:rPr>
      </w:pPr>
    </w:p>
    <w:p>
      <w:pPr>
        <w:ind w:firstLine="8"/>
        <w:spacing w:after="0" w:line="281" w:lineRule="auto"/>
        <w:tabs>
          <w:tab w:leader="none" w:pos="2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SUBMITS TO THE EXCLUSIVE JURISDICTION OF THE STATE AND FEDERAL COURTS SITTING IN NEW YORK, NEW YORK, BOROUGH OF MANHATTAN; PROVIDED, THAT EACH PARTY SUBMITS TO THE JURISDICTION OF ANY OTHER COURT IN WHICH A CLAIM RELATING TO THIS AMENDMENT IS VALIDLY BROUGHT BY ANY THIRD PARTY AGAINST THE OTHER PARTY; (B) WAIVES, AND AGREES NOT TO ASSERT,</w:t>
      </w:r>
    </w:p>
    <w:p>
      <w:pPr>
        <w:spacing w:after="0" w:line="2"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(1) ANY CLAIM THAT IT IS NOT SUBJECT TO THE JURISDICTION OF, OR ANY OBJECTION TO THE LAYING OF VENUE IN, ANY SUCH COURT OR THAT SUCH ACTION HAS BEEN COMMENCED IN AN IMPROPER OR INCONVENIENT FORUM AND (2) ANY RIGHT IT MAY HAVE TO TRIAL BY JURY; AND (C) AGREES THAT SERVICE OF ANY PROCESS, SUMMONS, NOTICE OR DOCUMENT BY U.S. REGISTERED MAIL TO SUCH PARTY’S ADDRESS AS PROVIDED HEREIN SHALL BE EFFECTIVE WITH RESPECT TO ANY MATTER FOR WHICH IT HAS SUBMITTED TO JURISDICTION HEREBY. A JUDGMENT IN ANY SUCH ACTION MAY BE ENFORCED IN ANY OTHER COURTS TO WHOSE JURISDICTION THE APPLICABLE PARTY MAY BE SUBJECT. EACH PARTY (X) CERTIFIES THAT NO AGENT OF ANY PARTY HAS REPRESENTED, EXPRESSLY OR OTHERWISE, THAT SUCH OTHER PARTY WOULD NOT, IN THE EVENT OF LITIGATION, SEEK TO ENFORCE THE FOREGOING WAIVER AND (Y) ACKNOWLEDGES THAT IT AND EACH OTHER PARTY HAS BEEN INDUCED TO ENTER INTO THE AMENDMENT CONTEMPLATED HEREBY BY, AMONG OTHER THINGS, THE MUTUAL WAIVERS, AGREEMENTS AND CERTIFICATIONS IN THIS SECTION.</w:t>
      </w:r>
    </w:p>
    <w:p>
      <w:pPr>
        <w:spacing w:after="0" w:line="114"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Captions contained in this Agreement are inserted only as a matter of convenience and in no way define, limit or extend the scope or</w:t>
      </w:r>
      <w:r>
        <w:rPr>
          <w:rFonts w:ascii="Arial" w:cs="Arial" w:eastAsia="Arial" w:hAnsi="Arial"/>
          <w:sz w:val="18"/>
          <w:szCs w:val="18"/>
          <w:b w:val="1"/>
          <w:bCs w:val="1"/>
          <w:color w:val="auto"/>
        </w:rPr>
        <w:t xml:space="preserve"> </w:t>
      </w:r>
      <w:r>
        <w:rPr>
          <w:rFonts w:ascii="Arial" w:cs="Arial" w:eastAsia="Arial" w:hAnsi="Arial"/>
          <w:sz w:val="18"/>
          <w:szCs w:val="18"/>
          <w:color w:val="auto"/>
        </w:rPr>
        <w:t>intent of this Agreement or any provision of this Agreement and shall not affect the construction of this Agreement.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9" w:name="page100"/>
    <w:bookmarkEnd w:id="9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as of the date first above written.</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AMARIN CORPORATION PLC,</w:t>
      </w:r>
    </w:p>
    <w:p>
      <w:pPr>
        <w:spacing w:after="0" w:line="22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Cooke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Alan Cooke</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COO</w:t>
      </w:r>
    </w:p>
    <w:p>
      <w:pPr>
        <w:sectPr>
          <w:pgSz w:w="11900" w:h="16838" w:orient="portrait"/>
          <w:cols w:equalWidth="0" w:num="1">
            <w:col w:w="9759"/>
          </w:cols>
          <w:pgMar w:left="700" w:top="280" w:right="1440" w:bottom="1440" w:gutter="0" w:footer="0" w:header="0"/>
        </w:sectPr>
      </w:pPr>
    </w:p>
    <w:bookmarkStart w:id="100" w:name="page101"/>
    <w:bookmarkEnd w:id="100"/>
    <w:tbl>
      <w:tblPr>
        <w:tblLayout w:type="fixed"/>
        <w:tblInd w:w="5660" w:type="dxa"/>
        <w:tblCellMar>
          <w:top w:w="0" w:type="dxa"/>
          <w:left w:w="0" w:type="dxa"/>
          <w:bottom w:w="0" w:type="dxa"/>
          <w:right w:w="0" w:type="dxa"/>
        </w:tblCellMar>
      </w:tblPr>
      <w:tr>
        <w:trPr>
          <w:trHeight w:val="222"/>
        </w:trPr>
        <w:tc>
          <w:tcPr>
            <w:tcW w:w="2580" w:type="dxa"/>
            <w:vAlign w:val="bottom"/>
            <w:gridSpan w:val="2"/>
          </w:tcPr>
          <w:p>
            <w:pPr>
              <w:spacing w:after="0"/>
              <w:rPr>
                <w:sz w:val="20"/>
                <w:szCs w:val="20"/>
                <w:color w:val="auto"/>
              </w:rPr>
            </w:pPr>
            <w:r>
              <w:rPr>
                <w:rFonts w:ascii="Arial" w:cs="Arial" w:eastAsia="Arial" w:hAnsi="Arial"/>
                <w:sz w:val="18"/>
                <w:szCs w:val="18"/>
                <w:color w:val="auto"/>
              </w:rPr>
              <w:t>LENDERS:</w:t>
            </w:r>
          </w:p>
        </w:tc>
        <w:tc>
          <w:tcPr>
            <w:tcW w:w="1980" w:type="dxa"/>
            <w:vAlign w:val="bottom"/>
          </w:tcPr>
          <w:p>
            <w:pPr>
              <w:spacing w:after="0"/>
              <w:rPr>
                <w:sz w:val="19"/>
                <w:szCs w:val="19"/>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SUNNINGHILL LIMITED</w:t>
            </w:r>
          </w:p>
        </w:tc>
        <w:tc>
          <w:tcPr>
            <w:tcW w:w="198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Alan Cooke</w:t>
            </w:r>
          </w:p>
        </w:tc>
        <w:tc>
          <w:tcPr>
            <w:tcW w:w="19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SJ Kleis</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2120" w:type="dxa"/>
            <w:vAlign w:val="bottom"/>
          </w:tcPr>
          <w:p>
            <w:pPr>
              <w:ind w:left="140"/>
              <w:spacing w:after="0" w:line="203" w:lineRule="exact"/>
              <w:rPr>
                <w:sz w:val="20"/>
                <w:szCs w:val="20"/>
                <w:color w:val="auto"/>
              </w:rPr>
            </w:pPr>
            <w:r>
              <w:rPr>
                <w:rFonts w:ascii="Arial" w:cs="Arial" w:eastAsia="Arial" w:hAnsi="Arial"/>
                <w:sz w:val="18"/>
                <w:szCs w:val="18"/>
                <w:color w:val="auto"/>
              </w:rPr>
              <w:t>C. Le Masurier 30.9.09</w:t>
            </w:r>
          </w:p>
        </w:tc>
        <w:tc>
          <w:tcPr>
            <w:tcW w:w="1980" w:type="dxa"/>
            <w:vAlign w:val="bottom"/>
          </w:tcPr>
          <w:p>
            <w:pPr>
              <w:ind w:left="300"/>
              <w:spacing w:after="0" w:line="203" w:lineRule="exact"/>
              <w:rPr>
                <w:sz w:val="20"/>
                <w:szCs w:val="20"/>
                <w:color w:val="auto"/>
              </w:rPr>
            </w:pPr>
            <w:r>
              <w:rPr>
                <w:rFonts w:ascii="Arial" w:cs="Arial" w:eastAsia="Arial" w:hAnsi="Arial"/>
                <w:sz w:val="18"/>
                <w:szCs w:val="18"/>
                <w:color w:val="auto"/>
              </w:rPr>
              <w:t>SJ Kleis 30.9.09</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1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300"/>
              <w:spacing w:after="0"/>
              <w:rPr>
                <w:sz w:val="20"/>
                <w:szCs w:val="20"/>
                <w:color w:val="auto"/>
              </w:rPr>
            </w:pPr>
            <w:r>
              <w:rPr>
                <w:rFonts w:ascii="Arial" w:cs="Arial" w:eastAsia="Arial" w:hAnsi="Arial"/>
                <w:sz w:val="18"/>
                <w:szCs w:val="18"/>
                <w:color w:val="auto"/>
              </w:rPr>
              <w:t>Director</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MIDSUMMER VENTURES,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MIDSUMMER INVESTMENT, LIMITED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280" w:right="239" w:bottom="1440" w:gutter="0" w:footer="0" w:header="0"/>
        </w:sectPr>
      </w:pPr>
    </w:p>
    <w:bookmarkStart w:id="101" w:name="page102"/>
    <w:bookmarkEnd w:id="10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SUNNINGHILL LIMITED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10795</wp:posOffset>
            </wp:positionV>
            <wp:extent cx="25558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MIDSUMMER VENTURES, LP</w:t>
      </w:r>
    </w:p>
    <w:p>
      <w:pPr>
        <w:spacing w:after="0" w:line="225"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10795</wp:posOffset>
            </wp:positionV>
            <wp:extent cx="25558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Joshua Thomas</w:t>
      </w:r>
    </w:p>
    <w:p>
      <w:pPr>
        <w:spacing w:after="0" w:line="15"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MIDSUMMER INVESTMENT, LIMITED</w:t>
      </w:r>
    </w:p>
    <w:p>
      <w:pPr>
        <w:spacing w:after="0" w:line="248"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10795</wp:posOffset>
            </wp:positionV>
            <wp:extent cx="25558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Joshua Thomas</w:t>
      </w:r>
    </w:p>
    <w:p>
      <w:pPr>
        <w:spacing w:after="0" w:line="15"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38" w:orient="portrait"/>
          <w:cols w:equalWidth="0" w:num="1">
            <w:col w:w="9019"/>
          </w:cols>
          <w:pgMar w:left="1440" w:top="280"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Curzon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W1J 5HG, England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 2009</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The Parties Countersigning This Letter</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Certain Registration Rights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Reference is made to the Securities Purchase Agreement, dated as of October 12, 2009, among Amarin Corporation plc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purchasers set forth on Exhibit A thereto (the “</w:t>
      </w:r>
      <w:r>
        <w:rPr>
          <w:rFonts w:ascii="Arial" w:cs="Arial" w:eastAsia="Arial" w:hAnsi="Arial"/>
          <w:sz w:val="16"/>
          <w:szCs w:val="16"/>
          <w:u w:val="single" w:color="auto"/>
          <w:color w:val="auto"/>
        </w:rPr>
        <w:t>SPA</w:t>
      </w:r>
      <w:r>
        <w:rPr>
          <w:rFonts w:ascii="Arial" w:cs="Arial" w:eastAsia="Arial" w:hAnsi="Arial"/>
          <w:sz w:val="16"/>
          <w:szCs w:val="16"/>
          <w:color w:val="auto"/>
        </w:rPr>
        <w:t>”). Undefined capitalized terms used herein have the meanings ascribed thereto in the SPA.</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connection with the Ordinary Shares acquired by you pursuant to the Securities Purchase Agreement dated May 13, 2008 (the “</w:t>
      </w:r>
      <w:r>
        <w:rPr>
          <w:rFonts w:ascii="Arial" w:cs="Arial" w:eastAsia="Arial" w:hAnsi="Arial"/>
          <w:sz w:val="16"/>
          <w:szCs w:val="16"/>
          <w:u w:val="single" w:color="auto"/>
          <w:color w:val="auto"/>
        </w:rPr>
        <w:t>2008 SPA</w:t>
      </w:r>
      <w:r>
        <w:rPr>
          <w:rFonts w:ascii="Arial" w:cs="Arial" w:eastAsia="Arial" w:hAnsi="Arial"/>
          <w:sz w:val="16"/>
          <w:szCs w:val="16"/>
          <w:color w:val="auto"/>
        </w:rPr>
        <w:t>”) among, the Company and yourselves (the “</w:t>
      </w:r>
      <w:r>
        <w:rPr>
          <w:rFonts w:ascii="Arial" w:cs="Arial" w:eastAsia="Arial" w:hAnsi="Arial"/>
          <w:sz w:val="16"/>
          <w:szCs w:val="16"/>
          <w:u w:val="single" w:color="auto"/>
          <w:color w:val="auto"/>
        </w:rPr>
        <w:t>Specified Shares</w:t>
      </w:r>
      <w:r>
        <w:rPr>
          <w:rFonts w:ascii="Arial" w:cs="Arial" w:eastAsia="Arial" w:hAnsi="Arial"/>
          <w:sz w:val="16"/>
          <w:szCs w:val="16"/>
          <w:color w:val="auto"/>
        </w:rPr>
        <w:t>”), an amendment to the SPA (the “</w:t>
      </w:r>
      <w:r>
        <w:rPr>
          <w:rFonts w:ascii="Arial" w:cs="Arial" w:eastAsia="Arial" w:hAnsi="Arial"/>
          <w:sz w:val="16"/>
          <w:szCs w:val="16"/>
          <w:u w:val="single" w:color="auto"/>
          <w:color w:val="auto"/>
        </w:rPr>
        <w:t>Amendment</w:t>
      </w:r>
      <w:r>
        <w:rPr>
          <w:rFonts w:ascii="Arial" w:cs="Arial" w:eastAsia="Arial" w:hAnsi="Arial"/>
          <w:sz w:val="16"/>
          <w:szCs w:val="16"/>
          <w:color w:val="auto"/>
        </w:rPr>
        <w:t>”) is contemplated that would permit the Specified Shares to be included in the Registration Statement. Accordingly, if the Amendment becomes affective, the following provisions will become effective simultaneously;</w:t>
      </w:r>
    </w:p>
    <w:p>
      <w:pPr>
        <w:spacing w:after="0" w:line="107" w:lineRule="exact"/>
        <w:rPr>
          <w:sz w:val="20"/>
          <w:szCs w:val="20"/>
          <w:color w:val="auto"/>
        </w:rPr>
      </w:pPr>
    </w:p>
    <w:p>
      <w:pPr>
        <w:ind w:right="72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“Specified Shares” will become “Registrable Securities” and you will have registration rights with respect to the resale of your Registrable Securities on the terms herein provided.</w:t>
      </w:r>
    </w:p>
    <w:p>
      <w:pPr>
        <w:spacing w:after="0" w:line="131"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you will become bound, for the Company’s benefit, by the provisions of Article VI of the SPA, as a Holder of Registrable Securities as if such provisions were set forth in full herein.</w:t>
      </w:r>
    </w:p>
    <w:p>
      <w:pPr>
        <w:spacing w:after="0" w:line="131" w:lineRule="exact"/>
        <w:rPr>
          <w:rFonts w:ascii="Arial" w:cs="Arial" w:eastAsia="Arial" w:hAnsi="Arial"/>
          <w:sz w:val="18"/>
          <w:szCs w:val="18"/>
          <w:color w:val="auto"/>
        </w:rPr>
      </w:pPr>
    </w:p>
    <w:p>
      <w:pPr>
        <w:ind w:right="34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will become bound by the provisions of Article VI of the SPA for the benefit of each of you as a Holder of Registrable Securities as if such provisions were set forth in full herein.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4.3 and Article VI of the 2008 SPA will be deleted in their entirety.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125"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letter as of the date first above written.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Conor Dalton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Conor Dalton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&amp; Principal Accounting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ABOVE WRITTEN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Sunninghill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Michael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Simon Kukes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80"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TRANSITIONAL EMPLOYMENT AGREEMENT</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This Transitional Employment Agreement (“Agreement”) is entered into by and between Amarin Corporation (“Company”) and Declan Doogan (“Executive”) as of the Effective Date (as defined below).</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71" w:lineRule="exact"/>
        <w:rPr>
          <w:sz w:val="20"/>
          <w:szCs w:val="20"/>
          <w:color w:val="auto"/>
        </w:rPr>
      </w:pPr>
    </w:p>
    <w:p>
      <w:pPr>
        <w:ind w:left="460" w:right="2520"/>
        <w:spacing w:after="0" w:line="4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Executive is currently employed by the Company as its Interim Chief Executive Officer (“Interim CEO”);</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the Company is in the process of hiring a new Chief Executive Officer (“New CEO”);</w:t>
      </w:r>
    </w:p>
    <w:p>
      <w:pPr>
        <w:jc w:val="both"/>
        <w:ind w:right="3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have mutually agreed that Executive’s role at the Company will change as of the first day of the New CEO’s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(“New CEO Commencement Date”) and that, as of September 1, 2010, Executive will become the Company’s part-time Chief Medical Officer (“Part-time CMO”); and</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now desire to extinguish all prior agreements relating to terms and conditions of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the agreement between the Executive and the Company dated April 28, 2008 as amended by the letter agreement dated May 16, 2008 (together the “Prior Employment Agreement”), except to the extent certain provisions of the Prior Employment Agreement are expressly preserved and incorporated into this Agreement, and replace all such agreements with this Agreement which sets forth the terms and conditions of the Executive’s transition to the Part-time CMO role and related terms and conditions of employment.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in this Agreement, Executive and the Company agree as follows:</w:t>
      </w:r>
    </w:p>
    <w:p>
      <w:pPr>
        <w:spacing w:after="0" w:line="171" w:lineRule="exact"/>
        <w:rPr>
          <w:sz w:val="20"/>
          <w:szCs w:val="20"/>
          <w:color w:val="auto"/>
        </w:rPr>
      </w:pPr>
    </w:p>
    <w:p>
      <w:pPr>
        <w:ind w:right="80" w:firstLine="464"/>
        <w:spacing w:after="0" w:line="289" w:lineRule="auto"/>
        <w:tabs>
          <w:tab w:leader="none" w:pos="63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Employment Prior to September 1, 2010. </w:t>
      </w:r>
      <w:r>
        <w:rPr>
          <w:rFonts w:ascii="Arial" w:cs="Arial" w:eastAsia="Arial" w:hAnsi="Arial"/>
          <w:sz w:val="16"/>
          <w:szCs w:val="16"/>
          <w:color w:val="auto"/>
        </w:rPr>
        <w:t>Until September 1, 2010, Executive will continue to be employed by the Company as a regular full time, at-will employee, and will be paid at under the terms and conditions set forth in Section 8 (as modified by Section 3 of the May 16, 2008 Amendment which sets forth a monthly salary rate of pay based on $500,000 per annum) and Section 9 (which sets forth a car allowance) of the Prior Employment Agreement, provided that Executive shall be eligible for a discretionary bonus based on a target of $166,000 (50% of Executive’s base salary between January, 2010 through September 1, 2010) (“Pro Rata Bonus”). The Pro Rata Bonus, if any, shall be paid at the same time bonuses are paid for the Company’s other senior executives, but in no event later than March 15, 2011. Executive shall continue to accrue vacation at the rate of 24 days per year until September 1, 2010. Unless otherwise directed by the Company, Executive shall continue to perform duties and provide services to the Company as the Company’s Interim CEO until the New CEO Commencement Date and thereafter shall assist with transitional duties until he becomes Part-time CMO on September 1, 2010 By entering into this Agreement, Executive resigns from all officer positions with the Company and its subsidiaries and affiliates effective as of the New CEO</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Date except that he shall have the position and title of Chief Medical Officer commencing on September 1, 2010.</w:t>
      </w:r>
    </w:p>
    <w:p>
      <w:pPr>
        <w:spacing w:after="0" w:line="165" w:lineRule="exact"/>
        <w:rPr>
          <w:sz w:val="20"/>
          <w:szCs w:val="20"/>
          <w:color w:val="auto"/>
        </w:rPr>
      </w:pPr>
    </w:p>
    <w:p>
      <w:pPr>
        <w:ind w:firstLine="464"/>
        <w:spacing w:after="0" w:line="255" w:lineRule="auto"/>
        <w:tabs>
          <w:tab w:leader="none" w:pos="6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After September 1, 2010. </w:t>
      </w:r>
      <w:r>
        <w:rPr>
          <w:rFonts w:ascii="Arial" w:cs="Arial" w:eastAsia="Arial" w:hAnsi="Arial"/>
          <w:sz w:val="18"/>
          <w:szCs w:val="18"/>
          <w:color w:val="auto"/>
        </w:rPr>
        <w:t>Effective September 1, 2010, Executive will become the Company’s Part-time CMO. In such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report directly to the Company’s New CEO. As Part-time CMO, Executive will work on a part-time basis of at least two days per week and will have duties and responsibilities as determined by the Company’s New CEO and/or the Company’s Board of Directors (“Board”). Executive’s principal place of employment shall be maintained within the Continental United States. For purposes of this Agreement the period of employment beginning on September 1, 2010 and continuing through December 31, 2012, unless Executive’s employment is terminated before that date, shall be referred to as the “Continued Employment Period.”</w:t>
      </w:r>
    </w:p>
    <w:p>
      <w:pPr>
        <w:spacing w:after="0" w:line="139" w:lineRule="exact"/>
        <w:rPr>
          <w:rFonts w:ascii="Arial" w:cs="Arial" w:eastAsia="Arial" w:hAnsi="Arial"/>
          <w:sz w:val="18"/>
          <w:szCs w:val="18"/>
          <w:b w:val="1"/>
          <w:bCs w:val="1"/>
          <w:color w:val="auto"/>
        </w:rPr>
      </w:pPr>
    </w:p>
    <w:p>
      <w:pPr>
        <w:ind w:right="400" w:firstLine="464"/>
        <w:spacing w:after="0" w:line="275" w:lineRule="auto"/>
        <w:tabs>
          <w:tab w:leader="none" w:pos="6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Payments and Benefits to Executive During the Continued Employment Period. </w:t>
      </w:r>
      <w:r>
        <w:rPr>
          <w:rFonts w:ascii="Arial" w:cs="Arial" w:eastAsia="Arial" w:hAnsi="Arial"/>
          <w:sz w:val="18"/>
          <w:szCs w:val="18"/>
          <w:color w:val="auto"/>
        </w:rPr>
        <w:t>The Executive shall be entitled to the following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Continued Employment Period and to no other pay or benefits:</w:t>
      </w:r>
    </w:p>
    <w:p>
      <w:pPr>
        <w:spacing w:after="0" w:line="125" w:lineRule="exact"/>
        <w:rPr>
          <w:rFonts w:ascii="Arial" w:cs="Arial" w:eastAsia="Arial" w:hAnsi="Arial"/>
          <w:sz w:val="18"/>
          <w:szCs w:val="18"/>
          <w:b w:val="1"/>
          <w:bCs w:val="1"/>
          <w:color w:val="auto"/>
        </w:rPr>
      </w:pPr>
    </w:p>
    <w:p>
      <w:pPr>
        <w:ind w:right="180" w:firstLine="921"/>
        <w:spacing w:after="0" w:line="298" w:lineRule="auto"/>
        <w:tabs>
          <w:tab w:leader="none" w:pos="1152"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During the Continued Employment Period, the Executive will be paid a monthly salary at the rate of $200,000 per year,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deductions and withholdings. As a part-time exempt employee, Executive will perform services on a schedule consistent with forty percent (40%) of that of a full-time exempt employee, which shall include two work days per week. At its option, the Company may elect to increase this percentage to sixty percent (60%), which shall include three days per week, in which case the Executive’s Salary will be increased to the rate of $300,000 per year.</w:t>
      </w:r>
    </w:p>
    <w:p>
      <w:pPr>
        <w:spacing w:after="0" w:line="112" w:lineRule="exact"/>
        <w:rPr>
          <w:rFonts w:ascii="Arial" w:cs="Arial" w:eastAsia="Arial" w:hAnsi="Arial"/>
          <w:sz w:val="16"/>
          <w:szCs w:val="16"/>
          <w:color w:val="auto"/>
        </w:rPr>
      </w:pPr>
    </w:p>
    <w:p>
      <w:pPr>
        <w:ind w:right="80" w:firstLine="921"/>
        <w:spacing w:after="0" w:line="256" w:lineRule="auto"/>
        <w:tabs>
          <w:tab w:leader="none" w:pos="1161"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Equity. </w:t>
      </w:r>
      <w:r>
        <w:rPr>
          <w:rFonts w:ascii="Arial" w:cs="Arial" w:eastAsia="Arial" w:hAnsi="Arial"/>
          <w:sz w:val="18"/>
          <w:szCs w:val="18"/>
          <w:color w:val="auto"/>
        </w:rPr>
        <w:t>During the Continued Employment Period, Executive shall continue to vest in all stock options and other equity-based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(“Executive’s Equity”) consistent with the terms and conditions of the Company’s stock option and incentive plan (“Stock Option Plan”) and the relevant award agreements related to such grants (collectively, “Equity Award Agreements”). The Executive acknowledges and agrees that the following represents all of the Executive’s equity interests in the Company:</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Total Number</w:t>
            </w: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Number of</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Unvested</w:t>
            </w: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8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Strike Price</w:t>
            </w:r>
          </w:p>
        </w:tc>
        <w:tc>
          <w:tcPr>
            <w:tcW w:w="60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of Shares</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Vested Shares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9, 2007</w:t>
            </w:r>
          </w:p>
        </w:tc>
        <w:tc>
          <w:tcPr>
            <w:tcW w:w="21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65,000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May 20, 2008</w:t>
            </w:r>
          </w:p>
        </w:tc>
        <w:tc>
          <w:tcPr>
            <w:tcW w:w="21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2.60</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400,000</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266,667</w:t>
            </w:r>
          </w:p>
        </w:tc>
        <w:tc>
          <w:tcPr>
            <w:tcW w:w="1200" w:type="dxa"/>
            <w:vAlign w:val="bottom"/>
          </w:tcPr>
          <w:p>
            <w:pPr>
              <w:jc w:val="right"/>
              <w:spacing w:after="0"/>
              <w:rPr>
                <w:sz w:val="20"/>
                <w:szCs w:val="20"/>
                <w:color w:val="auto"/>
              </w:rPr>
            </w:pPr>
            <w:r>
              <w:rPr>
                <w:rFonts w:ascii="Arial" w:cs="Arial" w:eastAsia="Arial" w:hAnsi="Arial"/>
                <w:sz w:val="18"/>
                <w:szCs w:val="18"/>
                <w:color w:val="auto"/>
              </w:rPr>
              <w:t>133,333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21, 2009</w:t>
            </w:r>
          </w:p>
        </w:tc>
        <w:tc>
          <w:tcPr>
            <w:tcW w:w="21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1,170,000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292,500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160" w:hanging="239"/>
        <w:spacing w:after="0"/>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None of Executive’s shares have been exercised. Executive shall have the right to exercise any vested shares until the earlier of (i) ninety</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days from the last day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employment and (ii) the expiration of the option, which is ten years from the Grant Date (in either event the “Exercise Period”).</w:t>
      </w:r>
    </w:p>
    <w:p>
      <w:pPr>
        <w:spacing w:after="0" w:line="171" w:lineRule="exact"/>
        <w:rPr>
          <w:sz w:val="20"/>
          <w:szCs w:val="20"/>
          <w:color w:val="auto"/>
        </w:rPr>
      </w:pPr>
    </w:p>
    <w:p>
      <w:pPr>
        <w:ind w:left="1160" w:hanging="239"/>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Other Benefits. </w:t>
      </w:r>
      <w:r>
        <w:rPr>
          <w:rFonts w:ascii="Arial" w:cs="Arial" w:eastAsia="Arial" w:hAnsi="Arial"/>
          <w:sz w:val="18"/>
          <w:szCs w:val="18"/>
          <w:color w:val="auto"/>
        </w:rPr>
        <w:t>During the Continued Employment Period, Executive shall be entitled to the following benefits and payments:</w:t>
      </w:r>
    </w:p>
    <w:p>
      <w:pPr>
        <w:spacing w:after="0" w:line="171" w:lineRule="exact"/>
        <w:rPr>
          <w:rFonts w:ascii="Arial" w:cs="Arial" w:eastAsia="Arial" w:hAnsi="Arial"/>
          <w:sz w:val="18"/>
          <w:szCs w:val="18"/>
          <w:color w:val="auto"/>
        </w:rPr>
      </w:pPr>
    </w:p>
    <w:p>
      <w:pPr>
        <w:jc w:val="both"/>
        <w:ind w:left="460" w:right="420" w:firstLine="4"/>
        <w:spacing w:after="0" w:line="306" w:lineRule="auto"/>
        <w:tabs>
          <w:tab w:leader="none" w:pos="67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Executive will be entitled to continue to be reimbursed for his health insurance at the rate of approximately $364 per month (subject to adjustment consistent with the applicable Pfizer plan). Executive’s eligibility to participate as a part-time employee in the Company’s group benefit plans that are provided by the Company from time to time shall be subject to the terms and conditions of those plans.</w:t>
      </w:r>
    </w:p>
    <w:p>
      <w:pPr>
        <w:spacing w:after="0" w:line="25" w:lineRule="exact"/>
        <w:rPr>
          <w:rFonts w:ascii="Arial" w:cs="Arial" w:eastAsia="Arial" w:hAnsi="Arial"/>
          <w:sz w:val="16"/>
          <w:szCs w:val="16"/>
          <w:color w:val="auto"/>
        </w:rPr>
      </w:pPr>
    </w:p>
    <w:p>
      <w:pPr>
        <w:ind w:left="460" w:right="120" w:firstLine="4"/>
        <w:spacing w:after="0" w:line="332" w:lineRule="auto"/>
        <w:tabs>
          <w:tab w:leader="none" w:pos="71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shall reimburse Executive for all reasonable expenses that he is or was authorized to incur while carrying out his duties on behalf of the Company, including for the avoidance of doubt, reasonable travel and accommodation costs (consistent with Company policy).</w:t>
      </w:r>
    </w:p>
    <w:p>
      <w:pPr>
        <w:spacing w:after="0" w:line="4" w:lineRule="exact"/>
        <w:rPr>
          <w:rFonts w:ascii="Arial" w:cs="Arial" w:eastAsia="Arial" w:hAnsi="Arial"/>
          <w:sz w:val="16"/>
          <w:szCs w:val="16"/>
          <w:color w:val="auto"/>
        </w:rPr>
      </w:pPr>
    </w:p>
    <w:p>
      <w:pPr>
        <w:ind w:left="460" w:right="60" w:firstLine="4"/>
        <w:spacing w:after="0" w:line="268" w:lineRule="auto"/>
        <w:tabs>
          <w:tab w:leader="none" w:pos="7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Executive will not accrue vacation or paid time off as a part-time employee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Executive will be permitted to use any paid time off he accrues prior to September 1, 2010 during the Continued Employment Period.</w:t>
      </w:r>
    </w:p>
    <w:p>
      <w:pPr>
        <w:spacing w:after="0" w:line="126" w:lineRule="exact"/>
        <w:rPr>
          <w:sz w:val="20"/>
          <w:szCs w:val="20"/>
          <w:color w:val="auto"/>
        </w:rPr>
      </w:pPr>
    </w:p>
    <w:p>
      <w:pPr>
        <w:ind w:right="220" w:firstLine="464"/>
        <w:spacing w:after="0" w:line="339" w:lineRule="auto"/>
        <w:tabs>
          <w:tab w:leader="none" w:pos="632"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Executive’s employment at the Company will end on December 31, 2012,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may end on an earlier date if terminated by the Company for Cause or if terminated due to the Executive’s death or disability subject to the following:</w:t>
      </w:r>
    </w:p>
    <w:p>
      <w:pPr>
        <w:spacing w:after="0" w:line="80" w:lineRule="exact"/>
        <w:rPr>
          <w:rFonts w:ascii="Arial" w:cs="Arial" w:eastAsia="Arial" w:hAnsi="Arial"/>
          <w:sz w:val="16"/>
          <w:szCs w:val="16"/>
          <w:b w:val="1"/>
          <w:bCs w:val="1"/>
          <w:color w:val="auto"/>
        </w:rPr>
      </w:pPr>
    </w:p>
    <w:p>
      <w:pPr>
        <w:ind w:right="80" w:firstLine="921"/>
        <w:spacing w:after="0" w:line="283" w:lineRule="auto"/>
        <w:tabs>
          <w:tab w:leader="none" w:pos="1152" w:val="left"/>
        </w:tabs>
        <w:numPr>
          <w:ilvl w:val="2"/>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by the Company for Cause. </w:t>
      </w:r>
      <w:r>
        <w:rPr>
          <w:rFonts w:ascii="Arial" w:cs="Arial" w:eastAsia="Arial" w:hAnsi="Arial"/>
          <w:sz w:val="16"/>
          <w:szCs w:val="16"/>
          <w:color w:val="auto"/>
        </w:rPr>
        <w:t>For purposes of this Agreement, “Cause” shall mean: (i) conduct by the Executive constituting an act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misconduct in connection with the performance of the Employee’s duties, including, without limitation, misappropriation of funds or property of the Company other than the occasional, customary and de minimis use of Company property for personal purposes; (ii) the commission by the Executive of (A) any felony; or (B) a misdemeanor involving moral turpitude, deceit, dishonesty or fraud; (iii) any conduct by the Executive that would reasonably be expected to result in material injury or reputational harm to the Company or any of its subsidiaries and affiliates if the Executive were retained in the Employee’s position;</w:t>
      </w:r>
    </w:p>
    <w:p>
      <w:pPr>
        <w:spacing w:after="0" w:line="2" w:lineRule="exact"/>
        <w:rPr>
          <w:rFonts w:ascii="Arial" w:cs="Arial" w:eastAsia="Arial" w:hAnsi="Arial"/>
          <w:sz w:val="16"/>
          <w:szCs w:val="16"/>
          <w:color w:val="auto"/>
        </w:rPr>
      </w:pPr>
    </w:p>
    <w:p>
      <w:pPr>
        <w:ind w:right="100" w:firstLine="8"/>
        <w:spacing w:after="0" w:line="295" w:lineRule="auto"/>
        <w:tabs>
          <w:tab w:leader="none" w:pos="29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continued non-performance or unsatisfactory performance by the Executive of the Employee’s responsibilities as reasonably determined by the Company’s Board of Directors; (v) a breach by the Executive of any of the provisions contained this Agreement including, without limitation, any of the Restrictive Covenants; (vi) a material violation by the Executive of any of the Company’s written employment policies or procedures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provided that other than in the case of clause (B) above or other noncurable events, Executive is provided with written notice and fifteen (15) days to cure.</w:t>
      </w:r>
    </w:p>
    <w:p>
      <w:pPr>
        <w:spacing w:after="0" w:line="115" w:lineRule="exact"/>
        <w:rPr>
          <w:rFonts w:ascii="Arial" w:cs="Arial" w:eastAsia="Arial" w:hAnsi="Arial"/>
          <w:sz w:val="16"/>
          <w:szCs w:val="16"/>
          <w:color w:val="auto"/>
        </w:rPr>
      </w:pPr>
    </w:p>
    <w:p>
      <w:pPr>
        <w:ind w:firstLine="921"/>
        <w:spacing w:after="0" w:line="259" w:lineRule="auto"/>
        <w:tabs>
          <w:tab w:leader="none" w:pos="1161" w:val="left"/>
        </w:tabs>
        <w:numPr>
          <w:ilvl w:val="2"/>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Other Terminations: </w:t>
      </w:r>
      <w:r>
        <w:rPr>
          <w:rFonts w:ascii="Arial" w:cs="Arial" w:eastAsia="Arial" w:hAnsi="Arial"/>
          <w:sz w:val="18"/>
          <w:szCs w:val="18"/>
          <w:color w:val="auto"/>
        </w:rPr>
        <w:t>If Executive’s employment ends as scheduled on December 31, 2012 or prior to that date due to a termination of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by the Company for Cause or if terminated due to the Executive’s death or disability, Executive shall be entitled to salary through the last day of employment but shall not be entitled to any other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07" w:name="page108"/>
    <w:bookmarkEnd w:id="10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With respect to the Equity, the Executive will cease vesting as of the last day of his employment and may exercise his vested Equity during the Exercise Period.</w:t>
      </w:r>
    </w:p>
    <w:p>
      <w:pPr>
        <w:spacing w:after="0" w:line="126" w:lineRule="exact"/>
        <w:rPr>
          <w:sz w:val="20"/>
          <w:szCs w:val="20"/>
          <w:color w:val="auto"/>
        </w:rPr>
      </w:pPr>
    </w:p>
    <w:p>
      <w:pPr>
        <w:ind w:right="20" w:firstLine="464"/>
        <w:spacing w:after="0" w:line="286" w:lineRule="auto"/>
        <w:tabs>
          <w:tab w:leader="none" w:pos="63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Release of Claims. </w:t>
      </w:r>
      <w:r>
        <w:rPr>
          <w:rFonts w:ascii="Arial" w:cs="Arial" w:eastAsia="Arial" w:hAnsi="Arial"/>
          <w:sz w:val="16"/>
          <w:szCs w:val="16"/>
          <w:color w:val="auto"/>
        </w:rPr>
        <w:t>Executive hereby irrevocably and unconditionally releases, acquits and forever discharges the Company, its affiliated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“Releasees”) generally from all claims, demands, debts, damages and liabilities of every name and nature, known or unknown (“Claims”) that, as of the date when Executive signs this Agreement, Executive has, ever had, now claims to have or ever claimed to have had against any or all of the Releasees. This release includes, without limitation, all Claims: relating to Executive’s employment by and termination of employment with the Company; of wrongful discharge; of breach of contract; of breach of the Prior Employment Agreement; of retaliation or discrimination under federal, state or local law of the United States (including, without limitation, Claims of age discrimination or retaliation under the Age Discrimination in Employment Act, Claims of disability discrimination or retaliation under the Americans with Disabilities Act, and Claims of discrimination or retaliation under Title VII of the Civil Rights Act of 1964); under any other federal or state statute; of defamation or other torts; of violation of public policy; for wages, bonuses, incentive compensation, stock, stock options, vacation pay or any other compensation or benefits; and for damages or other remedies of any sort, including, without limitation, compensatory damages, punitive damages, injunctive relief and attorney’s fees; </w:t>
      </w:r>
      <w:r>
        <w:rPr>
          <w:rFonts w:ascii="Arial" w:cs="Arial" w:eastAsia="Arial" w:hAnsi="Arial"/>
          <w:sz w:val="16"/>
          <w:szCs w:val="16"/>
          <w:i w:val="1"/>
          <w:iCs w:val="1"/>
          <w:color w:val="auto"/>
        </w:rPr>
        <w:t>provided</w:t>
      </w:r>
      <w:r>
        <w:rPr>
          <w:rFonts w:ascii="Arial" w:cs="Arial" w:eastAsia="Arial" w:hAnsi="Arial"/>
          <w:sz w:val="16"/>
          <w:szCs w:val="16"/>
          <w:color w:val="auto"/>
        </w:rPr>
        <w:t>, however, that this release shall not affect his rights under this Agreement (including Executive’s rights under the other agreements to the extent referred to in Section 19). As a material inducement to the Company to enter into this Agreement, Executive represents that he has not assigned to any third party and has not filed with any agency or court any Claim released by this Agreement.</w:t>
      </w:r>
    </w:p>
    <w:p>
      <w:pPr>
        <w:spacing w:after="0" w:line="333" w:lineRule="exact"/>
        <w:rPr>
          <w:rFonts w:ascii="Arial" w:cs="Arial" w:eastAsia="Arial" w:hAnsi="Arial"/>
          <w:sz w:val="16"/>
          <w:szCs w:val="16"/>
          <w:b w:val="1"/>
          <w:bCs w:val="1"/>
          <w:color w:val="auto"/>
        </w:rPr>
      </w:pPr>
    </w:p>
    <w:p>
      <w:pPr>
        <w:ind w:right="160" w:firstLine="464"/>
        <w:spacing w:after="0" w:line="258" w:lineRule="auto"/>
        <w:tabs>
          <w:tab w:leader="none" w:pos="6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Disclosure of Outside Activities. </w:t>
      </w:r>
      <w:r>
        <w:rPr>
          <w:rFonts w:ascii="Arial" w:cs="Arial" w:eastAsia="Arial" w:hAnsi="Arial"/>
          <w:sz w:val="18"/>
          <w:szCs w:val="18"/>
          <w:color w:val="auto"/>
        </w:rPr>
        <w:t>Attached as Exhibit A is a comprehensive list of all outside professional activities with which Executive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involved or reasonably expects to become involved. In the event the Executive performs any professional services for any person or entity other than the Company either during Executive’s employment (including, without limitation during the Continued Employment Period) Executive will promptly amend and return Exhibit A to the Board.</w:t>
      </w:r>
    </w:p>
    <w:p>
      <w:pPr>
        <w:spacing w:after="0" w:line="136" w:lineRule="exact"/>
        <w:rPr>
          <w:rFonts w:ascii="Arial" w:cs="Arial" w:eastAsia="Arial" w:hAnsi="Arial"/>
          <w:sz w:val="18"/>
          <w:szCs w:val="18"/>
          <w:b w:val="1"/>
          <w:bCs w:val="1"/>
          <w:color w:val="auto"/>
        </w:rPr>
      </w:pPr>
    </w:p>
    <w:p>
      <w:pPr>
        <w:ind w:firstLine="464"/>
        <w:spacing w:after="0" w:line="296" w:lineRule="auto"/>
        <w:tabs>
          <w:tab w:leader="none" w:pos="63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Treatment. </w:t>
      </w:r>
      <w:r>
        <w:rPr>
          <w:rFonts w:ascii="Arial" w:cs="Arial" w:eastAsia="Arial" w:hAnsi="Arial"/>
          <w:sz w:val="16"/>
          <w:szCs w:val="16"/>
          <w:color w:val="auto"/>
        </w:rPr>
        <w:t>The Company shall treat Executive as an employee for tax purposes and shall undertake, consistent therewith, to make deductions,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withholdings and tax reports with respect to payments and benefits under this Agreement to the extent that it reasonably and in good faith determines that it is required to make such deductions, withholdings and tax reports. Payments under this Agreement shall be subject to any such deductions or withholdings.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107" w:lineRule="exact"/>
        <w:rPr>
          <w:rFonts w:ascii="Arial" w:cs="Arial" w:eastAsia="Arial" w:hAnsi="Arial"/>
          <w:sz w:val="16"/>
          <w:szCs w:val="16"/>
          <w:b w:val="1"/>
          <w:bCs w:val="1"/>
          <w:color w:val="auto"/>
        </w:rPr>
      </w:pPr>
    </w:p>
    <w:p>
      <w:pPr>
        <w:ind w:right="240" w:firstLine="464"/>
        <w:spacing w:after="0" w:line="275" w:lineRule="auto"/>
        <w:tabs>
          <w:tab w:leader="none" w:pos="6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Property. </w:t>
      </w:r>
      <w:r>
        <w:rPr>
          <w:rFonts w:ascii="Arial" w:cs="Arial" w:eastAsia="Arial" w:hAnsi="Arial"/>
          <w:sz w:val="18"/>
          <w:szCs w:val="18"/>
          <w:color w:val="auto"/>
        </w:rPr>
        <w:t>Executive acknowledges that all documents, records, apparatus, equipment and other physical property which were furnished or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furnished to Executive in connection with his employment at the Company remain and will remain the sole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08" w:name="page109"/>
    <w:bookmarkEnd w:id="108"/>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of the Company. Executive will return to the Company all such materials and property when requested by the Company. In any event, Executive will return all such materials and property on or upon termination of employment.</w:t>
      </w:r>
    </w:p>
    <w:p>
      <w:pPr>
        <w:spacing w:after="0" w:line="126" w:lineRule="exact"/>
        <w:rPr>
          <w:sz w:val="20"/>
          <w:szCs w:val="20"/>
          <w:color w:val="auto"/>
        </w:rPr>
      </w:pPr>
    </w:p>
    <w:p>
      <w:pPr>
        <w:ind w:left="640" w:hanging="176"/>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177" w:lineRule="exact"/>
        <w:rPr>
          <w:rFonts w:ascii="Arial" w:cs="Arial" w:eastAsia="Arial" w:hAnsi="Arial"/>
          <w:sz w:val="18"/>
          <w:szCs w:val="18"/>
          <w:b w:val="1"/>
          <w:bCs w:val="1"/>
          <w:color w:val="auto"/>
        </w:rPr>
      </w:pPr>
    </w:p>
    <w:p>
      <w:pPr>
        <w:ind w:right="40" w:firstLine="921"/>
        <w:spacing w:after="0" w:line="286" w:lineRule="auto"/>
        <w:tabs>
          <w:tab w:leader="none" w:pos="1152"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During the Executive’s employment with the Company and for twelve (12) months thereafter, regardless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reason for the ending of Executive’s employment, Executive (i) will not, directly or indirectly, whether as owner, partner, shareholder, consultant, agent, employee, co-venturer or otherwise, engage, participate, assist or invest in any business activity anywhere in the United States or Europe that develops, manufactures or markets any products, or performs any services, that are otherwise competitive with or similar to the products or services of the Company, or products or services that the Company or its subsidiaries or corporate affiliates (the “Company” for purposes of this Section 9), has under development or that are the subject of active planning at any time during Executive’s employment (a “Competing Business”); and (ii) will refrain from directly or indirectly employing, attempting to employ, contracting with, recruiting or otherwise soliciting, inducing or influencing any employee to leave employment with the Company or any subsidiary of Company other than general solicitations of employment not directly targeting employees of the Company, (such as through general advertisements, search firms, etc.), and (iii) will refrain from soliciting or encouraging any independent contractor to terminate or otherwise modify adversely its business relationship with the Company or any of it subsidiaries. The Executive understands that the restrictions set forth in this Section 9 are intended to protect the Company’s interest in its Confidential Information and established employee, customer and supplier relationships and goodwill, and agrees that such restrictions are reasonable and appropriate for this purpose. Notwithstanding the foregoing, the Executive may own up to one percent (1%) of the outstanding stock of a publicly held corporation, which constitutes or is affiliated with a Competing Business.</w:t>
      </w:r>
    </w:p>
    <w:p>
      <w:pPr>
        <w:spacing w:after="0" w:line="120" w:lineRule="exact"/>
        <w:rPr>
          <w:rFonts w:ascii="Arial" w:cs="Arial" w:eastAsia="Arial" w:hAnsi="Arial"/>
          <w:sz w:val="16"/>
          <w:szCs w:val="16"/>
          <w:color w:val="auto"/>
        </w:rPr>
      </w:pPr>
    </w:p>
    <w:p>
      <w:pPr>
        <w:ind w:firstLine="921"/>
        <w:spacing w:after="0" w:line="286" w:lineRule="auto"/>
        <w:tabs>
          <w:tab w:leader="none" w:pos="1161"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Confidential Information. </w:t>
      </w:r>
      <w:r>
        <w:rPr>
          <w:rFonts w:ascii="Arial" w:cs="Arial" w:eastAsia="Arial" w:hAnsi="Arial"/>
          <w:sz w:val="16"/>
          <w:szCs w:val="16"/>
          <w:color w:val="auto"/>
        </w:rPr>
        <w:t>In the course of performing services on behalf of the Company, Executive has had and from time to time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Confidential Information (as defined below). Executive agrees (a) to hold the Confidential Information in strict confidence, (b) not to disclose the Confidential Information to any person (other than in the ordinary course of the Company’s business or for the intended sole benefit of the Company or its affiliates), and (c) not to use, directly or indirectly, any of the Confidential Information for any purpose other than on behalf of the Company. All documents, records, data, apparatus, equipment and other physical property, whether or not pertaining to Confidential Information, that are furnished to Executive by the Company or are produced by Executive in connection with Executive’s employment will be and remain the sole property of the Company. Upon the termination of Executive’s employment with the Company for any reason and as and when otherwise requested by the Company, all Confidential Information (including, without limitation, all data, memoranda, customer lists, notes, programs and other papers and items, and reproductions thereof relating to the foregoing matters) in Executive’s possession or control, shall be immediately returned to the Company. In Executive’s work for the Company, Executive will not (and the Company will not require Executive to) disclose or make use of any information in violation of any agreements with or rights of any such previous Company or other party, and Executive will not (and the Company will not require Executive to) bring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9" w:name="page110"/>
    <w:bookmarkEnd w:id="109"/>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of the Company any copies or other tangible embodiments of non-public information belonging to or obtained from any such previous employment or other party. Executive recognizes that the Company and its affiliates claim a proprietary interest in all of the information described in Section 9(b) and claims the exclusive right and privilege to use, protect by copyright, patent or trademark, or otherwise exploit the processes, ideas and concepts described therein to the exclusion of Executive, except as otherwise agreed between the Company and Executive in writing. Executive expressly agrees that any products, inventions, discoveries or improvements made by Executive in the course of Executive’s employment, including any of the foregoing which is based on or arises out of the information described in this Section 9, shall be the property of and inure to the exclusive benefit of the Company. Executive further agrees that any and all products, inventions, discoveries or improvements developed by Executive (whether or not able to be protected by copyright, patent or trademark) during the course of his employment, or involving the use of the time, materials or other resources of the Company or its affiliates, shall be promptly disclosed to the Company and shall become the exclusive property of the Company, and Executive shall execute and deliver any and all documents necessary or appropriate to implement the foregoing. Executive agrees, while he is employed by the Company, to offer or otherwise make known or available to it, as directed by the Board of Directors of the Company and without additional compensation or consideration, any business prospects, contracts or other business opportunities that Executive may discover, find, develop or otherwise have available to Executive in the Company’s industry and further agrees that any such prospects, contacts or other business opportunities shall be the property of the Company. For purposes of this Agreement: the term “Confidential Information” shall mean information belonging to the Company which is of value to the Company with respect to which Company has right in the course of conducting its business and the disclosure of which could result in a competitive or other disadvantage to the Company . Confidential Information includes information, whether or not patentable or copyrightable, in written, oral, electronic or other tangible or intangible forms, stored in any medium, including, by way of example and without limitation, trade secrets, ideas, concepts, designs, configurations, specifications, drawings, blueprints, diagrams, models, prototypes, samples, flow charts processes, techniques, formulas, software, improvements, inventions, data, know-how, discoveries, copyrightable materials, marketing plans and strategies, sales and financial reports and forecasts, customer lists, studies, reports, records, books, contracts, instruments, surveys, computer disks, diskettes, tapes, computer programs and business plans, prospects and opportunities (such as possible acquisitions or dispositions of businesses or facilities) which have been discussed or considered by the management of the Company. Confidential Information includes information developed by Executive in the course of Executive’s employment by the Company, as well as other information to which Executive may have access in connection with Executive’s employment. Confidential Information also includes the confidential information of others with which the Company has a business relationship. Notwithstanding the foregoing, Confidential Information does not include</w:t>
      </w:r>
    </w:p>
    <w:p>
      <w:pPr>
        <w:spacing w:after="0" w:line="186" w:lineRule="exact"/>
        <w:rPr>
          <w:sz w:val="20"/>
          <w:szCs w:val="20"/>
          <w:color w:val="auto"/>
        </w:rPr>
      </w:pPr>
    </w:p>
    <w:p>
      <w:pPr>
        <w:ind w:right="120" w:firstLine="8"/>
        <w:spacing w:after="0" w:line="255" w:lineRule="auto"/>
        <w:tabs>
          <w:tab w:leader="none" w:pos="2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in the public domain or known in the industry, unless due to Executive’s breach of duties, or (ii) information which Executive is obligated to disclose by law, subpoena or court order and in such instance, only after providing the Company with advance written notice to the extent practicable in order to allow the Company to seek a protective order enjoining such disclosure.</w:t>
      </w:r>
    </w:p>
    <w:p>
      <w:pPr>
        <w:spacing w:after="0" w:line="144" w:lineRule="exact"/>
        <w:rPr>
          <w:rFonts w:ascii="Arial" w:cs="Arial" w:eastAsia="Arial" w:hAnsi="Arial"/>
          <w:sz w:val="18"/>
          <w:szCs w:val="18"/>
          <w:color w:val="auto"/>
        </w:rPr>
      </w:pPr>
    </w:p>
    <w:p>
      <w:pPr>
        <w:ind w:right="20" w:firstLine="921"/>
        <w:spacing w:after="0" w:line="268" w:lineRule="auto"/>
        <w:tabs>
          <w:tab w:leader="none" w:pos="1152"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Injunction. </w:t>
      </w:r>
      <w:r>
        <w:rPr>
          <w:rFonts w:ascii="Arial" w:cs="Arial" w:eastAsia="Arial" w:hAnsi="Arial"/>
          <w:sz w:val="18"/>
          <w:szCs w:val="18"/>
          <w:color w:val="auto"/>
        </w:rPr>
        <w:t>It is specifically understood and agreed that this Agreement is intended to confer a benefit, directly or indirectly, on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direct and indirect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0" w:name="page111"/>
    <w:bookmarkEnd w:id="11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and corporate affiliates, and that any breach of the provisions of this Agreement by Executive will result in irreparable injury to the Company, that the remedy at law alone will be an inadequate remedy for such breach and that, in addition to any other remedy it may have, the Company or its subsidiaries shall be entitled to enforce the specific performance of this Agreement by Executive through both temporary and permanent injunctive relief without the necessity of posting a bond or proving actual damages, but without limitation of their right to damages and any and all other remedies available to them, it being understood that injunctive relief is in addition to, and not in lieu of, such other remedies. Accordingly,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w:t>
      </w:r>
    </w:p>
    <w:p>
      <w:pPr>
        <w:spacing w:after="0" w:line="112" w:lineRule="exact"/>
        <w:rPr>
          <w:sz w:val="20"/>
          <w:szCs w:val="20"/>
          <w:color w:val="auto"/>
        </w:rPr>
      </w:pPr>
    </w:p>
    <w:p>
      <w:pPr>
        <w:ind w:right="40" w:firstLine="464"/>
        <w:spacing w:after="0" w:line="258" w:lineRule="auto"/>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agrees not to make any disparaging statements concerning the Company or any of its affiliates or their products 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current or former officers, directors, shareholders, employees or agents. Executive further agrees not to take any actions or conduct himself any way that would reasonably be expected to affect adversely the reputation or goodwill of the Company or any of its affiliates or their products or services or any of its current or former officers, directors, shareholders, employees or agents.</w:t>
      </w:r>
    </w:p>
    <w:p>
      <w:pPr>
        <w:spacing w:after="0" w:line="136" w:lineRule="exact"/>
        <w:rPr>
          <w:rFonts w:ascii="Arial" w:cs="Arial" w:eastAsia="Arial" w:hAnsi="Arial"/>
          <w:sz w:val="18"/>
          <w:szCs w:val="18"/>
          <w:b w:val="1"/>
          <w:bCs w:val="1"/>
          <w:color w:val="auto"/>
        </w:rPr>
      </w:pPr>
    </w:p>
    <w:p>
      <w:pPr>
        <w:ind w:right="40" w:firstLine="464"/>
        <w:spacing w:after="0" w:line="291" w:lineRule="auto"/>
        <w:tabs>
          <w:tab w:leader="none" w:pos="71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Future Cooperation. </w:t>
      </w:r>
      <w:r>
        <w:rPr>
          <w:rFonts w:ascii="Arial" w:cs="Arial" w:eastAsia="Arial" w:hAnsi="Arial"/>
          <w:sz w:val="16"/>
          <w:szCs w:val="16"/>
          <w:color w:val="auto"/>
        </w:rPr>
        <w:t>During his employment and thereafter, Executive agrees to cooperate reasonably with the Company and all of its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entities, including its and their outside counsel, in connection with the contemplation, prosecution and defense of all phases of existing, past and future litigation about which the Company believes Executive may have knowledge or information. Executive further agrees to make himself available at mutually convenient times during and outside of regular business hours as reasonably deemed necessary by the Company’s counsel. Executive agrees to appear without the necessity of a subpoena and to testify truthfully in any legal proceedings in which the Company calls his as a witness. It is understood that the post-employment requirements of this Section 11 shall not interfere with the Executive’s other employment activities and that Executive will be compensated for any such post-employment cooperation at hourly rate to mutually agreed to by the Company and the Executive.</w:t>
      </w:r>
    </w:p>
    <w:p>
      <w:pPr>
        <w:spacing w:after="0" w:line="113" w:lineRule="exact"/>
        <w:rPr>
          <w:rFonts w:ascii="Arial" w:cs="Arial" w:eastAsia="Arial" w:hAnsi="Arial"/>
          <w:sz w:val="16"/>
          <w:szCs w:val="16"/>
          <w:b w:val="1"/>
          <w:bCs w:val="1"/>
          <w:color w:val="auto"/>
        </w:rPr>
      </w:pPr>
    </w:p>
    <w:p>
      <w:pPr>
        <w:ind w:right="120" w:firstLine="464"/>
        <w:spacing w:after="0" w:line="262" w:lineRule="auto"/>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Legal Representation. </w:t>
      </w:r>
      <w:r>
        <w:rPr>
          <w:rFonts w:ascii="Arial" w:cs="Arial" w:eastAsia="Arial" w:hAnsi="Arial"/>
          <w:sz w:val="18"/>
          <w:szCs w:val="18"/>
          <w:color w:val="auto"/>
        </w:rPr>
        <w:t>This Agreement is a legally binding document and his signature will commit Executive to its terms. Executive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has been advised to discuss all aspects of this Agreement with his attorney, and that he has in fact consulted with counsel and that he fully understands all of the provisions of this Agreement and that he is voluntarily entering into this Agreement.</w:t>
      </w:r>
    </w:p>
    <w:p>
      <w:pPr>
        <w:spacing w:after="0" w:line="132" w:lineRule="exact"/>
        <w:rPr>
          <w:rFonts w:ascii="Arial" w:cs="Arial" w:eastAsia="Arial" w:hAnsi="Arial"/>
          <w:sz w:val="18"/>
          <w:szCs w:val="18"/>
          <w:b w:val="1"/>
          <w:bCs w:val="1"/>
          <w:color w:val="auto"/>
        </w:rPr>
      </w:pPr>
    </w:p>
    <w:p>
      <w:pPr>
        <w:ind w:right="140" w:firstLine="464"/>
        <w:spacing w:after="0" w:line="339" w:lineRule="auto"/>
        <w:tabs>
          <w:tab w:leader="none" w:pos="71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Absence of Reliance. </w:t>
      </w:r>
      <w:r>
        <w:rPr>
          <w:rFonts w:ascii="Arial" w:cs="Arial" w:eastAsia="Arial" w:hAnsi="Arial"/>
          <w:sz w:val="16"/>
          <w:szCs w:val="16"/>
          <w:color w:val="auto"/>
        </w:rPr>
        <w:t>In signing this Agreement, Executive is not relying upon any promises or representations made by anyone at or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spacing w:after="0" w:line="74" w:lineRule="exact"/>
        <w:rPr>
          <w:rFonts w:ascii="Arial" w:cs="Arial" w:eastAsia="Arial" w:hAnsi="Arial"/>
          <w:sz w:val="16"/>
          <w:szCs w:val="16"/>
          <w:b w:val="1"/>
          <w:bCs w:val="1"/>
          <w:color w:val="auto"/>
        </w:rPr>
      </w:pPr>
    </w:p>
    <w:p>
      <w:pPr>
        <w:ind w:right="180" w:firstLine="464"/>
        <w:spacing w:after="0" w:line="262" w:lineRule="auto"/>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Non-Admission. </w:t>
      </w:r>
      <w:r>
        <w:rPr>
          <w:rFonts w:ascii="Arial" w:cs="Arial" w:eastAsia="Arial" w:hAnsi="Arial"/>
          <w:sz w:val="18"/>
          <w:szCs w:val="18"/>
          <w:color w:val="auto"/>
        </w:rPr>
        <w:t>This Agreement shall not in any way be construed as an admission by the Company of any liability or any act of wrongdoing</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against Executive. The Company specifically disclaims any liability or wrongdoing whatsoever against Executive or any other person on the part of the Company, its affiliates, and their current and former agents, employees and shareholders.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1" w:name="page112"/>
    <w:bookmarkEnd w:id="111"/>
    <w:p>
      <w:pPr>
        <w:ind w:left="-8" w:right="120" w:firstLine="464"/>
        <w:spacing w:after="0" w:line="256" w:lineRule="auto"/>
        <w:tabs>
          <w:tab w:leader="none" w:pos="712"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Enforceability. </w:t>
      </w:r>
      <w:r>
        <w:rPr>
          <w:rFonts w:ascii="Arial" w:cs="Arial" w:eastAsia="Arial" w:hAnsi="Arial"/>
          <w:sz w:val="18"/>
          <w:szCs w:val="18"/>
          <w:color w:val="auto"/>
        </w:rPr>
        <w:t>If any portion or provision of this Agreement (including, without limitation, any portion or provision of any section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portions of the Agreement that have been incorporated by reference)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8" w:lineRule="exact"/>
        <w:rPr>
          <w:rFonts w:ascii="Arial" w:cs="Arial" w:eastAsia="Arial" w:hAnsi="Arial"/>
          <w:sz w:val="18"/>
          <w:szCs w:val="18"/>
          <w:b w:val="1"/>
          <w:bCs w:val="1"/>
          <w:color w:val="auto"/>
        </w:rPr>
      </w:pPr>
    </w:p>
    <w:p>
      <w:pPr>
        <w:ind w:left="-8" w:right="220" w:firstLine="464"/>
        <w:spacing w:after="0" w:line="262" w:lineRule="auto"/>
        <w:tabs>
          <w:tab w:leader="none" w:pos="712"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No waiver of any provision of this Agreement shall be effective unless made in writing and signed by the waiving party. The failure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32" w:lineRule="exact"/>
        <w:rPr>
          <w:rFonts w:ascii="Arial" w:cs="Arial" w:eastAsia="Arial" w:hAnsi="Arial"/>
          <w:sz w:val="18"/>
          <w:szCs w:val="18"/>
          <w:b w:val="1"/>
          <w:bCs w:val="1"/>
          <w:color w:val="auto"/>
        </w:rPr>
      </w:pPr>
    </w:p>
    <w:p>
      <w:pPr>
        <w:ind w:left="712" w:hanging="256"/>
        <w:spacing w:after="0"/>
        <w:tabs>
          <w:tab w:leader="none" w:pos="712"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77" w:lineRule="exact"/>
        <w:rPr>
          <w:rFonts w:ascii="Arial" w:cs="Arial" w:eastAsia="Arial" w:hAnsi="Arial"/>
          <w:sz w:val="18"/>
          <w:szCs w:val="18"/>
          <w:b w:val="1"/>
          <w:bCs w:val="1"/>
          <w:color w:val="auto"/>
        </w:rPr>
      </w:pPr>
    </w:p>
    <w:p>
      <w:pPr>
        <w:ind w:left="-8" w:right="60" w:firstLine="921"/>
        <w:spacing w:after="0" w:line="305" w:lineRule="auto"/>
        <w:tabs>
          <w:tab w:leader="none" w:pos="1144" w:val="left"/>
        </w:tabs>
        <w:numPr>
          <w:ilvl w:val="2"/>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Jurisdiction. </w:t>
      </w:r>
      <w:r>
        <w:rPr>
          <w:rFonts w:ascii="Arial" w:cs="Arial" w:eastAsia="Arial" w:hAnsi="Arial"/>
          <w:sz w:val="15"/>
          <w:szCs w:val="15"/>
          <w:color w:val="auto"/>
        </w:rPr>
        <w:t>Executive and the Company hereby agree that the courts of the State of Connecticut shall have the exclusive jurisdiction to consider</w:t>
      </w:r>
      <w:r>
        <w:rPr>
          <w:rFonts w:ascii="Arial" w:cs="Arial" w:eastAsia="Arial" w:hAnsi="Arial"/>
          <w:sz w:val="15"/>
          <w:szCs w:val="15"/>
          <w:i w:val="1"/>
          <w:iCs w:val="1"/>
          <w:color w:val="auto"/>
        </w:rPr>
        <w:t xml:space="preserve"> </w:t>
      </w:r>
      <w:r>
        <w:rPr>
          <w:rFonts w:ascii="Arial" w:cs="Arial" w:eastAsia="Arial" w:hAnsi="Arial"/>
          <w:sz w:val="15"/>
          <w:szCs w:val="15"/>
          <w:color w:val="auto"/>
        </w:rPr>
        <w:t>any matters related to this Agreement, including without limitation any claim for violation of this Agreement. With respect to any such court action, Executive</w:t>
      </w:r>
    </w:p>
    <w:p>
      <w:pPr>
        <w:ind w:left="-8" w:right="160" w:firstLine="8"/>
        <w:spacing w:after="0" w:line="261" w:lineRule="auto"/>
        <w:tabs>
          <w:tab w:leader="none" w:pos="2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submits to the jurisdiction of such courts, (ii) consents to service of process, and (iii) waives any other requirement (whether imposed by statute, rule of court or otherwise) with respect to personal jurisdiction or venue.</w:t>
      </w:r>
    </w:p>
    <w:p>
      <w:pPr>
        <w:spacing w:after="0" w:line="137" w:lineRule="exact"/>
        <w:rPr>
          <w:rFonts w:ascii="Arial" w:cs="Arial" w:eastAsia="Arial" w:hAnsi="Arial"/>
          <w:sz w:val="18"/>
          <w:szCs w:val="18"/>
          <w:color w:val="auto"/>
        </w:rPr>
      </w:pPr>
    </w:p>
    <w:p>
      <w:pPr>
        <w:ind w:left="-8" w:right="60" w:firstLine="921"/>
        <w:spacing w:after="0" w:line="255" w:lineRule="auto"/>
        <w:tabs>
          <w:tab w:leader="none" w:pos="1153" w:val="left"/>
        </w:tabs>
        <w:numPr>
          <w:ilvl w:val="2"/>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Relief. </w:t>
      </w:r>
      <w:r>
        <w:rPr>
          <w:rFonts w:ascii="Arial" w:cs="Arial" w:eastAsia="Arial" w:hAnsi="Arial"/>
          <w:sz w:val="18"/>
          <w:szCs w:val="18"/>
          <w:color w:val="auto"/>
        </w:rPr>
        <w:t>Executive agrees that it would be difficult to measure any harm caused to the Company that might result from any breach by Executive of</w:t>
      </w:r>
      <w:r>
        <w:rPr>
          <w:rFonts w:ascii="Arial" w:cs="Arial" w:eastAsia="Arial" w:hAnsi="Arial"/>
          <w:sz w:val="18"/>
          <w:szCs w:val="18"/>
          <w:i w:val="1"/>
          <w:iCs w:val="1"/>
          <w:color w:val="auto"/>
        </w:rPr>
        <w:t xml:space="preserve"> </w:t>
      </w:r>
      <w:r>
        <w:rPr>
          <w:rFonts w:ascii="Arial" w:cs="Arial" w:eastAsia="Arial" w:hAnsi="Arial"/>
          <w:sz w:val="18"/>
          <w:szCs w:val="18"/>
          <w:color w:val="auto"/>
        </w:rPr>
        <w:t>his promises set forth in Sections 8 or 9, 10 or 11 and that in any event money damages would be an inadequate remedy for any such breach. Accordingly, if Executive breaches, or proposes to breach, any portion of his obligations under Sections 8, 9, 10 or 11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36" w:lineRule="exact"/>
        <w:rPr>
          <w:rFonts w:ascii="Arial" w:cs="Arial" w:eastAsia="Arial" w:hAnsi="Arial"/>
          <w:sz w:val="18"/>
          <w:szCs w:val="18"/>
          <w:color w:val="auto"/>
        </w:rPr>
      </w:pPr>
    </w:p>
    <w:p>
      <w:pPr>
        <w:ind w:left="712" w:hanging="256"/>
        <w:spacing w:after="0"/>
        <w:tabs>
          <w:tab w:leader="none" w:pos="712"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Interpretation. </w:t>
      </w:r>
      <w:r>
        <w:rPr>
          <w:rFonts w:ascii="Arial" w:cs="Arial" w:eastAsia="Arial" w:hAnsi="Arial"/>
          <w:sz w:val="18"/>
          <w:szCs w:val="18"/>
          <w:color w:val="auto"/>
        </w:rPr>
        <w:t>This Agreement shall be interpreted and enforced under the laws of the</w:t>
      </w:r>
    </w:p>
    <w:p>
      <w:pPr>
        <w:spacing w:after="0" w:line="177" w:lineRule="exact"/>
        <w:rPr>
          <w:rFonts w:ascii="Arial" w:cs="Arial" w:eastAsia="Arial" w:hAnsi="Arial"/>
          <w:sz w:val="18"/>
          <w:szCs w:val="18"/>
          <w:b w:val="1"/>
          <w:bCs w:val="1"/>
          <w:color w:val="auto"/>
        </w:rPr>
      </w:pPr>
    </w:p>
    <w:p>
      <w:pPr>
        <w:ind w:left="-8" w:firstLine="464"/>
        <w:spacing w:after="0" w:line="259" w:lineRule="auto"/>
        <w:tabs>
          <w:tab w:leader="none" w:pos="712"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State of Connecticut without regard to conflict of laws principles. In the event of any dispute, this Agreement is intended by the parties to be construed as a whole, to be interpreted in accordance with its fair meaning, and not to be construed strictly for or against either Executive or the Company or the “drafter” of all or any portion of this Agreement.</w:t>
      </w:r>
    </w:p>
    <w:p>
      <w:pPr>
        <w:spacing w:after="0" w:line="134" w:lineRule="exact"/>
        <w:rPr>
          <w:rFonts w:ascii="Arial" w:cs="Arial" w:eastAsia="Arial" w:hAnsi="Arial"/>
          <w:sz w:val="18"/>
          <w:szCs w:val="18"/>
          <w:b w:val="1"/>
          <w:bCs w:val="1"/>
          <w:color w:val="auto"/>
        </w:rPr>
      </w:pPr>
    </w:p>
    <w:p>
      <w:pPr>
        <w:ind w:left="-8" w:right="80" w:firstLine="464"/>
        <w:spacing w:after="0" w:line="326" w:lineRule="auto"/>
        <w:tabs>
          <w:tab w:leader="none" w:pos="712" w:val="left"/>
        </w:tabs>
        <w:numPr>
          <w:ilvl w:val="1"/>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Entire Agreement. </w:t>
      </w:r>
      <w:r>
        <w:rPr>
          <w:rFonts w:ascii="Arial" w:cs="Arial" w:eastAsia="Arial" w:hAnsi="Arial"/>
          <w:sz w:val="15"/>
          <w:szCs w:val="15"/>
          <w:color w:val="auto"/>
        </w:rPr>
        <w:t>This Agreement, the Stock Option Plan, the Equity Award Agreements, the Restrictive Covenants, the provisions of the Prior</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Agreement specifically referred to in Section 1 (only to the extent applicable prior to the New CEO Commencement Date), Sections 17 and 18 of the Prior Employment Agreement and the Indemnification Agreement between the Company and the Executive constitute the entire agreement between Executive and the Company and supersede any previous agreements or understandings between Executive and the Company relating to the subject matter herein.</w:t>
      </w:r>
    </w:p>
    <w:p>
      <w:pPr>
        <w:spacing w:after="0" w:line="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sectPr>
      </w:pPr>
    </w:p>
    <w:bookmarkStart w:id="112" w:name="page113"/>
    <w:bookmarkEnd w:id="112"/>
    <w:p>
      <w:pPr>
        <w:ind w:left="-20" w:firstLine="464"/>
        <w:spacing w:after="0" w:line="258" w:lineRule="auto"/>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 for Consideration and Effective Date. </w:t>
      </w:r>
      <w:r>
        <w:rPr>
          <w:rFonts w:ascii="Arial" w:cs="Arial" w:eastAsia="Arial" w:hAnsi="Arial"/>
          <w:sz w:val="18"/>
          <w:szCs w:val="18"/>
          <w:color w:val="auto"/>
        </w:rPr>
        <w:t>Executive acknowledges and agrees that he had the opportunity to consider this Agreement for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twenty-one (21) days before signing it (the “Consideration Period”) and that no modifications to this Agreement had the effect of restarting the Consideration Period. To accept this Agreement, Executive must sign and return this Agreement to Joseph Zakrzewski, Executive Chairman. This Agreement shall become effective upon execution by both parties (the “Effective Date”).</w:t>
      </w:r>
    </w:p>
    <w:p>
      <w:pPr>
        <w:spacing w:after="0" w:line="136" w:lineRule="exact"/>
        <w:rPr>
          <w:rFonts w:ascii="Arial" w:cs="Arial" w:eastAsia="Arial" w:hAnsi="Arial"/>
          <w:sz w:val="18"/>
          <w:szCs w:val="18"/>
          <w:b w:val="1"/>
          <w:bCs w:val="1"/>
          <w:color w:val="auto"/>
        </w:rPr>
      </w:pPr>
    </w:p>
    <w:p>
      <w:pPr>
        <w:ind w:left="-20" w:right="60" w:firstLine="464"/>
        <w:spacing w:after="0" w:line="262" w:lineRule="auto"/>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Attorneys’ Fees. </w:t>
      </w:r>
      <w:r>
        <w:rPr>
          <w:rFonts w:ascii="Arial" w:cs="Arial" w:eastAsia="Arial" w:hAnsi="Arial"/>
          <w:sz w:val="18"/>
          <w:szCs w:val="18"/>
          <w:color w:val="auto"/>
        </w:rPr>
        <w:t>Each party shall bear his or its own costs and attorney’s fees in connection with the negotiation and drafting of this Agreement.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any legal action to enforce this Agreement, including those provisions that have been incorporated by reference, the party that prevails in such action shall be entitled to recover his, or its attorney’s fees and costs from the non-prevailing party or parties.</w:t>
      </w:r>
    </w:p>
    <w:p>
      <w:pPr>
        <w:spacing w:after="0" w:line="132" w:lineRule="exact"/>
        <w:rPr>
          <w:rFonts w:ascii="Arial" w:cs="Arial" w:eastAsia="Arial" w:hAnsi="Arial"/>
          <w:sz w:val="18"/>
          <w:szCs w:val="18"/>
          <w:b w:val="1"/>
          <w:bCs w:val="1"/>
          <w:color w:val="auto"/>
        </w:rPr>
      </w:pPr>
    </w:p>
    <w:p>
      <w:pPr>
        <w:ind w:left="-20" w:right="140" w:firstLine="464"/>
        <w:spacing w:after="0" w:line="275" w:lineRule="auto"/>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Transfer. </w:t>
      </w:r>
      <w:r>
        <w:rPr>
          <w:rFonts w:ascii="Arial" w:cs="Arial" w:eastAsia="Arial" w:hAnsi="Arial"/>
          <w:sz w:val="18"/>
          <w:szCs w:val="18"/>
          <w:color w:val="auto"/>
        </w:rPr>
        <w:t>Executive represents that he has not assigned or transferred, or purported to assign or transfer, to any person or entity, any Claim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Releasees or any portion thereof or interest therein.</w:t>
      </w:r>
    </w:p>
    <w:p>
      <w:pPr>
        <w:spacing w:after="0" w:line="119" w:lineRule="exact"/>
        <w:rPr>
          <w:rFonts w:ascii="Arial" w:cs="Arial" w:eastAsia="Arial" w:hAnsi="Arial"/>
          <w:sz w:val="18"/>
          <w:szCs w:val="18"/>
          <w:b w:val="1"/>
          <w:bCs w:val="1"/>
          <w:color w:val="auto"/>
        </w:rPr>
      </w:pPr>
    </w:p>
    <w:p>
      <w:pPr>
        <w:jc w:val="both"/>
        <w:ind w:left="-20" w:right="700" w:firstLine="464"/>
        <w:spacing w:after="0" w:line="262" w:lineRule="auto"/>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Nature of Agreement. </w:t>
      </w:r>
      <w:r>
        <w:rPr>
          <w:rFonts w:ascii="Arial" w:cs="Arial" w:eastAsia="Arial" w:hAnsi="Arial"/>
          <w:sz w:val="18"/>
          <w:szCs w:val="18"/>
          <w:color w:val="auto"/>
        </w:rPr>
        <w:t>This Agreement shall be binding upon each of the parties and upon the heirs, administrators,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successors and assigns of each of them, and shall inure to the benefit of each party and to the heirs, administrators, representatives, executors, successors, and assigns of each of them.</w:t>
      </w:r>
    </w:p>
    <w:p>
      <w:pPr>
        <w:spacing w:after="0" w:line="132" w:lineRule="exact"/>
        <w:rPr>
          <w:rFonts w:ascii="Arial" w:cs="Arial" w:eastAsia="Arial" w:hAnsi="Arial"/>
          <w:sz w:val="18"/>
          <w:szCs w:val="18"/>
          <w:b w:val="1"/>
          <w:bCs w:val="1"/>
          <w:color w:val="auto"/>
        </w:rPr>
      </w:pPr>
    </w:p>
    <w:p>
      <w:pPr>
        <w:ind w:left="-20" w:right="540" w:firstLine="464"/>
        <w:spacing w:after="0" w:line="378" w:lineRule="auto"/>
        <w:tabs>
          <w:tab w:leader="none" w:pos="70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Modification of Agreement. </w:t>
      </w:r>
      <w:r>
        <w:rPr>
          <w:rFonts w:ascii="Arial" w:cs="Arial" w:eastAsia="Arial" w:hAnsi="Arial"/>
          <w:sz w:val="15"/>
          <w:szCs w:val="15"/>
          <w:color w:val="auto"/>
        </w:rPr>
        <w:t>This Agreement may be amended, revoked, changed, or modified only upon a written agreement executed by both</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No waiver of any provision of this Agreement will be valid unless it is in writing and signed by the party against whom such waiver is charged.</w:t>
      </w:r>
    </w:p>
    <w:p>
      <w:pPr>
        <w:spacing w:after="0" w:line="50" w:lineRule="exact"/>
        <w:rPr>
          <w:rFonts w:ascii="Arial" w:cs="Arial" w:eastAsia="Arial" w:hAnsi="Arial"/>
          <w:sz w:val="15"/>
          <w:szCs w:val="15"/>
          <w:b w:val="1"/>
          <w:bCs w:val="1"/>
          <w:color w:val="auto"/>
        </w:rPr>
      </w:pPr>
    </w:p>
    <w:p>
      <w:pPr>
        <w:ind w:left="700" w:hanging="256"/>
        <w:spacing w:after="0"/>
        <w:tabs>
          <w:tab w:leader="none" w:pos="70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counterparts, and each counterpart, when executed, shall have the efficacy of a signed original.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113" w:name="page114"/>
    <w:bookmarkEnd w:id="113"/>
    <w:p>
      <w:pPr>
        <w:ind w:right="400" w:firstLine="464"/>
        <w:spacing w:after="0" w:line="275" w:lineRule="auto"/>
        <w:tabs>
          <w:tab w:leader="none" w:pos="7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Definition. </w:t>
      </w:r>
      <w:r>
        <w:rPr>
          <w:rFonts w:ascii="Arial" w:cs="Arial" w:eastAsia="Arial" w:hAnsi="Arial"/>
          <w:sz w:val="18"/>
          <w:szCs w:val="18"/>
          <w:color w:val="auto"/>
        </w:rPr>
        <w:t>For purposes of this Agreement, the term “Company” shall include the Company and its affiliated and related entities, and its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predecessors, successors and assigns.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has been executed as a sealed instrument by Executive and the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20"/>
        </w:trPr>
        <w:tc>
          <w:tcPr>
            <w:tcW w:w="4820" w:type="dxa"/>
            <w:vAlign w:val="bottom"/>
            <w:gridSpan w:val="2"/>
          </w:tcPr>
          <w:p>
            <w:pPr>
              <w:spacing w:after="0"/>
              <w:rPr>
                <w:sz w:val="20"/>
                <w:szCs w:val="20"/>
                <w:color w:val="auto"/>
              </w:rPr>
            </w:pPr>
            <w:r>
              <w:rPr>
                <w:rFonts w:ascii="Arial" w:cs="Arial" w:eastAsia="Arial" w:hAnsi="Arial"/>
                <w:sz w:val="18"/>
                <w:szCs w:val="18"/>
                <w:color w:val="auto"/>
              </w:rPr>
              <w:t>/s/ Declan Doogan</w:t>
            </w:r>
          </w:p>
        </w:tc>
        <w:tc>
          <w:tcPr>
            <w:tcW w:w="6600" w:type="dxa"/>
            <w:vAlign w:val="bottom"/>
            <w:gridSpan w:val="2"/>
          </w:tcPr>
          <w:p>
            <w:pPr>
              <w:ind w:left="2260"/>
              <w:spacing w:after="0"/>
              <w:rPr>
                <w:sz w:val="20"/>
                <w:szCs w:val="20"/>
                <w:color w:val="auto"/>
              </w:rPr>
            </w:pPr>
            <w:r>
              <w:rPr>
                <w:rFonts w:ascii="Arial" w:cs="Arial" w:eastAsia="Arial" w:hAnsi="Arial"/>
                <w:sz w:val="18"/>
                <w:szCs w:val="18"/>
                <w:color w:val="auto"/>
              </w:rPr>
              <w:t>8/16/2010</w:t>
            </w:r>
          </w:p>
        </w:tc>
      </w:tr>
      <w:tr>
        <w:trPr>
          <w:trHeight w:val="222"/>
        </w:trPr>
        <w:tc>
          <w:tcPr>
            <w:tcW w:w="4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Declan Doogan</w:t>
            </w:r>
          </w:p>
        </w:tc>
        <w:tc>
          <w:tcPr>
            <w:tcW w:w="226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AMARIN CORPORATION</w:t>
            </w:r>
          </w:p>
        </w:tc>
        <w:tc>
          <w:tcPr>
            <w:tcW w:w="22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33"/>
        </w:trPr>
        <w:tc>
          <w:tcPr>
            <w:tcW w:w="4820" w:type="dxa"/>
            <w:vAlign w:val="bottom"/>
            <w:gridSpan w:val="2"/>
          </w:tcPr>
          <w:p>
            <w:pPr>
              <w:spacing w:after="0"/>
              <w:rPr>
                <w:sz w:val="20"/>
                <w:szCs w:val="20"/>
                <w:color w:val="auto"/>
              </w:rPr>
            </w:pPr>
            <w:r>
              <w:rPr>
                <w:rFonts w:ascii="Arial" w:cs="Arial" w:eastAsia="Arial" w:hAnsi="Arial"/>
                <w:sz w:val="18"/>
                <w:szCs w:val="18"/>
                <w:color w:val="auto"/>
              </w:rPr>
              <w:t>By: /s/ Colin Stewart</w:t>
            </w:r>
          </w:p>
        </w:tc>
        <w:tc>
          <w:tcPr>
            <w:tcW w:w="6600" w:type="dxa"/>
            <w:vAlign w:val="bottom"/>
            <w:gridSpan w:val="2"/>
          </w:tcPr>
          <w:p>
            <w:pPr>
              <w:ind w:left="2260"/>
              <w:spacing w:after="0"/>
              <w:rPr>
                <w:sz w:val="20"/>
                <w:szCs w:val="20"/>
                <w:color w:val="auto"/>
              </w:rPr>
            </w:pPr>
            <w:r>
              <w:rPr>
                <w:rFonts w:ascii="Arial" w:cs="Arial" w:eastAsia="Arial" w:hAnsi="Arial"/>
                <w:sz w:val="18"/>
                <w:szCs w:val="18"/>
                <w:color w:val="auto"/>
              </w:rPr>
              <w:t>8/16/2010</w:t>
            </w:r>
          </w:p>
        </w:tc>
      </w:tr>
      <w:tr>
        <w:trPr>
          <w:trHeight w:val="216"/>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Colin Stewart</w:t>
            </w:r>
          </w:p>
        </w:tc>
        <w:tc>
          <w:tcPr>
            <w:tcW w:w="2260" w:type="dxa"/>
            <w:vAlign w:val="bottom"/>
          </w:tcPr>
          <w:p>
            <w:pPr>
              <w:spacing w:after="0"/>
              <w:rPr>
                <w:sz w:val="18"/>
                <w:szCs w:val="18"/>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22"/>
        </w:trPr>
        <w:tc>
          <w:tcPr>
            <w:tcW w:w="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and CEO</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60" w:type="dxa"/>
            <w:vAlign w:val="bottom"/>
          </w:tcPr>
          <w:p>
            <w:pPr>
              <w:jc w:val="right"/>
              <w:ind w:right="1192"/>
              <w:spacing w:after="0"/>
              <w:rPr>
                <w:sz w:val="20"/>
                <w:szCs w:val="20"/>
                <w:color w:val="auto"/>
              </w:rPr>
            </w:pPr>
            <w:r>
              <w:rPr>
                <w:rFonts w:ascii="Arial" w:cs="Arial" w:eastAsia="Arial" w:hAnsi="Arial"/>
                <w:sz w:val="18"/>
                <w:szCs w:val="18"/>
                <w:color w:val="auto"/>
              </w:rPr>
              <w:t>10</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To:</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w w:val="90"/>
              </w:rPr>
              <w:t>Amarin Corporation, Board of Directors</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From:</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Declan Doogan</w:t>
            </w:r>
          </w:p>
        </w:tc>
      </w:tr>
      <w:tr>
        <w:trPr>
          <w:trHeight w:val="325"/>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330"/>
        </w:trPr>
        <w:tc>
          <w:tcPr>
            <w:tcW w:w="900" w:type="dxa"/>
            <w:vAlign w:val="bottom"/>
          </w:tcPr>
          <w:p>
            <w:pPr>
              <w:spacing w:after="0"/>
              <w:rPr>
                <w:sz w:val="20"/>
                <w:szCs w:val="20"/>
                <w:color w:val="auto"/>
              </w:rPr>
            </w:pPr>
            <w:r>
              <w:rPr>
                <w:rFonts w:ascii="Arial" w:cs="Arial" w:eastAsia="Arial" w:hAnsi="Arial"/>
                <w:sz w:val="18"/>
                <w:szCs w:val="18"/>
                <w:color w:val="auto"/>
              </w:rPr>
              <w:t>SUBJECT:</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Disclosure Outside Activities</w:t>
            </w:r>
          </w:p>
        </w:tc>
      </w:tr>
    </w:tbl>
    <w:p>
      <w:pPr>
        <w:spacing w:after="0" w:line="15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is a complete list of all outside professional activities with which I am currently involved or reasonably expect to become involved in during my employment with Amarin. I understand that, in the event that I become involved in any professional activities during my employment by Amarin after I submit this Disclosure, I will promptly supplement and return this disclosure, as amended,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274320</wp:posOffset>
            </wp:positionV>
            <wp:extent cx="6663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428625</wp:posOffset>
            </wp:positionV>
            <wp:extent cx="6663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582930</wp:posOffset>
            </wp:positionV>
            <wp:extent cx="6663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737235</wp:posOffset>
            </wp:positionV>
            <wp:extent cx="6663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892175</wp:posOffset>
            </wp:positionV>
            <wp:extent cx="6663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1046480</wp:posOffset>
            </wp:positionV>
            <wp:extent cx="6663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Declan Doogan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Declan Doogan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Positions held as of August 16, 2010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88"/>
              </w:rPr>
              <w:t>Developing Products in</w:t>
            </w:r>
          </w:p>
        </w:tc>
      </w:tr>
      <w:tr>
        <w:trPr>
          <w:trHeight w:val="173"/>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Entity</w:t>
            </w:r>
          </w:p>
        </w:tc>
        <w:tc>
          <w:tcPr>
            <w:tcW w:w="14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Business</w:t>
            </w:r>
          </w:p>
        </w:tc>
        <w:tc>
          <w:tcPr>
            <w:tcW w:w="1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Position</w:t>
            </w:r>
          </w:p>
        </w:tc>
        <w:tc>
          <w:tcPr>
            <w:tcW w:w="1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CV and Lipids?</w:t>
            </w:r>
          </w:p>
        </w:tc>
      </w:tr>
      <w:tr>
        <w:trPr>
          <w:trHeight w:val="316"/>
        </w:trPr>
        <w:tc>
          <w:tcPr>
            <w:tcW w:w="2740" w:type="dxa"/>
            <w:vAlign w:val="bottom"/>
          </w:tcPr>
          <w:p>
            <w:pPr>
              <w:jc w:val="center"/>
              <w:spacing w:after="0"/>
              <w:rPr>
                <w:sz w:val="20"/>
                <w:szCs w:val="20"/>
                <w:color w:val="auto"/>
              </w:rPr>
            </w:pPr>
            <w:r>
              <w:rPr>
                <w:rFonts w:ascii="Arial" w:cs="Arial" w:eastAsia="Arial" w:hAnsi="Arial"/>
                <w:sz w:val="18"/>
                <w:szCs w:val="18"/>
                <w:color w:val="auto"/>
                <w:w w:val="89"/>
              </w:rPr>
              <w:t>WeAreUS</w:t>
            </w:r>
          </w:p>
        </w:tc>
        <w:tc>
          <w:tcPr>
            <w:tcW w:w="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Social Networking</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President and Founder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324"/>
        </w:trPr>
        <w:tc>
          <w:tcPr>
            <w:tcW w:w="2740" w:type="dxa"/>
            <w:vAlign w:val="bottom"/>
          </w:tcPr>
          <w:p>
            <w:pPr>
              <w:jc w:val="center"/>
              <w:spacing w:after="0"/>
              <w:rPr>
                <w:sz w:val="20"/>
                <w:szCs w:val="20"/>
                <w:color w:val="auto"/>
              </w:rPr>
            </w:pPr>
            <w:r>
              <w:rPr>
                <w:rFonts w:ascii="Arial" w:cs="Arial" w:eastAsia="Arial" w:hAnsi="Arial"/>
                <w:sz w:val="18"/>
                <w:szCs w:val="18"/>
                <w:color w:val="auto"/>
                <w:w w:val="84"/>
              </w:rPr>
              <w:t>Sosei</w:t>
            </w:r>
          </w:p>
        </w:tc>
        <w:tc>
          <w:tcPr>
            <w:tcW w:w="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2"/>
              </w:rPr>
              <w:t>Japanese Pharma</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Board Member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318"/>
        </w:trPr>
        <w:tc>
          <w:tcPr>
            <w:tcW w:w="2740" w:type="dxa"/>
            <w:vAlign w:val="bottom"/>
          </w:tcPr>
          <w:p>
            <w:pPr>
              <w:jc w:val="center"/>
              <w:spacing w:after="0"/>
              <w:rPr>
                <w:sz w:val="20"/>
                <w:szCs w:val="20"/>
                <w:color w:val="auto"/>
              </w:rPr>
            </w:pPr>
            <w:r>
              <w:rPr>
                <w:rFonts w:ascii="Arial" w:cs="Arial" w:eastAsia="Arial" w:hAnsi="Arial"/>
                <w:sz w:val="18"/>
                <w:szCs w:val="18"/>
                <w:color w:val="auto"/>
                <w:w w:val="95"/>
              </w:rPr>
              <w:t>PVRI</w:t>
            </w:r>
          </w:p>
        </w:tc>
        <w:tc>
          <w:tcPr>
            <w:tcW w:w="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Academic Network of</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Board Member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Cardiologist specialists in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Pulmonary Hypertension</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740" w:type="dxa"/>
            <w:vAlign w:val="bottom"/>
          </w:tcPr>
          <w:p>
            <w:pPr>
              <w:jc w:val="center"/>
              <w:spacing w:after="0"/>
              <w:rPr>
                <w:sz w:val="20"/>
                <w:szCs w:val="20"/>
                <w:color w:val="auto"/>
              </w:rPr>
            </w:pPr>
            <w:r>
              <w:rPr>
                <w:rFonts w:ascii="Arial" w:cs="Arial" w:eastAsia="Arial" w:hAnsi="Arial"/>
                <w:sz w:val="18"/>
                <w:szCs w:val="18"/>
                <w:color w:val="auto"/>
                <w:w w:val="88"/>
              </w:rPr>
              <w:t>Harvard, Glasgow and Kitasato</w:t>
            </w:r>
          </w:p>
        </w:tc>
        <w:tc>
          <w:tcPr>
            <w:tcW w:w="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Medical Schools</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Visiting Professorships</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22"/>
        </w:trPr>
        <w:tc>
          <w:tcPr>
            <w:tcW w:w="2740" w:type="dxa"/>
            <w:vAlign w:val="bottom"/>
          </w:tcPr>
          <w:p>
            <w:pPr>
              <w:ind w:left="1060"/>
              <w:spacing w:after="0"/>
              <w:rPr>
                <w:sz w:val="20"/>
                <w:szCs w:val="20"/>
                <w:color w:val="auto"/>
              </w:rPr>
            </w:pPr>
            <w:r>
              <w:rPr>
                <w:rFonts w:ascii="Arial" w:cs="Arial" w:eastAsia="Arial" w:hAnsi="Arial"/>
                <w:sz w:val="18"/>
                <w:szCs w:val="18"/>
                <w:color w:val="auto"/>
              </w:rPr>
              <w:t>Universities</w:t>
            </w:r>
          </w:p>
        </w:tc>
        <w:tc>
          <w:tcPr>
            <w:tcW w:w="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740" w:type="dxa"/>
            <w:vAlign w:val="bottom"/>
          </w:tcPr>
          <w:p>
            <w:pPr>
              <w:jc w:val="center"/>
              <w:spacing w:after="0"/>
              <w:rPr>
                <w:sz w:val="20"/>
                <w:szCs w:val="20"/>
                <w:color w:val="auto"/>
              </w:rPr>
            </w:pPr>
            <w:r>
              <w:rPr>
                <w:rFonts w:ascii="Arial" w:cs="Arial" w:eastAsia="Arial" w:hAnsi="Arial"/>
                <w:sz w:val="18"/>
                <w:szCs w:val="18"/>
                <w:color w:val="auto"/>
                <w:w w:val="87"/>
              </w:rPr>
              <w:t>Prometheus Laboratories</w:t>
            </w:r>
          </w:p>
        </w:tc>
        <w:tc>
          <w:tcPr>
            <w:tcW w:w="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Pharma Diagnostics and GI Onc</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R&amp;D advisor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6"/>
              </w:rPr>
              <w:t>products</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24"/>
        </w:trPr>
        <w:tc>
          <w:tcPr>
            <w:tcW w:w="2740" w:type="dxa"/>
            <w:vAlign w:val="bottom"/>
          </w:tcPr>
          <w:p>
            <w:pPr>
              <w:jc w:val="center"/>
              <w:spacing w:after="0"/>
              <w:rPr>
                <w:sz w:val="20"/>
                <w:szCs w:val="20"/>
                <w:color w:val="auto"/>
              </w:rPr>
            </w:pPr>
            <w:r>
              <w:rPr>
                <w:rFonts w:ascii="Arial" w:cs="Arial" w:eastAsia="Arial" w:hAnsi="Arial"/>
                <w:sz w:val="18"/>
                <w:szCs w:val="18"/>
                <w:color w:val="auto"/>
                <w:w w:val="90"/>
              </w:rPr>
              <w:t>Trojantec</w:t>
            </w:r>
          </w:p>
        </w:tc>
        <w:tc>
          <w:tcPr>
            <w:tcW w:w="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Start up oncology company</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Board member-investor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324"/>
        </w:trPr>
        <w:tc>
          <w:tcPr>
            <w:tcW w:w="2740" w:type="dxa"/>
            <w:vAlign w:val="bottom"/>
          </w:tcPr>
          <w:p>
            <w:pPr>
              <w:jc w:val="center"/>
              <w:spacing w:after="0"/>
              <w:rPr>
                <w:sz w:val="20"/>
                <w:szCs w:val="20"/>
                <w:color w:val="auto"/>
              </w:rPr>
            </w:pPr>
            <w:r>
              <w:rPr>
                <w:rFonts w:ascii="Arial" w:cs="Arial" w:eastAsia="Arial" w:hAnsi="Arial"/>
                <w:sz w:val="18"/>
                <w:szCs w:val="18"/>
                <w:color w:val="auto"/>
                <w:w w:val="92"/>
              </w:rPr>
              <w:t>Alimentary Health</w:t>
            </w:r>
          </w:p>
        </w:tc>
        <w:tc>
          <w:tcPr>
            <w:tcW w:w="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Probiotic company GI</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Advisor-investor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1420"/>
          </w:cols>
          <w:pgMar w:left="240" w:top="2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118110</wp:posOffset>
            </wp:positionV>
            <wp:extent cx="1903730" cy="3860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037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August 16,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Colin Stewart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Colin,</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behalf of Amarin Corporation plc (the “Company”), I am pleased to offer employment to you. The purpose of this letter (“Offer Letter”) is to outline the terms for your employment.</w:t>
      </w:r>
    </w:p>
    <w:p>
      <w:pPr>
        <w:spacing w:after="0" w:line="12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position will be President &amp; Chief Executive Officer (“CEO”) of the Company. This is a full-time, exempt position. You will report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(the “Board”). In addition to your role as CEO of the Company, you acknowledge and agree that you may be required, without additional compensation, to perform services for certain affiliated entities of the Company, including without limitation Amarin Pharma, Inc., and to accept any reasonable office or position with any such affiliate as the Board may require, including, but not limited to, service as an officer or director of any such affiliate. In addition, you will be appointed to the Company’s Board of Directors.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Unless otherwise agreed, your first day of employment will be August 16, 2010.</w:t>
      </w:r>
    </w:p>
    <w:p>
      <w:pPr>
        <w:spacing w:after="0" w:line="171"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 will be paid a bi-weekly salary at the annual rate of $450,000, less applicable deductions and withholdings. Your salary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review and adjustment at the discretion of the Company.</w:t>
      </w:r>
    </w:p>
    <w:p>
      <w:pPr>
        <w:spacing w:after="0" w:line="120"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You will be eligible to receive an annual performance bonus as determined by the Board (or the Remuneration Committee thereof)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The Company will target the Annual Bonus at 50% of your annual base salary, which shall be prorated for 2010. In addition, consistent with the Company’s current practice for its executives as part of the annual budget process, you and the Board or the Remuneration Committee will mutually agree upon “stretch” objectives which, if achieved, will be part of the Annual Bonus.</w:t>
      </w:r>
    </w:p>
    <w:p>
      <w:pPr>
        <w:spacing w:after="0" w:line="14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such bonuses shall be payable in the absolute discretion of the Board (or the Remuneration Committee thereof), taking into account the performance of the Company and your personal performance.</w:t>
      </w:r>
    </w:p>
    <w:p>
      <w:pPr>
        <w:spacing w:after="0" w:line="126"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You will be granted options to purchase 3,500,000 Ordinary Shares, par value £0.50 per share (and represented by American Depository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ADSs), which represents approximately 3.25% of the Company’s outstanding equity capitalization based on approximately 98,801,982 Ordinary Shares and options to purchase approximately 9,004,100 Ordinary Shares currently outstanding (excluding warrants). The exercise price per share of the options will be the closing price of the Company’s ADSs on the NASDAQ Capital Market on the</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 2</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date of grant, which shall be your first day of employment. The options will vest and become exercisable in four equal annual installments, beginning on the first anniversary of the date of grant and continuing on each of the following three anniversaries of the date of grant, so long as your employment continues through such vesting dates. In addition, as provided in the Company’s 2002 Stock Option Plan, if within two years following a Change of Control (as defined in the 2002 Stock Option Plan), your employment is terminated by the Company for any reason other than for Cause (as defined in the 2002 Stock Option Plan), all of your options will accelerate in full. The terms and conditions set forth in the 2002 Stock Option Plan and applicable stock option agreement shall govern any such option award. Subject to the requirements of applicable laws and regulations, the options will be priced, approved and granted at a meeting of the Remuneration Committee following the Commencement Date.</w:t>
      </w:r>
    </w:p>
    <w:p>
      <w:pPr>
        <w:spacing w:after="0" w:line="11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Location</w:t>
      </w:r>
      <w:r>
        <w:rPr>
          <w:rFonts w:ascii="Arial" w:cs="Arial" w:eastAsia="Arial" w:hAnsi="Arial"/>
          <w:sz w:val="16"/>
          <w:szCs w:val="16"/>
          <w:color w:val="auto"/>
        </w:rPr>
        <w:t>. The Company’s principal executive offices are located at First Floor, Block 3, The Oval, Shelbourne Road, Ballsbridge, Dublin 4, Ireland,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principal research and development facility and certain of its executive offices are located in Mystic, Connecticut, USA. The Company will reimburse you for all reasonable travel expenses associated with travel between your home and these locations, such reimbursement to be consistent with the terms of the Company policies and procedures. It is expected that you will conduct a strategic review of the location of the Company’s facilities in the United States, including the advisability of moving such facilities to New Jersey or Pennsylvania.</w:t>
      </w:r>
    </w:p>
    <w:p>
      <w:pPr>
        <w:spacing w:after="0" w:line="108"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You will be eligible to participate in the employee benefits and insurance programs generally made available to its full-time employees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includes health, life, disability and dental insurance. Details of these benefits programs will be made available to you when you start. You will also be eligible for up to 15 days of paid vacation per year which shall accrue on a prorated basis, in accordance with the Company’s vacation policy as in effect from time to time.</w:t>
      </w:r>
    </w:p>
    <w:p>
      <w:pPr>
        <w:spacing w:after="0" w:line="13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Severance</w:t>
      </w:r>
      <w:r>
        <w:rPr>
          <w:rFonts w:ascii="Arial" w:cs="Arial" w:eastAsia="Arial" w:hAnsi="Arial"/>
          <w:sz w:val="18"/>
          <w:szCs w:val="18"/>
          <w:color w:val="auto"/>
        </w:rPr>
        <w:t>. In the event the Company terminates your employment without Cause (as defined below) or you terminate your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Good Reason (as defined below), the Company shall provide to you the following termination benefits (the “Termination Benefits”) for a period of twelve (12) months:</w:t>
      </w:r>
    </w:p>
    <w:p>
      <w:pPr>
        <w:spacing w:after="0" w:line="57" w:lineRule="exact"/>
        <w:rPr>
          <w:sz w:val="20"/>
          <w:szCs w:val="20"/>
          <w:color w:val="auto"/>
        </w:rPr>
      </w:pPr>
    </w:p>
    <w:p>
      <w:pPr>
        <w:ind w:left="900" w:right="2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continuation of your base salary at the rate then in effect in accordance with the terms of the Company’s standard payroll schedule (solely for purposes of Section 409A of the Internal Revenue Code of 1986, as amended, each payment is considered a separate payment (“Salary Continuation Payments”);</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 rata Annual Bonus, as determined by the Board and consistent with your contribution to such objectives as part of the Annual Bonus, for the year in which you are terminated based on the number of days between January 1 and the last day of your employment. Such bonus to be paid at the same time as annual bonuses are paid to the Company’s other senior executives; and</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continuation of group health plan benefits to the extent authorized by and consistent with 29 U.S.C. §1161 et seq. (commonly known as “COBRA”), with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 3</w:t>
      </w:r>
    </w:p>
    <w:p>
      <w:pPr>
        <w:spacing w:after="0" w:line="158"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the cost of the regular premium for such benefits shared in the same relative proportion by the Company and you as in effect on the date of termination.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anything to the contrary in this Offer Letter, you may not terminate your employment with the Company for Good Reason unless you satisfy the “Good Reason Process” which means that: (A) you determine in good faith that a Good Reason Condition has occurred; (B) you notify the Company in writing of the occurrence of the Good Reason Condition within 60 days of the occurrence of such condition; (C) you provide the Company with a period not less than 30 days following such notice (the “Cure Period”) to remedy the Good Reason Condition; (D) notwithstanding such efforts, the Good Reason Condition continues to exist; and (E) you terminate employment within 60 days after the end of the Cure Period. If the Company cures the Good Reason Condition during the Cure Period, Good Reason shall be deemed not to have occurred.</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Notwithstanding anything to the contrary in this Offer Letter, you shall not be entitled to any Termination Benefits unless, within the time period specified by the Company not to exceed 30 days after the last day of your employment, you: (i) enter into, do not revoke, and comply with the terms of a separation agreement in a form acceptable to the Company which shall include a release against the Company and related persons and entities; (ii) resign from any and all positions, including, without implication of limitation, as a director, trustee, and officer, that you then hold with the Company and any affiliate of the Company; and (iii) return all Company property and comply with any instructions related to deleting and purging duplicates of such Company property. The Salary Continuation Payments shall commence on the Company’s next regular payroll date that follows the thirty day period that immediately follows the Termination Date. All compensation and benefits payable to you, other than the Termination Benefits, shall terminate on the date of termination of your employment.</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For purposes of this Offer Letter, “Cause” means (a) gross negligence or willful misconduct in the performance of your duties which results in material harm to the Company or its affiliates; (b) your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(i) any felony or (ii) any other crime involving either moral turpitude or your personal enrichment at the expense of the Company or its affiliates; (c) your refusal to perform your lawful duties and responsibilities with the Company or its affiliates; or (d) the material breach by you of any of the provisions contained in the Employee Confidentiality and Assignment Agreement or any other written agreement by and between you and the Company. For purposes of this Offer Letter, “Good Reason Condition” means a significant change in your responsibilities and/or duties which constitutes a material demotion or material diminution of duty. The ending of your employment as a result of your death or disability will not constitute a without Cause termination by the Company for purposes of this Offer Letter.</w:t>
      </w:r>
    </w:p>
    <w:p>
      <w:pPr>
        <w:spacing w:after="0" w:line="11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If you are made a party, or are threatened to be made a party, to any action, suit or proceeding, whether civil, criminal, administrative or</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investigative, by reason of the fact that you are an officer or employee of the Company or provided services to an affiliate thereof, you shall be indemnified and held harmless by the Company and such affiliate to the fullest extent permitted or authorized by applicable law and its organizational documents, against all cost, expense, liability and loss reasonably incurred or suffered by you in connection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4</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therewith. You shall be covered under the Company’s directors’ and officers’ liability insurance policy to the extent the Company provides such coverage for other similarly situated executives.</w:t>
      </w:r>
    </w:p>
    <w:p>
      <w:pPr>
        <w:spacing w:after="0" w:line="126"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Representation Regarding Other Obligations</w:t>
      </w:r>
      <w:r>
        <w:rPr>
          <w:rFonts w:ascii="Arial" w:cs="Arial" w:eastAsia="Arial" w:hAnsi="Arial"/>
          <w:sz w:val="16"/>
          <w:szCs w:val="16"/>
          <w:color w:val="auto"/>
        </w:rPr>
        <w:t>. You also will be required to sign, as a condition of your employment, an Employee Confidentiality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Agreement This offer is conditioned on your representation that you are not subject to any confidentiality, non-competition or other agreements that restricts your employment activities or that may affect your ability to devote full time and attention to your work at the Company. If you have entered into any agreement that may restrict your activities on behalf of the Company, please provide me with a copy of the agreement as soon as possible. You further represent that you have not used and will not use or disclose any trade secret or other proprietary right of any previous employer or any other party.</w:t>
      </w:r>
    </w:p>
    <w:p>
      <w:pPr>
        <w:spacing w:after="0" w:line="108"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b w:val="1"/>
          <w:bCs w:val="1"/>
          <w:color w:val="auto"/>
        </w:rPr>
        <w:t>Taxes; Section 409A</w:t>
      </w:r>
      <w:r>
        <w:rPr>
          <w:rFonts w:ascii="Arial" w:cs="Arial" w:eastAsia="Arial" w:hAnsi="Arial"/>
          <w:sz w:val="15"/>
          <w:szCs w:val="15"/>
          <w:color w:val="auto"/>
        </w:rPr>
        <w:t>. All forms of compensation referred to in this Offer Letter are subject to reduction to reflect applicable withholding and payroll taxes</w:t>
      </w:r>
      <w:r>
        <w:rPr>
          <w:rFonts w:ascii="Arial" w:cs="Arial" w:eastAsia="Arial" w:hAnsi="Arial"/>
          <w:sz w:val="15"/>
          <w:szCs w:val="15"/>
          <w:b w:val="1"/>
          <w:bCs w:val="1"/>
          <w:color w:val="auto"/>
        </w:rPr>
        <w:t xml:space="preserve"> </w:t>
      </w:r>
      <w:r>
        <w:rPr>
          <w:rFonts w:ascii="Arial" w:cs="Arial" w:eastAsia="Arial" w:hAnsi="Arial"/>
          <w:sz w:val="15"/>
          <w:szCs w:val="15"/>
          <w:color w:val="auto"/>
        </w:rPr>
        <w:t>and other deductions required by law. You hereby acknowledge that the Company does not have a duty to design its compensation policies in a manner that minimizes your tax liabilities, and you will not make any claim against the Company or its board of directors related to tax liabilities arising from your compensation. Anything in this Offer Letter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becomes entitled to under this Agreement on account of your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Offer Letter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1.409A-l(h). The Company and you intend that this Agreement will be administered in accordance with Section 409A of the Code. To the extent that any provision of this Agreement is ambiguous as to its compliance with Section 409A of the Code, the provision shall be read in</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 5</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such a manner so that all payments hereunder comply with Section 409A of the Code.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34"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Offer Letter, the Employee Confidentiality and Assignment Agreement, and any plans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applicable to the stock option grants referred to in this Offer Letter constitute the complete agreement between you and the Company, contain all of the terms of your employment with the Company and supersede any prior agreements, representations or understandings (whether written, oral or implied) between you and the Company. The terms of this Offer will be governed by Connecticut law. You and the Company submit to the exclusive personal jurisdiction of the federal and state courts located in the State of Connecticut in connection with any dispute or any claim related to this Offer Letter.</w:t>
      </w:r>
    </w:p>
    <w:p>
      <w:pPr>
        <w:spacing w:after="0" w:line="108"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Other Terms</w:t>
      </w:r>
      <w:r>
        <w:rPr>
          <w:rFonts w:ascii="Arial" w:cs="Arial" w:eastAsia="Arial" w:hAnsi="Arial"/>
          <w:sz w:val="18"/>
          <w:szCs w:val="18"/>
          <w:color w:val="auto"/>
        </w:rPr>
        <w:t>. Your employment with the Company will be on an “at will” basis. In other words, you or the Company may terminate your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and at any time, with or without cause. Although your job duties, title, compensation and benefits, as well as the Company’s benefit plans and personnel policies and procedures, may change from time to time, the “at will” nature of your employment may only be changed in an express written agreement signed by you and the Company.</w:t>
      </w:r>
    </w:p>
    <w:p>
      <w:pPr>
        <w:spacing w:after="0" w:line="14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In addition, this offer is subject satisfactory background and reference checks. As with all employees, our offer to you is also contingent on your submission of satisfactory proof of your identity and your legal authorization to work in the United States.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agree to the terms of this Offer Letter, please sign and return it to Joseph S. Zakrzewski, Executive Chairman, and return a copy to me no later than August 6, 2010.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AMARIN CORPORATION PLC</w:t>
            </w:r>
          </w:p>
        </w:tc>
        <w:tc>
          <w:tcPr>
            <w:tcW w:w="22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33"/>
        </w:trPr>
        <w:tc>
          <w:tcPr>
            <w:tcW w:w="4580" w:type="dxa"/>
            <w:vAlign w:val="bottom"/>
          </w:tcPr>
          <w:p>
            <w:pPr>
              <w:spacing w:after="0"/>
              <w:rPr>
                <w:sz w:val="20"/>
                <w:szCs w:val="20"/>
                <w:color w:val="auto"/>
              </w:rPr>
            </w:pPr>
            <w:r>
              <w:rPr>
                <w:rFonts w:ascii="Arial" w:cs="Arial" w:eastAsia="Arial" w:hAnsi="Arial"/>
                <w:sz w:val="18"/>
                <w:szCs w:val="18"/>
                <w:color w:val="auto"/>
              </w:rPr>
              <w:t>/s/ Joseph Zakrzewski</w:t>
            </w:r>
          </w:p>
        </w:tc>
        <w:tc>
          <w:tcPr>
            <w:tcW w:w="6840" w:type="dxa"/>
            <w:vAlign w:val="bottom"/>
            <w:gridSpan w:val="2"/>
          </w:tcPr>
          <w:p>
            <w:pPr>
              <w:ind w:left="2280"/>
              <w:spacing w:after="0"/>
              <w:rPr>
                <w:sz w:val="20"/>
                <w:szCs w:val="20"/>
                <w:color w:val="auto"/>
              </w:rPr>
            </w:pPr>
            <w:r>
              <w:rPr>
                <w:rFonts w:ascii="Arial" w:cs="Arial" w:eastAsia="Arial" w:hAnsi="Arial"/>
                <w:sz w:val="18"/>
                <w:szCs w:val="18"/>
                <w:color w:val="auto"/>
              </w:rPr>
              <w:t>8-15-00</w:t>
            </w:r>
          </w:p>
        </w:tc>
      </w:tr>
      <w:tr>
        <w:trPr>
          <w:trHeight w:val="216"/>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Joseph Zakrzewski</w:t>
            </w:r>
          </w:p>
        </w:tc>
        <w:tc>
          <w:tcPr>
            <w:tcW w:w="228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Title: Executive Chairman</w:t>
            </w:r>
          </w:p>
        </w:tc>
        <w:tc>
          <w:tcPr>
            <w:tcW w:w="22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ACKNOWLEDGED AND AGREED: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3"/>
        </w:trPr>
        <w:tc>
          <w:tcPr>
            <w:tcW w:w="4580" w:type="dxa"/>
            <w:vAlign w:val="bottom"/>
          </w:tcPr>
          <w:p>
            <w:pPr>
              <w:spacing w:after="0"/>
              <w:rPr>
                <w:sz w:val="20"/>
                <w:szCs w:val="20"/>
                <w:color w:val="auto"/>
              </w:rPr>
            </w:pPr>
            <w:r>
              <w:rPr>
                <w:rFonts w:ascii="Arial" w:cs="Arial" w:eastAsia="Arial" w:hAnsi="Arial"/>
                <w:sz w:val="18"/>
                <w:szCs w:val="18"/>
                <w:color w:val="auto"/>
              </w:rPr>
              <w:t>/s/ Colin Stewart</w:t>
            </w:r>
          </w:p>
        </w:tc>
        <w:tc>
          <w:tcPr>
            <w:tcW w:w="6840" w:type="dxa"/>
            <w:vAlign w:val="bottom"/>
            <w:gridSpan w:val="2"/>
          </w:tcPr>
          <w:p>
            <w:pPr>
              <w:ind w:left="2280"/>
              <w:spacing w:after="0"/>
              <w:rPr>
                <w:sz w:val="20"/>
                <w:szCs w:val="20"/>
                <w:color w:val="auto"/>
              </w:rPr>
            </w:pPr>
            <w:r>
              <w:rPr>
                <w:rFonts w:ascii="Arial" w:cs="Arial" w:eastAsia="Arial" w:hAnsi="Arial"/>
                <w:sz w:val="18"/>
                <w:szCs w:val="18"/>
                <w:color w:val="auto"/>
              </w:rPr>
              <w:t>8-15-00</w:t>
            </w:r>
          </w:p>
        </w:tc>
      </w:tr>
      <w:tr>
        <w:trPr>
          <w:trHeight w:val="222"/>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Colin Stewart</w:t>
            </w:r>
          </w:p>
        </w:tc>
        <w:tc>
          <w:tcPr>
            <w:tcW w:w="228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5"/>
        </w:trPr>
        <w:tc>
          <w:tcPr>
            <w:tcW w:w="4580" w:type="dxa"/>
            <w:vAlign w:val="bottom"/>
          </w:tcPr>
          <w:p>
            <w:pPr>
              <w:spacing w:after="0"/>
              <w:rPr>
                <w:sz w:val="24"/>
                <w:szCs w:val="24"/>
                <w:color w:val="auto"/>
              </w:rPr>
            </w:pPr>
          </w:p>
        </w:tc>
        <w:tc>
          <w:tcPr>
            <w:tcW w:w="2280" w:type="dxa"/>
            <w:vAlign w:val="bottom"/>
          </w:tcPr>
          <w:p>
            <w:pPr>
              <w:jc w:val="right"/>
              <w:ind w:right="1012"/>
              <w:spacing w:after="0"/>
              <w:rPr>
                <w:sz w:val="20"/>
                <w:szCs w:val="20"/>
                <w:color w:val="auto"/>
              </w:rPr>
            </w:pPr>
            <w:r>
              <w:rPr>
                <w:rFonts w:ascii="Arial" w:cs="Arial" w:eastAsia="Arial" w:hAnsi="Arial"/>
                <w:sz w:val="18"/>
                <w:szCs w:val="18"/>
                <w:color w:val="auto"/>
              </w:rPr>
              <w:t>5</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96"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9180" w:type="dxa"/>
            <w:vAlign w:val="bottom"/>
          </w:tcPr>
          <w:p>
            <w:pPr>
              <w:jc w:val="center"/>
              <w:ind w:left="1572"/>
              <w:spacing w:after="0"/>
              <w:rPr>
                <w:sz w:val="20"/>
                <w:szCs w:val="20"/>
                <w:color w:val="auto"/>
              </w:rPr>
            </w:pPr>
            <w:r>
              <w:rPr>
                <w:rFonts w:ascii="Arial" w:cs="Arial" w:eastAsia="Arial" w:hAnsi="Arial"/>
                <w:sz w:val="18"/>
                <w:szCs w:val="18"/>
                <w:b w:val="1"/>
                <w:bCs w:val="1"/>
                <w:color w:val="auto"/>
                <w:w w:val="88"/>
              </w:rPr>
              <w:t>Dated November 1, 2010</w:t>
            </w:r>
          </w:p>
        </w:tc>
        <w:tc>
          <w:tcPr>
            <w:tcW w:w="1940" w:type="dxa"/>
            <w:vAlign w:val="bottom"/>
          </w:tcPr>
          <w:p>
            <w:pPr>
              <w:spacing w:after="0"/>
              <w:rPr>
                <w:sz w:val="19"/>
                <w:szCs w:val="19"/>
                <w:color w:val="auto"/>
              </w:rPr>
            </w:pPr>
          </w:p>
        </w:tc>
      </w:tr>
      <w:tr>
        <w:trPr>
          <w:trHeight w:val="378"/>
        </w:trPr>
        <w:tc>
          <w:tcPr>
            <w:tcW w:w="300" w:type="dxa"/>
            <w:vAlign w:val="bottom"/>
          </w:tcPr>
          <w:p>
            <w:pPr>
              <w:spacing w:after="0"/>
              <w:rPr>
                <w:sz w:val="24"/>
                <w:szCs w:val="24"/>
                <w:color w:val="auto"/>
              </w:rPr>
            </w:pPr>
          </w:p>
        </w:tc>
        <w:tc>
          <w:tcPr>
            <w:tcW w:w="9180" w:type="dxa"/>
            <w:vAlign w:val="bottom"/>
          </w:tcPr>
          <w:p>
            <w:pPr>
              <w:jc w:val="center"/>
              <w:ind w:left="1552"/>
              <w:spacing w:after="0"/>
              <w:rPr>
                <w:sz w:val="20"/>
                <w:szCs w:val="20"/>
                <w:color w:val="auto"/>
              </w:rPr>
            </w:pPr>
            <w:r>
              <w:rPr>
                <w:rFonts w:ascii="Arial" w:cs="Arial" w:eastAsia="Arial" w:hAnsi="Arial"/>
                <w:sz w:val="18"/>
                <w:szCs w:val="18"/>
                <w:b w:val="1"/>
                <w:bCs w:val="1"/>
                <w:color w:val="auto"/>
                <w:w w:val="96"/>
              </w:rPr>
              <w:t>SUPPLY AGREEMENT</w:t>
            </w:r>
          </w:p>
        </w:tc>
        <w:tc>
          <w:tcPr>
            <w:tcW w:w="194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9180" w:type="dxa"/>
            <w:vAlign w:val="bottom"/>
          </w:tcPr>
          <w:p>
            <w:pPr>
              <w:jc w:val="center"/>
              <w:ind w:left="1572"/>
              <w:spacing w:after="0"/>
              <w:rPr>
                <w:sz w:val="20"/>
                <w:szCs w:val="20"/>
                <w:color w:val="auto"/>
              </w:rPr>
            </w:pPr>
            <w:r>
              <w:rPr>
                <w:rFonts w:ascii="Arial" w:cs="Arial" w:eastAsia="Arial" w:hAnsi="Arial"/>
                <w:sz w:val="18"/>
                <w:szCs w:val="18"/>
                <w:b w:val="1"/>
                <w:bCs w:val="1"/>
                <w:color w:val="auto"/>
                <w:w w:val="97"/>
              </w:rPr>
              <w:t>BETWEEN</w:t>
            </w:r>
          </w:p>
        </w:tc>
        <w:tc>
          <w:tcPr>
            <w:tcW w:w="194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9180" w:type="dxa"/>
            <w:vAlign w:val="bottom"/>
          </w:tcPr>
          <w:p>
            <w:pPr>
              <w:jc w:val="center"/>
              <w:ind w:left="1572"/>
              <w:spacing w:after="0"/>
              <w:rPr>
                <w:sz w:val="20"/>
                <w:szCs w:val="20"/>
                <w:color w:val="auto"/>
              </w:rPr>
            </w:pPr>
            <w:r>
              <w:rPr>
                <w:rFonts w:ascii="Arial" w:cs="Arial" w:eastAsia="Arial" w:hAnsi="Arial"/>
                <w:sz w:val="18"/>
                <w:szCs w:val="18"/>
                <w:b w:val="1"/>
                <w:bCs w:val="1"/>
                <w:color w:val="auto"/>
                <w:w w:val="90"/>
              </w:rPr>
              <w:t>(1) Nisshin Pharma Inc. (“Supplier”)</w:t>
            </w:r>
          </w:p>
        </w:tc>
        <w:tc>
          <w:tcPr>
            <w:tcW w:w="194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9180" w:type="dxa"/>
            <w:vAlign w:val="bottom"/>
          </w:tcPr>
          <w:p>
            <w:pPr>
              <w:jc w:val="center"/>
              <w:ind w:left="1552"/>
              <w:spacing w:after="0"/>
              <w:rPr>
                <w:sz w:val="20"/>
                <w:szCs w:val="20"/>
                <w:color w:val="auto"/>
              </w:rPr>
            </w:pPr>
            <w:r>
              <w:rPr>
                <w:rFonts w:ascii="Arial" w:cs="Arial" w:eastAsia="Arial" w:hAnsi="Arial"/>
                <w:sz w:val="18"/>
                <w:szCs w:val="18"/>
                <w:b w:val="1"/>
                <w:bCs w:val="1"/>
                <w:color w:val="auto"/>
                <w:w w:val="97"/>
              </w:rPr>
              <w:t>AND</w:t>
            </w:r>
          </w:p>
        </w:tc>
        <w:tc>
          <w:tcPr>
            <w:tcW w:w="194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9180" w:type="dxa"/>
            <w:vAlign w:val="bottom"/>
          </w:tcPr>
          <w:p>
            <w:pPr>
              <w:jc w:val="center"/>
              <w:ind w:left="1572"/>
              <w:spacing w:after="0"/>
              <w:rPr>
                <w:sz w:val="20"/>
                <w:szCs w:val="20"/>
                <w:color w:val="auto"/>
              </w:rPr>
            </w:pPr>
            <w:r>
              <w:rPr>
                <w:rFonts w:ascii="Arial" w:cs="Arial" w:eastAsia="Arial" w:hAnsi="Arial"/>
                <w:sz w:val="18"/>
                <w:szCs w:val="18"/>
                <w:b w:val="1"/>
                <w:bCs w:val="1"/>
                <w:color w:val="auto"/>
                <w:w w:val="91"/>
              </w:rPr>
              <w:t>(2) Amarin Pharmaceuticals Ireland Ltd. (“Amarin”)</w:t>
            </w:r>
          </w:p>
        </w:tc>
        <w:tc>
          <w:tcPr>
            <w:tcW w:w="1940" w:type="dxa"/>
            <w:vAlign w:val="bottom"/>
          </w:tcPr>
          <w:p>
            <w:pPr>
              <w:spacing w:after="0"/>
              <w:rPr>
                <w:sz w:val="24"/>
                <w:szCs w:val="24"/>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91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9180" w:type="dxa"/>
            <w:vAlign w:val="bottom"/>
          </w:tcPr>
          <w:p>
            <w:pPr>
              <w:ind w:left="120"/>
              <w:spacing w:after="0"/>
              <w:rPr>
                <w:sz w:val="20"/>
                <w:szCs w:val="20"/>
                <w:color w:val="auto"/>
              </w:rPr>
            </w:pPr>
            <w:r>
              <w:rPr>
                <w:rFonts w:ascii="Arial" w:cs="Arial" w:eastAsia="Arial" w:hAnsi="Arial"/>
                <w:sz w:val="18"/>
                <w:szCs w:val="18"/>
                <w:color w:val="auto"/>
              </w:rPr>
              <w:t>DUTIES</w:t>
            </w:r>
          </w:p>
        </w:tc>
        <w:tc>
          <w:tcPr>
            <w:tcW w:w="1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9180" w:type="dxa"/>
            <w:vAlign w:val="bottom"/>
          </w:tcPr>
          <w:p>
            <w:pPr>
              <w:ind w:left="120"/>
              <w:spacing w:after="0"/>
              <w:rPr>
                <w:sz w:val="20"/>
                <w:szCs w:val="20"/>
                <w:color w:val="auto"/>
              </w:rPr>
            </w:pPr>
            <w:r>
              <w:rPr>
                <w:rFonts w:ascii="Arial" w:cs="Arial" w:eastAsia="Arial" w:hAnsi="Arial"/>
                <w:sz w:val="18"/>
                <w:szCs w:val="18"/>
                <w:color w:val="auto"/>
              </w:rPr>
              <w:t>ORDER, ACCEPTANCE AND DELIVERY</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9180" w:type="dxa"/>
            <w:vAlign w:val="bottom"/>
          </w:tcPr>
          <w:p>
            <w:pPr>
              <w:ind w:left="120"/>
              <w:spacing w:after="0"/>
              <w:rPr>
                <w:sz w:val="20"/>
                <w:szCs w:val="20"/>
                <w:color w:val="auto"/>
              </w:rPr>
            </w:pPr>
            <w:r>
              <w:rPr>
                <w:rFonts w:ascii="Arial" w:cs="Arial" w:eastAsia="Arial" w:hAnsi="Arial"/>
                <w:sz w:val="18"/>
                <w:szCs w:val="18"/>
                <w:color w:val="auto"/>
              </w:rPr>
              <w:t>FORECASTS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9180" w:type="dxa"/>
            <w:vAlign w:val="bottom"/>
          </w:tcPr>
          <w:p>
            <w:pPr>
              <w:ind w:left="120"/>
              <w:spacing w:after="0"/>
              <w:rPr>
                <w:sz w:val="20"/>
                <w:szCs w:val="20"/>
                <w:color w:val="auto"/>
              </w:rPr>
            </w:pPr>
            <w:r>
              <w:rPr>
                <w:rFonts w:ascii="Arial" w:cs="Arial" w:eastAsia="Arial" w:hAnsi="Arial"/>
                <w:sz w:val="18"/>
                <w:szCs w:val="18"/>
                <w:color w:val="auto"/>
              </w:rPr>
              <w:t>PRICE AND MILESTONE PAYMENTS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9180" w:type="dxa"/>
            <w:vAlign w:val="bottom"/>
          </w:tcPr>
          <w:p>
            <w:pPr>
              <w:ind w:left="120"/>
              <w:spacing w:after="0"/>
              <w:rPr>
                <w:sz w:val="20"/>
                <w:szCs w:val="20"/>
                <w:color w:val="auto"/>
              </w:rPr>
            </w:pPr>
            <w:r>
              <w:rPr>
                <w:rFonts w:ascii="Arial" w:cs="Arial" w:eastAsia="Arial" w:hAnsi="Arial"/>
                <w:sz w:val="18"/>
                <w:szCs w:val="18"/>
                <w:color w:val="auto"/>
              </w:rPr>
              <w:t>TECHNICAL AGREEMENT</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9180" w:type="dxa"/>
            <w:vAlign w:val="bottom"/>
          </w:tcPr>
          <w:p>
            <w:pPr>
              <w:ind w:left="120"/>
              <w:spacing w:after="0"/>
              <w:rPr>
                <w:sz w:val="20"/>
                <w:szCs w:val="20"/>
                <w:color w:val="auto"/>
              </w:rPr>
            </w:pPr>
            <w:r>
              <w:rPr>
                <w:rFonts w:ascii="Arial" w:cs="Arial" w:eastAsia="Arial" w:hAnsi="Arial"/>
                <w:sz w:val="18"/>
                <w:szCs w:val="18"/>
                <w:color w:val="auto"/>
              </w:rPr>
              <w:t>WARRANTIES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918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9180" w:type="dxa"/>
            <w:vAlign w:val="bottom"/>
          </w:tcPr>
          <w:p>
            <w:pPr>
              <w:ind w:left="120"/>
              <w:spacing w:after="0"/>
              <w:rPr>
                <w:sz w:val="20"/>
                <w:szCs w:val="20"/>
                <w:color w:val="auto"/>
              </w:rPr>
            </w:pPr>
            <w:r>
              <w:rPr>
                <w:rFonts w:ascii="Arial" w:cs="Arial" w:eastAsia="Arial" w:hAnsi="Arial"/>
                <w:sz w:val="18"/>
                <w:szCs w:val="18"/>
                <w:color w:val="auto"/>
              </w:rPr>
              <w:t>SHIPPING TERM / TITLE AND RISK</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9180" w:type="dxa"/>
            <w:vAlign w:val="bottom"/>
          </w:tcPr>
          <w:p>
            <w:pPr>
              <w:ind w:left="120"/>
              <w:spacing w:after="0"/>
              <w:rPr>
                <w:sz w:val="20"/>
                <w:szCs w:val="20"/>
                <w:color w:val="auto"/>
              </w:rPr>
            </w:pPr>
            <w:r>
              <w:rPr>
                <w:rFonts w:ascii="Arial" w:cs="Arial" w:eastAsia="Arial" w:hAnsi="Arial"/>
                <w:sz w:val="18"/>
                <w:szCs w:val="18"/>
                <w:color w:val="auto"/>
              </w:rPr>
              <w:t>CONFIDENTIAL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9180" w:type="dxa"/>
            <w:vAlign w:val="bottom"/>
          </w:tcPr>
          <w:p>
            <w:pPr>
              <w:ind w:left="120"/>
              <w:spacing w:after="0"/>
              <w:rPr>
                <w:sz w:val="20"/>
                <w:szCs w:val="20"/>
                <w:color w:val="auto"/>
              </w:rPr>
            </w:pPr>
            <w:r>
              <w:rPr>
                <w:rFonts w:ascii="Arial" w:cs="Arial" w:eastAsia="Arial" w:hAnsi="Arial"/>
                <w:sz w:val="18"/>
                <w:szCs w:val="18"/>
                <w:color w:val="auto"/>
              </w:rPr>
              <w:t>FORCE MAJEUR</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9180" w:type="dxa"/>
            <w:vAlign w:val="bottom"/>
          </w:tcPr>
          <w:p>
            <w:pPr>
              <w:ind w:left="120"/>
              <w:spacing w:after="0"/>
              <w:rPr>
                <w:sz w:val="20"/>
                <w:szCs w:val="20"/>
                <w:color w:val="auto"/>
              </w:rPr>
            </w:pPr>
            <w:r>
              <w:rPr>
                <w:rFonts w:ascii="Arial" w:cs="Arial" w:eastAsia="Arial" w:hAnsi="Arial"/>
                <w:sz w:val="18"/>
                <w:szCs w:val="18"/>
                <w:color w:val="auto"/>
              </w:rPr>
              <w:t>TERM</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91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9180" w:type="dxa"/>
            <w:vAlign w:val="bottom"/>
          </w:tcPr>
          <w:p>
            <w:pPr>
              <w:ind w:left="120"/>
              <w:spacing w:after="0"/>
              <w:rPr>
                <w:sz w:val="20"/>
                <w:szCs w:val="20"/>
                <w:color w:val="auto"/>
              </w:rPr>
            </w:pPr>
            <w:r>
              <w:rPr>
                <w:rFonts w:ascii="Arial" w:cs="Arial" w:eastAsia="Arial" w:hAnsi="Arial"/>
                <w:sz w:val="18"/>
                <w:szCs w:val="18"/>
                <w:color w:val="auto"/>
              </w:rPr>
              <w:t>CONSEQUENCES OF TERMINATION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15</w:t>
            </w:r>
          </w:p>
        </w:tc>
        <w:tc>
          <w:tcPr>
            <w:tcW w:w="91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1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16</w:t>
            </w:r>
          </w:p>
        </w:tc>
        <w:tc>
          <w:tcPr>
            <w:tcW w:w="9180" w:type="dxa"/>
            <w:vAlign w:val="bottom"/>
          </w:tcPr>
          <w:p>
            <w:pPr>
              <w:ind w:left="120"/>
              <w:spacing w:after="0"/>
              <w:rPr>
                <w:sz w:val="20"/>
                <w:szCs w:val="20"/>
                <w:color w:val="auto"/>
              </w:rPr>
            </w:pPr>
            <w:r>
              <w:rPr>
                <w:rFonts w:ascii="Arial" w:cs="Arial" w:eastAsia="Arial" w:hAnsi="Arial"/>
                <w:sz w:val="18"/>
                <w:szCs w:val="18"/>
                <w:color w:val="auto"/>
              </w:rPr>
              <w:t>TERMINATION OF PRESENT AGREEMENT</w:t>
            </w:r>
          </w:p>
        </w:tc>
        <w:tc>
          <w:tcPr>
            <w:tcW w:w="1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17</w:t>
            </w:r>
          </w:p>
        </w:tc>
        <w:tc>
          <w:tcPr>
            <w:tcW w:w="918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194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12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7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SUPPLY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(hereinafter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November 1, 2010 (hereinafter the “</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ind w:right="2040"/>
        <w:spacing w:after="0" w:line="438" w:lineRule="auto"/>
        <w:rPr>
          <w:sz w:val="20"/>
          <w:szCs w:val="20"/>
          <w:color w:val="auto"/>
        </w:rPr>
      </w:pPr>
      <w:r>
        <w:rPr>
          <w:rFonts w:ascii="Arial" w:cs="Arial" w:eastAsia="Arial" w:hAnsi="Arial"/>
          <w:sz w:val="18"/>
          <w:szCs w:val="18"/>
          <w:b w:val="1"/>
          <w:bCs w:val="1"/>
          <w:color w:val="auto"/>
        </w:rPr>
        <w:t xml:space="preserve">Nisshin Pharma, Inc., </w:t>
      </w:r>
      <w:r>
        <w:rPr>
          <w:rFonts w:ascii="Arial" w:cs="Arial" w:eastAsia="Arial" w:hAnsi="Arial"/>
          <w:sz w:val="18"/>
          <w:szCs w:val="18"/>
          <w:color w:val="auto"/>
        </w:rPr>
        <w:t>whose head office is at 25, Kanda-Nishiki-cho 1-chome, Chiyoda-ku, Tokyo 101-8441 JAPAN (“</w:t>
      </w:r>
      <w:r>
        <w:rPr>
          <w:rFonts w:ascii="Arial" w:cs="Arial" w:eastAsia="Arial" w:hAnsi="Arial"/>
          <w:sz w:val="18"/>
          <w:szCs w:val="18"/>
          <w:b w:val="1"/>
          <w:bCs w:val="1"/>
          <w:color w:val="auto"/>
        </w:rPr>
        <w:t>Supplier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Amarin Pharmaceuticals Ireland Ltd., </w:t>
      </w:r>
      <w:r>
        <w:rPr>
          <w:rFonts w:ascii="Arial" w:cs="Arial" w:eastAsia="Arial" w:hAnsi="Arial"/>
          <w:sz w:val="16"/>
          <w:szCs w:val="16"/>
          <w:color w:val="auto"/>
        </w:rPr>
        <w:t>whose head office is at First Floor, Block 3, The Oval, Shelbourne Road, Ballsbridge, Dublin 4, Ireland (“</w:t>
      </w:r>
      <w:r>
        <w:rPr>
          <w:rFonts w:ascii="Arial" w:cs="Arial" w:eastAsia="Arial" w:hAnsi="Arial"/>
          <w:sz w:val="16"/>
          <w:szCs w:val="16"/>
          <w:b w:val="1"/>
          <w:bCs w:val="1"/>
          <w:color w:val="auto"/>
        </w:rPr>
        <w:t>Amarin</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(Supplier and Amarin each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WITNESSETH:</w:t>
      </w:r>
    </w:p>
    <w:p>
      <w:pPr>
        <w:spacing w:after="0" w:line="165"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Amarin is developing a pharmaceutical drug that incorporates the</w:t>
      </w:r>
      <w:r>
        <w:rPr>
          <w:rFonts w:ascii="Arial" w:cs="Arial" w:eastAsia="Arial" w:hAnsi="Arial"/>
          <w:sz w:val="18"/>
          <w:szCs w:val="18"/>
          <w:b w:val="1"/>
          <w:bCs w:val="1"/>
          <w:color w:val="auto"/>
        </w:rPr>
        <w:t xml:space="preserve"> Drug Substance </w:t>
      </w:r>
      <w:r>
        <w:rPr>
          <w:rFonts w:ascii="Arial" w:cs="Arial" w:eastAsia="Arial" w:hAnsi="Arial"/>
          <w:sz w:val="18"/>
          <w:szCs w:val="18"/>
          <w:color w:val="auto"/>
        </w:rPr>
        <w:t>(hereinafter defined) for the treatment of cardiovascular</w:t>
      </w:r>
      <w:r>
        <w:rPr>
          <w:rFonts w:ascii="Arial" w:cs="Arial" w:eastAsia="Arial" w:hAnsi="Arial"/>
          <w:sz w:val="18"/>
          <w:szCs w:val="18"/>
          <w:b w:val="1"/>
          <w:bCs w:val="1"/>
          <w:color w:val="auto"/>
        </w:rPr>
        <w:t xml:space="preserve"> </w:t>
      </w:r>
      <w:r>
        <w:rPr>
          <w:rFonts w:ascii="Arial" w:cs="Arial" w:eastAsia="Arial" w:hAnsi="Arial"/>
          <w:sz w:val="18"/>
          <w:szCs w:val="18"/>
          <w:color w:val="auto"/>
        </w:rPr>
        <w:t>diseases, including hypertriglyceridemia (hereinafter referred to as the “</w:t>
      </w:r>
      <w:r>
        <w:rPr>
          <w:rFonts w:ascii="Arial" w:cs="Arial" w:eastAsia="Arial" w:hAnsi="Arial"/>
          <w:sz w:val="18"/>
          <w:szCs w:val="18"/>
          <w:b w:val="1"/>
          <w:bCs w:val="1"/>
          <w:color w:val="auto"/>
        </w:rPr>
        <w:t>Product</w:t>
      </w:r>
      <w:r>
        <w:rPr>
          <w:rFonts w:ascii="Arial" w:cs="Arial" w:eastAsia="Arial" w:hAnsi="Arial"/>
          <w:sz w:val="18"/>
          <w:szCs w:val="18"/>
          <w:color w:val="auto"/>
        </w:rPr>
        <w:t>”).</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entered into that certain agreement on October 27, 1999 (the “</w:t>
      </w:r>
      <w:r>
        <w:rPr>
          <w:rFonts w:ascii="Arial" w:cs="Arial" w:eastAsia="Arial" w:hAnsi="Arial"/>
          <w:sz w:val="16"/>
          <w:szCs w:val="16"/>
          <w:b w:val="1"/>
          <w:bCs w:val="1"/>
          <w:color w:val="auto"/>
        </w:rPr>
        <w:t>1999 Agreement</w:t>
      </w:r>
      <w:r>
        <w:rPr>
          <w:rFonts w:ascii="Arial" w:cs="Arial" w:eastAsia="Arial" w:hAnsi="Arial"/>
          <w:sz w:val="16"/>
          <w:szCs w:val="16"/>
          <w:color w:val="auto"/>
        </w:rPr>
        <w:t>”) for the supply of Drug Substance in bulk style, from</w:t>
      </w:r>
      <w:r>
        <w:rPr>
          <w:rFonts w:ascii="Arial" w:cs="Arial" w:eastAsia="Arial" w:hAnsi="Arial"/>
          <w:sz w:val="16"/>
          <w:szCs w:val="16"/>
          <w:b w:val="1"/>
          <w:bCs w:val="1"/>
          <w:color w:val="auto"/>
        </w:rPr>
        <w:t xml:space="preserve"> </w:t>
      </w:r>
      <w:r>
        <w:rPr>
          <w:rFonts w:ascii="Arial" w:cs="Arial" w:eastAsia="Arial" w:hAnsi="Arial"/>
          <w:sz w:val="16"/>
          <w:szCs w:val="16"/>
          <w:color w:val="auto"/>
        </w:rPr>
        <w:t>Supplier to Amarin, for the purposes of conducting clinical trials within the CNS (Central Nervous System) field, to provide the Drug Substance to Amarin to be used as the active pharmaceutical ingredient for the Product and for submission to regulatory bodies for approval. (The 1999 Agreement was originally made and entered into between Nisshin Flour Milling Co., Ltd. (currently Nisshin Seifun Group Inc.), a Japanese corporation, the parent company of Supplier, and Laxdale Limited, a Scottish company, now known as Amarin Neuroscience Limited due to the corporate take-over closed on October 8, 2004 by Amarin Corporation plc, and the duties and obligations under the 1999 Agreement were transferred by assignment to the Parties, by Nisshin Flour Milling Co., Ltd. to Supplier on July 2, 2001; and by Amarin Neuroscience Limited to Amarin on November 15, 2005.)</w:t>
      </w:r>
    </w:p>
    <w:p>
      <w:pPr>
        <w:spacing w:after="0" w:line="113"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upon Amarin’s request and after discussion, Supplier agreed to extend the 1999 Agreement for a further three years in 2005, which resulted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that certain agreement of November 15, 2005, under which the supply of the Drug Substance was extended until June 6, 2008, as well as Supplier agreed to cooperate with Amarin, including but not limited to, for dealing with FDA inspections.</w:t>
      </w:r>
    </w:p>
    <w:p>
      <w:pPr>
        <w:spacing w:after="0" w:line="9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upon expiration of the extended period of supply, further discussions between the Parties occurred, and, as a result of such discussions, Supplier</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further cooperate with Amarin by continuing the current supply and providing assistance related to FDA inspections for a certain period of time, and on February 23, 2009 Supplier and Amarin executed that certain agreement which is a short-term supply agreement effective until March 31, 2012 (“</w:t>
      </w:r>
      <w:r>
        <w:rPr>
          <w:rFonts w:ascii="Arial" w:cs="Arial" w:eastAsia="Arial" w:hAnsi="Arial"/>
          <w:sz w:val="18"/>
          <w:szCs w:val="18"/>
          <w:b w:val="1"/>
          <w:bCs w:val="1"/>
          <w:color w:val="auto"/>
        </w:rPr>
        <w:t>Present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ectPr>
          <w:pgSz w:w="11900" w:h="16838" w:orient="portrait"/>
          <w:cols w:equalWidth="0" w:num="1">
            <w:col w:w="11340"/>
          </w:cols>
          <w:pgMar w:left="240" w:top="274" w:right="319" w:bottom="1440" w:gutter="0" w:footer="0" w:header="0"/>
        </w:sectPr>
      </w:pPr>
    </w:p>
    <w:bookmarkStart w:id="123" w:name="page124"/>
    <w:bookmarkEnd w:id="123"/>
    <w:p>
      <w:pPr>
        <w:ind w:right="9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WHEREAS, </w:t>
      </w:r>
      <w:r>
        <w:rPr>
          <w:rFonts w:ascii="Arial" w:cs="Arial" w:eastAsia="Arial" w:hAnsi="Arial"/>
          <w:sz w:val="18"/>
          <w:szCs w:val="18"/>
          <w:color w:val="auto"/>
        </w:rPr>
        <w:t>Amarin decided to discontinue the development of the Product for Huntington’s Disease treatment and to focus on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cardiovascular and other diseases, including hypertriglyceridemia, in the Territory.</w:t>
      </w:r>
    </w:p>
    <w:p>
      <w:pPr>
        <w:spacing w:after="0" w:line="12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long-standing relationship between the Parties is highly valued and Amarin appreciates the historical commitment and quality of Supplier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manufacturing capabilities.</w:t>
      </w:r>
    </w:p>
    <w:p>
      <w:pPr>
        <w:spacing w:after="0" w:line="12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 a result of mutual discussions by the Working Group as stipulated in Clause 6 of the Present Agreement, the Parties are willing to agree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for the long-term supply of the Drug Substance.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THE PARTIES AGREE </w:t>
      </w:r>
      <w:r>
        <w:rPr>
          <w:rFonts w:ascii="Arial" w:cs="Arial" w:eastAsia="Arial" w:hAnsi="Arial"/>
          <w:sz w:val="18"/>
          <w:szCs w:val="18"/>
          <w:color w:val="auto"/>
        </w:rPr>
        <w:t>as follows:</w:t>
      </w:r>
    </w:p>
    <w:p>
      <w:pPr>
        <w:spacing w:after="0" w:line="293" w:lineRule="exact"/>
        <w:rPr>
          <w:sz w:val="20"/>
          <w:szCs w:val="20"/>
          <w:color w:val="auto"/>
        </w:rPr>
      </w:pPr>
    </w:p>
    <w:p>
      <w:pPr>
        <w:ind w:left="920" w:hanging="912"/>
        <w:spacing w:after="0"/>
        <w:tabs>
          <w:tab w:leader="none" w:pos="9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definitions shall apply, unless the context requires otherwise:</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“Adverse Event” </w:t>
      </w:r>
      <w:r>
        <w:rPr>
          <w:rFonts w:ascii="Arial" w:cs="Arial" w:eastAsia="Arial" w:hAnsi="Arial"/>
          <w:sz w:val="18"/>
          <w:szCs w:val="18"/>
          <w:color w:val="auto"/>
        </w:rPr>
        <w:t>means any adverse event associated with the use of the Product in humans, whether or not considered drug-related,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event” as defined in ICH guidelines.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 corporation or non-corporate business entity that, directly or indirectly, controls, is controlled by, or is under common control with the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for so long as such control continues. An entity will be regarded as in control of another entity if it owns (or otherwise has the right to vote), directly or indirectly, more than 50% of the voting securities or capital stock of such entity, or has other comparable ownership interest with respect to any entity other than a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Sunday or other day on which commercial banks in New York City are authorized or required to close.</w:t>
      </w:r>
    </w:p>
    <w:p>
      <w:pPr>
        <w:spacing w:after="0" w:line="19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“Certificate of Analysis” </w:t>
      </w:r>
      <w:r>
        <w:rPr>
          <w:rFonts w:ascii="Arial" w:cs="Arial" w:eastAsia="Arial" w:hAnsi="Arial"/>
          <w:sz w:val="18"/>
          <w:szCs w:val="18"/>
          <w:color w:val="auto"/>
        </w:rPr>
        <w:t>means a document identified as such and provided by Supplier to Amarin that (i) sets forth the analytical test results for a specified lot</w:t>
      </w:r>
      <w:r>
        <w:rPr>
          <w:rFonts w:ascii="Arial" w:cs="Arial" w:eastAsia="Arial" w:hAnsi="Arial"/>
          <w:sz w:val="18"/>
          <w:szCs w:val="18"/>
          <w:b w:val="1"/>
          <w:bCs w:val="1"/>
          <w:color w:val="auto"/>
        </w:rPr>
        <w:t xml:space="preserve"> </w:t>
      </w:r>
      <w:r>
        <w:rPr>
          <w:rFonts w:ascii="Arial" w:cs="Arial" w:eastAsia="Arial" w:hAnsi="Arial"/>
          <w:sz w:val="18"/>
          <w:szCs w:val="18"/>
          <w:color w:val="auto"/>
        </w:rPr>
        <w:t>of Drug Substance shipped to Amarin or its designee hereunder and includes a certified quality control protocol, (ii) states that such Drug Substance is in conformance with the Specifications, and (iii) states that such Drug Substance is manufactured in accordance with the Specifications, Legal Requirements, cGMPs, and all other regulatory documents.</w:t>
      </w:r>
    </w:p>
    <w:p>
      <w:pPr>
        <w:spacing w:after="0" w:line="13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“cGMP” </w:t>
      </w:r>
      <w:r>
        <w:rPr>
          <w:rFonts w:ascii="Arial" w:cs="Arial" w:eastAsia="Arial" w:hAnsi="Arial"/>
          <w:sz w:val="18"/>
          <w:szCs w:val="18"/>
          <w:color w:val="auto"/>
        </w:rPr>
        <w:t>means current Good Manufacturing Practice as defined in (i) the FFDCA (US Federal Food, Drug and Cosmetic Act of 1934, and the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as may be amended from time to time), (ii) the International Conference on Harmonisation Guidelines, ICHQ7A Good Manufacturing Practices for Active Pharmaceutical Ingredients, as may be amended from time to time, and (iii) EC Directive 2003/94/EC and associated EC Guide to Good Manufacturing Practice, as may be amended from time to time.</w:t>
      </w:r>
    </w:p>
    <w:p>
      <w:pPr>
        <w:spacing w:after="0" w:line="13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includes information related to the Product, the Specifications and the Drug Substance, as well as any other information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operational,</w:t>
      </w:r>
    </w:p>
    <w:p>
      <w:pPr>
        <w:sectPr>
          <w:pgSz w:w="11900" w:h="16838" w:orient="portrait"/>
          <w:cols w:equalWidth="0" w:num="1">
            <w:col w:w="11380"/>
          </w:cols>
          <w:pgMar w:left="240" w:top="274" w:right="279" w:bottom="1440" w:gutter="0" w:footer="0" w:header="0"/>
        </w:sectPr>
      </w:pPr>
    </w:p>
    <w:bookmarkStart w:id="124" w:name="page125"/>
    <w:bookmarkEnd w:id="12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financial or business nature, know-how, trade secrets, intellectual property, inventions, data and any other proprietary information in any form, that is (a) disclosed (intentionally or unintentionally) by one Party to the other Party and (b) not publicly known. It does not include information which is in the public domain, information which was made public through no breach of this Agreement, information which is independently developed by a receiving Party without access to or use of the proprietary information of the disclosing Party, as evidenced by such receiving Party’s records, or information that became available to a receiving Party on a non-confidential basis, whether directly or indirectly, from a source other than the disclosing Party hereto, which source did not acquire this information on a confidential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“Destination” </w:t>
      </w:r>
      <w:r>
        <w:rPr>
          <w:rFonts w:ascii="Arial" w:cs="Arial" w:eastAsia="Arial" w:hAnsi="Arial"/>
          <w:sz w:val="18"/>
          <w:szCs w:val="18"/>
          <w:color w:val="auto"/>
        </w:rPr>
        <w:t>means the place designated by Amarin to which the Drug Substance shall be transported from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“DMFs” </w:t>
      </w:r>
      <w:r>
        <w:rPr>
          <w:rFonts w:ascii="Arial" w:cs="Arial" w:eastAsia="Arial" w:hAnsi="Arial"/>
          <w:sz w:val="18"/>
          <w:szCs w:val="18"/>
          <w:color w:val="auto"/>
        </w:rPr>
        <w:t>mean US and EU Drug Master Files for the Drug Substance.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“Drug Substance” </w:t>
      </w:r>
      <w:r>
        <w:rPr>
          <w:rFonts w:ascii="Arial" w:cs="Arial" w:eastAsia="Arial" w:hAnsi="Arial"/>
          <w:sz w:val="18"/>
          <w:szCs w:val="18"/>
          <w:color w:val="auto"/>
        </w:rPr>
        <w:t>means ethyl eicosapentaenoate described as “</w:t>
      </w:r>
      <w:r>
        <w:rPr>
          <w:rFonts w:ascii="Arial" w:cs="Arial" w:eastAsia="Arial" w:hAnsi="Arial"/>
          <w:sz w:val="18"/>
          <w:szCs w:val="18"/>
          <w:b w:val="1"/>
          <w:bCs w:val="1"/>
          <w:i w:val="1"/>
          <w:iCs w:val="1"/>
          <w:color w:val="auto"/>
        </w:rPr>
        <w:t>[***]</w:t>
      </w:r>
      <w:r>
        <w:rPr>
          <w:rFonts w:ascii="Arial" w:cs="Arial" w:eastAsia="Arial" w:hAnsi="Arial"/>
          <w:sz w:val="18"/>
          <w:szCs w:val="18"/>
          <w:color w:val="auto"/>
        </w:rPr>
        <w:t>” in the applicable DMFs, as further described in</w:t>
      </w:r>
      <w:r>
        <w:rPr>
          <w:rFonts w:ascii="Arial" w:cs="Arial" w:eastAsia="Arial" w:hAnsi="Arial"/>
          <w:sz w:val="18"/>
          <w:szCs w:val="18"/>
          <w:b w:val="1"/>
          <w:bCs w:val="1"/>
          <w:color w:val="auto"/>
        </w:rPr>
        <w:t xml:space="preserve"> Schedule Two</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“EBZ”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ethyl EPA.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 </w:t>
      </w:r>
      <w:r>
        <w:rPr>
          <w:rFonts w:ascii="Arial" w:cs="Arial" w:eastAsia="Arial" w:hAnsi="Arial"/>
          <w:sz w:val="18"/>
          <w:szCs w:val="18"/>
          <w:color w:val="auto"/>
        </w:rPr>
        <w:t>means the European Union.</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manufacturing site of Supplier at which the Drug Substance is manufactured located at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or such other facility as agreed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means each period beginning April 1 and ending the immediately following March 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means the United States Food and Drug Administration or any other successor agency.</w:t>
      </w:r>
    </w:p>
    <w:p>
      <w:pPr>
        <w:spacing w:after="0" w:line="17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“Governmental Body” </w:t>
      </w:r>
      <w:r>
        <w:rPr>
          <w:rFonts w:ascii="Arial" w:cs="Arial" w:eastAsia="Arial" w:hAnsi="Arial"/>
          <w:sz w:val="18"/>
          <w:szCs w:val="18"/>
          <w:color w:val="auto"/>
        </w:rPr>
        <w:t>means any nation or government, any state, province, or other political subdivision thereof, any entity with legal authority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legislative, judicial, regulatory or administrative functions, including the Regulatory Agencies, located in the US, Japan, and, to the extent Drug Substance will be used in manufacturing, testing and release activities to be performed in the EU or upon Amarin’s submission of an application for Marketing Approval in the EU, in the EU.</w:t>
      </w:r>
    </w:p>
    <w:p>
      <w:pPr>
        <w:spacing w:after="0" w:line="13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“Legal Requirements” </w:t>
      </w:r>
      <w:r>
        <w:rPr>
          <w:rFonts w:ascii="Arial" w:cs="Arial" w:eastAsia="Arial" w:hAnsi="Arial"/>
          <w:sz w:val="18"/>
          <w:szCs w:val="18"/>
          <w:color w:val="auto"/>
        </w:rPr>
        <w:t>mean any and all local, municipal, state, provincial, federal and international laws, statutes, ordinances, rules, or regulations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enacted or promulgated by any Governmental Body applicable to the development, approval, manufacture, sale, shipment or licensing of the Product, and the obligations of Supplier and Amarin, as the context requires, under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“Marketing Approval”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jurisdictions other than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market the Product for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“Milestone Payments” </w:t>
      </w:r>
      <w:r>
        <w:rPr>
          <w:rFonts w:ascii="Arial" w:cs="Arial" w:eastAsia="Arial" w:hAnsi="Arial"/>
          <w:sz w:val="18"/>
          <w:szCs w:val="18"/>
          <w:color w:val="auto"/>
        </w:rPr>
        <w:t>means those payments to be made by Amarin to Supplier as specified in</w:t>
      </w:r>
      <w:r>
        <w:rPr>
          <w:rFonts w:ascii="Arial" w:cs="Arial" w:eastAsia="Arial" w:hAnsi="Arial"/>
          <w:sz w:val="18"/>
          <w:szCs w:val="18"/>
          <w:b w:val="1"/>
          <w:bCs w:val="1"/>
          <w:color w:val="auto"/>
        </w:rPr>
        <w:t xml:space="preserve"> Schedule One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“Minimum Purchase Requirements” </w:t>
      </w:r>
      <w:r>
        <w:rPr>
          <w:rFonts w:ascii="Arial" w:cs="Arial" w:eastAsia="Arial" w:hAnsi="Arial"/>
          <w:sz w:val="16"/>
          <w:szCs w:val="16"/>
          <w:color w:val="auto"/>
        </w:rPr>
        <w:t>means the minimum amount of Drug Substance that Amarin shall purchase from Supplier as specified in</w:t>
      </w:r>
      <w:r>
        <w:rPr>
          <w:rFonts w:ascii="Arial" w:cs="Arial" w:eastAsia="Arial" w:hAnsi="Arial"/>
          <w:sz w:val="16"/>
          <w:szCs w:val="16"/>
          <w:b w:val="1"/>
          <w:bCs w:val="1"/>
          <w:color w:val="auto"/>
        </w:rPr>
        <w:t xml:space="preserve"> Schedule One</w:t>
      </w:r>
      <w:r>
        <w:rPr>
          <w:rFonts w:ascii="Arial" w:cs="Arial" w:eastAsia="Arial" w:hAnsi="Arial"/>
          <w:sz w:val="16"/>
          <w:szCs w:val="16"/>
          <w:color w:val="auto"/>
        </w:rPr>
        <w:t>.</w:t>
      </w:r>
    </w:p>
    <w:p>
      <w:pPr>
        <w:sectPr>
          <w:pgSz w:w="11900" w:h="16838" w:orient="portrait"/>
          <w:cols w:equalWidth="0" w:num="1">
            <w:col w:w="11420"/>
          </w:cols>
          <w:pgMar w:left="240" w:top="28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“PAI” </w:t>
      </w:r>
      <w:r>
        <w:rPr>
          <w:rFonts w:ascii="Arial" w:cs="Arial" w:eastAsia="Arial" w:hAnsi="Arial"/>
          <w:sz w:val="18"/>
          <w:szCs w:val="18"/>
          <w:color w:val="auto"/>
        </w:rPr>
        <w:t>means a Pre-Approval Inspection conducted by a Regulatory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partnership, company, unincorporated association or other entity.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“Prices” </w:t>
      </w:r>
      <w:r>
        <w:rPr>
          <w:rFonts w:ascii="Arial" w:cs="Arial" w:eastAsia="Arial" w:hAnsi="Arial"/>
          <w:sz w:val="16"/>
          <w:szCs w:val="16"/>
          <w:color w:val="auto"/>
        </w:rPr>
        <w:t>mean the prices of Drug Substance inclusive of all costs and expenses, including for Starting Materials. The Prices are specified in</w:t>
      </w:r>
      <w:r>
        <w:rPr>
          <w:rFonts w:ascii="Arial" w:cs="Arial" w:eastAsia="Arial" w:hAnsi="Arial"/>
          <w:sz w:val="16"/>
          <w:szCs w:val="16"/>
          <w:b w:val="1"/>
          <w:bCs w:val="1"/>
          <w:color w:val="auto"/>
        </w:rPr>
        <w:t xml:space="preserve"> Schedule One</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“Regulatory Agency” </w:t>
      </w:r>
      <w:r>
        <w:rPr>
          <w:rFonts w:ascii="Arial" w:cs="Arial" w:eastAsia="Arial" w:hAnsi="Arial"/>
          <w:sz w:val="18"/>
          <w:szCs w:val="18"/>
          <w:color w:val="auto"/>
        </w:rPr>
        <w:t>means any agency whose approval is necessary to market the Product in the Territory, including the FDA.</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the specifications for the Drug Substance annexed in</w:t>
      </w:r>
      <w:r>
        <w:rPr>
          <w:rFonts w:ascii="Arial" w:cs="Arial" w:eastAsia="Arial" w:hAnsi="Arial"/>
          <w:sz w:val="18"/>
          <w:szCs w:val="18"/>
          <w:b w:val="1"/>
          <w:bCs w:val="1"/>
          <w:color w:val="auto"/>
        </w:rPr>
        <w:t xml:space="preserve"> Schedule Three</w:t>
      </w:r>
      <w:r>
        <w:rPr>
          <w:rFonts w:ascii="Arial" w:cs="Arial" w:eastAsia="Arial" w:hAnsi="Arial"/>
          <w:sz w:val="18"/>
          <w:szCs w:val="18"/>
          <w:color w:val="auto"/>
        </w:rPr>
        <w:t>, as amended from time to time by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in accordance with Clause 2.10.</w:t>
      </w:r>
    </w:p>
    <w:p>
      <w:pPr>
        <w:spacing w:after="0" w:line="120"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 xml:space="preserve">“Starting Materials” </w:t>
      </w:r>
      <w:r>
        <w:rPr>
          <w:rFonts w:ascii="Arial" w:cs="Arial" w:eastAsia="Arial" w:hAnsi="Arial"/>
          <w:sz w:val="18"/>
          <w:szCs w:val="18"/>
          <w:color w:val="auto"/>
        </w:rPr>
        <w:t>mean (i) all starting materials, components, work-in-process and other ingredients received from Third Party Suppliers, including EBZ</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supplied by </w:t>
      </w:r>
      <w:r>
        <w:rPr>
          <w:rFonts w:ascii="Arial" w:cs="Arial" w:eastAsia="Arial" w:hAnsi="Arial"/>
          <w:sz w:val="18"/>
          <w:szCs w:val="18"/>
          <w:b w:val="1"/>
          <w:bCs w:val="1"/>
          <w:i w:val="1"/>
          <w:iCs w:val="1"/>
          <w:color w:val="auto"/>
        </w:rPr>
        <w:t>[***]</w:t>
      </w:r>
      <w:r>
        <w:rPr>
          <w:rFonts w:ascii="Arial" w:cs="Arial" w:eastAsia="Arial" w:hAnsi="Arial"/>
          <w:sz w:val="18"/>
          <w:szCs w:val="18"/>
          <w:color w:val="auto"/>
        </w:rPr>
        <w:t>, and used by Supplier to manufacture the Drug Substance, and (ii) all packaging materials received from Third Party Suppliers and used by Supplier in the manufacture, storage and shipment of the Drug Substance.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“Subcontractor” </w:t>
      </w:r>
      <w:r>
        <w:rPr>
          <w:rFonts w:ascii="Arial" w:cs="Arial" w:eastAsia="Arial" w:hAnsi="Arial"/>
          <w:sz w:val="16"/>
          <w:szCs w:val="16"/>
          <w:color w:val="auto"/>
        </w:rPr>
        <w:t>means any third person that is permitted by this Agreement to perform any of Supplier’s obligations under this Agreement on Supplier’s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“Technical Agreement” </w:t>
      </w:r>
      <w:r>
        <w:rPr>
          <w:rFonts w:ascii="Arial" w:cs="Arial" w:eastAsia="Arial" w:hAnsi="Arial"/>
          <w:sz w:val="18"/>
          <w:szCs w:val="18"/>
          <w:color w:val="auto"/>
        </w:rPr>
        <w:t>means the Technical Agreement between the Parties dated October 26, 2009, as may be amended from time to time.</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countries, excluding Japan, where Amarin has obtained, or has submitted applications to the competent Governmental Body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Approvals.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“Third Party Supplier” </w:t>
      </w:r>
      <w:r>
        <w:rPr>
          <w:rFonts w:ascii="Arial" w:cs="Arial" w:eastAsia="Arial" w:hAnsi="Arial"/>
          <w:sz w:val="16"/>
          <w:szCs w:val="16"/>
          <w:color w:val="auto"/>
        </w:rPr>
        <w:t>means any Person that provides to Supplier any Starting Materials for the Drug Substance produced under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or “USA” </w:t>
      </w:r>
      <w:r>
        <w:rPr>
          <w:rFonts w:ascii="Arial" w:cs="Arial" w:eastAsia="Arial" w:hAnsi="Arial"/>
          <w:sz w:val="18"/>
          <w:szCs w:val="18"/>
          <w:color w:val="auto"/>
        </w:rPr>
        <w:t>means the United States of America.</w:t>
      </w:r>
    </w:p>
    <w:p>
      <w:pPr>
        <w:spacing w:after="0" w:line="293" w:lineRule="exact"/>
        <w:rPr>
          <w:sz w:val="20"/>
          <w:szCs w:val="20"/>
          <w:color w:val="auto"/>
        </w:rPr>
      </w:pPr>
    </w:p>
    <w:p>
      <w:pPr>
        <w:ind w:left="920" w:hanging="912"/>
        <w:spacing w:after="0"/>
        <w:tabs>
          <w:tab w:leader="none" w:pos="9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2.1</w:t>
            </w: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During the term of this Agreement, Supplier shall manufacture at the Facility, and supply to Amarin quantities of Drug Substance ordered by Amarin</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from time to time in accordance with the terms and conditions of this Agreement.</w:t>
            </w:r>
          </w:p>
        </w:tc>
      </w:tr>
      <w:tr>
        <w:trPr>
          <w:trHeight w:val="285"/>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2.2</w:t>
            </w:r>
          </w:p>
        </w:tc>
        <w:tc>
          <w:tcPr>
            <w:tcW w:w="10820" w:type="dxa"/>
            <w:vAlign w:val="bottom"/>
          </w:tcPr>
          <w:p>
            <w:pPr>
              <w:ind w:left="340"/>
              <w:spacing w:after="0"/>
              <w:rPr>
                <w:sz w:val="20"/>
                <w:szCs w:val="20"/>
                <w:color w:val="auto"/>
              </w:rPr>
            </w:pPr>
            <w:r>
              <w:rPr>
                <w:rFonts w:ascii="Arial" w:cs="Arial" w:eastAsia="Arial" w:hAnsi="Arial"/>
                <w:sz w:val="18"/>
                <w:szCs w:val="18"/>
                <w:color w:val="auto"/>
                <w:w w:val="96"/>
              </w:rPr>
              <w:t>For avoidance of doubt, Amarin may purchase Drug Substance from third Persons as long as Amarin purchases the Minimum Purchase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2"/>
              </w:rPr>
              <w:t xml:space="preserve">Requirements from Supplier as specified in </w:t>
            </w:r>
            <w:r>
              <w:rPr>
                <w:rFonts w:ascii="Arial" w:cs="Arial" w:eastAsia="Arial" w:hAnsi="Arial"/>
                <w:sz w:val="18"/>
                <w:szCs w:val="18"/>
                <w:b w:val="1"/>
                <w:bCs w:val="1"/>
                <w:color w:val="auto"/>
                <w:w w:val="92"/>
              </w:rPr>
              <w:t>Schedule One</w:t>
            </w:r>
            <w:r>
              <w:rPr>
                <w:rFonts w:ascii="Arial" w:cs="Arial" w:eastAsia="Arial" w:hAnsi="Arial"/>
                <w:sz w:val="18"/>
                <w:szCs w:val="18"/>
                <w:color w:val="auto"/>
                <w:w w:val="92"/>
              </w:rPr>
              <w:t xml:space="preserve">. Upon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xml:space="preserve"> to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xml:space="preserve"> and consistent with the provisions in </w:t>
            </w:r>
            <w:r>
              <w:rPr>
                <w:rFonts w:ascii="Arial" w:cs="Arial" w:eastAsia="Arial" w:hAnsi="Arial"/>
                <w:sz w:val="18"/>
                <w:szCs w:val="18"/>
                <w:b w:val="1"/>
                <w:bCs w:val="1"/>
                <w:color w:val="auto"/>
                <w:w w:val="92"/>
              </w:rPr>
              <w:t>Schedule One</w:t>
            </w:r>
            <w:r>
              <w:rPr>
                <w:rFonts w:ascii="Arial" w:cs="Arial" w:eastAsia="Arial" w:hAnsi="Arial"/>
                <w:sz w:val="18"/>
                <w:szCs w:val="18"/>
                <w:color w:val="auto"/>
                <w:w w:val="92"/>
              </w:rPr>
              <w:t>, the Parties</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 xml:space="preserve">shall negotiate in good faith the volume of Amarin’s purchases of the Drug Substance for the period which begins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after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2.3</w:t>
            </w: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Supplier shall ensure that the Drug Substance meets the Specifications. Except as to Supplier’s obligation to comply with Legal Requirements of</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4"/>
              </w:rPr>
              <w:t>Governmental Bodies in the US, Japan, and, to the extent Drug Substance will be used in manufacturing, testing and release activities to be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performed in the EU or upon Amarin’s submission of an</w:t>
            </w:r>
          </w:p>
        </w:tc>
      </w:tr>
    </w:tbl>
    <w:p>
      <w:pPr>
        <w:sectPr>
          <w:pgSz w:w="11900" w:h="16838" w:orient="portrait"/>
          <w:cols w:equalWidth="0" w:num="1">
            <w:col w:w="11400"/>
          </w:cols>
          <w:pgMar w:left="240" w:top="274" w:right="25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application for Marketing Approval in the EU, in the EU, if Amarin requires Supplier to comply with Legal Requirements of Governmental Bodies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89"/>
              </w:rPr>
              <w:t>in any other countries, the Parties shall discuss in good faith the steps necessary for and the costs associated with ensuring that Supplier is able to</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89"/>
              </w:rPr>
              <w:t>comply with the Legal Requirements of Governmental Bodies in such country. If Supplier determines that it is not reasonably feasible for Supplier to</w:t>
            </w:r>
          </w:p>
        </w:tc>
      </w:tr>
      <w:tr>
        <w:trPr>
          <w:trHeight w:val="222"/>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9"/>
              </w:rPr>
              <w:t>observe and comply with the Legal Requirements in any specific country, the Parties shall consult in good faith as to how to proceed.</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2.4</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Supplier shall be responsible for procuring, inspecting and releasing adequate Starting Materials. Supplier will obtain Starting Materials with</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accompanying certificates of analysis from the Third Party Suppliers, and shall perform all testing of Starting Materials required by the applicable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88"/>
              </w:rPr>
              <w:t>Specifications, cGMP, Legal Requirements, this Agreement and the Technical Agreement, unless otherwise approved in writing by Amarin. Supplier</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 xml:space="preserve">shall be responsible for qualifying Third Party Suppliers and periodically performing audits of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and shall provide the results of such audit in</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writing to Amarin as soon as practical after the audit’s completion. Supplier shall prepare or cause to be prepared by its Third Party Suppliers all</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0"/>
              </w:rPr>
              <w:t>certifications as to any Starting Materials required by cGMPs or Legal Requirements. Without limiting the foregoing, Supplier shall guarantee that</w:t>
            </w:r>
          </w:p>
        </w:tc>
      </w:tr>
      <w:tr>
        <w:trPr>
          <w:trHeight w:val="222"/>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all Starting Materials comply in all respects with cGMP and all other Legal Requirements.</w:t>
            </w:r>
          </w:p>
        </w:tc>
      </w:tr>
      <w:tr>
        <w:trPr>
          <w:trHeight w:val="285"/>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2.5</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88"/>
              </w:rPr>
              <w:t>Amarin shall purchase from Supplier, and Supplier shall supply to Amarin, the Minimum Purchase Requirements of the Drug Substance as specified</w:t>
            </w:r>
          </w:p>
        </w:tc>
      </w:tr>
      <w:tr>
        <w:trPr>
          <w:trHeight w:val="228"/>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Schedule One</w:t>
            </w:r>
            <w:r>
              <w:rPr>
                <w:rFonts w:ascii="Arial" w:cs="Arial" w:eastAsia="Arial" w:hAnsi="Arial"/>
                <w:sz w:val="18"/>
                <w:szCs w:val="18"/>
                <w:color w:val="auto"/>
              </w:rPr>
              <w: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2.6</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Amarin shall make sure that all payments for these purchases are made on or before the due date.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2.7</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6"/>
              </w:rPr>
              <w:t>Supplier shall provide reasonable assistance to Amarin for the purpose of Amarin’s import clearances in respect of the Drug Substance.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2.8</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Initial Expansion, Technical Meeting, Etc.</w:t>
            </w:r>
          </w:p>
        </w:tc>
      </w:tr>
      <w:tr>
        <w:trPr>
          <w:trHeight w:val="285"/>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2.8.1</w:t>
            </w: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 xml:space="preserve">As further detailed in </w:t>
            </w:r>
            <w:r>
              <w:rPr>
                <w:rFonts w:ascii="Arial" w:cs="Arial" w:eastAsia="Arial" w:hAnsi="Arial"/>
                <w:sz w:val="18"/>
                <w:szCs w:val="18"/>
                <w:b w:val="1"/>
                <w:bCs w:val="1"/>
                <w:color w:val="auto"/>
                <w:w w:val="91"/>
              </w:rPr>
              <w:t>Schedule Four</w:t>
            </w:r>
            <w:r>
              <w:rPr>
                <w:rFonts w:ascii="Arial" w:cs="Arial" w:eastAsia="Arial" w:hAnsi="Arial"/>
                <w:sz w:val="18"/>
                <w:szCs w:val="18"/>
                <w:color w:val="auto"/>
                <w:w w:val="91"/>
              </w:rPr>
              <w:t>, Supplier shall increase its manufacturing capability and qualify the Facility as expanded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Initial Expansion</w:t>
            </w:r>
            <w:r>
              <w:rPr>
                <w:rFonts w:ascii="Arial" w:cs="Arial" w:eastAsia="Arial" w:hAnsi="Arial"/>
                <w:sz w:val="18"/>
                <w:szCs w:val="18"/>
                <w:color w:val="auto"/>
                <w:w w:val="88"/>
              </w:rPr>
              <w:t>”) at its sole cost and expense. The actual costs and expense of completing the Initial Expansion shall be referred to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herein as the “</w:t>
            </w:r>
            <w:r>
              <w:rPr>
                <w:rFonts w:ascii="Arial" w:cs="Arial" w:eastAsia="Arial" w:hAnsi="Arial"/>
                <w:sz w:val="18"/>
                <w:szCs w:val="18"/>
                <w:b w:val="1"/>
                <w:bCs w:val="1"/>
                <w:color w:val="auto"/>
                <w:w w:val="92"/>
              </w:rPr>
              <w:t>Expansion Costs</w:t>
            </w:r>
            <w:r>
              <w:rPr>
                <w:rFonts w:ascii="Arial" w:cs="Arial" w:eastAsia="Arial" w:hAnsi="Arial"/>
                <w:sz w:val="18"/>
                <w:szCs w:val="18"/>
                <w:color w:val="auto"/>
                <w:w w:val="92"/>
              </w:rPr>
              <w:t>.” In connection with the completion of the Initial Expansion, Supplier shall use its best efforts to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 xml:space="preserve">perform the activities set forth on </w:t>
            </w:r>
            <w:r>
              <w:rPr>
                <w:rFonts w:ascii="Arial" w:cs="Arial" w:eastAsia="Arial" w:hAnsi="Arial"/>
                <w:sz w:val="18"/>
                <w:szCs w:val="18"/>
                <w:b w:val="1"/>
                <w:bCs w:val="1"/>
                <w:color w:val="auto"/>
                <w:w w:val="91"/>
              </w:rPr>
              <w:t>Schedule Five</w:t>
            </w:r>
            <w:r>
              <w:rPr>
                <w:rFonts w:ascii="Arial" w:cs="Arial" w:eastAsia="Arial" w:hAnsi="Arial"/>
                <w:sz w:val="18"/>
                <w:szCs w:val="18"/>
                <w:color w:val="auto"/>
                <w:w w:val="91"/>
              </w:rPr>
              <w:t xml:space="preserve">. Upon Amarin’s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the Parties will discuss in good faith additional expansion of</w:t>
            </w:r>
          </w:p>
        </w:tc>
      </w:tr>
      <w:tr>
        <w:trPr>
          <w:trHeight w:val="228"/>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 xml:space="preserve">the Facility in order to permit Supplier to supply up to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during a Fiscal Year as further described in </w:t>
            </w:r>
            <w:r>
              <w:rPr>
                <w:rFonts w:ascii="Arial" w:cs="Arial" w:eastAsia="Arial" w:hAnsi="Arial"/>
                <w:sz w:val="18"/>
                <w:szCs w:val="18"/>
                <w:b w:val="1"/>
                <w:bCs w:val="1"/>
                <w:color w:val="auto"/>
              </w:rPr>
              <w:t>Schedule One</w:t>
            </w:r>
            <w:r>
              <w:rPr>
                <w:rFonts w:ascii="Arial" w:cs="Arial" w:eastAsia="Arial" w:hAnsi="Arial"/>
                <w:sz w:val="18"/>
                <w:szCs w:val="18"/>
                <w:color w:val="auto"/>
              </w:rPr>
              <w: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2.8.2</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 xml:space="preserve">Unless otherwise mutually agreed in writing, </w:t>
            </w:r>
            <w:r>
              <w:rPr>
                <w:rFonts w:ascii="Arial" w:cs="Arial" w:eastAsia="Arial" w:hAnsi="Arial"/>
                <w:sz w:val="18"/>
                <w:szCs w:val="18"/>
                <w:b w:val="1"/>
                <w:bCs w:val="1"/>
                <w:i w:val="1"/>
                <w:iCs w:val="1"/>
                <w:color w:val="auto"/>
                <w:w w:val="90"/>
              </w:rPr>
              <w:t>[***]</w:t>
            </w:r>
            <w:r>
              <w:rPr>
                <w:rFonts w:ascii="Arial" w:cs="Arial" w:eastAsia="Arial" w:hAnsi="Arial"/>
                <w:sz w:val="18"/>
                <w:szCs w:val="18"/>
                <w:color w:val="auto"/>
                <w:w w:val="90"/>
              </w:rPr>
              <w:t xml:space="preserve"> to </w:t>
            </w:r>
            <w:r>
              <w:rPr>
                <w:rFonts w:ascii="Arial" w:cs="Arial" w:eastAsia="Arial" w:hAnsi="Arial"/>
                <w:sz w:val="18"/>
                <w:szCs w:val="18"/>
                <w:b w:val="1"/>
                <w:bCs w:val="1"/>
                <w:i w:val="1"/>
                <w:iCs w:val="1"/>
                <w:color w:val="auto"/>
                <w:w w:val="90"/>
              </w:rPr>
              <w:t>[***]</w:t>
            </w:r>
            <w:r>
              <w:rPr>
                <w:rFonts w:ascii="Arial" w:cs="Arial" w:eastAsia="Arial" w:hAnsi="Arial"/>
                <w:sz w:val="18"/>
                <w:szCs w:val="18"/>
                <w:color w:val="auto"/>
                <w:w w:val="90"/>
              </w:rPr>
              <w:t>, the Parties shall meet or otherwise communicate to discuss at reasonable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intervals the forecasts delivered by Amarin pursuant to this Agreement and other matters relevant to the supply of Drug Substance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hereunder. Supplier shall accommodate technical meetings as reasonably requested by Amarin. In addition, at Amarin’s reasonable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request and to the extent that Supplier, in its reasonable discretion, determines it is necessary or useful, Supplier shall prepare and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provide to Amarin written product reviews documenting such matters at least annually.</w:t>
            </w:r>
          </w:p>
        </w:tc>
      </w:tr>
    </w:tbl>
    <w:p>
      <w:pPr>
        <w:sectPr>
          <w:pgSz w:w="11900" w:h="16838" w:orient="portrait"/>
          <w:cols w:equalWidth="0" w:num="1">
            <w:col w:w="11400"/>
          </w:cols>
          <w:pgMar w:left="240" w:top="280" w:right="25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2.8.3</w:t>
            </w:r>
          </w:p>
        </w:tc>
        <w:tc>
          <w:tcPr>
            <w:tcW w:w="9560" w:type="dxa"/>
            <w:vAlign w:val="bottom"/>
          </w:tcPr>
          <w:p>
            <w:pPr>
              <w:ind w:left="120"/>
              <w:spacing w:after="0"/>
              <w:rPr>
                <w:sz w:val="20"/>
                <w:szCs w:val="20"/>
                <w:color w:val="auto"/>
              </w:rPr>
            </w:pPr>
            <w:r>
              <w:rPr>
                <w:rFonts w:ascii="Arial" w:cs="Arial" w:eastAsia="Arial" w:hAnsi="Arial"/>
                <w:sz w:val="18"/>
                <w:szCs w:val="18"/>
                <w:color w:val="auto"/>
                <w:w w:val="89"/>
              </w:rPr>
              <w:t>Subject to Supplier’s written consent (such consent not to be unreasonably withheld or delayed), Amarin shall be allowed to have, at</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88"/>
              </w:rPr>
              <w:t>its cost, an employee of Amarin present at the Facility for the purpose of observing, reporting on, and consulting as to the manufacture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0"/>
              </w:rPr>
              <w:t>of the Drug Substance and the progress of the Initial Expansion and any additional expansion. Supplier will reasonably cooperate in</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0"/>
              </w:rPr>
              <w:t>enabling such employee of Amarin to carry out his or her activities. Amarin acknowledges that certain portions of the Facility will not</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rPr>
              <w:t>be accessible at times due to the confidential requirements of Supplier’s other customers.</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2.9</w:t>
            </w:r>
          </w:p>
        </w:tc>
        <w:tc>
          <w:tcPr>
            <w:tcW w:w="1240" w:type="dxa"/>
            <w:vAlign w:val="bottom"/>
          </w:tcPr>
          <w:p>
            <w:pPr>
              <w:ind w:left="340"/>
              <w:spacing w:after="0"/>
              <w:rPr>
                <w:sz w:val="20"/>
                <w:szCs w:val="20"/>
                <w:color w:val="auto"/>
              </w:rPr>
            </w:pPr>
            <w:r>
              <w:rPr>
                <w:rFonts w:ascii="Arial" w:cs="Arial" w:eastAsia="Arial" w:hAnsi="Arial"/>
                <w:sz w:val="18"/>
                <w:szCs w:val="18"/>
                <w:color w:val="auto"/>
              </w:rPr>
              <w:t>Regulatory</w:t>
            </w:r>
          </w:p>
        </w:tc>
        <w:tc>
          <w:tcPr>
            <w:tcW w:w="956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2.9.1</w:t>
            </w:r>
          </w:p>
        </w:tc>
        <w:tc>
          <w:tcPr>
            <w:tcW w:w="9560" w:type="dxa"/>
            <w:vAlign w:val="bottom"/>
          </w:tcPr>
          <w:p>
            <w:pPr>
              <w:ind w:left="120"/>
              <w:spacing w:after="0"/>
              <w:rPr>
                <w:sz w:val="20"/>
                <w:szCs w:val="20"/>
                <w:color w:val="auto"/>
              </w:rPr>
            </w:pPr>
            <w:r>
              <w:rPr>
                <w:rFonts w:ascii="Arial" w:cs="Arial" w:eastAsia="Arial" w:hAnsi="Arial"/>
                <w:sz w:val="18"/>
                <w:szCs w:val="18"/>
                <w:color w:val="auto"/>
                <w:w w:val="94"/>
              </w:rPr>
              <w:t>Save as otherwise agreed in writing with Amarin, Supplier shall maintain the DMFs in effect as of the date hereof. In the event</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3"/>
              </w:rPr>
              <w:t>Amarin notifies Supplier in writing that Amarin no longer intends to pursue Marketing Approval in the EU, Supplier shall have no</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rPr>
              <w:t>further obligation to maintain the EU DMF.</w:t>
            </w:r>
          </w:p>
        </w:tc>
      </w:tr>
      <w:tr>
        <w:trPr>
          <w:trHeight w:val="291"/>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4"/>
              </w:rPr>
              <w:t>Supplier hereby grants to Amarin the right to reference the DMFs and any other filings held in Supplier’s name in any relevant</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2"/>
              </w:rPr>
              <w:t>Regulatory Agency application or other documentation, including in the NDA for the Product (and its foreign equivalents in other</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1"/>
              </w:rPr>
              <w:t>jurisdiction within the Territory), to the extent such reference is necessary or useful to enable Amarin to file regulatory applications</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2"/>
              </w:rPr>
              <w:t>and to maintain any Marketing Approval or other regulatory approval. Supplier shall permit Amarin to review the non-confidential</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3"/>
              </w:rPr>
              <w:t>part of the DMFs; provided, however, that Supplier shall be entitled to redact proprietary information it reasonably determines is</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3"/>
              </w:rPr>
              <w:t>irrelevant to the purposes of Marketing Approvals for the Product (or maintenance of the Marketing Approvals for the Product).</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88"/>
              </w:rPr>
              <w:t>Supplier may, for purposes of complying with the immediately preceding sentence, permit a third Person reasonably acceptable to the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4"/>
              </w:rPr>
              <w:t>Parties access to the DMFs instead of Amarin. Under those circumstances, the third Person would only be permitted to report</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0"/>
              </w:rPr>
              <w:t>information to Amarin that are relevant to the Marketing Approvals for the Product (and maintenance of the Marketing Approvals for</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rPr>
              <w:t>the Product).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2.9.2</w:t>
            </w:r>
          </w:p>
        </w:tc>
        <w:tc>
          <w:tcPr>
            <w:tcW w:w="9560" w:type="dxa"/>
            <w:vAlign w:val="bottom"/>
          </w:tcPr>
          <w:p>
            <w:pPr>
              <w:ind w:left="120"/>
              <w:spacing w:after="0"/>
              <w:rPr>
                <w:sz w:val="20"/>
                <w:szCs w:val="20"/>
                <w:color w:val="auto"/>
              </w:rPr>
            </w:pPr>
            <w:r>
              <w:rPr>
                <w:rFonts w:ascii="Arial" w:cs="Arial" w:eastAsia="Arial" w:hAnsi="Arial"/>
                <w:sz w:val="18"/>
                <w:szCs w:val="18"/>
                <w:color w:val="auto"/>
                <w:w w:val="88"/>
              </w:rPr>
              <w:t>Supplier shall implement and perform operating procedures and controls for sampling and other testing of Starting Materials and Drug</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560" w:type="dxa"/>
            <w:vAlign w:val="bottom"/>
          </w:tcPr>
          <w:p>
            <w:pPr>
              <w:ind w:left="120"/>
              <w:spacing w:after="0"/>
              <w:rPr>
                <w:sz w:val="20"/>
                <w:szCs w:val="20"/>
                <w:color w:val="auto"/>
              </w:rPr>
            </w:pPr>
            <w:r>
              <w:rPr>
                <w:rFonts w:ascii="Arial" w:cs="Arial" w:eastAsia="Arial" w:hAnsi="Arial"/>
                <w:sz w:val="18"/>
                <w:szCs w:val="18"/>
                <w:color w:val="auto"/>
                <w:w w:val="92"/>
              </w:rPr>
              <w:t>Substance, including stability testing for EBZ and the Drug Substance, and for validation, documentation and release of the Drug</w:t>
            </w:r>
          </w:p>
        </w:tc>
      </w:tr>
    </w:tbl>
    <w:p>
      <w:pPr>
        <w:ind w:left="1940"/>
        <w:spacing w:after="0" w:line="252" w:lineRule="auto"/>
        <w:rPr>
          <w:sz w:val="20"/>
          <w:szCs w:val="20"/>
          <w:color w:val="auto"/>
        </w:rPr>
      </w:pPr>
      <w:r>
        <w:rPr>
          <w:rFonts w:ascii="Arial" w:cs="Arial" w:eastAsia="Arial" w:hAnsi="Arial"/>
          <w:sz w:val="18"/>
          <w:szCs w:val="18"/>
          <w:color w:val="auto"/>
        </w:rPr>
        <w:t xml:space="preserve">Substance and such other quality assurance and quality control procedures as required by the Specifications, cGMPs, Legal Requirements, this Agreement and the Technical Agreement. Without limiting the foregoing, Supplier shall maintain such Drug Substance in accordance with ICH Q7 guidelines. Without limiting the foregoing, upon at least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prior written request by Amarin, Supplier shall deliver Reference Standards to Amarin or third Persons designated by Amarin who perform testing of Drug Substance and Product on behalf of Amarin; provided, however, that Amarin shall bear the manufacturing cost of the Reference Standards supplied to Amarin or its third Person designees and that Amarin and such third Persons shall not use Reference Standards except for the testing and evaluation of Drug Substance purchased from Supplier and Product incorporating such Drug Substance purchased from Supplier.</w:t>
      </w:r>
    </w:p>
    <w:p>
      <w:pPr>
        <w:sectPr>
          <w:pgSz w:w="11900" w:h="16838" w:orient="portrait"/>
          <w:cols w:equalWidth="0" w:num="1">
            <w:col w:w="11420"/>
          </w:cols>
          <w:pgMar w:left="240" w:top="280"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2.9.3</w:t>
            </w:r>
          </w:p>
        </w:tc>
        <w:tc>
          <w:tcPr>
            <w:tcW w:w="9740" w:type="dxa"/>
            <w:vAlign w:val="bottom"/>
          </w:tcPr>
          <w:p>
            <w:pPr>
              <w:ind w:left="340"/>
              <w:spacing w:after="0"/>
              <w:rPr>
                <w:sz w:val="20"/>
                <w:szCs w:val="20"/>
                <w:color w:val="auto"/>
              </w:rPr>
            </w:pPr>
            <w:r>
              <w:rPr>
                <w:rFonts w:ascii="Arial" w:cs="Arial" w:eastAsia="Arial" w:hAnsi="Arial"/>
                <w:sz w:val="18"/>
                <w:szCs w:val="18"/>
                <w:color w:val="auto"/>
                <w:w w:val="92"/>
              </w:rPr>
              <w:t>Supplier shall provide to each Governmental Body documents and information requested by each Governmental Body related to</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2"/>
              </w:rPr>
              <w:t>Supplier’s and Amarin’s regulatory filings for the Product, and, at Amarin’s reasonable request, Supplier shall provide to Amarin</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2"/>
              </w:rPr>
              <w:t>copies of such documents and information requested by each Governmental Body to the extent directly related to Supplier’s and</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0"/>
              </w:rPr>
              <w:t>Amarin’s regulatory filings for the Product. Copies of non-confidential part of documents to be provided to any Governmental Body</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3"/>
              </w:rPr>
              <w:t>which are directly related to Supplier’s and Amarin’s regulatory filings for the Product shall be provided to Amarin in advance of</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3"/>
              </w:rPr>
              <w:t>delivery to such Governmental Body, if possible, or otherwise as soon as practicable thereafter. Notwithstanding the foregoing,</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1"/>
              </w:rPr>
              <w:t>Amarin acknowledges Supplier’s interest in protecting certain proprietary information in the DMFs. Supplier may, in its reasonable</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4"/>
              </w:rPr>
              <w:t>discretion, deliver such information requested by Amarin or such Governmental Body in support of Amarin’s regulatory filings</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2"/>
              </w:rPr>
              <w:t>directly to the applicable Governmental Body; provided, however, that Supplier shall permit a third Person consultant reasonably</w:t>
            </w:r>
          </w:p>
        </w:tc>
      </w:tr>
      <w:tr>
        <w:trPr>
          <w:trHeight w:val="222"/>
        </w:trPr>
        <w:tc>
          <w:tcPr>
            <w:tcW w:w="680" w:type="dxa"/>
            <w:vAlign w:val="bottom"/>
          </w:tcPr>
          <w:p>
            <w:pPr>
              <w:spacing w:after="0"/>
              <w:rPr>
                <w:sz w:val="19"/>
                <w:szCs w:val="19"/>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2"/>
              </w:rPr>
              <w:t>acceptable to both Parties to review such information to determine the adequacy of such information for the intended purposes.</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2.9.4</w:t>
            </w:r>
          </w:p>
        </w:tc>
        <w:tc>
          <w:tcPr>
            <w:tcW w:w="9740" w:type="dxa"/>
            <w:vAlign w:val="bottom"/>
          </w:tcPr>
          <w:p>
            <w:pPr>
              <w:ind w:left="340"/>
              <w:spacing w:after="0"/>
              <w:rPr>
                <w:sz w:val="20"/>
                <w:szCs w:val="20"/>
                <w:color w:val="auto"/>
              </w:rPr>
            </w:pPr>
            <w:r>
              <w:rPr>
                <w:rFonts w:ascii="Arial" w:cs="Arial" w:eastAsia="Arial" w:hAnsi="Arial"/>
                <w:sz w:val="18"/>
                <w:szCs w:val="18"/>
                <w:color w:val="auto"/>
                <w:w w:val="91"/>
              </w:rPr>
              <w:t>If Supplier is notified that Drug Substance or the portion of the Facility will be subject to an inspection by any Governmental Body,</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6"/>
              </w:rPr>
              <w:t>Supplier will: (i) immediately advise Amarin by telephone, email and facsimile and provide all relevant information known to</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6"/>
              </w:rPr>
              <w:t>Supplier regarding such investigation; (ii) fully cooperate with and allow any such inspection to the extent required by Legal</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2"/>
              </w:rPr>
              <w:t>Requirements; (iii) direct all inquiries related to Drug Substance, any Marketing Approval or Amarin’s Confidential Information to</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89"/>
              </w:rPr>
              <w:t>Amarin; and (iv) promptly send Amarin a copy of any inspection report observations issued by any Governmental Body related to the</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87"/>
              </w:rPr>
              <w:t>manufacture, generation, processing, storage, transportation, distribution, treatment, disposal or other management of Drug Substance</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88"/>
              </w:rPr>
              <w:t>and Starting Materials as well as responses to any inspection reports prepared in accordance with this Clause 2.9.4. Notwithstanding</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1"/>
              </w:rPr>
              <w:t>the foregoing, Amarin acknowledges Supplier’s interest in protecting certain proprietary information in connection with intellectual</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0"/>
              </w:rPr>
              <w:t>properties of Supplier. A third Person consultant appointed by Amarin and reasonably accepted by Supplier may be present at any</w:t>
            </w:r>
          </w:p>
        </w:tc>
      </w:tr>
      <w:tr>
        <w:trPr>
          <w:trHeight w:val="216"/>
        </w:trPr>
        <w:tc>
          <w:tcPr>
            <w:tcW w:w="68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0"/>
              </w:rPr>
              <w:t>inspection involving the Drug Substance, subject to reasonable restrictions intended to protect third Person proprietary information</w:t>
            </w:r>
          </w:p>
        </w:tc>
      </w:tr>
      <w:tr>
        <w:trPr>
          <w:trHeight w:val="222"/>
        </w:trPr>
        <w:tc>
          <w:tcPr>
            <w:tcW w:w="680" w:type="dxa"/>
            <w:vAlign w:val="bottom"/>
          </w:tcPr>
          <w:p>
            <w:pPr>
              <w:spacing w:after="0"/>
              <w:rPr>
                <w:sz w:val="19"/>
                <w:szCs w:val="19"/>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rPr>
              <w:t>and Supplier proprietary information not related to this Agreement.</w:t>
            </w:r>
          </w:p>
        </w:tc>
      </w:tr>
      <w:tr>
        <w:trPr>
          <w:trHeight w:val="285"/>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2.9.5</w:t>
            </w:r>
          </w:p>
        </w:tc>
        <w:tc>
          <w:tcPr>
            <w:tcW w:w="9740" w:type="dxa"/>
            <w:vAlign w:val="bottom"/>
          </w:tcPr>
          <w:p>
            <w:pPr>
              <w:ind w:left="340"/>
              <w:spacing w:after="0"/>
              <w:rPr>
                <w:sz w:val="20"/>
                <w:szCs w:val="20"/>
                <w:color w:val="auto"/>
              </w:rPr>
            </w:pPr>
            <w:r>
              <w:rPr>
                <w:rFonts w:ascii="Arial" w:cs="Arial" w:eastAsia="Arial" w:hAnsi="Arial"/>
                <w:sz w:val="18"/>
                <w:szCs w:val="18"/>
                <w:color w:val="auto"/>
                <w:w w:val="88"/>
              </w:rPr>
              <w:t>During the Term of this Agreement and thereafter during any applicable records retention period(s) under Clause 2.9.9, a third Person</w:t>
            </w:r>
          </w:p>
        </w:tc>
      </w:tr>
      <w:tr>
        <w:trPr>
          <w:trHeight w:val="228"/>
        </w:trPr>
        <w:tc>
          <w:tcPr>
            <w:tcW w:w="680" w:type="dxa"/>
            <w:vAlign w:val="bottom"/>
          </w:tcPr>
          <w:p>
            <w:pPr>
              <w:spacing w:after="0"/>
              <w:rPr>
                <w:sz w:val="19"/>
                <w:szCs w:val="19"/>
                <w:color w:val="auto"/>
              </w:rPr>
            </w:pPr>
          </w:p>
        </w:tc>
        <w:tc>
          <w:tcPr>
            <w:tcW w:w="9740" w:type="dxa"/>
            <w:vAlign w:val="bottom"/>
          </w:tcPr>
          <w:p>
            <w:pPr>
              <w:ind w:left="340"/>
              <w:spacing w:after="0"/>
              <w:rPr>
                <w:sz w:val="20"/>
                <w:szCs w:val="20"/>
                <w:color w:val="auto"/>
              </w:rPr>
            </w:pPr>
            <w:r>
              <w:rPr>
                <w:rFonts w:ascii="Arial" w:cs="Arial" w:eastAsia="Arial" w:hAnsi="Arial"/>
                <w:sz w:val="18"/>
                <w:szCs w:val="18"/>
                <w:color w:val="auto"/>
                <w:w w:val="91"/>
              </w:rPr>
              <w:t>consultant, appointed by Amarin and accepted by Supplier (such acceptance not to be unreasonably withheld or delayed) (“</w:t>
            </w:r>
            <w:r>
              <w:rPr>
                <w:rFonts w:ascii="Arial" w:cs="Arial" w:eastAsia="Arial" w:hAnsi="Arial"/>
                <w:sz w:val="18"/>
                <w:szCs w:val="18"/>
                <w:b w:val="1"/>
                <w:bCs w:val="1"/>
                <w:color w:val="auto"/>
                <w:w w:val="91"/>
              </w:rPr>
              <w:t>Audit</w:t>
            </w:r>
          </w:p>
        </w:tc>
      </w:tr>
    </w:tbl>
    <w:p>
      <w:pPr>
        <w:ind w:left="1020" w:right="2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w:t>
      </w:r>
      <w:r>
        <w:rPr>
          <w:rFonts w:ascii="Arial" w:cs="Arial" w:eastAsia="Arial" w:hAnsi="Arial"/>
          <w:sz w:val="18"/>
          <w:szCs w:val="18"/>
          <w:color w:val="auto"/>
        </w:rPr>
        <w:t>”) shall have the right, at Amarin’s expense, to audit those portions of the Facility (or the facility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Subcontractor, as the case may be) used in, and all documents and records related to, the manufacture, generation, storage, testing, treatment, holding, transportation, distribution or other handling or receiving of the Drug Substance and Starting Materials. This right to audit includes the right to conduct a mock PAI as long as Amarin appoints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as the Audit Representative. Audit Representative shall have the right, </w:t>
      </w:r>
      <w:r>
        <w:rPr>
          <w:rFonts w:ascii="Arial" w:cs="Arial" w:eastAsia="Arial" w:hAnsi="Arial"/>
          <w:sz w:val="18"/>
          <w:szCs w:val="18"/>
          <w:b w:val="1"/>
          <w:bCs w:val="1"/>
          <w:i w:val="1"/>
          <w:iCs w:val="1"/>
          <w:color w:val="auto"/>
        </w:rPr>
        <w:t>[***]</w:t>
      </w:r>
      <w:r>
        <w:rPr>
          <w:rFonts w:ascii="Arial" w:cs="Arial" w:eastAsia="Arial" w:hAnsi="Arial"/>
          <w:sz w:val="18"/>
          <w:szCs w:val="18"/>
          <w:color w:val="auto"/>
        </w:rPr>
        <w:t>, to</w:t>
      </w:r>
    </w:p>
    <w:p>
      <w:pPr>
        <w:sectPr>
          <w:pgSz w:w="11900" w:h="16838" w:orient="portrait"/>
          <w:cols w:equalWidth="0" w:num="1">
            <w:col w:w="10420"/>
          </w:cols>
          <w:pgMar w:left="1160" w:top="280"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 xml:space="preserve">audit all inventory of Drug Substance and Starting Materials contained at the Facility (or the facility of </w:t>
            </w:r>
            <w:r>
              <w:rPr>
                <w:rFonts w:ascii="Arial" w:cs="Arial" w:eastAsia="Arial" w:hAnsi="Arial"/>
                <w:sz w:val="18"/>
                <w:szCs w:val="18"/>
                <w:b w:val="1"/>
                <w:bCs w:val="1"/>
                <w:i w:val="1"/>
                <w:iCs w:val="1"/>
                <w:color w:val="auto"/>
                <w:w w:val="90"/>
              </w:rPr>
              <w:t>[***]</w:t>
            </w:r>
            <w:r>
              <w:rPr>
                <w:rFonts w:ascii="Arial" w:cs="Arial" w:eastAsia="Arial" w:hAnsi="Arial"/>
                <w:sz w:val="18"/>
                <w:szCs w:val="18"/>
                <w:color w:val="auto"/>
                <w:w w:val="90"/>
              </w:rPr>
              <w:t xml:space="preserve"> or a Subcontractor, as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 xml:space="preserve">case may be). Supplier agrees to cooperate and assist Audit Representative (and to require </w:t>
            </w:r>
            <w:r>
              <w:rPr>
                <w:rFonts w:ascii="Arial" w:cs="Arial" w:eastAsia="Arial" w:hAnsi="Arial"/>
                <w:sz w:val="18"/>
                <w:szCs w:val="18"/>
                <w:b w:val="1"/>
                <w:bCs w:val="1"/>
                <w:i w:val="1"/>
                <w:iCs w:val="1"/>
                <w:color w:val="auto"/>
                <w:w w:val="88"/>
              </w:rPr>
              <w:t>[***]</w:t>
            </w:r>
            <w:r>
              <w:rPr>
                <w:rFonts w:ascii="Arial" w:cs="Arial" w:eastAsia="Arial" w:hAnsi="Arial"/>
                <w:sz w:val="18"/>
                <w:szCs w:val="18"/>
                <w:color w:val="auto"/>
                <w:w w:val="88"/>
              </w:rPr>
              <w:t xml:space="preserve"> and Subcontractors to cooperate and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assist Audit Representative) in connection with any audits pursuant to this Clause 2.9.5. Audits under this Clause 2.9.5 shall occur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 xml:space="preserve">during business hours and shall be scheduled by Audit Representative at least </w:t>
            </w:r>
            <w:r>
              <w:rPr>
                <w:rFonts w:ascii="Arial" w:cs="Arial" w:eastAsia="Arial" w:hAnsi="Arial"/>
                <w:sz w:val="18"/>
                <w:szCs w:val="18"/>
                <w:b w:val="1"/>
                <w:bCs w:val="1"/>
                <w:i w:val="1"/>
                <w:iCs w:val="1"/>
                <w:color w:val="auto"/>
                <w:w w:val="88"/>
              </w:rPr>
              <w:t>[***]</w:t>
            </w:r>
            <w:r>
              <w:rPr>
                <w:rFonts w:ascii="Arial" w:cs="Arial" w:eastAsia="Arial" w:hAnsi="Arial"/>
                <w:sz w:val="18"/>
                <w:szCs w:val="18"/>
                <w:color w:val="auto"/>
                <w:w w:val="88"/>
              </w:rPr>
              <w:t xml:space="preserve"> in advance; provided, however, that in the event of</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any proposed or actual inspection by the FDA or other Governmental Body or emergency involving any Drug Substance or Starting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 xml:space="preserve">Materials, Audit Representative shall have the right at any time, upon written notice to Supplier of </w:t>
            </w:r>
            <w:r>
              <w:rPr>
                <w:rFonts w:ascii="Arial" w:cs="Arial" w:eastAsia="Arial" w:hAnsi="Arial"/>
                <w:sz w:val="18"/>
                <w:szCs w:val="18"/>
                <w:b w:val="1"/>
                <w:bCs w:val="1"/>
                <w:i w:val="1"/>
                <w:iCs w:val="1"/>
                <w:color w:val="auto"/>
                <w:w w:val="90"/>
              </w:rPr>
              <w:t>[***]</w:t>
            </w:r>
            <w:r>
              <w:rPr>
                <w:rFonts w:ascii="Arial" w:cs="Arial" w:eastAsia="Arial" w:hAnsi="Arial"/>
                <w:sz w:val="18"/>
                <w:szCs w:val="18"/>
                <w:color w:val="auto"/>
                <w:w w:val="90"/>
              </w:rPr>
              <w:t>, to conduct an audit of those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 xml:space="preserve">affected portions of the Facility (or the facility of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xml:space="preserve"> or a Subcontractor, as the case may be) used in the manufacture, generation,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storage, testing, treatment, holding, transportation, distribution or other handling or receiving of Drug Substance and Starting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7"/>
              </w:rPr>
              <w:t xml:space="preserve">Materials. Supplier shall use commercially reasonable efforts to ensure that Audit Representative have access to </w:t>
            </w:r>
            <w:r>
              <w:rPr>
                <w:rFonts w:ascii="Arial" w:cs="Arial" w:eastAsia="Arial" w:hAnsi="Arial"/>
                <w:sz w:val="18"/>
                <w:szCs w:val="18"/>
                <w:b w:val="1"/>
                <w:bCs w:val="1"/>
                <w:i w:val="1"/>
                <w:iCs w:val="1"/>
                <w:color w:val="auto"/>
                <w:w w:val="97"/>
              </w:rPr>
              <w:t>[***]</w:t>
            </w:r>
            <w:r>
              <w:rPr>
                <w:rFonts w:ascii="Arial" w:cs="Arial" w:eastAsia="Arial" w:hAnsi="Arial"/>
                <w:sz w:val="18"/>
                <w:szCs w:val="18"/>
                <w:color w:val="auto"/>
                <w:w w:val="97"/>
              </w:rPr>
              <w:t xml:space="preserve"> and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Subcontractor’s facilities in the manner set forth in this Clause 2.9.5. Notwithstanding the foregoing, Amarin acknowledges Supplier’s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interest in arranging practicable schedule for audit. Supplier shall respond in writing to any written observations made by an Audit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 xml:space="preserve">Representative within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xml:space="preserve"> of its receipt of the observation; provided, however, that if Amarin reasonably determines and identifies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 xml:space="preserve">an observatory as “critical,” Supplier shall provide its written response with </w:t>
            </w:r>
            <w:r>
              <w:rPr>
                <w:rFonts w:ascii="Arial" w:cs="Arial" w:eastAsia="Arial" w:hAnsi="Arial"/>
                <w:sz w:val="18"/>
                <w:szCs w:val="18"/>
                <w:b w:val="1"/>
                <w:bCs w:val="1"/>
                <w:i w:val="1"/>
                <w:iCs w:val="1"/>
                <w:color w:val="auto"/>
                <w:w w:val="94"/>
              </w:rPr>
              <w:t>[***]</w:t>
            </w:r>
            <w:r>
              <w:rPr>
                <w:rFonts w:ascii="Arial" w:cs="Arial" w:eastAsia="Arial" w:hAnsi="Arial"/>
                <w:sz w:val="18"/>
                <w:szCs w:val="18"/>
                <w:color w:val="auto"/>
                <w:w w:val="94"/>
              </w:rPr>
              <w:t xml:space="preserve"> of its receipt of the observation. Supplier shall</w:t>
            </w:r>
          </w:p>
        </w:tc>
      </w:tr>
      <w:tr>
        <w:trPr>
          <w:trHeight w:val="222"/>
        </w:trPr>
        <w:tc>
          <w:tcPr>
            <w:tcW w:w="6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promptly take, at its expense, all remedial action necessary to correct the observation to insure compliance with this Agreement.</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2.9.6</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Any and all complaints of which Supplier becomes aware relating to the Drug Substance or Product shall promptly be forwarded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9"/>
              </w:rPr>
              <w:t>Amarin. Amarin shall promptly inform Supplier of any and all complaints that Amarin receives which implicate Supplier’s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manufacturing or other processes at the Facility. Notification shall be given by telephone, with a facsimile and email confirmation</w:t>
            </w:r>
          </w:p>
        </w:tc>
      </w:tr>
      <w:tr>
        <w:trPr>
          <w:trHeight w:val="222"/>
        </w:trPr>
        <w:tc>
          <w:tcPr>
            <w:tcW w:w="6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immediately following.</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2.9.7</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 xml:space="preserve">Supplier shall notify Amarin, as soon as possible, but no later than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xml:space="preserve"> following its receipt, of information concerning a possible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Adverse Event. Notification shall be given by telephone, with a facsimile and email confirmation immediately following. To the extent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 Adverse Event of which Amarin becomes aware implicates Supplier’s manufacturing or other processes at the Facility, Amarin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shall inform Supplier of such Adverse Event and shall disclose to Supplier any information Amarin has regarding that Adverse Event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which implicates Supplier’s manufacturing or other processes at the Facility. Notification shall be given by telephone, with a facsimile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and email confirmation immediately following. Supplier shall provide to Amarin all the information Supplier has available concerning</w:t>
            </w:r>
          </w:p>
        </w:tc>
      </w:tr>
      <w:tr>
        <w:trPr>
          <w:trHeight w:val="222"/>
        </w:trPr>
        <w:tc>
          <w:tcPr>
            <w:tcW w:w="6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the Adverse Event and shall cooperate fully with any investigation conducted or directed by Amarin.</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2.9.8</w:t>
            </w: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In the event Amarin shall be required (or shall voluntarily decide) to initiate a recall, withdrawal or field correction of, or field alert</w:t>
            </w:r>
          </w:p>
        </w:tc>
      </w:tr>
      <w:tr>
        <w:trPr>
          <w:trHeight w:val="222"/>
        </w:trPr>
        <w:tc>
          <w:tcPr>
            <w:tcW w:w="6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report or comparable report with respect to, the Product (collectively referred to herein as a</w:t>
            </w:r>
          </w:p>
        </w:tc>
      </w:tr>
    </w:tbl>
    <w:p>
      <w:pPr>
        <w:ind w:left="340"/>
        <w:spacing w:after="0"/>
        <w:rPr>
          <w:sz w:val="20"/>
          <w:szCs w:val="20"/>
          <w:color w:val="auto"/>
        </w:rPr>
        <w:sectPr>
          <w:pgSz w:w="11900" w:h="16838" w:orient="portrait"/>
          <w:cols w:equalWidth="0" w:num="1">
            <w:col w:w="10500"/>
          </w:cols>
          <w:pgMar w:left="116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0" w:name="page131"/>
    <w:bookmarkEnd w:id="130"/>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Recall</w:t>
            </w:r>
            <w:r>
              <w:rPr>
                <w:rFonts w:ascii="Arial" w:cs="Arial" w:eastAsia="Arial" w:hAnsi="Arial"/>
                <w:sz w:val="18"/>
                <w:szCs w:val="18"/>
                <w:color w:val="auto"/>
                <w:w w:val="95"/>
              </w:rPr>
              <w:t>”), Supplier shall fully cooperate with Amarin to implement the same if such Recall is related to the Drug Substance 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89"/>
              </w:rPr>
              <w:t>Starting Materials. In the event Supplier becomes aware of information that may warrant Amarin taking any action with respect to any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Product, Supplier shall immediately provide Amarin such information. The Parties shall cooperate with each other in determining the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2"/>
              </w:rPr>
              <w:t>necessity and nature of such action. For avoidance of doubt, Amarin shall have the sole authority whether to initiate and all other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decisions related to the implementation of any Recall. With respect to any Recall, Amarin shall make all contacts with the applicable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3"/>
              </w:rPr>
              <w:t>Governmental Body and shall be responsible for coordinating all of the necessary activities in connection with any such Recall.</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Amarin or its designee shall make all statements to the media, including press releases and interviews for publication or broadcast;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3"/>
              </w:rPr>
              <w:t>provided, however, that Amarin shall consider in good faith (but shall be under no obligation to incorporate) comments made by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Supplier with respect to such statements. Supplier agrees to make no statement to the media, unless otherwise required by a Legal</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4"/>
              </w:rPr>
              <w:t>Requirement and in any such event, Supplier shall collaborate with Amarin on the content of any such statement. If a Recall is</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89"/>
              </w:rPr>
              <w:t>initiated because of Defective Drug Substance, or due to the negligence or wilful misconduct of Supplier, or its employees, agents 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contractors, or breach of this Agreement by Supplier, then, in addition to any other remedies available to Amarin, Supplier shall pay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Amarin for (i) the Price paid for Drug Substance incorporated into such Product, (ii) the price paid by Amarin for the manufacture of</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89"/>
              </w:rPr>
              <w:t>Drug, (iii) any refund of the selling price of the Product to Amarin’s customers, provided, however, that Amarin shall be responsible to</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3"/>
              </w:rPr>
              <w:t>demonstrate that the Drug Substance was defective at the time of delivery and a Recall was intiated because of Defective Drug</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Substance. In no event shall Supplier be responsible for a Recall that is not related to Defective Drug Substance.</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2.9.9</w:t>
            </w:r>
          </w:p>
        </w:tc>
        <w:tc>
          <w:tcPr>
            <w:tcW w:w="9780" w:type="dxa"/>
            <w:vAlign w:val="bottom"/>
          </w:tcPr>
          <w:p>
            <w:pPr>
              <w:ind w:left="300"/>
              <w:spacing w:after="0"/>
              <w:rPr>
                <w:sz w:val="20"/>
                <w:szCs w:val="20"/>
                <w:color w:val="auto"/>
              </w:rPr>
            </w:pPr>
            <w:r>
              <w:rPr>
                <w:rFonts w:ascii="Arial" w:cs="Arial" w:eastAsia="Arial" w:hAnsi="Arial"/>
                <w:sz w:val="18"/>
                <w:szCs w:val="18"/>
                <w:color w:val="auto"/>
                <w:w w:val="93"/>
              </w:rPr>
              <w:t>Each Party shall maintain, in accordance with and for the period required under the applicable Marketing Approval, cGMPs, and</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6"/>
              </w:rPr>
              <w:t>Legal Requirements, complete and adequate records pertaining to all activities in connection with, and Facility used for, the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manufacture, generation, storage, testing, treatment, holding, transportation, distribution, or other handling or receiving of the Drug</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Substance and Starting Materials.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2.10</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Specification Changes: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2.10.1</w:t>
            </w:r>
          </w:p>
        </w:tc>
        <w:tc>
          <w:tcPr>
            <w:tcW w:w="9780" w:type="dxa"/>
            <w:vAlign w:val="bottom"/>
          </w:tcPr>
          <w:p>
            <w:pPr>
              <w:ind w:left="300"/>
              <w:spacing w:after="0"/>
              <w:rPr>
                <w:sz w:val="20"/>
                <w:szCs w:val="20"/>
                <w:color w:val="auto"/>
              </w:rPr>
            </w:pPr>
            <w:r>
              <w:rPr>
                <w:rFonts w:ascii="Arial" w:cs="Arial" w:eastAsia="Arial" w:hAnsi="Arial"/>
                <w:sz w:val="18"/>
                <w:szCs w:val="18"/>
                <w:color w:val="auto"/>
                <w:w w:val="89"/>
              </w:rPr>
              <w:t>Neither Party may change the Specifications without the consent of the other Party, such consent not to be unreasonably withheld 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delayed. If either Party wishes to change the Specifications, the Parties shall discuss in good faith such changes and the potential</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89"/>
              </w:rPr>
              <w:t>implementation thereof, including the allocation of the costs of implementing a change to the Specifications and changes to the Price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resulting from a change to the Specifications.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2.10.2</w:t>
            </w:r>
          </w:p>
        </w:tc>
        <w:tc>
          <w:tcPr>
            <w:tcW w:w="9780" w:type="dxa"/>
            <w:vAlign w:val="bottom"/>
          </w:tcPr>
          <w:p>
            <w:pPr>
              <w:ind w:left="300"/>
              <w:spacing w:after="0"/>
              <w:rPr>
                <w:sz w:val="20"/>
                <w:szCs w:val="20"/>
                <w:color w:val="auto"/>
              </w:rPr>
            </w:pPr>
            <w:r>
              <w:rPr>
                <w:rFonts w:ascii="Arial" w:cs="Arial" w:eastAsia="Arial" w:hAnsi="Arial"/>
                <w:sz w:val="18"/>
                <w:szCs w:val="18"/>
                <w:color w:val="auto"/>
                <w:w w:val="89"/>
              </w:rPr>
              <w:t>Notwithstanding anything in Clause 2.10.1 to the contrary, (i) Supplier or Amarin may require a change the Specifications to maintain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compliance with Legal Requirements, to bring the Specifications into compliance with Legal Requirements or to accommodate the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demands or requests of any</w:t>
            </w:r>
          </w:p>
        </w:tc>
      </w:tr>
    </w:tbl>
    <w:p>
      <w:pPr>
        <w:ind w:left="30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1" w:name="page132"/>
    <w:bookmarkEnd w:id="131"/>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0720" w:type="dxa"/>
            <w:vAlign w:val="bottom"/>
          </w:tcPr>
          <w:p>
            <w:pPr>
              <w:ind w:left="1320"/>
              <w:spacing w:after="0"/>
              <w:rPr>
                <w:sz w:val="20"/>
                <w:szCs w:val="20"/>
                <w:color w:val="auto"/>
              </w:rPr>
            </w:pPr>
            <w:r>
              <w:rPr>
                <w:rFonts w:ascii="Arial" w:cs="Arial" w:eastAsia="Arial" w:hAnsi="Arial"/>
                <w:sz w:val="18"/>
                <w:szCs w:val="18"/>
                <w:color w:val="auto"/>
              </w:rPr>
              <w:t>Governmental Body; and (ii) the Parties shall bear equally the expense of any of such changes.</w:t>
            </w:r>
          </w:p>
        </w:tc>
      </w:tr>
      <w:tr>
        <w:trPr>
          <w:trHeight w:val="291"/>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2.11</w:t>
            </w:r>
          </w:p>
        </w:tc>
        <w:tc>
          <w:tcPr>
            <w:tcW w:w="10720" w:type="dxa"/>
            <w:vAlign w:val="bottom"/>
          </w:tcPr>
          <w:p>
            <w:pPr>
              <w:ind w:left="300"/>
              <w:spacing w:after="0"/>
              <w:rPr>
                <w:sz w:val="20"/>
                <w:szCs w:val="20"/>
                <w:color w:val="auto"/>
              </w:rPr>
            </w:pPr>
            <w:r>
              <w:rPr>
                <w:rFonts w:ascii="Arial" w:cs="Arial" w:eastAsia="Arial" w:hAnsi="Arial"/>
                <w:sz w:val="18"/>
                <w:szCs w:val="18"/>
                <w:color w:val="auto"/>
                <w:w w:val="91"/>
              </w:rPr>
              <w:t>Promptly after the Commencement Date, the Parties shall work together and cooperate in good faith to establish in writing the procedures to be</w:t>
            </w:r>
          </w:p>
        </w:tc>
      </w:tr>
      <w:tr>
        <w:trPr>
          <w:trHeight w:val="222"/>
        </w:trPr>
        <w:tc>
          <w:tcPr>
            <w:tcW w:w="620" w:type="dxa"/>
            <w:vAlign w:val="bottom"/>
          </w:tcPr>
          <w:p>
            <w:pPr>
              <w:spacing w:after="0"/>
              <w:rPr>
                <w:sz w:val="19"/>
                <w:szCs w:val="19"/>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w w:val="88"/>
              </w:rPr>
              <w:t>followed in the event either Amarin or Supplier desires to change any aspect of the process by which the Drug Substance is manufactured, including</w:t>
            </w:r>
          </w:p>
        </w:tc>
      </w:tr>
    </w:tbl>
    <w:p>
      <w:pPr>
        <w:ind w:left="920" w:right="3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not limited to any change in the Specifications as described in Clause 2.10 above (the “Change Control Operating Procedures”). Any modification of the Change Control Operating Procedures shall be mutually agreed in writing by the Parties and such written procedures shall be deemed a part of the Technical Agreement.</w:t>
      </w:r>
    </w:p>
    <w:p>
      <w:pPr>
        <w:spacing w:after="0" w:line="260" w:lineRule="exact"/>
        <w:rPr>
          <w:sz w:val="20"/>
          <w:szCs w:val="20"/>
          <w:color w:val="auto"/>
        </w:rPr>
      </w:pPr>
    </w:p>
    <w:p>
      <w:pPr>
        <w:ind w:left="920" w:hanging="912"/>
        <w:spacing w:after="0"/>
        <w:tabs>
          <w:tab w:leader="none" w:pos="9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ORDER, ACCEPTANCE AND DELIVERY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3.1</w:t>
            </w:r>
          </w:p>
        </w:tc>
        <w:tc>
          <w:tcPr>
            <w:tcW w:w="10840" w:type="dxa"/>
            <w:vAlign w:val="bottom"/>
          </w:tcPr>
          <w:p>
            <w:pPr>
              <w:ind w:left="340"/>
              <w:spacing w:after="0"/>
              <w:rPr>
                <w:sz w:val="20"/>
                <w:szCs w:val="20"/>
                <w:color w:val="auto"/>
              </w:rPr>
            </w:pPr>
            <w:r>
              <w:rPr>
                <w:rFonts w:ascii="Arial" w:cs="Arial" w:eastAsia="Arial" w:hAnsi="Arial"/>
                <w:sz w:val="18"/>
                <w:szCs w:val="18"/>
                <w:color w:val="auto"/>
                <w:w w:val="90"/>
              </w:rPr>
              <w:t xml:space="preserve">Amarin may, at any time, but no later than </w:t>
            </w:r>
            <w:r>
              <w:rPr>
                <w:rFonts w:ascii="Arial" w:cs="Arial" w:eastAsia="Arial" w:hAnsi="Arial"/>
                <w:sz w:val="18"/>
                <w:szCs w:val="18"/>
                <w:b w:val="1"/>
                <w:bCs w:val="1"/>
                <w:i w:val="1"/>
                <w:iCs w:val="1"/>
                <w:color w:val="auto"/>
                <w:w w:val="90"/>
              </w:rPr>
              <w:t>[***]</w:t>
            </w:r>
            <w:r>
              <w:rPr>
                <w:rFonts w:ascii="Arial" w:cs="Arial" w:eastAsia="Arial" w:hAnsi="Arial"/>
                <w:sz w:val="18"/>
                <w:szCs w:val="18"/>
                <w:color w:val="auto"/>
                <w:w w:val="90"/>
              </w:rPr>
              <w:t xml:space="preserve"> before the specified date of shipment of the Drug Substance, issue to Supplier individual purchase</w:t>
            </w:r>
          </w:p>
        </w:tc>
      </w:tr>
      <w:tr>
        <w:trPr>
          <w:trHeight w:val="222"/>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89"/>
              </w:rPr>
              <w:t>orders (“</w:t>
            </w:r>
            <w:r>
              <w:rPr>
                <w:rFonts w:ascii="Arial" w:cs="Arial" w:eastAsia="Arial" w:hAnsi="Arial"/>
                <w:sz w:val="18"/>
                <w:szCs w:val="18"/>
                <w:b w:val="1"/>
                <w:bCs w:val="1"/>
                <w:color w:val="auto"/>
                <w:w w:val="89"/>
              </w:rPr>
              <w:t>Order</w:t>
            </w:r>
            <w:r>
              <w:rPr>
                <w:rFonts w:ascii="Arial" w:cs="Arial" w:eastAsia="Arial" w:hAnsi="Arial"/>
                <w:sz w:val="18"/>
                <w:szCs w:val="18"/>
                <w:color w:val="auto"/>
                <w:w w:val="89"/>
              </w:rPr>
              <w:t>”) for the Drug Substance to be delivered to Amarin. Each Order, upon acceptance by Supplier, shall constitute a definitive individual</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89"/>
              </w:rPr>
              <w:t xml:space="preserve">contract for the sale and delivery of Drug Substance. Supplier shall issue an acceptance or rejection of the Order within </w:t>
            </w:r>
            <w:r>
              <w:rPr>
                <w:rFonts w:ascii="Arial" w:cs="Arial" w:eastAsia="Arial" w:hAnsi="Arial"/>
                <w:sz w:val="18"/>
                <w:szCs w:val="18"/>
                <w:b w:val="1"/>
                <w:bCs w:val="1"/>
                <w:i w:val="1"/>
                <w:iCs w:val="1"/>
                <w:color w:val="auto"/>
                <w:w w:val="89"/>
              </w:rPr>
              <w:t>[***]</w:t>
            </w:r>
            <w:r>
              <w:rPr>
                <w:rFonts w:ascii="Arial" w:cs="Arial" w:eastAsia="Arial" w:hAnsi="Arial"/>
                <w:sz w:val="18"/>
                <w:szCs w:val="18"/>
                <w:color w:val="auto"/>
                <w:w w:val="89"/>
              </w:rPr>
              <w:t xml:space="preserve"> from Supplier’s receipt</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 xml:space="preserve">of the Order. For the avoidance of doubt, unless Amarin receives from Supplier a notice of rejection of the Order within </w:t>
            </w:r>
            <w:r>
              <w:rPr>
                <w:rFonts w:ascii="Arial" w:cs="Arial" w:eastAsia="Arial" w:hAnsi="Arial"/>
                <w:sz w:val="18"/>
                <w:szCs w:val="18"/>
                <w:b w:val="1"/>
                <w:bCs w:val="1"/>
                <w:i w:val="1"/>
                <w:iCs w:val="1"/>
                <w:color w:val="auto"/>
                <w:w w:val="94"/>
              </w:rPr>
              <w:t>[***]</w:t>
            </w:r>
            <w:r>
              <w:rPr>
                <w:rFonts w:ascii="Arial" w:cs="Arial" w:eastAsia="Arial" w:hAnsi="Arial"/>
                <w:sz w:val="18"/>
                <w:szCs w:val="18"/>
                <w:color w:val="auto"/>
                <w:w w:val="94"/>
              </w:rPr>
              <w:t xml:space="preserve"> from Supplier’s</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88"/>
              </w:rPr>
              <w:t>receipt of the Order, such Order shall be deemed accepted by Supplier. Notwithstanding the foregoing, Supplier is not entitled to reject an Order that</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is consistent with the binding portion of any forecast as set forth in Clause 4.2 unless the quantity of Drug Substance ordered by Amarin exceeds</w:t>
            </w:r>
          </w:p>
        </w:tc>
      </w:tr>
      <w:tr>
        <w:trPr>
          <w:trHeight w:val="222"/>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Supplier’s manufacturing capacity.</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3.2</w:t>
            </w:r>
          </w:p>
        </w:tc>
        <w:tc>
          <w:tcPr>
            <w:tcW w:w="10840" w:type="dxa"/>
            <w:vAlign w:val="bottom"/>
          </w:tcPr>
          <w:p>
            <w:pPr>
              <w:ind w:left="340"/>
              <w:spacing w:after="0"/>
              <w:rPr>
                <w:sz w:val="20"/>
                <w:szCs w:val="20"/>
                <w:color w:val="auto"/>
              </w:rPr>
            </w:pPr>
            <w:r>
              <w:rPr>
                <w:rFonts w:ascii="Arial" w:cs="Arial" w:eastAsia="Arial" w:hAnsi="Arial"/>
                <w:sz w:val="18"/>
                <w:szCs w:val="18"/>
                <w:color w:val="auto"/>
                <w:w w:val="90"/>
              </w:rPr>
              <w:t>Supplier and Amarin shall perform its respective obligations under the individual contracts. Without limiting the generality of the foregoing, Supplier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shall deliver Drug Substance on or before the delivery date specified in the applicable Order that is accepted by Supplier or deemed accepted by</w:t>
            </w:r>
          </w:p>
        </w:tc>
      </w:tr>
      <w:tr>
        <w:trPr>
          <w:trHeight w:val="222"/>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Supplier.</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3.3</w:t>
            </w:r>
          </w:p>
        </w:tc>
        <w:tc>
          <w:tcPr>
            <w:tcW w:w="10840" w:type="dxa"/>
            <w:vAlign w:val="bottom"/>
          </w:tcPr>
          <w:p>
            <w:pPr>
              <w:ind w:left="340"/>
              <w:spacing w:after="0"/>
              <w:rPr>
                <w:sz w:val="20"/>
                <w:szCs w:val="20"/>
                <w:color w:val="auto"/>
              </w:rPr>
            </w:pPr>
            <w:r>
              <w:rPr>
                <w:rFonts w:ascii="Arial" w:cs="Arial" w:eastAsia="Arial" w:hAnsi="Arial"/>
                <w:sz w:val="18"/>
                <w:szCs w:val="18"/>
                <w:color w:val="auto"/>
                <w:w w:val="92"/>
              </w:rPr>
              <w:t>In the event Amarin determines there is a quantitative deficiency in any shipment with respect to the Drug Substance volumes indicated on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0"/>
              </w:rPr>
              <w:t>applicable Order(s), Amarin may: (i) pay only for actual quantities delivered; and (ii) require Supplier to rectify any such deficiency by shipping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appropriate quantities of Drug Substance to or as directed by Amarin, in which case Amarin shall be obligated to pay for any such additional</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quantities pursuant to the terms and conditions of this Agreement. Supplier shall use best efforts to rectify any such deficiency on a priority basis,</w:t>
            </w:r>
          </w:p>
        </w:tc>
      </w:tr>
      <w:tr>
        <w:trPr>
          <w:trHeight w:val="222"/>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and shall deliver such additional quantities of Drug Substance as soon as possible.</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3.4</w:t>
            </w:r>
          </w:p>
        </w:tc>
        <w:tc>
          <w:tcPr>
            <w:tcW w:w="10840" w:type="dxa"/>
            <w:vAlign w:val="bottom"/>
          </w:tcPr>
          <w:p>
            <w:pPr>
              <w:ind w:left="340"/>
              <w:spacing w:after="0"/>
              <w:rPr>
                <w:sz w:val="20"/>
                <w:szCs w:val="20"/>
                <w:color w:val="auto"/>
              </w:rPr>
            </w:pPr>
            <w:r>
              <w:rPr>
                <w:rFonts w:ascii="Arial" w:cs="Arial" w:eastAsia="Arial" w:hAnsi="Arial"/>
                <w:sz w:val="18"/>
                <w:szCs w:val="18"/>
                <w:color w:val="auto"/>
                <w:w w:val="98"/>
              </w:rPr>
              <w:t>Prior to release of Drug Substance, Supplier shall test the Drug Substance in accordance with the testing procedures described in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(i) Specifications, (ii) cGMPs, and (iii) those procedures and in-plant quality control checks applicable to any products manufactured by Supplier.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Upon request from Amarin, Supplier shall provide Amarin with a copy of the records pertaining to such testing, including a copy of the applicable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deviation or other investigatory report, if any. Additionally, Supplier shall provide Amarin with a Certificate of Analysis for release of Drug</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Substance for each batch of Drug Substance. Amarin shall be under no obligation to accept any shipment of Drug Substance without the</w:t>
            </w:r>
          </w:p>
        </w:tc>
      </w:tr>
      <w:tr>
        <w:trPr>
          <w:trHeight w:val="222"/>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accompanying Certificate of Analysis.</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3.5</w:t>
            </w:r>
          </w:p>
        </w:tc>
        <w:tc>
          <w:tcPr>
            <w:tcW w:w="10840" w:type="dxa"/>
            <w:vAlign w:val="bottom"/>
          </w:tcPr>
          <w:p>
            <w:pPr>
              <w:ind w:left="340"/>
              <w:spacing w:after="0"/>
              <w:rPr>
                <w:sz w:val="20"/>
                <w:szCs w:val="20"/>
                <w:color w:val="auto"/>
              </w:rPr>
            </w:pPr>
            <w:r>
              <w:rPr>
                <w:rFonts w:ascii="Arial" w:cs="Arial" w:eastAsia="Arial" w:hAnsi="Arial"/>
                <w:sz w:val="18"/>
                <w:szCs w:val="18"/>
                <w:color w:val="auto"/>
              </w:rPr>
              <w:t>Acceptance.</w:t>
            </w:r>
          </w:p>
        </w:tc>
      </w:tr>
    </w:tbl>
    <w:p>
      <w:pPr>
        <w:sectPr>
          <w:pgSz w:w="11900" w:h="16838" w:orient="portrait"/>
          <w:cols w:equalWidth="0" w:num="1">
            <w:col w:w="11420"/>
          </w:cols>
          <w:pgMar w:left="240" w:top="280" w:right="239" w:bottom="1440" w:gutter="0" w:footer="0" w:header="0"/>
        </w:sectPr>
      </w:pPr>
    </w:p>
    <w:bookmarkStart w:id="132" w:name="page133"/>
    <w:bookmarkEnd w:id="1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3.5.1</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 xml:space="preserve">Amarin shall inspect the Drug Substance within </w:t>
            </w:r>
            <w:r>
              <w:rPr>
                <w:rFonts w:ascii="Arial" w:cs="Arial" w:eastAsia="Arial" w:hAnsi="Arial"/>
                <w:sz w:val="18"/>
                <w:szCs w:val="18"/>
                <w:b w:val="1"/>
                <w:bCs w:val="1"/>
                <w:i w:val="1"/>
                <w:iCs w:val="1"/>
                <w:color w:val="auto"/>
                <w:w w:val="89"/>
              </w:rPr>
              <w:t>[***]</w:t>
            </w:r>
            <w:r>
              <w:rPr>
                <w:rFonts w:ascii="Arial" w:cs="Arial" w:eastAsia="Arial" w:hAnsi="Arial"/>
                <w:sz w:val="18"/>
                <w:szCs w:val="18"/>
                <w:color w:val="auto"/>
                <w:w w:val="89"/>
              </w:rPr>
              <w:t xml:space="preserve"> of receipt of the Drug Substance and may reject any Drug Substance that fails to</w:t>
            </w:r>
          </w:p>
        </w:tc>
      </w:tr>
      <w:tr>
        <w:trPr>
          <w:trHeight w:val="210"/>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meet the Specifications, has defects, is damaged in any way, or is otherwise not in compliance with the requirements of this</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Agreement (“</w:t>
            </w:r>
            <w:r>
              <w:rPr>
                <w:rFonts w:ascii="Arial" w:cs="Arial" w:eastAsia="Arial" w:hAnsi="Arial"/>
                <w:sz w:val="18"/>
                <w:szCs w:val="18"/>
                <w:b w:val="1"/>
                <w:bCs w:val="1"/>
                <w:color w:val="auto"/>
                <w:w w:val="95"/>
              </w:rPr>
              <w:t>Defective Drug Substance</w:t>
            </w:r>
            <w:r>
              <w:rPr>
                <w:rFonts w:ascii="Arial" w:cs="Arial" w:eastAsia="Arial" w:hAnsi="Arial"/>
                <w:sz w:val="18"/>
                <w:szCs w:val="18"/>
                <w:color w:val="auto"/>
                <w:w w:val="95"/>
              </w:rPr>
              <w:t xml:space="preserve">”) by providing written notice to Supplier within </w:t>
            </w:r>
            <w:r>
              <w:rPr>
                <w:rFonts w:ascii="Arial" w:cs="Arial" w:eastAsia="Arial" w:hAnsi="Arial"/>
                <w:sz w:val="18"/>
                <w:szCs w:val="18"/>
                <w:b w:val="1"/>
                <w:bCs w:val="1"/>
                <w:i w:val="1"/>
                <w:iCs w:val="1"/>
                <w:color w:val="auto"/>
                <w:w w:val="95"/>
              </w:rPr>
              <w:t>[***]</w:t>
            </w:r>
            <w:r>
              <w:rPr>
                <w:rFonts w:ascii="Arial" w:cs="Arial" w:eastAsia="Arial" w:hAnsi="Arial"/>
                <w:sz w:val="18"/>
                <w:szCs w:val="18"/>
                <w:color w:val="auto"/>
                <w:w w:val="95"/>
              </w:rPr>
              <w:t xml:space="preserve"> of receipt of the Defective Drug</w:t>
            </w:r>
          </w:p>
        </w:tc>
      </w:tr>
      <w:tr>
        <w:trPr>
          <w:trHeight w:val="210"/>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 xml:space="preserve">Substance. Any Defective Drug Substance not rejected within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be deemed to have been accepted by Amarin</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Acceptance</w:t>
            </w:r>
            <w:r>
              <w:rPr>
                <w:rFonts w:ascii="Arial" w:cs="Arial" w:eastAsia="Arial" w:hAnsi="Arial"/>
                <w:sz w:val="18"/>
                <w:szCs w:val="18"/>
                <w:color w:val="auto"/>
                <w:w w:val="93"/>
              </w:rPr>
              <w:t>”). As part of Amarin’s inspection set forth in this Clause 3.5.1, Amarin shall be responsible to establish process of</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inspection that can be reasonably sufficient at least to detect that the Drug Substance fails to meet the Specifications.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3.5.2</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 xml:space="preserve">For a period of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xml:space="preserve"> from Amarin’s receipt of the Drug Substance, Supplier shall also be responsible for latent defects in the Drug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 xml:space="preserve">Substance which become apparent after Acceptance, provided that such defect shall be notified to Supplier in writing within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xml:space="preserve"> of</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discovery. Notwithstanding the foregoing, Amarin cannot claim against Supplier the defects of the Drug Substance that fails to meet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 xml:space="preserve">the Specifications after expiration of a period of inspection for </w:t>
            </w:r>
            <w:r>
              <w:rPr>
                <w:rFonts w:ascii="Arial" w:cs="Arial" w:eastAsia="Arial" w:hAnsi="Arial"/>
                <w:sz w:val="18"/>
                <w:szCs w:val="18"/>
                <w:b w:val="1"/>
                <w:bCs w:val="1"/>
                <w:i w:val="1"/>
                <w:iCs w:val="1"/>
                <w:color w:val="auto"/>
                <w:w w:val="90"/>
              </w:rPr>
              <w:t>[***]</w:t>
            </w:r>
            <w:r>
              <w:rPr>
                <w:rFonts w:ascii="Arial" w:cs="Arial" w:eastAsia="Arial" w:hAnsi="Arial"/>
                <w:sz w:val="18"/>
                <w:szCs w:val="18"/>
                <w:color w:val="auto"/>
                <w:w w:val="90"/>
              </w:rPr>
              <w:t xml:space="preserve"> set forth in Clause 3.5.1 unless Amarin establishes such defects</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could not have been reasonably detected by Amarin’s inspection.</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3.5.3</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Amarin shall not be required to pay for Defective Drug Substance that is properly rejected or when Acceptance is revoked pursuant to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this Clause 3.5; provided, however, that if Amarin has paid for Defective Drug Substance, including Defective Drug Substance that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was subject to a latent defect, Supplier shall, at Amarin’s option, provide a credit to Amarin for future purchases or reimburse Amarin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for the Price paid to Supplier for such Defective Drug Substance. Supplier shall promptly supply replacement Drug Substance for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Defective Drug Substance and Amarin shall be obligated to pay Supplier for such replacement Drug Substance in accordance with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terms of this Agreement. Failure to make a timely claim in the manner and period set forth in Clauses 3.5.1 and 3.5.2, shall constitute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and shall be deemed to be Acceptance of the delivery by Amarin and a waiver of any right by Amarin to reject Drug Substance or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revoke its Acceptance prior to the Drug Substance being incorporated into the Product. For avoidance of doubt, Amarin shall have all</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remedies available to it with respect to expenses borne by Amarin regarding any Defective Drug Substance that has been incorporated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into Products, including remedies pursuant to Clause 8 but excluding the right to reject Drug Substance or revoke its acceptance if</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Amarin fails to provide timely notice required under Clause 3.5.</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3.6</w:t>
            </w: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Procedures for Rejected Drug Substance.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3.6.1</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When Amarin claims against Supplier the defect of the Drug Substance in accordance with the manner and period set forth in Clause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3.5, Amarin shall be responsible to demonstrate by a preponderance of evidence the reason for Defective Drug Substance to Supplier.</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3.6.2</w:t>
            </w: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If the Parties disagree as to whether Drug Substance is Defective Drug Substance, Supplier’s and Amarin’s respective designees shall</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confer to review samples and/or batch records, as appropriate. If the disagreement is not resolved</w:t>
            </w:r>
          </w:p>
        </w:tc>
      </w:tr>
    </w:tbl>
    <w:p>
      <w:pPr>
        <w:sectPr>
          <w:pgSz w:w="11900" w:h="16838" w:orient="portrait"/>
          <w:cols w:equalWidth="0" w:num="1">
            <w:col w:w="11420"/>
          </w:cols>
          <w:pgMar w:left="240" w:top="280" w:right="239" w:bottom="1440" w:gutter="0" w:footer="0" w:header="0"/>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 xml:space="preserve">within </w:t>
            </w:r>
            <w:r>
              <w:rPr>
                <w:rFonts w:ascii="Arial" w:cs="Arial" w:eastAsia="Arial" w:hAnsi="Arial"/>
                <w:sz w:val="18"/>
                <w:szCs w:val="18"/>
                <w:b w:val="1"/>
                <w:bCs w:val="1"/>
                <w:i w:val="1"/>
                <w:iCs w:val="1"/>
                <w:color w:val="auto"/>
                <w:w w:val="89"/>
              </w:rPr>
              <w:t>[***]</w:t>
            </w:r>
            <w:r>
              <w:rPr>
                <w:rFonts w:ascii="Arial" w:cs="Arial" w:eastAsia="Arial" w:hAnsi="Arial"/>
                <w:sz w:val="18"/>
                <w:szCs w:val="18"/>
                <w:color w:val="auto"/>
                <w:w w:val="89"/>
              </w:rPr>
              <w:t>, then samples, batch records and other data relating to the quantity, batch or shipment (or part thereof) of Drug Substance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in dispute shall promptly be submitted for testing and evaluation to an independent third Person (including a testing laboratory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qualified to perform such testing using validated methods) approved in writing by the Parties. The findings of such independent third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Person shall be binding on the Parties, absent manifest error. Neither Party shall unreasonably withhold or delay its approval of any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independent third Person proposed for such purpose by the other Party, and both Parties shall facilitate such testing and evaluation by</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promptly providing appropriate samples, batch records and other data for such purpose.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3.6.3</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The expenses for the testing and evaluation by the third Person shall initially be equally borne by each Party. If the Drug Substance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question is ultimately found by the independent third Person to be Defective Drug Substance due to a reason attributable to Supplier,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the expenses borne by Amarin in connection with the testing and evaluation shall be reimbursed by Supplier. If the Drug Substance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question is ultimately found by the independent third Person to be conforming Drug Substance or to be Defective Drug Substance due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to a reason attributable to Amarin, the expenses borne by Supplier in connection with the testing and evaluation shall be reimbursed by</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Amarin.</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3.7</w:t>
            </w: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88"/>
              </w:rPr>
              <w:t>If either Party becomes aware or has a reasonable basis to believe that any quantity, batch or shipment (or part thereof) of Drug Substance supplied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89"/>
              </w:rPr>
              <w:t xml:space="preserve">by Supplier may be Defective Drug Substance, such Party shall notify the other Party within </w:t>
            </w:r>
            <w:r>
              <w:rPr>
                <w:rFonts w:ascii="Arial" w:cs="Arial" w:eastAsia="Arial" w:hAnsi="Arial"/>
                <w:sz w:val="18"/>
                <w:szCs w:val="18"/>
                <w:b w:val="1"/>
                <w:bCs w:val="1"/>
                <w:i w:val="1"/>
                <w:iCs w:val="1"/>
                <w:color w:val="auto"/>
                <w:w w:val="89"/>
              </w:rPr>
              <w:t>[***]</w:t>
            </w:r>
            <w:r>
              <w:rPr>
                <w:rFonts w:ascii="Arial" w:cs="Arial" w:eastAsia="Arial" w:hAnsi="Arial"/>
                <w:sz w:val="18"/>
                <w:szCs w:val="18"/>
                <w:color w:val="auto"/>
                <w:w w:val="89"/>
              </w:rPr>
              <w:t xml:space="preserve"> of becoming aware of such fact. In the event Drug</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0"/>
              </w:rPr>
              <w:t>Substance supplied by Supplier is reasonably expected to be Defective Drug Substance, the Parties shall immediately conduct an investigation in</w:t>
            </w:r>
          </w:p>
        </w:tc>
      </w:tr>
      <w:tr>
        <w:trPr>
          <w:trHeight w:val="222"/>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accordance with this Clause 3.7.</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3.7.1</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The Parties shall investigate all reports of Defective Drug Substance, Drug Substance complaints and Adverse Events with respect to</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Drug Substance supplied by Supplier. The Parties shall act promptly and shall cooperate fully in such investigations.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3.7.2</w:t>
            </w: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Any or all aspects of an investigation conducted under this Clause 3.7 with respect to Drug Substance supplied by Supplier shall be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agreed by the Parties. Amarin shall advise Supplier from time to time throughout such investigation of Amarin’s intentions regarding</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such investigation.</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3.7.3</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Upon written request by Amarin, Supplier shall provide all reasonably requested testing, assistance and information to Amarin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7"/>
              </w:rPr>
              <w:t>connection with an investigation of any Defective Drug Substance, Drug Substance complaint or Adverse Event, including</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chemical/microbial analysis of complaint samples (if available), analysis of retained samples and review of batch documentation.</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3.7.4</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Supplier shall provide to Amarin (i) a preliminary written report of its determinations and conclusions from any such investigation,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 xml:space="preserve">testing or other requested assistance related to such investigation as soon as reasonably practicable, but in no event later than </w:t>
            </w:r>
            <w:r>
              <w:rPr>
                <w:rFonts w:ascii="Arial" w:cs="Arial" w:eastAsia="Arial" w:hAnsi="Arial"/>
                <w:sz w:val="18"/>
                <w:szCs w:val="18"/>
                <w:b w:val="1"/>
                <w:bCs w:val="1"/>
                <w:i w:val="1"/>
                <w:iCs w:val="1"/>
                <w:color w:val="auto"/>
                <w:w w:val="90"/>
              </w:rPr>
              <w: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after the completion of such investigation, and (ii) preliminary samples (if available) of the affected Drug Substance. A final report</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regarding a Defective Drug Substance shall be</w:t>
            </w:r>
          </w:p>
        </w:tc>
      </w:tr>
    </w:tbl>
    <w:p>
      <w:pPr>
        <w:sectPr>
          <w:pgSz w:w="11900" w:h="16838" w:orient="portrait"/>
          <w:cols w:equalWidth="0" w:num="1">
            <w:col w:w="11420"/>
          </w:cols>
          <w:pgMar w:left="240" w:top="280" w:right="239" w:bottom="1440"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submitted by Supplier as soon as reasonably practicable. Amarin shall provide to Supplier a written report of Amarin’s determinations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and conclusions from any investigation, report, testing, or portions thereof, to the extent Amarin’s determination and conclusions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implicate Supplier or Supplier’s manufacturing or other processes at the Facility. Each Party shall hold all communications related to</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such investigation, testing or other requested assistance in confidence, and those communications shall be subject to the terms of</w:t>
            </w:r>
          </w:p>
        </w:tc>
      </w:tr>
      <w:tr>
        <w:trPr>
          <w:trHeight w:val="222"/>
        </w:trPr>
        <w:tc>
          <w:tcPr>
            <w:tcW w:w="68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Clause 10 hereof.</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3.7.5</w:t>
            </w:r>
          </w:p>
        </w:tc>
        <w:tc>
          <w:tcPr>
            <w:tcW w:w="9800" w:type="dxa"/>
            <w:vAlign w:val="bottom"/>
          </w:tcPr>
          <w:p>
            <w:pPr>
              <w:ind w:left="340"/>
              <w:spacing w:after="0"/>
              <w:rPr>
                <w:sz w:val="20"/>
                <w:szCs w:val="20"/>
                <w:color w:val="auto"/>
              </w:rPr>
            </w:pPr>
            <w:r>
              <w:rPr>
                <w:rFonts w:ascii="Arial" w:cs="Arial" w:eastAsia="Arial" w:hAnsi="Arial"/>
                <w:sz w:val="18"/>
                <w:szCs w:val="18"/>
                <w:color w:val="auto"/>
                <w:w w:val="88"/>
              </w:rPr>
              <w:t>If Amarin demonstrates that the Drug Substance was defective, Supplier shall reimburse Amarin for all costs and expenses incurred by</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Amarin in connection with an investigation of Defective Drug Substance, or a Drug Substance complaint or Adverse Event caused by</w:t>
            </w:r>
          </w:p>
        </w:tc>
      </w:tr>
      <w:tr>
        <w:trPr>
          <w:trHeight w:val="222"/>
        </w:trPr>
        <w:tc>
          <w:tcPr>
            <w:tcW w:w="68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Defective Drug Substance.</w:t>
            </w:r>
          </w:p>
        </w:tc>
      </w:tr>
    </w:tbl>
    <w:p>
      <w:pPr>
        <w:spacing w:after="0" w:line="271" w:lineRule="exact"/>
        <w:rPr>
          <w:sz w:val="20"/>
          <w:szCs w:val="20"/>
          <w:color w:val="auto"/>
        </w:rPr>
      </w:pPr>
    </w:p>
    <w:p>
      <w:pPr>
        <w:ind w:left="920" w:hanging="912"/>
        <w:spacing w:after="0"/>
        <w:tabs>
          <w:tab w:leader="none" w:pos="9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FORECASTS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4.1</w:t>
            </w: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 xml:space="preserve">Not later than </w:t>
            </w:r>
            <w:r>
              <w:rPr>
                <w:rFonts w:ascii="Arial" w:cs="Arial" w:eastAsia="Arial" w:hAnsi="Arial"/>
                <w:sz w:val="18"/>
                <w:szCs w:val="18"/>
                <w:b w:val="1"/>
                <w:bCs w:val="1"/>
                <w:i w:val="1"/>
                <w:iCs w:val="1"/>
                <w:color w:val="auto"/>
                <w:w w:val="94"/>
              </w:rPr>
              <w:t>[***]</w:t>
            </w:r>
            <w:r>
              <w:rPr>
                <w:rFonts w:ascii="Arial" w:cs="Arial" w:eastAsia="Arial" w:hAnsi="Arial"/>
                <w:sz w:val="18"/>
                <w:szCs w:val="18"/>
                <w:color w:val="auto"/>
                <w:w w:val="94"/>
              </w:rPr>
              <w:t xml:space="preserve"> following the Commencement Date, Amarin shall provide Supplier with </w:t>
            </w:r>
            <w:r>
              <w:rPr>
                <w:rFonts w:ascii="Arial" w:cs="Arial" w:eastAsia="Arial" w:hAnsi="Arial"/>
                <w:sz w:val="18"/>
                <w:szCs w:val="18"/>
                <w:b w:val="1"/>
                <w:bCs w:val="1"/>
                <w:i w:val="1"/>
                <w:iCs w:val="1"/>
                <w:color w:val="auto"/>
                <w:w w:val="94"/>
              </w:rPr>
              <w:t>[***]</w:t>
            </w:r>
            <w:r>
              <w:rPr>
                <w:rFonts w:ascii="Arial" w:cs="Arial" w:eastAsia="Arial" w:hAnsi="Arial"/>
                <w:sz w:val="18"/>
                <w:szCs w:val="18"/>
                <w:color w:val="auto"/>
                <w:w w:val="94"/>
              </w:rPr>
              <w:t>, nonbinding forecast of the quantity of Drug</w:t>
            </w:r>
          </w:p>
        </w:tc>
      </w:tr>
      <w:tr>
        <w:trPr>
          <w:trHeight w:val="210"/>
        </w:trPr>
        <w:tc>
          <w:tcPr>
            <w:tcW w:w="58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7"/>
              </w:rPr>
              <w:t xml:space="preserve">Substance Amarin projects it may purchase from Supplier beginning </w:t>
            </w:r>
            <w:r>
              <w:rPr>
                <w:rFonts w:ascii="Arial" w:cs="Arial" w:eastAsia="Arial" w:hAnsi="Arial"/>
                <w:sz w:val="18"/>
                <w:szCs w:val="18"/>
                <w:b w:val="1"/>
                <w:bCs w:val="1"/>
                <w:i w:val="1"/>
                <w:iCs w:val="1"/>
                <w:color w:val="auto"/>
                <w:w w:val="97"/>
              </w:rPr>
              <w:t>[***]</w:t>
            </w:r>
            <w:r>
              <w:rPr>
                <w:rFonts w:ascii="Arial" w:cs="Arial" w:eastAsia="Arial" w:hAnsi="Arial"/>
                <w:sz w:val="18"/>
                <w:szCs w:val="18"/>
                <w:color w:val="auto"/>
                <w:w w:val="97"/>
              </w:rPr>
              <w:t xml:space="preserve"> prior to the anticipated commercial launch of the Product (the</w:t>
            </w:r>
          </w:p>
        </w:tc>
      </w:tr>
      <w:tr>
        <w:trPr>
          <w:trHeight w:val="222"/>
        </w:trPr>
        <w:tc>
          <w:tcPr>
            <w:tcW w:w="580" w:type="dxa"/>
            <w:vAlign w:val="bottom"/>
          </w:tcPr>
          <w:p>
            <w:pPr>
              <w:spacing w:after="0"/>
              <w:rPr>
                <w:sz w:val="19"/>
                <w:szCs w:val="19"/>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Commercial Launch Forecast</w:t>
            </w:r>
            <w:r>
              <w:rPr>
                <w:rFonts w:ascii="Arial" w:cs="Arial" w:eastAsia="Arial" w:hAnsi="Arial"/>
                <w:sz w:val="18"/>
                <w:szCs w:val="18"/>
                <w:color w:val="auto"/>
                <w:w w:val="92"/>
              </w:rPr>
              <w:t xml:space="preserve">”). Amarin shall submit an updated Commercial Launch Forecast (which shall also be nonbinding) within </w:t>
            </w:r>
            <w:r>
              <w:rPr>
                <w:rFonts w:ascii="Arial" w:cs="Arial" w:eastAsia="Arial" w:hAnsi="Arial"/>
                <w:sz w:val="18"/>
                <w:szCs w:val="18"/>
                <w:b w:val="1"/>
                <w:bCs w:val="1"/>
                <w:i w:val="1"/>
                <w:iCs w:val="1"/>
                <w:color w:val="auto"/>
                <w:w w:val="92"/>
              </w:rPr>
              <w:t>[***]</w:t>
            </w:r>
          </w:p>
        </w:tc>
      </w:tr>
      <w:tr>
        <w:trPr>
          <w:trHeight w:val="222"/>
        </w:trPr>
        <w:tc>
          <w:tcPr>
            <w:tcW w:w="580" w:type="dxa"/>
            <w:vAlign w:val="bottom"/>
          </w:tcPr>
          <w:p>
            <w:pPr>
              <w:spacing w:after="0"/>
              <w:rPr>
                <w:sz w:val="19"/>
                <w:szCs w:val="19"/>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 xml:space="preserve">after submission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of the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4.2</w:t>
            </w: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 xml:space="preserve">Not later than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xml:space="preserve"> after the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xml:space="preserve"> of the </w:t>
            </w:r>
            <w:r>
              <w:rPr>
                <w:rFonts w:ascii="Arial" w:cs="Arial" w:eastAsia="Arial" w:hAnsi="Arial"/>
                <w:sz w:val="18"/>
                <w:szCs w:val="18"/>
                <w:b w:val="1"/>
                <w:bCs w:val="1"/>
                <w:i w:val="1"/>
                <w:iCs w:val="1"/>
                <w:color w:val="auto"/>
                <w:w w:val="92"/>
              </w:rPr>
              <w:t>[***]</w:t>
            </w:r>
            <w:r>
              <w:rPr>
                <w:rFonts w:ascii="Arial" w:cs="Arial" w:eastAsia="Arial" w:hAnsi="Arial"/>
                <w:sz w:val="18"/>
                <w:szCs w:val="18"/>
                <w:color w:val="auto"/>
                <w:w w:val="92"/>
              </w:rPr>
              <w:t xml:space="preserve"> for the Product, Amarin shall, taking into account the manufacturing capacity of Supplier, on a </w:t>
            </w:r>
            <w:r>
              <w:rPr>
                <w:rFonts w:ascii="Arial" w:cs="Arial" w:eastAsia="Arial" w:hAnsi="Arial"/>
                <w:sz w:val="18"/>
                <w:szCs w:val="18"/>
                <w:b w:val="1"/>
                <w:bCs w:val="1"/>
                <w:i w:val="1"/>
                <w:iCs w:val="1"/>
                <w:color w:val="auto"/>
                <w:w w:val="92"/>
              </w:rPr>
              <w:t>[***]</w:t>
            </w:r>
          </w:p>
        </w:tc>
      </w:tr>
      <w:tr>
        <w:trPr>
          <w:trHeight w:val="222"/>
        </w:trPr>
        <w:tc>
          <w:tcPr>
            <w:tcW w:w="580" w:type="dxa"/>
            <w:vAlign w:val="bottom"/>
          </w:tcPr>
          <w:p>
            <w:pPr>
              <w:spacing w:after="0"/>
              <w:rPr>
                <w:sz w:val="19"/>
                <w:szCs w:val="19"/>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 xml:space="preserve">basis, provide Supplier with a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xml:space="preserve"> forecast of the quantity Amarin intends to order during each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xml:space="preserve"> (each such forecast referred to herein as a</w:t>
            </w:r>
          </w:p>
        </w:tc>
      </w:tr>
    </w:tbl>
    <w:p>
      <w:pPr>
        <w:ind w:left="920" w:right="38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w:t>
      </w:r>
      <w:r>
        <w:rPr>
          <w:rFonts w:ascii="Arial" w:cs="Arial" w:eastAsia="Arial" w:hAnsi="Arial"/>
          <w:sz w:val="16"/>
          <w:szCs w:val="16"/>
          <w:color w:val="auto"/>
        </w:rPr>
        <w:t xml:space="preserve">”). The forecast amount for the first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of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Forecast shall be binding on both Parties. The forecast amounts for the remaining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of each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Forecast, i.e.,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shall be non-binding forecast amounts. Amarin has the right to vary the forecast amounts for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next subsequent</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Forecast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and for</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in the next subsequent</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Forecast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Supplier shall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obligated to supply Drug Substance in excess of the binding forecast amounts contained in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Forecasts.</w:t>
      </w:r>
    </w:p>
    <w:p>
      <w:pPr>
        <w:spacing w:after="0" w:line="231" w:lineRule="exact"/>
        <w:rPr>
          <w:sz w:val="20"/>
          <w:szCs w:val="20"/>
          <w:color w:val="auto"/>
        </w:rPr>
      </w:pPr>
    </w:p>
    <w:p>
      <w:pPr>
        <w:ind w:left="920" w:hanging="912"/>
        <w:spacing w:after="0"/>
        <w:tabs>
          <w:tab w:leader="none" w:pos="9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MILESTONE PAYMENTS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5.1</w:t>
            </w:r>
          </w:p>
        </w:tc>
        <w:tc>
          <w:tcPr>
            <w:tcW w:w="10800" w:type="dxa"/>
            <w:vAlign w:val="bottom"/>
          </w:tcPr>
          <w:p>
            <w:pPr>
              <w:ind w:left="340"/>
              <w:spacing w:after="0"/>
              <w:rPr>
                <w:sz w:val="20"/>
                <w:szCs w:val="20"/>
                <w:color w:val="auto"/>
              </w:rPr>
            </w:pPr>
            <w:r>
              <w:rPr>
                <w:rFonts w:ascii="Arial" w:cs="Arial" w:eastAsia="Arial" w:hAnsi="Arial"/>
                <w:sz w:val="18"/>
                <w:szCs w:val="18"/>
                <w:color w:val="auto"/>
              </w:rPr>
              <w:t xml:space="preserve">The Price and Milestone Payments shall be as set forth in </w:t>
            </w:r>
            <w:r>
              <w:rPr>
                <w:rFonts w:ascii="Arial" w:cs="Arial" w:eastAsia="Arial" w:hAnsi="Arial"/>
                <w:sz w:val="18"/>
                <w:szCs w:val="18"/>
                <w:b w:val="1"/>
                <w:bCs w:val="1"/>
                <w:color w:val="auto"/>
              </w:rPr>
              <w:t>Schedule One</w:t>
            </w:r>
            <w:r>
              <w:rPr>
                <w:rFonts w:ascii="Arial" w:cs="Arial" w:eastAsia="Arial" w:hAnsi="Arial"/>
                <w:sz w:val="18"/>
                <w:szCs w:val="18"/>
                <w:color w:val="auto"/>
              </w:rPr>
              <w: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5.2</w:t>
            </w: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 xml:space="preserve">Supplier shall issue the invoice for the Drug Substance supplied in each shipment to Amarin within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xml:space="preserve"> from the date of each shipment. Amarin</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8"/>
              </w:rPr>
              <w:t>shall pay the invoice amount for the Drug Substance delivered to it in accordance with this Agreement into an account designated by Supplier within</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date of receipt by Amarin of the invoice issued by Supplier.</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5.3</w:t>
            </w: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In the event Amarin fails to pay the Price of any of its purchases by the due date provided in Clause 5.2 above, Supplier is entitled, at its own</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9"/>
              </w:rPr>
              <w:t>discretion, to suspend dispatching the Drug Substance or to withhold accepting Amarin’s Orders until Amarin makes full payment with interest from</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 xml:space="preserve">the due date to the date of payment calculated using an annual interest rate of </w:t>
            </w:r>
            <w:r>
              <w:rPr>
                <w:rFonts w:ascii="Arial" w:cs="Arial" w:eastAsia="Arial" w:hAnsi="Arial"/>
                <w:sz w:val="18"/>
                <w:szCs w:val="18"/>
                <w:b w:val="1"/>
                <w:bCs w:val="1"/>
                <w:i w:val="1"/>
                <w:iCs w:val="1"/>
                <w:color w:val="auto"/>
              </w:rPr>
              <w:t>[***]</w:t>
            </w:r>
            <w:r>
              <w:rPr>
                <w:rFonts w:ascii="Arial" w:cs="Arial" w:eastAsia="Arial" w:hAnsi="Arial"/>
                <w:sz w:val="18"/>
                <w:szCs w:val="18"/>
                <w:color w:val="auto"/>
              </w:rPr>
              <w:t>% per annum.</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5.4</w:t>
            </w: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Amarin shall reimburse Supplier’s reasonable costs for preparing and maintaining the DMFs prior to Amarin’s receipt of relevant Marketing</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Approval in the US and EU.</w:t>
            </w:r>
          </w:p>
        </w:tc>
      </w:tr>
    </w:tbl>
    <w:p>
      <w:pPr>
        <w:sectPr>
          <w:pgSz w:w="11900" w:h="16838" w:orient="portrait"/>
          <w:cols w:equalWidth="0" w:num="1">
            <w:col w:w="11400"/>
          </w:cols>
          <w:pgMar w:left="240" w:top="280" w:right="259"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5.5</w:t>
            </w:r>
          </w:p>
        </w:tc>
        <w:tc>
          <w:tcPr>
            <w:tcW w:w="10660" w:type="dxa"/>
            <w:vAlign w:val="bottom"/>
          </w:tcPr>
          <w:p>
            <w:pPr>
              <w:ind w:left="340"/>
              <w:spacing w:after="0"/>
              <w:rPr>
                <w:sz w:val="20"/>
                <w:szCs w:val="20"/>
                <w:color w:val="auto"/>
              </w:rPr>
            </w:pPr>
            <w:r>
              <w:rPr>
                <w:rFonts w:ascii="Arial" w:cs="Arial" w:eastAsia="Arial" w:hAnsi="Arial"/>
                <w:sz w:val="18"/>
                <w:szCs w:val="18"/>
                <w:color w:val="auto"/>
                <w:w w:val="89"/>
              </w:rPr>
              <w:t>Prior to Marketing Approval in the US, Amarin will reimburse to Supplier all reasonable costs specifically related to preparing for an inspection of</w:t>
            </w:r>
          </w:p>
        </w:tc>
      </w:tr>
      <w:tr>
        <w:trPr>
          <w:trHeight w:val="216"/>
        </w:trPr>
        <w:tc>
          <w:tcPr>
            <w:tcW w:w="58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0"/>
              </w:rPr>
              <w:t>the Facility by a Regulatory Agency and audit of the Facility by any consultant with regard to cGMP, including but not limited to interpreter’s fees</w:t>
            </w:r>
          </w:p>
        </w:tc>
      </w:tr>
      <w:tr>
        <w:trPr>
          <w:trHeight w:val="222"/>
        </w:trPr>
        <w:tc>
          <w:tcPr>
            <w:tcW w:w="580" w:type="dxa"/>
            <w:vAlign w:val="bottom"/>
          </w:tcPr>
          <w:p>
            <w:pPr>
              <w:spacing w:after="0"/>
              <w:rPr>
                <w:sz w:val="19"/>
                <w:szCs w:val="19"/>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for the inspection and audit.</w:t>
            </w:r>
          </w:p>
        </w:tc>
      </w:tr>
    </w:tbl>
    <w:p>
      <w:pPr>
        <w:spacing w:after="0" w:line="271" w:lineRule="exact"/>
        <w:rPr>
          <w:sz w:val="20"/>
          <w:szCs w:val="20"/>
          <w:color w:val="auto"/>
        </w:rPr>
      </w:pPr>
    </w:p>
    <w:p>
      <w:pPr>
        <w:ind w:left="920" w:hanging="912"/>
        <w:spacing w:after="0"/>
        <w:tabs>
          <w:tab w:leader="none" w:pos="9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6.1</w:t>
            </w:r>
          </w:p>
        </w:tc>
        <w:tc>
          <w:tcPr>
            <w:tcW w:w="10780" w:type="dxa"/>
            <w:vAlign w:val="bottom"/>
          </w:tcPr>
          <w:p>
            <w:pPr>
              <w:ind w:left="340"/>
              <w:spacing w:after="0"/>
              <w:rPr>
                <w:sz w:val="20"/>
                <w:szCs w:val="20"/>
                <w:color w:val="auto"/>
              </w:rPr>
            </w:pPr>
            <w:r>
              <w:rPr>
                <w:rFonts w:ascii="Arial" w:cs="Arial" w:eastAsia="Arial" w:hAnsi="Arial"/>
                <w:sz w:val="18"/>
                <w:szCs w:val="18"/>
                <w:color w:val="auto"/>
                <w:w w:val="88"/>
              </w:rPr>
              <w:t>For the avoidance of doubt, notwithstanding any provisions herein to the contrary, the Technical Agreement shall be valid and effective on and after</w:t>
            </w:r>
          </w:p>
        </w:tc>
      </w:t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89"/>
              </w:rPr>
              <w:t xml:space="preserve">the Commencement Date. Within </w:t>
            </w:r>
            <w:r>
              <w:rPr>
                <w:rFonts w:ascii="Arial" w:cs="Arial" w:eastAsia="Arial" w:hAnsi="Arial"/>
                <w:sz w:val="18"/>
                <w:szCs w:val="18"/>
                <w:b w:val="1"/>
                <w:bCs w:val="1"/>
                <w:i w:val="1"/>
                <w:iCs w:val="1"/>
                <w:color w:val="auto"/>
                <w:w w:val="89"/>
              </w:rPr>
              <w:t>[***]</w:t>
            </w:r>
            <w:r>
              <w:rPr>
                <w:rFonts w:ascii="Arial" w:cs="Arial" w:eastAsia="Arial" w:hAnsi="Arial"/>
                <w:sz w:val="18"/>
                <w:szCs w:val="18"/>
                <w:color w:val="auto"/>
                <w:w w:val="89"/>
              </w:rPr>
              <w:t xml:space="preserve"> after the Commencement Date, the Parties will review and update the Technical Agreement for purposes of</w:t>
            </w:r>
          </w:p>
        </w:tc>
      </w:t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89"/>
              </w:rPr>
              <w:t>making it consistent with the terms of this Agreement. Notwithstanding the foregoing, in the event of a conflict between any of the provisions of this</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Agreement and the Technical Agreement, the provisions of this Agreement shall govern.</w:t>
            </w:r>
          </w:p>
        </w:tc>
      </w:tr>
    </w:tbl>
    <w:p>
      <w:pPr>
        <w:spacing w:after="0" w:line="271"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7.1</w:t>
            </w:r>
          </w:p>
        </w:tc>
        <w:tc>
          <w:tcPr>
            <w:tcW w:w="10780" w:type="dxa"/>
            <w:vAlign w:val="bottom"/>
          </w:tcPr>
          <w:p>
            <w:pPr>
              <w:ind w:left="340"/>
              <w:spacing w:after="0"/>
              <w:rPr>
                <w:sz w:val="20"/>
                <w:szCs w:val="20"/>
                <w:color w:val="auto"/>
              </w:rPr>
            </w:pPr>
            <w:r>
              <w:rPr>
                <w:rFonts w:ascii="Arial" w:cs="Arial" w:eastAsia="Arial" w:hAnsi="Arial"/>
                <w:sz w:val="18"/>
                <w:szCs w:val="18"/>
                <w:color w:val="auto"/>
                <w:w w:val="87"/>
              </w:rPr>
              <w:t>Supplier hereby represents and warrants that any Drug Substance manufactured pursuant to this Agreement shall comply with the Specifications and</w:t>
            </w:r>
          </w:p>
        </w:tc>
      </w:t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3"/>
              </w:rPr>
              <w:t>all Legal Requirements of the US, Japan and, to the extent Drug Substance will be used in manufacturing, testing and release activities to be</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performed in the EU or upon Amarin’s submission of an application for Marketing Approval in the EU, of the EU, including cGMP.</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7.2</w:t>
            </w:r>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Supplier represents and warrants that it shall maintain the Facility, the equipment used to manufacture the Drug Substance and any applicable</w:t>
            </w:r>
          </w:p>
        </w:tc>
      </w:t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87"/>
              </w:rPr>
              <w:t>contracts necessary to manufacture the Drug Substance in accordance with the Specifications, cGMPs, Legal Requirements of Japan, US and, to the</w:t>
            </w:r>
          </w:p>
        </w:tc>
      </w:t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0"/>
              </w:rPr>
              <w:t>extent Drug Substance will be used in manufacturing, testing and release activities to be performed in the EU or upon Amarin’s submission of an</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application for Marketing Approval in the EU, of the EU, the Technical Agreement and Supplier’s standard operating procedures.</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7.3</w:t>
            </w:r>
          </w:p>
        </w:tc>
        <w:tc>
          <w:tcPr>
            <w:tcW w:w="10780" w:type="dxa"/>
            <w:vAlign w:val="bottom"/>
          </w:tcPr>
          <w:p>
            <w:pPr>
              <w:ind w:left="340"/>
              <w:spacing w:after="0"/>
              <w:rPr>
                <w:sz w:val="20"/>
                <w:szCs w:val="20"/>
                <w:color w:val="auto"/>
              </w:rPr>
            </w:pPr>
            <w:r>
              <w:rPr>
                <w:rFonts w:ascii="Arial" w:cs="Arial" w:eastAsia="Arial" w:hAnsi="Arial"/>
                <w:sz w:val="18"/>
                <w:szCs w:val="18"/>
                <w:color w:val="auto"/>
                <w:w w:val="91"/>
              </w:rPr>
              <w:t>Supplier represents and warrants that, to its knowledge, its performance of its obligations under this Agreement will not infringe upon, nor cause</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Amarin’s or its licensees’ use of the Drug Substance to infringe upon, the intellectual property rights of any third Person.</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7.4</w:t>
            </w:r>
          </w:p>
        </w:tc>
        <w:tc>
          <w:tcPr>
            <w:tcW w:w="10780" w:type="dxa"/>
            <w:vAlign w:val="bottom"/>
          </w:tcPr>
          <w:p>
            <w:pPr>
              <w:ind w:left="340"/>
              <w:spacing w:after="0"/>
              <w:rPr>
                <w:sz w:val="20"/>
                <w:szCs w:val="20"/>
                <w:color w:val="auto"/>
              </w:rPr>
            </w:pPr>
            <w:r>
              <w:rPr>
                <w:rFonts w:ascii="Arial" w:cs="Arial" w:eastAsia="Arial" w:hAnsi="Arial"/>
                <w:sz w:val="18"/>
                <w:szCs w:val="18"/>
                <w:color w:val="auto"/>
                <w:w w:val="91"/>
              </w:rPr>
              <w:t>Supplier represents and warrants that it has not used, and will not use, in any capacity associated with or related to the manufacture of the Drug</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Substance, the services of any Persons who have been, or are in the process of being debarred under any Legal Requirements.</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7.5</w:t>
            </w:r>
          </w:p>
        </w:tc>
        <w:tc>
          <w:tcPr>
            <w:tcW w:w="10780" w:type="dxa"/>
            <w:vAlign w:val="bottom"/>
          </w:tcPr>
          <w:p>
            <w:pPr>
              <w:ind w:left="340"/>
              <w:spacing w:after="0"/>
              <w:rPr>
                <w:sz w:val="20"/>
                <w:szCs w:val="20"/>
                <w:color w:val="auto"/>
              </w:rPr>
            </w:pPr>
            <w:r>
              <w:rPr>
                <w:rFonts w:ascii="Arial" w:cs="Arial" w:eastAsia="Arial" w:hAnsi="Arial"/>
                <w:sz w:val="18"/>
                <w:szCs w:val="18"/>
                <w:color w:val="auto"/>
                <w:w w:val="88"/>
              </w:rPr>
              <w:t>Supplier hereby represents and warrants that it has in place, and shall continue to have in place during the term of this Agreement, a legally binding</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 xml:space="preserve">written agreement with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for the supply of EBZ in sufficient quantities to permit Supplier to satisfy its obligations hereunder.</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7.6</w:t>
            </w:r>
          </w:p>
        </w:tc>
        <w:tc>
          <w:tcPr>
            <w:tcW w:w="10780" w:type="dxa"/>
            <w:vAlign w:val="bottom"/>
          </w:tcPr>
          <w:p>
            <w:pPr>
              <w:ind w:left="340"/>
              <w:spacing w:after="0"/>
              <w:rPr>
                <w:sz w:val="20"/>
                <w:szCs w:val="20"/>
                <w:color w:val="auto"/>
              </w:rPr>
            </w:pPr>
            <w:r>
              <w:rPr>
                <w:rFonts w:ascii="Arial" w:cs="Arial" w:eastAsia="Arial" w:hAnsi="Arial"/>
                <w:sz w:val="18"/>
                <w:szCs w:val="18"/>
                <w:color w:val="auto"/>
                <w:w w:val="89"/>
              </w:rPr>
              <w:t>Amarin hereby represents and warrants that it has in place, and shall continue to have in place during the term of this Agreement, a legally binding</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written agreement with the third Persons that perform encapsulations of the Drug Substance on behalf of Amarin.</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7.7</w:t>
            </w:r>
          </w:p>
        </w:tc>
        <w:tc>
          <w:tcPr>
            <w:tcW w:w="10780" w:type="dxa"/>
            <w:vAlign w:val="bottom"/>
          </w:tcPr>
          <w:p>
            <w:pPr>
              <w:ind w:left="340"/>
              <w:spacing w:after="0"/>
              <w:rPr>
                <w:sz w:val="20"/>
                <w:szCs w:val="20"/>
                <w:color w:val="auto"/>
              </w:rPr>
            </w:pPr>
            <w:r>
              <w:rPr>
                <w:rFonts w:ascii="Arial" w:cs="Arial" w:eastAsia="Arial" w:hAnsi="Arial"/>
                <w:sz w:val="18"/>
                <w:szCs w:val="18"/>
                <w:color w:val="auto"/>
              </w:rPr>
              <w:t>Amarin and Supplier hereby represent and warrant to each other, as of the date of this Agreement, as follows:</w:t>
            </w:r>
          </w:p>
        </w:tc>
      </w:tr>
    </w:tbl>
    <w:p>
      <w:pPr>
        <w:sectPr>
          <w:pgSz w:w="11900" w:h="16838" w:orient="portrait"/>
          <w:cols w:equalWidth="0" w:num="1">
            <w:col w:w="11360"/>
          </w:cols>
          <w:pgMar w:left="240" w:top="280" w:right="299" w:bottom="1440" w:gutter="0" w:footer="0" w:header="0"/>
        </w:sectPr>
      </w:pPr>
    </w:p>
    <w:bookmarkStart w:id="136" w:name="page137"/>
    <w:bookmarkEnd w:id="1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7.7.1</w:t>
            </w:r>
          </w:p>
        </w:tc>
        <w:tc>
          <w:tcPr>
            <w:tcW w:w="9800" w:type="dxa"/>
            <w:vAlign w:val="bottom"/>
          </w:tcPr>
          <w:p>
            <w:pPr>
              <w:ind w:left="340"/>
              <w:spacing w:after="0"/>
              <w:rPr>
                <w:sz w:val="20"/>
                <w:szCs w:val="20"/>
                <w:color w:val="auto"/>
              </w:rPr>
            </w:pPr>
            <w:r>
              <w:rPr>
                <w:rFonts w:ascii="Arial" w:cs="Arial" w:eastAsia="Arial" w:hAnsi="Arial"/>
                <w:sz w:val="18"/>
                <w:szCs w:val="18"/>
                <w:color w:val="auto"/>
              </w:rPr>
              <w:t>Each Party has the right to enter into this Agreement.</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7.7.2</w:t>
            </w: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There are no agreements between either Amarin or Supplier and any third Person that conflict with this Agreement in the Territory.</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7.8</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7"/>
              </w:rPr>
              <w:t>THE WARRANTIES IN THIS CLAUSE 7 ARE THE SOLE AND EXCLUSIVE WARRANTIES PROVIDED BY THE PARTIES, AND THE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PARTIES MAKE NO REPRESENTATION OR WARRANTY OF ANY KIND, EXPRESS OR IMPLIED, OTHER THAN THOSE EXPRESSLY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SET FORTH IN THIS CLAUSE 7. WITHOUT LIMITING THE GENERALITY OF THE FOREGOING, NO IMPLIED WARRANTY OF</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8"/>
              </w:rPr>
              <w:t>MERCHANTABILITY, NO IMPLIED WARRANTY OF FITNESS FOR ANY PARTICULAR PURPOSE, AND NO IMPLIED WARRANTY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ARISING BY USAGE OF TRADE, COURSE OF DEALING OR COURSE OF PERFORMANCE IS GIVEN OR MADE BY EITHER PARTY; IN</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6"/>
              </w:rPr>
              <w:t>NO EVENT SHALL EITHER PARTY HAVE ANY LIABILITY OR OBLIGATION WHATSOVER UNDER OR IN CONNECTION WITH ANY</w:t>
            </w:r>
          </w:p>
        </w:tc>
      </w:tr>
      <w:tr>
        <w:trPr>
          <w:trHeight w:val="222"/>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WARRANTY OTHER THAN THE WARRANTIES EXPRESSLY SET FORTH IN THIS CLAUSE 7.</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7.9</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Each Party shall promptly notify the other Party of any breach of warranties set forth in this Clause 7.</w:t>
            </w:r>
          </w:p>
        </w:tc>
      </w:tr>
    </w:tbl>
    <w:p>
      <w:pPr>
        <w:spacing w:after="0" w:line="271" w:lineRule="exact"/>
        <w:rPr>
          <w:sz w:val="20"/>
          <w:szCs w:val="20"/>
          <w:color w:val="auto"/>
        </w:rPr>
      </w:pPr>
    </w:p>
    <w:p>
      <w:pPr>
        <w:ind w:left="920" w:hanging="912"/>
        <w:spacing w:after="0"/>
        <w:tabs>
          <w:tab w:leader="none" w:pos="9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8.1</w:t>
            </w:r>
          </w:p>
        </w:tc>
        <w:tc>
          <w:tcPr>
            <w:tcW w:w="10820" w:type="dxa"/>
            <w:vAlign w:val="bottom"/>
          </w:tcPr>
          <w:p>
            <w:pPr>
              <w:ind w:left="340"/>
              <w:spacing w:after="0"/>
              <w:rPr>
                <w:sz w:val="20"/>
                <w:szCs w:val="20"/>
                <w:color w:val="auto"/>
              </w:rPr>
            </w:pPr>
            <w:r>
              <w:rPr>
                <w:rFonts w:ascii="Arial" w:cs="Arial" w:eastAsia="Arial" w:hAnsi="Arial"/>
                <w:sz w:val="18"/>
                <w:szCs w:val="18"/>
                <w:color w:val="auto"/>
                <w:w w:val="87"/>
              </w:rPr>
              <w:t>Supplier shall indemnify and hold Amarin harmless against any claims, costs (including reasonable legal costs, expenses), liabilities, losses, damages</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or expense, which result from third-party claims (collectively, “</w:t>
            </w:r>
            <w:r>
              <w:rPr>
                <w:rFonts w:ascii="Arial" w:cs="Arial" w:eastAsia="Arial" w:hAnsi="Arial"/>
                <w:sz w:val="18"/>
                <w:szCs w:val="18"/>
                <w:b w:val="1"/>
                <w:bCs w:val="1"/>
                <w:color w:val="auto"/>
                <w:w w:val="91"/>
              </w:rPr>
              <w:t>Losses</w:t>
            </w:r>
            <w:r>
              <w:rPr>
                <w:rFonts w:ascii="Arial" w:cs="Arial" w:eastAsia="Arial" w:hAnsi="Arial"/>
                <w:sz w:val="18"/>
                <w:szCs w:val="18"/>
                <w:color w:val="auto"/>
                <w:w w:val="91"/>
              </w:rPr>
              <w:t>”) suffered by Amarin to the extent arising out of or in connection with (i) a</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3"/>
              </w:rPr>
              <w:t>breach by Supplier of this Agreement, including the warranties provided in Clause 7, or (ii) the negligence or wilful misconduct of Supplier, its</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3"/>
              </w:rPr>
              <w:t>employees, agents or contractors; provided, however, that Amarin may not seek indemnification for Losses to the extent caused by Amarin’s</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improper handling of the Drug Substance or by its misrepresentation as to the Drug Substance or Products.</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8.2</w:t>
            </w:r>
          </w:p>
        </w:tc>
        <w:tc>
          <w:tcPr>
            <w:tcW w:w="10820" w:type="dxa"/>
            <w:vAlign w:val="bottom"/>
          </w:tcPr>
          <w:p>
            <w:pPr>
              <w:ind w:left="340"/>
              <w:spacing w:after="0"/>
              <w:rPr>
                <w:sz w:val="20"/>
                <w:szCs w:val="20"/>
                <w:color w:val="auto"/>
              </w:rPr>
            </w:pPr>
            <w:r>
              <w:rPr>
                <w:rFonts w:ascii="Arial" w:cs="Arial" w:eastAsia="Arial" w:hAnsi="Arial"/>
                <w:sz w:val="18"/>
                <w:szCs w:val="18"/>
                <w:color w:val="auto"/>
                <w:w w:val="92"/>
              </w:rPr>
              <w:t>Notwithstanding the provisions of Clause 8.1, after incorporation of the Drug Substance into the Product, Amarin may seek indemnification for</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8"/>
              </w:rPr>
              <w:t>Losses suffered by Amarin against Supplier only if Losses were caused by defects of the Drug Substance existing at the time of delivery of the Drug</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Substance to Amarin. In case of the immediate forgoing sentence, Amarin shall be responsible to demonstrate by a preponderance of evidence that</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Losses were caused by defects of the Drug Substance existing at the time of delivery of the Drug Substance to Amarin.</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8.3</w:t>
            </w: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Amarin shall indemnify and hold Supplier harmless against any Losses suffered by Supplier for personal injury (including death) and/or costs of</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medical treatment caused by the administration of the Product to humans, except to the extent that any of the foregoing result from (i) a breach by</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2"/>
              </w:rPr>
              <w:t>Supplier of this Agreement, including the warranties provided in Clause 7, or (ii) the negligence or wilful misconduct of Supplier, its employees,</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agents or contractors.</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8.4</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 xml:space="preserve">Amarin and Supplier shall maintain in full force and effect during the term of this Agreement and for a period of </w:t>
            </w:r>
            <w:r>
              <w:rPr>
                <w:rFonts w:ascii="Arial" w:cs="Arial" w:eastAsia="Arial" w:hAnsi="Arial"/>
                <w:sz w:val="18"/>
                <w:szCs w:val="18"/>
                <w:b w:val="1"/>
                <w:bCs w:val="1"/>
                <w:i w:val="1"/>
                <w:iCs w:val="1"/>
                <w:color w:val="auto"/>
                <w:w w:val="90"/>
              </w:rPr>
              <w:t>[***]</w:t>
            </w:r>
            <w:r>
              <w:rPr>
                <w:rFonts w:ascii="Arial" w:cs="Arial" w:eastAsia="Arial" w:hAnsi="Arial"/>
                <w:sz w:val="18"/>
                <w:szCs w:val="18"/>
                <w:color w:val="auto"/>
                <w:w w:val="90"/>
              </w:rPr>
              <w:t xml:space="preserve"> after expiration or termination</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of this Agreement, worker’s compensation, property, general liability, and product liability insurance coverage in such amounts and with such scope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of coverages as are adequate to cover each Party’s obligations under this Agreement and as are customary in the industry for</w:t>
            </w:r>
          </w:p>
        </w:tc>
      </w:tr>
    </w:tbl>
    <w:p>
      <w:pPr>
        <w:sectPr>
          <w:pgSz w:w="11900" w:h="16838" w:orient="portrait"/>
          <w:cols w:equalWidth="0" w:num="1">
            <w:col w:w="11400"/>
          </w:cols>
          <w:pgMar w:left="240" w:top="280" w:right="259" w:bottom="1440" w:gutter="0" w:footer="0" w:header="0"/>
        </w:sectPr>
      </w:pPr>
    </w:p>
    <w:bookmarkStart w:id="137" w:name="page138"/>
    <w:bookmarkEnd w:id="1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9960" w:type="dxa"/>
            <w:vAlign w:val="bottom"/>
          </w:tcPr>
          <w:p>
            <w:pPr>
              <w:ind w:left="340"/>
              <w:spacing w:after="0"/>
              <w:rPr>
                <w:sz w:val="20"/>
                <w:szCs w:val="20"/>
                <w:color w:val="auto"/>
              </w:rPr>
            </w:pPr>
            <w:r>
              <w:rPr>
                <w:rFonts w:ascii="Arial" w:cs="Arial" w:eastAsia="Arial" w:hAnsi="Arial"/>
                <w:sz w:val="18"/>
                <w:szCs w:val="18"/>
                <w:color w:val="auto"/>
              </w:rPr>
              <w:t>companies of like size and activities and taking into account the nature of the Drug Substance or Product.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8.5</w:t>
            </w:r>
          </w:p>
        </w:tc>
        <w:tc>
          <w:tcPr>
            <w:tcW w:w="9960" w:type="dxa"/>
            <w:vAlign w:val="bottom"/>
          </w:tcPr>
          <w:p>
            <w:pPr>
              <w:ind w:left="340"/>
              <w:spacing w:after="0"/>
              <w:rPr>
                <w:sz w:val="20"/>
                <w:szCs w:val="20"/>
                <w:color w:val="auto"/>
              </w:rPr>
            </w:pPr>
            <w:r>
              <w:rPr>
                <w:rFonts w:ascii="Arial" w:cs="Arial" w:eastAsia="Arial" w:hAnsi="Arial"/>
                <w:sz w:val="18"/>
                <w:szCs w:val="18"/>
                <w:color w:val="auto"/>
                <w:w w:val="94"/>
              </w:rPr>
              <w:t>IN NO EVENT SHALL EITHER PARTY HERETO BE LIABLE TO THE OTHER PARTY UNDER ANY THEORY FOR INDIRECT,</w:t>
            </w:r>
          </w:p>
        </w:tc>
      </w:tr>
      <w:tr>
        <w:trPr>
          <w:trHeight w:val="222"/>
        </w:trPr>
        <w:tc>
          <w:tcPr>
            <w:tcW w:w="580" w:type="dxa"/>
            <w:vAlign w:val="bottom"/>
          </w:tcPr>
          <w:p>
            <w:pPr>
              <w:spacing w:after="0"/>
              <w:rPr>
                <w:sz w:val="19"/>
                <w:szCs w:val="19"/>
                <w:color w:val="auto"/>
              </w:rPr>
            </w:pPr>
          </w:p>
        </w:tc>
        <w:tc>
          <w:tcPr>
            <w:tcW w:w="9960" w:type="dxa"/>
            <w:vAlign w:val="bottom"/>
          </w:tcPr>
          <w:p>
            <w:pPr>
              <w:ind w:left="340"/>
              <w:spacing w:after="0"/>
              <w:rPr>
                <w:sz w:val="20"/>
                <w:szCs w:val="20"/>
                <w:color w:val="auto"/>
              </w:rPr>
            </w:pPr>
            <w:r>
              <w:rPr>
                <w:rFonts w:ascii="Arial" w:cs="Arial" w:eastAsia="Arial" w:hAnsi="Arial"/>
                <w:sz w:val="18"/>
                <w:szCs w:val="18"/>
                <w:color w:val="auto"/>
              </w:rPr>
              <w:t>CONSEQUENTIAL, INCIDENTAL, SPECIAL, EXEMPLARY OR PUNITIVE DAMAGES.</w:t>
            </w:r>
          </w:p>
        </w:tc>
      </w:tr>
    </w:tbl>
    <w:p>
      <w:pPr>
        <w:spacing w:after="0" w:line="271" w:lineRule="exact"/>
        <w:rPr>
          <w:sz w:val="20"/>
          <w:szCs w:val="20"/>
          <w:color w:val="auto"/>
        </w:rPr>
      </w:pPr>
    </w:p>
    <w:p>
      <w:pPr>
        <w:ind w:left="920" w:hanging="912"/>
        <w:spacing w:after="0"/>
        <w:tabs>
          <w:tab w:leader="none" w:pos="9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SHIPPING TERM / TITLE AND RISK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9.1</w:t>
            </w:r>
          </w:p>
        </w:tc>
        <w:tc>
          <w:tcPr>
            <w:tcW w:w="10800" w:type="dxa"/>
            <w:vAlign w:val="bottom"/>
          </w:tcPr>
          <w:p>
            <w:pPr>
              <w:ind w:left="300"/>
              <w:spacing w:after="0"/>
              <w:rPr>
                <w:sz w:val="20"/>
                <w:szCs w:val="20"/>
                <w:color w:val="auto"/>
              </w:rPr>
            </w:pPr>
            <w:r>
              <w:rPr>
                <w:rFonts w:ascii="Arial" w:cs="Arial" w:eastAsia="Arial" w:hAnsi="Arial"/>
                <w:sz w:val="18"/>
                <w:szCs w:val="18"/>
                <w:color w:val="auto"/>
              </w:rPr>
              <w:t>Supplier shall ship the Drug Substance FCA the Facility, as defined in Incoterms 2000.</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9.2</w:t>
            </w:r>
          </w:p>
        </w:tc>
        <w:tc>
          <w:tcPr>
            <w:tcW w:w="10800" w:type="dxa"/>
            <w:vAlign w:val="bottom"/>
          </w:tcPr>
          <w:p>
            <w:pPr>
              <w:ind w:left="300"/>
              <w:spacing w:after="0"/>
              <w:rPr>
                <w:sz w:val="20"/>
                <w:szCs w:val="20"/>
                <w:color w:val="auto"/>
              </w:rPr>
            </w:pPr>
            <w:r>
              <w:rPr>
                <w:rFonts w:ascii="Arial" w:cs="Arial" w:eastAsia="Arial" w:hAnsi="Arial"/>
                <w:sz w:val="18"/>
                <w:szCs w:val="18"/>
                <w:color w:val="auto"/>
                <w:w w:val="99"/>
              </w:rPr>
              <w:t>Title and risk of loss to Drug Substance shall pass from Supplier to Amarin upon the delivery of the Drug Substance FCA the Facility.</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9.3</w:t>
            </w: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Supplier will be responsible for organizing the transport by air and insurance arrangements for the delivery of the Drug Substance from the Facility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to the Destination. Amarin will reimburse Supplier for the costs of the transport and insurance arrangements for the said delivery of the Drug</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Substance from the Facility to the Destination. Notwithstanding the foregoing, Supplier shall use the carrier nominated by Amarin from time to time,</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and, to the extent Amarin does not nominate a carrier, Supplier may select the carrier.</w:t>
            </w:r>
          </w:p>
        </w:tc>
      </w:tr>
      <w:tr>
        <w:trPr>
          <w:trHeight w:val="500"/>
        </w:trPr>
        <w:tc>
          <w:tcPr>
            <w:tcW w:w="6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CONFIDENTIAL INFORMATION</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 xml:space="preserve">The Parties shall keep Confidential Information strictly confidential and shall not disclose it to any third Person other than </w:t>
            </w:r>
            <w:r>
              <w:rPr>
                <w:rFonts w:ascii="Arial" w:cs="Arial" w:eastAsia="Arial" w:hAnsi="Arial"/>
                <w:sz w:val="18"/>
                <w:szCs w:val="18"/>
                <w:b w:val="1"/>
                <w:bCs w:val="1"/>
                <w:i w:val="1"/>
                <w:iCs w:val="1"/>
                <w:color w:val="auto"/>
                <w:w w:val="95"/>
              </w:rPr>
              <w:t>[***]</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Third Party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 xml:space="preserve">Suppliers,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xml:space="preserve"> and </w:t>
            </w:r>
            <w:r>
              <w:rPr>
                <w:rFonts w:ascii="Arial" w:cs="Arial" w:eastAsia="Arial" w:hAnsi="Arial"/>
                <w:sz w:val="18"/>
                <w:szCs w:val="18"/>
                <w:b w:val="1"/>
                <w:bCs w:val="1"/>
                <w:i w:val="1"/>
                <w:iCs w:val="1"/>
                <w:color w:val="auto"/>
                <w:w w:val="91"/>
              </w:rPr>
              <w:t>[***]</w:t>
            </w:r>
            <w:r>
              <w:rPr>
                <w:rFonts w:ascii="Arial" w:cs="Arial" w:eastAsia="Arial" w:hAnsi="Arial"/>
                <w:sz w:val="18"/>
                <w:szCs w:val="18"/>
                <w:color w:val="auto"/>
                <w:w w:val="91"/>
              </w:rPr>
              <w:t>; provided, however, that the foregoing are bound by confidentiality, nondisclosure and non-use restrictions substantially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similar to those set forth herein. Save as otherwise specifically provided herein, the Parties shall only disclose Confidential Information to those of its</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6"/>
              </w:rPr>
              <w:t>Affiliates and their respective employees, representatives and agents requiring knowledge thereof in connection with fulfilling that Party’s</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obligations under this Agreement and who are bound by confidentiality, nondisclosure and non-use restrictions substantially similar to those set forth</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herein.</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800" w:type="dxa"/>
            <w:vAlign w:val="bottom"/>
          </w:tcPr>
          <w:p>
            <w:pPr>
              <w:ind w:left="300"/>
              <w:spacing w:after="0"/>
              <w:rPr>
                <w:sz w:val="20"/>
                <w:szCs w:val="20"/>
                <w:color w:val="auto"/>
              </w:rPr>
            </w:pPr>
            <w:r>
              <w:rPr>
                <w:rFonts w:ascii="Arial" w:cs="Arial" w:eastAsia="Arial" w:hAnsi="Arial"/>
                <w:sz w:val="18"/>
                <w:szCs w:val="18"/>
                <w:color w:val="auto"/>
                <w:w w:val="96"/>
              </w:rPr>
              <w:t>The Parties further agree to inform all such Affiliates, employees, representatives and agents of the confidential nature of the Confidential</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Information and their duties hereunder and make reasonable measures to make Affiliates, employees, representatives and agent comply with the</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duties hereunder.</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The Parties shall exercise the same standard of care as they would exercise in relation to its own Confidential Information (but in no event less than a</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reasonable standard of care) to protect and preserve the proprietary and confidential nature of the Confidential Information disclosed to it by the</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other party.</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Notwithstanding the provisions of this Clause 10, if one of the Parties (“</w:t>
            </w:r>
            <w:r>
              <w:rPr>
                <w:rFonts w:ascii="Arial" w:cs="Arial" w:eastAsia="Arial" w:hAnsi="Arial"/>
                <w:sz w:val="18"/>
                <w:szCs w:val="18"/>
                <w:b w:val="1"/>
                <w:bCs w:val="1"/>
                <w:color w:val="auto"/>
                <w:w w:val="89"/>
              </w:rPr>
              <w:t>Receiving Party</w:t>
            </w:r>
            <w:r>
              <w:rPr>
                <w:rFonts w:ascii="Arial" w:cs="Arial" w:eastAsia="Arial" w:hAnsi="Arial"/>
                <w:sz w:val="18"/>
                <w:szCs w:val="18"/>
                <w:color w:val="auto"/>
                <w:w w:val="89"/>
              </w:rPr>
              <w:t>”) or any Person who received the Confidential Information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in accordance with Clause 10.1 is required by any court of competent jurisdiction, any competent judicial, Governmental Body, or pursuant to any</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relevant law or regulation to disclose any of the Confidential Information of the other Party, the Receiving Party will make reasonable effort to</w:t>
            </w:r>
          </w:p>
        </w:tc>
      </w:tr>
    </w:tbl>
    <w:p>
      <w:pPr>
        <w:ind w:left="920" w:right="80"/>
        <w:spacing w:after="0" w:line="261" w:lineRule="auto"/>
        <w:rPr>
          <w:sz w:val="20"/>
          <w:szCs w:val="20"/>
          <w:color w:val="auto"/>
        </w:rPr>
      </w:pPr>
      <w:r>
        <w:rPr>
          <w:rFonts w:ascii="Arial" w:cs="Arial" w:eastAsia="Arial" w:hAnsi="Arial"/>
          <w:sz w:val="18"/>
          <w:szCs w:val="18"/>
          <w:color w:val="auto"/>
        </w:rPr>
        <w:t>provide the other Party with a notice so as to afford the other Party the opportunity, at the other Party’s expense, to pursue a protective order or other remedy and</w:t>
      </w:r>
    </w:p>
    <w:p>
      <w:pPr>
        <w:sectPr>
          <w:pgSz w:w="11900" w:h="16838" w:orient="portrait"/>
          <w:cols w:equalWidth="0" w:num="1">
            <w:col w:w="11420"/>
          </w:cols>
          <w:pgMar w:left="240" w:top="280"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the Receiving Party shall reasonably cooperate with the other Party in such efforts to the extent practical and permitted under applicable Legal</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89"/>
              </w:rPr>
              <w:t>Requirements. In no event shall the Receiving Party be liable for any damages resulting from disclosure of the Confidential Information pursuant to</w:t>
            </w:r>
          </w:p>
        </w:tc>
      </w:tr>
      <w:tr>
        <w:trPr>
          <w:trHeight w:val="222"/>
        </w:trPr>
        <w:tc>
          <w:tcPr>
            <w:tcW w:w="66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1"/>
              </w:rPr>
              <w:t>this Clause. Disclosure of Confidential Information by a Receiving Party in accordance with this Clause shall not be a breach of this Agreement.</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720" w:type="dxa"/>
            <w:vAlign w:val="bottom"/>
          </w:tcPr>
          <w:p>
            <w:pPr>
              <w:ind w:left="260"/>
              <w:spacing w:after="0"/>
              <w:rPr>
                <w:sz w:val="20"/>
                <w:szCs w:val="20"/>
                <w:color w:val="auto"/>
              </w:rPr>
            </w:pPr>
            <w:r>
              <w:rPr>
                <w:rFonts w:ascii="Arial" w:cs="Arial" w:eastAsia="Arial" w:hAnsi="Arial"/>
                <w:sz w:val="18"/>
                <w:szCs w:val="18"/>
                <w:color w:val="auto"/>
              </w:rPr>
              <w:t>The Parties shall use the Confidential Information exclusively for performance of this Agreement and for no other purpose.</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10720" w:type="dxa"/>
            <w:vAlign w:val="bottom"/>
          </w:tcPr>
          <w:p>
            <w:pPr>
              <w:ind w:left="260"/>
              <w:spacing w:after="0"/>
              <w:rPr>
                <w:sz w:val="20"/>
                <w:szCs w:val="20"/>
                <w:color w:val="auto"/>
              </w:rPr>
            </w:pPr>
            <w:r>
              <w:rPr>
                <w:rFonts w:ascii="Arial" w:cs="Arial" w:eastAsia="Arial" w:hAnsi="Arial"/>
                <w:sz w:val="18"/>
                <w:szCs w:val="18"/>
                <w:color w:val="auto"/>
                <w:w w:val="90"/>
              </w:rPr>
              <w:t>Upon termination or expiration of this Agreement, each Party shall promptly, upon request of the other Party, return all documents and any copies</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0"/>
              </w:rPr>
              <w:t>thereof containing Confidential Information belonging to, or disclosed by, such other Party; provided, however that a Party may retain one copy for</w:t>
            </w:r>
          </w:p>
        </w:tc>
      </w:tr>
      <w:tr>
        <w:trPr>
          <w:trHeight w:val="222"/>
        </w:trPr>
        <w:tc>
          <w:tcPr>
            <w:tcW w:w="66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archive purposes.</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10720" w:type="dxa"/>
            <w:vAlign w:val="bottom"/>
          </w:tcPr>
          <w:p>
            <w:pPr>
              <w:ind w:left="260"/>
              <w:spacing w:after="0"/>
              <w:rPr>
                <w:sz w:val="20"/>
                <w:szCs w:val="20"/>
                <w:color w:val="auto"/>
              </w:rPr>
            </w:pPr>
            <w:r>
              <w:rPr>
                <w:rFonts w:ascii="Arial" w:cs="Arial" w:eastAsia="Arial" w:hAnsi="Arial"/>
                <w:sz w:val="18"/>
                <w:szCs w:val="18"/>
                <w:color w:val="auto"/>
                <w:w w:val="93"/>
              </w:rPr>
              <w:t>The Parties agree that the obligations of this Clause 10 are necessary and reasonable in order to protect the Parties’ respective businesses.</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10720" w:type="dxa"/>
            <w:vAlign w:val="bottom"/>
          </w:tcPr>
          <w:p>
            <w:pPr>
              <w:ind w:left="260"/>
              <w:spacing w:after="0"/>
              <w:rPr>
                <w:sz w:val="20"/>
                <w:szCs w:val="20"/>
                <w:color w:val="auto"/>
              </w:rPr>
            </w:pPr>
            <w:r>
              <w:rPr>
                <w:rFonts w:ascii="Arial" w:cs="Arial" w:eastAsia="Arial" w:hAnsi="Arial"/>
                <w:sz w:val="18"/>
                <w:szCs w:val="18"/>
                <w:color w:val="auto"/>
                <w:w w:val="89"/>
              </w:rPr>
              <w:t>The Parties agree that any such violation or threatened violation may cause irreparable injury to a Party and that, in addition to any other remedies</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1"/>
              </w:rPr>
              <w:t>that may be available, each Party shall be entitled to seek injunctive relief against the threatened breach of the provisions of this Clause 10, or a</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0"/>
              </w:rPr>
              <w:t>continuation of any such breach by the other Party, specific performance and other such relief to redress such breach together with damages and</w:t>
            </w:r>
          </w:p>
        </w:tc>
      </w:tr>
      <w:tr>
        <w:trPr>
          <w:trHeight w:val="222"/>
        </w:trPr>
        <w:tc>
          <w:tcPr>
            <w:tcW w:w="66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reasonable counsel fees and expenses to enforce its rights hereunder.</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720" w:type="dxa"/>
            <w:vAlign w:val="bottom"/>
          </w:tcPr>
          <w:p>
            <w:pPr>
              <w:ind w:left="260"/>
              <w:spacing w:after="0"/>
              <w:rPr>
                <w:sz w:val="20"/>
                <w:szCs w:val="20"/>
                <w:color w:val="auto"/>
              </w:rPr>
            </w:pPr>
            <w:r>
              <w:rPr>
                <w:rFonts w:ascii="Arial" w:cs="Arial" w:eastAsia="Arial" w:hAnsi="Arial"/>
                <w:sz w:val="18"/>
                <w:szCs w:val="18"/>
                <w:color w:val="auto"/>
                <w:w w:val="89"/>
              </w:rPr>
              <w:t>No announcement or public statement concerning the existence, subject matter or any term of this Agreement shall be made by or on behalf of any</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3"/>
              </w:rPr>
              <w:t>Party without the prior written approval of the other Party. The terms of any such announcement shall be agreed in good faith by the Parties.</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Notwithstanding the foregoing, to the extent required by a Governmental Body, either Party hereto shall be permitted to file this Agreement as</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3"/>
              </w:rPr>
              <w:t>required by a Governmental Body or otherwise disclose the terms of this Agreement as required by any Legal Requirements without consent;</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provided, however, that the filing or disclosing Party shall redact the other Parties’ Confidential Information to the extent allowed by applicable</w:t>
            </w:r>
          </w:p>
        </w:tc>
      </w:tr>
      <w:tr>
        <w:trPr>
          <w:trHeight w:val="222"/>
        </w:trPr>
        <w:tc>
          <w:tcPr>
            <w:tcW w:w="66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Legal Requirements and shall consult with the other Party in advance of disclosure when practicable.</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Amarin shall be entitled to disclose this Agreement and the information reported by a third Person under Clause 2.9.1 to a potential third party</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89"/>
              </w:rPr>
              <w:t>purchaser or commercialisation partner or current or future Amarin investor (collectively “Potential Partner”), provided that the Potential Partner has</w:t>
            </w:r>
          </w:p>
        </w:tc>
      </w:tr>
      <w:tr>
        <w:trPr>
          <w:trHeight w:val="216"/>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0"/>
              </w:rPr>
              <w:t>entered into a confidentiality agreement on terms substantially similar to the terms of this Clause 10. Prior to such disclosure, Amarin will provide</w:t>
            </w:r>
          </w:p>
        </w:tc>
      </w:tr>
      <w:tr>
        <w:trPr>
          <w:trHeight w:val="222"/>
        </w:trPr>
        <w:tc>
          <w:tcPr>
            <w:tcW w:w="66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advance written notification to Supplier of identity of such third Person with the relevant information of the third Person.</w:t>
            </w:r>
          </w:p>
        </w:tc>
      </w:tr>
      <w:tr>
        <w:trPr>
          <w:trHeight w:val="500"/>
        </w:trPr>
        <w:tc>
          <w:tcPr>
            <w:tcW w:w="6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10720" w:type="dxa"/>
            <w:vAlign w:val="bottom"/>
          </w:tcPr>
          <w:p>
            <w:pPr>
              <w:ind w:left="260"/>
              <w:spacing w:after="0"/>
              <w:rPr>
                <w:sz w:val="20"/>
                <w:szCs w:val="20"/>
                <w:color w:val="auto"/>
              </w:rPr>
            </w:pPr>
            <w:r>
              <w:rPr>
                <w:rFonts w:ascii="Arial" w:cs="Arial" w:eastAsia="Arial" w:hAnsi="Arial"/>
                <w:sz w:val="18"/>
                <w:szCs w:val="18"/>
                <w:b w:val="1"/>
                <w:bCs w:val="1"/>
                <w:color w:val="auto"/>
              </w:rPr>
              <w:t>FORCE MAJEURE</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11.1</w:t>
            </w:r>
          </w:p>
        </w:tc>
        <w:tc>
          <w:tcPr>
            <w:tcW w:w="10720" w:type="dxa"/>
            <w:vAlign w:val="bottom"/>
          </w:tcPr>
          <w:p>
            <w:pPr>
              <w:ind w:left="260"/>
              <w:spacing w:after="0"/>
              <w:rPr>
                <w:sz w:val="20"/>
                <w:szCs w:val="20"/>
                <w:color w:val="auto"/>
              </w:rPr>
            </w:pPr>
            <w:r>
              <w:rPr>
                <w:rFonts w:ascii="Arial" w:cs="Arial" w:eastAsia="Arial" w:hAnsi="Arial"/>
                <w:sz w:val="18"/>
                <w:szCs w:val="18"/>
                <w:color w:val="auto"/>
                <w:w w:val="94"/>
              </w:rPr>
              <w:t>If either Party is prevented or delayed in the performance of any of its obligations under this Agreement as a result of acts of God, war, fire,</w:t>
            </w:r>
          </w:p>
        </w:tc>
      </w:tr>
      <w:tr>
        <w:trPr>
          <w:trHeight w:val="210"/>
        </w:trPr>
        <w:tc>
          <w:tcPr>
            <w:tcW w:w="66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88"/>
              </w:rPr>
              <w:t>earthquake, or other natural disaster beyond the reasonable control of a Party that has not occurred as a result of its act, omission or negligence and</w:t>
            </w:r>
          </w:p>
        </w:tc>
      </w:tr>
      <w:tr>
        <w:trPr>
          <w:trHeight w:val="228"/>
        </w:trPr>
        <w:tc>
          <w:tcPr>
            <w:tcW w:w="66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which was not reasonably foreseeable (“</w:t>
            </w:r>
            <w:r>
              <w:rPr>
                <w:rFonts w:ascii="Arial" w:cs="Arial" w:eastAsia="Arial" w:hAnsi="Arial"/>
                <w:sz w:val="18"/>
                <w:szCs w:val="18"/>
                <w:b w:val="1"/>
                <w:bCs w:val="1"/>
                <w:color w:val="auto"/>
              </w:rPr>
              <w:t>Force Majeure</w:t>
            </w:r>
          </w:p>
        </w:tc>
      </w:tr>
    </w:tbl>
    <w:p>
      <w:pPr>
        <w:ind w:left="260"/>
        <w:spacing w:after="0"/>
        <w:rPr>
          <w:sz w:val="20"/>
          <w:szCs w:val="20"/>
          <w:color w:val="auto"/>
        </w:rPr>
        <w:sectPr>
          <w:pgSz w:w="11900" w:h="16838" w:orient="portrait"/>
          <w:cols w:equalWidth="0" w:num="1">
            <w:col w:w="11380"/>
          </w:cols>
          <w:pgMar w:left="240" w:top="28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9" w:name="page140"/>
    <w:bookmarkEnd w:id="139"/>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2"/>
              </w:rPr>
              <w:t>Event</w:t>
            </w:r>
            <w:r>
              <w:rPr>
                <w:rFonts w:ascii="Arial" w:cs="Arial" w:eastAsia="Arial" w:hAnsi="Arial"/>
                <w:sz w:val="18"/>
                <w:szCs w:val="18"/>
                <w:color w:val="auto"/>
                <w:w w:val="92"/>
              </w:rPr>
              <w:t>”), it shall notify the other Party, in writing, of the same as soon as practicable. The affected Party shall use its reasonable endeavours to</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remove or overcome such Force Majeure Event as quickly as possible and shall also use its reasonable endeavours to mitigate the impact of such</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1"/>
              </w:rPr>
              <w:t>Force Majeure Event of the other Party. Subject to Clause 11.3, if a Party shall have fully complied with its obligations under this Clause 11.1, it</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shall be excused from performance of its unfulfilled obligations under this Agreement from the date of such notice until such Force Majeure Event</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no longer pertains.</w:t>
            </w:r>
          </w:p>
        </w:tc>
      </w:tr>
      <w:tr>
        <w:trPr>
          <w:trHeight w:val="291"/>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11.2</w:t>
            </w:r>
          </w:p>
        </w:tc>
        <w:tc>
          <w:tcPr>
            <w:tcW w:w="10760" w:type="dxa"/>
            <w:vAlign w:val="bottom"/>
          </w:tcPr>
          <w:p>
            <w:pPr>
              <w:ind w:left="300"/>
              <w:spacing w:after="0"/>
              <w:rPr>
                <w:sz w:val="20"/>
                <w:szCs w:val="20"/>
                <w:color w:val="auto"/>
              </w:rPr>
            </w:pPr>
            <w:r>
              <w:rPr>
                <w:rFonts w:ascii="Arial" w:cs="Arial" w:eastAsia="Arial" w:hAnsi="Arial"/>
                <w:sz w:val="18"/>
                <w:szCs w:val="18"/>
                <w:color w:val="auto"/>
                <w:w w:val="88"/>
              </w:rPr>
              <w:t>A Force Majeure Event will include any issue either Party has with its Subcontractors or suppliers of Starting Materials which were caused by one of</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the Force Majeure Events described in Clause 11.1.</w:t>
            </w:r>
          </w:p>
        </w:tc>
      </w:tr>
      <w:tr>
        <w:trPr>
          <w:trHeight w:val="291"/>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11.3</w:t>
            </w:r>
          </w:p>
        </w:tc>
        <w:tc>
          <w:tcPr>
            <w:tcW w:w="10760" w:type="dxa"/>
            <w:vAlign w:val="bottom"/>
          </w:tcPr>
          <w:p>
            <w:pPr>
              <w:ind w:left="300"/>
              <w:spacing w:after="0"/>
              <w:rPr>
                <w:sz w:val="20"/>
                <w:szCs w:val="20"/>
                <w:color w:val="auto"/>
              </w:rPr>
            </w:pPr>
            <w:r>
              <w:rPr>
                <w:rFonts w:ascii="Arial" w:cs="Arial" w:eastAsia="Arial" w:hAnsi="Arial"/>
                <w:sz w:val="18"/>
                <w:szCs w:val="18"/>
                <w:color w:val="auto"/>
                <w:w w:val="88"/>
              </w:rPr>
              <w:t>If a Force Majeure Event prevents the performance by a Party of any obligations hereunder for a continuous period in excess of 12 weeks, the other</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Party shall be entitled to terminate this Agreement by written notice at any time after such 12 week period provided the relevant Force Majeure</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Event is continuing at the time such notice is given.</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1060" w:type="dxa"/>
            <w:vAlign w:val="bottom"/>
          </w:tcPr>
          <w:p>
            <w:pPr>
              <w:ind w:left="300"/>
              <w:spacing w:after="0"/>
              <w:rPr>
                <w:sz w:val="20"/>
                <w:szCs w:val="20"/>
                <w:color w:val="auto"/>
              </w:rPr>
            </w:pPr>
            <w:r>
              <w:rPr>
                <w:rFonts w:ascii="Arial" w:cs="Arial" w:eastAsia="Arial" w:hAnsi="Arial"/>
                <w:sz w:val="18"/>
                <w:szCs w:val="18"/>
                <w:b w:val="1"/>
                <w:bCs w:val="1"/>
                <w:color w:val="auto"/>
              </w:rPr>
              <w:t>TERM</w:t>
            </w:r>
          </w:p>
        </w:tc>
        <w:tc>
          <w:tcPr>
            <w:tcW w:w="9740" w:type="dxa"/>
            <w:vAlign w:val="bottom"/>
          </w:tcPr>
          <w:p>
            <w:pPr>
              <w:spacing w:after="0"/>
              <w:rPr>
                <w:sz w:val="19"/>
                <w:szCs w:val="19"/>
                <w:color w:val="auto"/>
              </w:rPr>
            </w:pP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12.1</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This Agreement shall be effective for ten (10) years from the Commencement Date, and may be renewed for successive three (3) year periods</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5"/>
              </w:rPr>
              <w:t>thereafter if the Parties can agree to the renewal of this Agreement at least six (6) months prior to the expiry date of the then-current term.</w:t>
            </w:r>
          </w:p>
        </w:tc>
      </w:tr>
      <w:tr>
        <w:trPr>
          <w:trHeight w:val="500"/>
        </w:trPr>
        <w:tc>
          <w:tcPr>
            <w:tcW w:w="6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TERMINATION</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13.1</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89"/>
              </w:rPr>
              <w:t>This Agreement may be terminated by either Party by giving to the other Party a notice in writing if the other Party commits a material breach of the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terms of this Agreement and (where such breach is capable of remedy) fails to remedy such breach within sixty (60) days of receiving a written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0"/>
              </w:rPr>
              <w:t>notice from the terminating Party specifying the breach and requiring its remedy. Without limiting the generality of the foregoing, the following shall</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be deemed to be material breaches:</w:t>
            </w:r>
          </w:p>
        </w:tc>
      </w:tr>
      <w:tr>
        <w:trPr>
          <w:trHeight w:val="291"/>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13.1.1</w:t>
            </w:r>
          </w:p>
        </w:tc>
        <w:tc>
          <w:tcPr>
            <w:tcW w:w="9740" w:type="dxa"/>
            <w:vAlign w:val="bottom"/>
          </w:tcPr>
          <w:p>
            <w:pPr>
              <w:ind w:left="260"/>
              <w:spacing w:after="0"/>
              <w:rPr>
                <w:sz w:val="20"/>
                <w:szCs w:val="20"/>
                <w:color w:val="auto"/>
              </w:rPr>
            </w:pPr>
            <w:r>
              <w:rPr>
                <w:rFonts w:ascii="Arial" w:cs="Arial" w:eastAsia="Arial" w:hAnsi="Arial"/>
                <w:sz w:val="18"/>
                <w:szCs w:val="18"/>
                <w:color w:val="auto"/>
                <w:w w:val="91"/>
              </w:rPr>
              <w:t>Supplier’s failure to complete the Initial Expansion on or before six (6) months after the date of NDA submission in the US shall be</w:t>
            </w:r>
          </w:p>
        </w:tc>
      </w:tr>
      <w:tr>
        <w:trPr>
          <w:trHeight w:val="222"/>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40" w:type="dxa"/>
            <w:vAlign w:val="bottom"/>
          </w:tcPr>
          <w:p>
            <w:pPr>
              <w:ind w:left="260"/>
              <w:spacing w:after="0"/>
              <w:rPr>
                <w:sz w:val="20"/>
                <w:szCs w:val="20"/>
                <w:color w:val="auto"/>
              </w:rPr>
            </w:pPr>
            <w:r>
              <w:rPr>
                <w:rFonts w:ascii="Arial" w:cs="Arial" w:eastAsia="Arial" w:hAnsi="Arial"/>
                <w:sz w:val="18"/>
                <w:szCs w:val="18"/>
                <w:color w:val="auto"/>
              </w:rPr>
              <w:t>deemed to be a material breach by Supplier.</w:t>
            </w:r>
          </w:p>
        </w:tc>
      </w:tr>
      <w:tr>
        <w:trPr>
          <w:trHeight w:val="291"/>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13.1.2</w:t>
            </w:r>
          </w:p>
        </w:tc>
        <w:tc>
          <w:tcPr>
            <w:tcW w:w="9740" w:type="dxa"/>
            <w:vAlign w:val="bottom"/>
          </w:tcPr>
          <w:p>
            <w:pPr>
              <w:ind w:left="260"/>
              <w:spacing w:after="0"/>
              <w:rPr>
                <w:sz w:val="20"/>
                <w:szCs w:val="20"/>
                <w:color w:val="auto"/>
              </w:rPr>
            </w:pPr>
            <w:r>
              <w:rPr>
                <w:rFonts w:ascii="Arial" w:cs="Arial" w:eastAsia="Arial" w:hAnsi="Arial"/>
                <w:sz w:val="18"/>
                <w:szCs w:val="18"/>
                <w:color w:val="auto"/>
                <w:w w:val="96"/>
              </w:rPr>
              <w:t>Supplier’s failure of a PAI which constitutes the primary cause for Amarin’s material delay or failure in obtaining a Marketing</w:t>
            </w:r>
          </w:p>
        </w:tc>
      </w:tr>
      <w:tr>
        <w:trPr>
          <w:trHeight w:val="222"/>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40" w:type="dxa"/>
            <w:vAlign w:val="bottom"/>
          </w:tcPr>
          <w:p>
            <w:pPr>
              <w:ind w:left="260"/>
              <w:spacing w:after="0"/>
              <w:rPr>
                <w:sz w:val="20"/>
                <w:szCs w:val="20"/>
                <w:color w:val="auto"/>
              </w:rPr>
            </w:pPr>
            <w:r>
              <w:rPr>
                <w:rFonts w:ascii="Arial" w:cs="Arial" w:eastAsia="Arial" w:hAnsi="Arial"/>
                <w:sz w:val="18"/>
                <w:szCs w:val="18"/>
                <w:color w:val="auto"/>
              </w:rPr>
              <w:t>Approval shall be deemed to be a material breach by Supplier.</w:t>
            </w:r>
          </w:p>
        </w:tc>
      </w:tr>
      <w:tr>
        <w:trPr>
          <w:trHeight w:val="291"/>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13.1.3</w:t>
            </w:r>
          </w:p>
        </w:tc>
        <w:tc>
          <w:tcPr>
            <w:tcW w:w="9740" w:type="dxa"/>
            <w:vAlign w:val="bottom"/>
          </w:tcPr>
          <w:p>
            <w:pPr>
              <w:ind w:left="260"/>
              <w:spacing w:after="0"/>
              <w:rPr>
                <w:sz w:val="20"/>
                <w:szCs w:val="20"/>
                <w:color w:val="auto"/>
              </w:rPr>
            </w:pPr>
            <w:r>
              <w:rPr>
                <w:rFonts w:ascii="Arial" w:cs="Arial" w:eastAsia="Arial" w:hAnsi="Arial"/>
                <w:sz w:val="18"/>
                <w:szCs w:val="18"/>
                <w:color w:val="auto"/>
                <w:w w:val="88"/>
              </w:rPr>
              <w:t>Supplier delivering Drug Substance after the scheduled delivery date or Defective Drug Substance more than two (2) times during any</w:t>
            </w:r>
          </w:p>
        </w:tc>
      </w:tr>
      <w:tr>
        <w:trPr>
          <w:trHeight w:val="222"/>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40" w:type="dxa"/>
            <w:vAlign w:val="bottom"/>
          </w:tcPr>
          <w:p>
            <w:pPr>
              <w:ind w:left="260"/>
              <w:spacing w:after="0"/>
              <w:rPr>
                <w:sz w:val="20"/>
                <w:szCs w:val="20"/>
                <w:color w:val="auto"/>
              </w:rPr>
            </w:pPr>
            <w:r>
              <w:rPr>
                <w:rFonts w:ascii="Arial" w:cs="Arial" w:eastAsia="Arial" w:hAnsi="Arial"/>
                <w:sz w:val="18"/>
                <w:szCs w:val="18"/>
                <w:color w:val="auto"/>
              </w:rPr>
              <w:t>consecutive three (3) calendar month period shall be deemed to be a material breach by Supplier.</w:t>
            </w:r>
          </w:p>
        </w:tc>
      </w:tr>
      <w:tr>
        <w:trPr>
          <w:trHeight w:val="291"/>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13.1.4</w:t>
            </w:r>
          </w:p>
        </w:tc>
        <w:tc>
          <w:tcPr>
            <w:tcW w:w="9740" w:type="dxa"/>
            <w:vAlign w:val="bottom"/>
          </w:tcPr>
          <w:p>
            <w:pPr>
              <w:ind w:left="260"/>
              <w:spacing w:after="0"/>
              <w:rPr>
                <w:sz w:val="20"/>
                <w:szCs w:val="20"/>
                <w:color w:val="auto"/>
              </w:rPr>
            </w:pPr>
            <w:r>
              <w:rPr>
                <w:rFonts w:ascii="Arial" w:cs="Arial" w:eastAsia="Arial" w:hAnsi="Arial"/>
                <w:sz w:val="18"/>
                <w:szCs w:val="18"/>
                <w:color w:val="auto"/>
                <w:w w:val="89"/>
              </w:rPr>
              <w:t>Amarin’s failure to make payment when due of any amounts that are not being disputed by Amarin in good faith two (2) times or more</w:t>
            </w:r>
          </w:p>
        </w:tc>
      </w:tr>
      <w:tr>
        <w:trPr>
          <w:trHeight w:val="222"/>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40" w:type="dxa"/>
            <w:vAlign w:val="bottom"/>
          </w:tcPr>
          <w:p>
            <w:pPr>
              <w:ind w:left="260"/>
              <w:spacing w:after="0"/>
              <w:rPr>
                <w:sz w:val="20"/>
                <w:szCs w:val="20"/>
                <w:color w:val="auto"/>
              </w:rPr>
            </w:pPr>
            <w:r>
              <w:rPr>
                <w:rFonts w:ascii="Arial" w:cs="Arial" w:eastAsia="Arial" w:hAnsi="Arial"/>
                <w:sz w:val="18"/>
                <w:szCs w:val="18"/>
                <w:color w:val="auto"/>
              </w:rPr>
              <w:t>during any consecutive three (3) calendar month period shall be deemed to be a material breach by Amarin.</w:t>
            </w:r>
          </w:p>
        </w:tc>
      </w:tr>
    </w:tbl>
    <w:p>
      <w:pPr>
        <w:spacing w:after="0" w:line="75"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For avoidance of doubt, Supplier’s right to cure a material breach pursuant to this Clause 13.1 shall not apply with respect to the events set forth in Clauses 13.1.1 through 13.1.3</w:t>
      </w:r>
    </w:p>
    <w:p>
      <w:pPr>
        <w:sectPr>
          <w:pgSz w:w="11900" w:h="16838" w:orient="portrait"/>
          <w:cols w:equalWidth="0" w:num="1">
            <w:col w:w="11420"/>
          </w:cols>
          <w:pgMar w:left="240" w:top="274"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and Amarin’s right to cure a material breach pursuant to this Clause 13.1 shall not apply with respect to the events set forth in Clause 13.1.4.</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13.2</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This Agreement may be terminated by either Party immediately by giving a written notice to the other, if:</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13.2.1</w:t>
            </w:r>
          </w:p>
        </w:tc>
        <w:tc>
          <w:tcPr>
            <w:tcW w:w="9760" w:type="dxa"/>
            <w:vAlign w:val="bottom"/>
          </w:tcPr>
          <w:p>
            <w:pPr>
              <w:ind w:left="300"/>
              <w:spacing w:after="0"/>
              <w:rPr>
                <w:sz w:val="20"/>
                <w:szCs w:val="20"/>
                <w:color w:val="auto"/>
              </w:rPr>
            </w:pPr>
            <w:r>
              <w:rPr>
                <w:rFonts w:ascii="Arial" w:cs="Arial" w:eastAsia="Arial" w:hAnsi="Arial"/>
                <w:sz w:val="18"/>
                <w:szCs w:val="18"/>
                <w:color w:val="auto"/>
                <w:w w:val="88"/>
              </w:rPr>
              <w:t>a petition is filed by or against the other Party for commencement of bankruptcy proceeding (hasantetsuzukikaishi), commencement of</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2"/>
              </w:rPr>
              <w:t>corporate reorganization proceeding (kaishakouseitetsuzukikaishi), commencement of civil rehabilitation proceeding (minjisaisei-</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tetsuzukikaishi), or any other insolvency proceeding, and, with respect to a petition filed against the other Party, such petition is not</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dismissed within thirty (30) days;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13.2.2</w:t>
            </w:r>
          </w:p>
        </w:tc>
        <w:tc>
          <w:tcPr>
            <w:tcW w:w="9760" w:type="dxa"/>
            <w:vAlign w:val="bottom"/>
          </w:tcPr>
          <w:p>
            <w:pPr>
              <w:ind w:left="300"/>
              <w:spacing w:after="0"/>
              <w:rPr>
                <w:sz w:val="20"/>
                <w:szCs w:val="20"/>
                <w:color w:val="auto"/>
              </w:rPr>
            </w:pPr>
            <w:r>
              <w:rPr>
                <w:rFonts w:ascii="Arial" w:cs="Arial" w:eastAsia="Arial" w:hAnsi="Arial"/>
                <w:sz w:val="18"/>
                <w:szCs w:val="18"/>
                <w:color w:val="auto"/>
                <w:w w:val="96"/>
              </w:rPr>
              <w:t>the other Party is subject to seizure (sashiosae), sequestration (karisashiosae), preservative attachment (hozensashiosae),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6"/>
              </w:rPr>
              <w:t>commencement of public auction (keibai), or other compulsory execution (kyouseishikkou) or foreclosure (tanpoken jikkou)</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proceeding against material assets of the other Party; or</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13.2.3</w:t>
            </w:r>
          </w:p>
        </w:tc>
        <w:tc>
          <w:tcPr>
            <w:tcW w:w="9760" w:type="dxa"/>
            <w:vAlign w:val="bottom"/>
          </w:tcPr>
          <w:p>
            <w:pPr>
              <w:ind w:left="300"/>
              <w:spacing w:after="0"/>
              <w:rPr>
                <w:sz w:val="20"/>
                <w:szCs w:val="20"/>
                <w:color w:val="auto"/>
              </w:rPr>
            </w:pPr>
            <w:r>
              <w:rPr>
                <w:rFonts w:ascii="Arial" w:cs="Arial" w:eastAsia="Arial" w:hAnsi="Arial"/>
                <w:sz w:val="18"/>
                <w:szCs w:val="18"/>
                <w:color w:val="auto"/>
              </w:rPr>
              <w:t>the other Party is unable to pay its debts in the normal course of business.</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13.3</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Notwithstanding the provisions of Clause 13.1, this Agreement may be terminated by Supplier by giving Amarin thirty (30) days notice in writing if</w:t>
            </w:r>
          </w:p>
        </w:tc>
      </w:tr>
      <w:tr>
        <w:trPr>
          <w:trHeight w:val="210"/>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Amarin fails to perform its duty as set forth in Clause 2.5, unless, within such 30 days, Amarin pays to Supplier the amount corresponding to the</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 xml:space="preserve">unfulfilled purchases according to the Minimum Purchase Requirements at the Price stated in </w:t>
            </w:r>
            <w:r>
              <w:rPr>
                <w:rFonts w:ascii="Arial" w:cs="Arial" w:eastAsia="Arial" w:hAnsi="Arial"/>
                <w:sz w:val="18"/>
                <w:szCs w:val="18"/>
                <w:b w:val="1"/>
                <w:bCs w:val="1"/>
                <w:color w:val="auto"/>
                <w:w w:val="90"/>
              </w:rPr>
              <w:t>Schedule One</w:t>
            </w:r>
            <w:r>
              <w:rPr>
                <w:rFonts w:ascii="Arial" w:cs="Arial" w:eastAsia="Arial" w:hAnsi="Arial"/>
                <w:sz w:val="18"/>
                <w:szCs w:val="18"/>
                <w:color w:val="auto"/>
                <w:w w:val="90"/>
              </w:rPr>
              <w:t>. Supplier shall deliver to Amarin the</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quantities of Drug Substance purchased pursuant to this Clause 13.3.</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13.4</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Provided Supplier completes the Initial Expansion on or before six (6) months after the date of NDA submission in the US this Agreement may be</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8"/>
              </w:rPr>
              <w:t>terminated by Supplier by giving Amarin notice in writing without Supplier incurring any liability or obligation whatsoever (i) if Marketing</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8"/>
              </w:rPr>
              <w:t>Approval for the Product has not been obtained by December 31, 2014, or (ii) if Amarin abandons the development of the Product for</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hypertriglyceridemia in the US; provided, however, that if Amarin asks Supplier to consent to extend the term for obtaining the Market Approval</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with rational basis and Supplier gives Amarin approval in writing, the term for obtaining the Market Approval may be extended.</w:t>
            </w:r>
          </w:p>
        </w:tc>
      </w:tr>
      <w:tr>
        <w:trPr>
          <w:trHeight w:val="500"/>
        </w:trPr>
        <w:tc>
          <w:tcPr>
            <w:tcW w:w="6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CONSEQUENCES OF TERMINATION</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14.1</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In the event that this Agreement is terminated by Supplier pursuant to Clause 13.4, Amarin shall pay to Supplier an amount equal to the actual</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Expansion Costs incurred by Supplier not to exceed Five Million United States Dollars ($5,000,000), less the amount of profit received by Supplier</w:t>
            </w:r>
          </w:p>
        </w:tc>
      </w:tr>
    </w:tbl>
    <w:p>
      <w:pPr>
        <w:ind w:left="920"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of purchases of Drug Substance by Amarin hereunder (the “</w:t>
      </w:r>
      <w:r>
        <w:rPr>
          <w:rFonts w:ascii="Arial" w:cs="Arial" w:eastAsia="Arial" w:hAnsi="Arial"/>
          <w:sz w:val="18"/>
          <w:szCs w:val="18"/>
          <w:b w:val="1"/>
          <w:bCs w:val="1"/>
          <w:color w:val="auto"/>
        </w:rPr>
        <w:t>Termination Fee</w:t>
      </w:r>
      <w:r>
        <w:rPr>
          <w:rFonts w:ascii="Arial" w:cs="Arial" w:eastAsia="Arial" w:hAnsi="Arial"/>
          <w:sz w:val="18"/>
          <w:szCs w:val="18"/>
          <w:color w:val="auto"/>
        </w:rPr>
        <w:t xml:space="preserve">”). Within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of such termination, Supplier shall deliver an invoice to Amarin for the Termination Fee and the invoice shall include detail with respect to the calculation of the Termination Fee, broken out into actual Expansion Costs and profit received. Amarin shall pay such invoice within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of receipt of the invoice. During such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period, Supplier shall make available to Amarin for inspection and audit all books and records kept by Supplier to verify the calculation of the Termination Fee.</w:t>
      </w:r>
    </w:p>
    <w:p>
      <w:pPr>
        <w:sectPr>
          <w:pgSz w:w="11900" w:h="16838" w:orient="portrait"/>
          <w:cols w:equalWidth="0" w:num="1">
            <w:col w:w="11400"/>
          </w:cols>
          <w:pgMar w:left="240" w:top="280" w:right="25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14.2</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Notwithstanding any provisions herein to the contrary, in the event that this Agreement is terminated early for any reason other than by Amarin</w:t>
            </w:r>
          </w:p>
        </w:tc>
      </w:tr>
      <w:tr>
        <w:trPr>
          <w:trHeight w:val="216"/>
        </w:trPr>
        <w:tc>
          <w:tcPr>
            <w:tcW w:w="62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pursuant to Clauses 13.1 or 13.2, Amarin shall purchase and take delivery of, and upon payment, Supplier shall deliver, all Drug Substance</w:t>
            </w:r>
          </w:p>
        </w:tc>
      </w:tr>
      <w:tr>
        <w:trPr>
          <w:trHeight w:val="216"/>
        </w:trPr>
        <w:tc>
          <w:tcPr>
            <w:tcW w:w="62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manufactured by Supplier according to the binding provision of the Monthly Forecasts and other Orders placed by Amarin at the Price stipulated</w:t>
            </w:r>
          </w:p>
        </w:tc>
      </w:tr>
      <w:tr>
        <w:trPr>
          <w:trHeight w:val="222"/>
        </w:trPr>
        <w:tc>
          <w:tcPr>
            <w:tcW w:w="62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herein.</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14.3</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The provisions of Clauses 2.9 (Regulatory), 3.5, 3.6, 3.7, 7 (Warranties), 8 (Indemnification), 10 (Confidential Information), 14 (Consequences of</w:t>
            </w:r>
          </w:p>
        </w:tc>
      </w:tr>
      <w:tr>
        <w:trPr>
          <w:trHeight w:val="222"/>
        </w:trPr>
        <w:tc>
          <w:tcPr>
            <w:tcW w:w="62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Termination) and 17 (Miscellaneous) shall survive the expiration or termination of this Agreement.</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ASSIGNMENT</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Neither Party may assign this Agreement or any of its rights or obligations under this Agreement without the prior written consent of the other Party which consent shall not be unreasonably withheld or delayed, provided, however, that: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15.1</w:t>
            </w:r>
          </w:p>
        </w:tc>
        <w:tc>
          <w:tcPr>
            <w:tcW w:w="10700" w:type="dxa"/>
            <w:vAlign w:val="bottom"/>
          </w:tcPr>
          <w:p>
            <w:pPr>
              <w:ind w:left="300"/>
              <w:spacing w:after="0"/>
              <w:rPr>
                <w:sz w:val="20"/>
                <w:szCs w:val="20"/>
                <w:color w:val="auto"/>
              </w:rPr>
            </w:pPr>
            <w:r>
              <w:rPr>
                <w:rFonts w:ascii="Arial" w:cs="Arial" w:eastAsia="Arial" w:hAnsi="Arial"/>
                <w:sz w:val="18"/>
                <w:szCs w:val="18"/>
                <w:color w:val="auto"/>
                <w:w w:val="89"/>
              </w:rPr>
              <w:t>Either Party may assign this Agreement, in whole or in part, without such consent to an Affiliate of the assigning Party; provided, that the assigning</w:t>
            </w:r>
          </w:p>
        </w:tc>
      </w:tr>
      <w:tr>
        <w:trPr>
          <w:trHeight w:val="222"/>
        </w:trPr>
        <w:tc>
          <w:tcPr>
            <w:tcW w:w="62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Party guarantees the performance of such Affiliate hereunder; and</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15.2</w:t>
            </w: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Amarin may assign this Agreement, in whole, without such consent but with prior notice to Supplier, to the Potential Partner disclosed under this</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88"/>
              </w:rPr>
              <w:t>Agreement pursuant to Clause 10.10 who acquires, by merger, sale of assets or otherwise, all or substantially all of the business of Amarin in which</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2"/>
              </w:rPr>
              <w:t>the subject matter of this Agreement is included. For the avoidance of doubt, such Potential Partners that acquire Amarin shall be obligated to</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1"/>
              </w:rPr>
              <w:t>perform Amarin’s obligations under this Agreement. In case of assignment of this Agreement in accordance with this Clause 15.2, Amarin shall</w:t>
            </w:r>
          </w:p>
        </w:tc>
      </w:tr>
      <w:tr>
        <w:trPr>
          <w:trHeight w:val="222"/>
        </w:trPr>
        <w:tc>
          <w:tcPr>
            <w:tcW w:w="62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undertake that the Potential Partner shall have sufficient capability to perform Amarin’s obligations under this Agreement.</w:t>
            </w:r>
          </w:p>
        </w:tc>
      </w:tr>
      <w:tr>
        <w:trPr>
          <w:trHeight w:val="500"/>
        </w:trPr>
        <w:tc>
          <w:tcPr>
            <w:tcW w:w="6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10700" w:type="dxa"/>
            <w:vAlign w:val="bottom"/>
          </w:tcPr>
          <w:p>
            <w:pPr>
              <w:ind w:left="300"/>
              <w:spacing w:after="0"/>
              <w:rPr>
                <w:sz w:val="20"/>
                <w:szCs w:val="20"/>
                <w:color w:val="auto"/>
              </w:rPr>
            </w:pPr>
            <w:r>
              <w:rPr>
                <w:rFonts w:ascii="Arial" w:cs="Arial" w:eastAsia="Arial" w:hAnsi="Arial"/>
                <w:sz w:val="18"/>
                <w:szCs w:val="18"/>
                <w:b w:val="1"/>
                <w:bCs w:val="1"/>
                <w:color w:val="auto"/>
              </w:rPr>
              <w:t>TERMINATION OF PRESENT AGREEMENT</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16.1</w:t>
            </w:r>
          </w:p>
        </w:tc>
        <w:tc>
          <w:tcPr>
            <w:tcW w:w="10700" w:type="dxa"/>
            <w:vAlign w:val="bottom"/>
          </w:tcPr>
          <w:p>
            <w:pPr>
              <w:ind w:left="300"/>
              <w:spacing w:after="0"/>
              <w:rPr>
                <w:sz w:val="20"/>
                <w:szCs w:val="20"/>
                <w:color w:val="auto"/>
              </w:rPr>
            </w:pPr>
            <w:r>
              <w:rPr>
                <w:rFonts w:ascii="Arial" w:cs="Arial" w:eastAsia="Arial" w:hAnsi="Arial"/>
                <w:sz w:val="18"/>
                <w:szCs w:val="18"/>
                <w:color w:val="auto"/>
                <w:w w:val="86"/>
              </w:rPr>
              <w:t>Effective as of the Commencement Date, the Parties agree that the Present Agreement is terminated and replaced by this Agreement, and the Parties</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shall have no further obligations under the Present Agreement, including Amarin’s obligation to pay Milestone Payments pursuant to the Present</w:t>
            </w:r>
          </w:p>
        </w:tc>
      </w:tr>
      <w:tr>
        <w:trPr>
          <w:trHeight w:val="222"/>
        </w:trPr>
        <w:tc>
          <w:tcPr>
            <w:tcW w:w="62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Agreement.</w:t>
            </w:r>
          </w:p>
        </w:tc>
      </w:tr>
      <w:tr>
        <w:trPr>
          <w:trHeight w:val="500"/>
        </w:trPr>
        <w:tc>
          <w:tcPr>
            <w:tcW w:w="620" w:type="dxa"/>
            <w:vAlign w:val="bottom"/>
          </w:tcPr>
          <w:p>
            <w:pPr>
              <w:spacing w:after="0"/>
              <w:rPr>
                <w:sz w:val="20"/>
                <w:szCs w:val="20"/>
                <w:color w:val="auto"/>
              </w:rPr>
            </w:pPr>
            <w:r>
              <w:rPr>
                <w:rFonts w:ascii="Arial" w:cs="Arial" w:eastAsia="Arial" w:hAnsi="Arial"/>
                <w:sz w:val="18"/>
                <w:szCs w:val="18"/>
                <w:b w:val="1"/>
                <w:bCs w:val="1"/>
                <w:color w:val="auto"/>
              </w:rPr>
              <w:t>17</w:t>
            </w:r>
          </w:p>
        </w:tc>
        <w:tc>
          <w:tcPr>
            <w:tcW w:w="10700" w:type="dxa"/>
            <w:vAlign w:val="bottom"/>
          </w:tcPr>
          <w:p>
            <w:pPr>
              <w:ind w:left="300"/>
              <w:spacing w:after="0"/>
              <w:rPr>
                <w:sz w:val="20"/>
                <w:szCs w:val="20"/>
                <w:color w:val="auto"/>
              </w:rPr>
            </w:pPr>
            <w:r>
              <w:rPr>
                <w:rFonts w:ascii="Arial" w:cs="Arial" w:eastAsia="Arial" w:hAnsi="Arial"/>
                <w:sz w:val="18"/>
                <w:szCs w:val="18"/>
                <w:b w:val="1"/>
                <w:bCs w:val="1"/>
                <w:color w:val="auto"/>
              </w:rPr>
              <w:t>MISCELLANEOUS</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17.1</w:t>
            </w:r>
          </w:p>
        </w:tc>
        <w:tc>
          <w:tcPr>
            <w:tcW w:w="10700" w:type="dxa"/>
            <w:vAlign w:val="bottom"/>
          </w:tcPr>
          <w:p>
            <w:pPr>
              <w:ind w:left="300"/>
              <w:spacing w:after="0"/>
              <w:rPr>
                <w:sz w:val="20"/>
                <w:szCs w:val="20"/>
                <w:color w:val="auto"/>
              </w:rPr>
            </w:pPr>
            <w:r>
              <w:rPr>
                <w:rFonts w:ascii="Arial" w:cs="Arial" w:eastAsia="Arial" w:hAnsi="Arial"/>
                <w:sz w:val="18"/>
                <w:szCs w:val="18"/>
                <w:color w:val="auto"/>
                <w:w w:val="93"/>
              </w:rPr>
              <w:t>In addition to the other specific procedures for notification provided herein, all notices, demands, requests and other communications made</w:t>
            </w:r>
          </w:p>
        </w:tc>
      </w:tr>
    </w:tbl>
    <w:p>
      <w:pPr>
        <w:ind w:left="920"/>
        <w:spacing w:after="0" w:line="254" w:lineRule="auto"/>
        <w:rPr>
          <w:sz w:val="20"/>
          <w:szCs w:val="20"/>
          <w:color w:val="auto"/>
        </w:rPr>
      </w:pPr>
      <w:r>
        <w:rPr>
          <w:rFonts w:ascii="Arial" w:cs="Arial" w:eastAsia="Arial" w:hAnsi="Arial"/>
          <w:sz w:val="18"/>
          <w:szCs w:val="18"/>
          <w:color w:val="auto"/>
        </w:rPr>
        <w:t>hereunder shall be in writing and shall be given either by personal delivery, or by internationally recognized overnight courier (with charges prepaid) and shall be deemed to have been given or made: (i) if personally delivered, on the day of such delivery; or (ii) if sent by overnight courier, on the Business Day following the date deposited with such overnight courier service, in each case pending the designation of another address, addressed as follows;</w:t>
      </w:r>
    </w:p>
    <w:p>
      <w:pPr>
        <w:spacing w:after="0" w:line="144"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If to Amarin</w:t>
      </w:r>
      <w:r>
        <w:rPr>
          <w:rFonts w:ascii="Arial" w:cs="Arial" w:eastAsia="Arial" w:hAnsi="Arial"/>
          <w:sz w:val="18"/>
          <w:szCs w:val="18"/>
          <w:color w:val="auto"/>
        </w:rPr>
        <w:t>:</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First Floor, Block 3, The Oval, Shelbourne Road</w:t>
      </w:r>
    </w:p>
    <w:p>
      <w:pPr>
        <w:sectPr>
          <w:pgSz w:w="11900" w:h="16838" w:orient="portrait"/>
          <w:cols w:equalWidth="0" w:num="1">
            <w:col w:w="11400"/>
          </w:cols>
          <w:pgMar w:left="240" w:top="280" w:right="259" w:bottom="1440" w:gutter="0" w:footer="0" w:header="0"/>
        </w:sectPr>
      </w:pPr>
    </w:p>
    <w:bookmarkStart w:id="142" w:name="page143"/>
    <w:bookmarkEnd w:id="142"/>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Ballsbridge, Dublin 4, Ireland</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Chief Financial Officer</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Amarin Pharma,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12 Roosevelt Avenue, 3</w:t>
      </w:r>
      <w:r>
        <w:rPr>
          <w:rFonts w:ascii="Arial" w:cs="Arial" w:eastAsia="Arial" w:hAnsi="Arial"/>
          <w:sz w:val="11"/>
          <w:szCs w:val="11"/>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Mystic, CT, 06355 United States of America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(860) 572-4940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With a copy (which shall not constitute notice) to:</w:t>
            </w:r>
          </w:p>
        </w:tc>
      </w:tr>
      <w:tr>
        <w:trPr>
          <w:trHeight w:val="390"/>
        </w:trPr>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6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Dan L. O’Korn</w:t>
            </w:r>
          </w:p>
        </w:tc>
        <w:tc>
          <w:tcPr>
            <w:tcW w:w="646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Smith, Anderson, Blount, Dorsett, Mitchell &amp; Jernigan, L.L.P.</w:t>
            </w:r>
          </w:p>
        </w:tc>
      </w:tr>
      <w:tr>
        <w:trPr>
          <w:trHeight w:val="216"/>
        </w:trPr>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2500 Wachovia Capitol Center</w:t>
            </w:r>
          </w:p>
        </w:tc>
      </w:tr>
      <w:tr>
        <w:trPr>
          <w:trHeight w:val="216"/>
        </w:trPr>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P.O. Box 2611</w:t>
            </w:r>
          </w:p>
        </w:tc>
      </w:tr>
      <w:tr>
        <w:trPr>
          <w:trHeight w:val="216"/>
        </w:trPr>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Raleigh, North Carolina 27602-2611</w:t>
            </w:r>
          </w:p>
        </w:tc>
      </w:tr>
      <w:tr>
        <w:trPr>
          <w:trHeight w:val="222"/>
        </w:trPr>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Facsimile: (919) 821-6800</w:t>
            </w:r>
          </w:p>
        </w:tc>
      </w:tr>
      <w:tr>
        <w:trPr>
          <w:trHeight w:val="340"/>
        </w:trPr>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If to Supplier:</w:t>
            </w:r>
          </w:p>
        </w:tc>
      </w:tr>
      <w:tr>
        <w:trPr>
          <w:trHeight w:val="20"/>
        </w:trPr>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0" w:type="dxa"/>
            <w:vAlign w:val="bottom"/>
            <w:gridSpan w:val="2"/>
          </w:tcPr>
          <w:p>
            <w:pPr>
              <w:spacing w:after="0" w:line="20" w:lineRule="exact"/>
              <w:rPr>
                <w:sz w:val="1"/>
                <w:szCs w:val="1"/>
                <w:color w:val="auto"/>
              </w:rPr>
            </w:pPr>
          </w:p>
        </w:tc>
      </w:tr>
      <w:tr>
        <w:trPr>
          <w:trHeight w:val="390"/>
        </w:trPr>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Nisshin Pharma, Inc.</w:t>
            </w:r>
          </w:p>
        </w:tc>
      </w:tr>
      <w:tr>
        <w:trPr>
          <w:trHeight w:val="216"/>
        </w:trPr>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25 Kanda-Nishiki-cho 1-chome, Chiyoda-ku</w:t>
            </w:r>
          </w:p>
        </w:tc>
      </w:tr>
      <w:tr>
        <w:trPr>
          <w:trHeight w:val="216"/>
        </w:trPr>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Tokyo 101-8441 JAPAN</w:t>
            </w:r>
          </w:p>
        </w:tc>
      </w:tr>
      <w:tr>
        <w:trPr>
          <w:trHeight w:val="216"/>
        </w:trPr>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Attention: Director of Business Development</w:t>
            </w:r>
          </w:p>
        </w:tc>
      </w:tr>
      <w:tr>
        <w:trPr>
          <w:trHeight w:val="222"/>
        </w:trPr>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Facsimile: (03)5282-6150</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17.2</w:t>
            </w: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91"/>
              </w:rPr>
              <w:t>Unless the context otherwise requires, as used in this Agreement: (i) “or” is not exclusive; (ii) “including” and its variants mean “including, without</w:t>
            </w:r>
          </w:p>
        </w:tc>
      </w:tr>
      <w:tr>
        <w:trPr>
          <w:trHeight w:val="216"/>
        </w:trPr>
        <w:tc>
          <w:tcPr>
            <w:tcW w:w="620" w:type="dxa"/>
            <w:vAlign w:val="bottom"/>
          </w:tcPr>
          <w:p>
            <w:pPr>
              <w:spacing w:after="0"/>
              <w:rPr>
                <w:sz w:val="18"/>
                <w:szCs w:val="18"/>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91"/>
              </w:rPr>
              <w:t>limitation” and its variants; (iii) words defined in the singular have the parallel meaning in the plural and vice versa; (iv) words of one gender shall</w:t>
            </w:r>
          </w:p>
        </w:tc>
      </w:tr>
      <w:tr>
        <w:trPr>
          <w:trHeight w:val="216"/>
        </w:trPr>
        <w:tc>
          <w:tcPr>
            <w:tcW w:w="620" w:type="dxa"/>
            <w:vAlign w:val="bottom"/>
          </w:tcPr>
          <w:p>
            <w:pPr>
              <w:spacing w:after="0"/>
              <w:rPr>
                <w:sz w:val="18"/>
                <w:szCs w:val="18"/>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95"/>
              </w:rPr>
              <w:t>be construed to apply to each gender; (v) the terms “hereof”, “herein”, “hereby”, “hereto”, and derivative or similar words, refer to this entire</w:t>
            </w:r>
          </w:p>
        </w:tc>
      </w:tr>
      <w:tr>
        <w:trPr>
          <w:trHeight w:val="216"/>
        </w:trPr>
        <w:tc>
          <w:tcPr>
            <w:tcW w:w="620" w:type="dxa"/>
            <w:vAlign w:val="bottom"/>
          </w:tcPr>
          <w:p>
            <w:pPr>
              <w:spacing w:after="0"/>
              <w:rPr>
                <w:sz w:val="18"/>
                <w:szCs w:val="18"/>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88"/>
              </w:rPr>
              <w:t>Agreement, including the Schedules hereto; (vi) the terms “Clause” and “Schedule” refer to the specified Clause or Schedule of or to this Agreement;</w:t>
            </w:r>
          </w:p>
        </w:tc>
      </w:tr>
      <w:tr>
        <w:trPr>
          <w:trHeight w:val="216"/>
        </w:trPr>
        <w:tc>
          <w:tcPr>
            <w:tcW w:w="620" w:type="dxa"/>
            <w:vAlign w:val="bottom"/>
          </w:tcPr>
          <w:p>
            <w:pPr>
              <w:spacing w:after="0"/>
              <w:rPr>
                <w:sz w:val="18"/>
                <w:szCs w:val="18"/>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94"/>
              </w:rPr>
              <w:t>(vii) the headings contained in this Agreement are for purposes of convenience only and shall not affect the meaning or interpretation of this</w:t>
            </w:r>
          </w:p>
        </w:tc>
      </w:tr>
      <w:tr>
        <w:trPr>
          <w:trHeight w:val="216"/>
        </w:trPr>
        <w:tc>
          <w:tcPr>
            <w:tcW w:w="620" w:type="dxa"/>
            <w:vAlign w:val="bottom"/>
          </w:tcPr>
          <w:p>
            <w:pPr>
              <w:spacing w:after="0"/>
              <w:rPr>
                <w:sz w:val="18"/>
                <w:szCs w:val="18"/>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91"/>
              </w:rPr>
              <w:t>Agreement; (viii) any grammatical form or variant of a term defined in this Agreement shall be construed to have a meaning corresponding to the</w:t>
            </w:r>
          </w:p>
        </w:tc>
      </w:tr>
      <w:tr>
        <w:trPr>
          <w:trHeight w:val="216"/>
        </w:trPr>
        <w:tc>
          <w:tcPr>
            <w:tcW w:w="620" w:type="dxa"/>
            <w:vAlign w:val="bottom"/>
          </w:tcPr>
          <w:p>
            <w:pPr>
              <w:spacing w:after="0"/>
              <w:rPr>
                <w:sz w:val="18"/>
                <w:szCs w:val="18"/>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87"/>
              </w:rPr>
              <w:t>definition of the term set forth herein; (ix) a reference to any Person includes such Person’s successors and permitted assigns. If any action under this</w:t>
            </w:r>
          </w:p>
        </w:tc>
      </w:tr>
      <w:tr>
        <w:trPr>
          <w:trHeight w:val="216"/>
        </w:trPr>
        <w:tc>
          <w:tcPr>
            <w:tcW w:w="620" w:type="dxa"/>
            <w:vAlign w:val="bottom"/>
          </w:tcPr>
          <w:p>
            <w:pPr>
              <w:spacing w:after="0"/>
              <w:rPr>
                <w:sz w:val="18"/>
                <w:szCs w:val="18"/>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87"/>
              </w:rPr>
              <w:t>Agreement is required to be done or taken on a day that is not a Business Day, then such action shall not be required to be done or taken on such day</w:t>
            </w:r>
          </w:p>
        </w:tc>
      </w:tr>
      <w:tr>
        <w:trPr>
          <w:trHeight w:val="222"/>
        </w:trPr>
        <w:tc>
          <w:tcPr>
            <w:tcW w:w="620" w:type="dxa"/>
            <w:vAlign w:val="bottom"/>
          </w:tcPr>
          <w:p>
            <w:pPr>
              <w:spacing w:after="0"/>
              <w:rPr>
                <w:sz w:val="19"/>
                <w:szCs w:val="19"/>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rPr>
              <w:t>but on the first succeeding Business Day thereafter.</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17.3</w:t>
            </w: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95"/>
              </w:rPr>
              <w:t>The English language version of this Agreement will be controlling on the Parties. All information, documents, reports, notices, writings and</w:t>
            </w:r>
          </w:p>
        </w:tc>
      </w:tr>
      <w:tr>
        <w:trPr>
          <w:trHeight w:val="222"/>
        </w:trPr>
        <w:tc>
          <w:tcPr>
            <w:tcW w:w="620" w:type="dxa"/>
            <w:vAlign w:val="bottom"/>
          </w:tcPr>
          <w:p>
            <w:pPr>
              <w:spacing w:after="0"/>
              <w:rPr>
                <w:sz w:val="19"/>
                <w:szCs w:val="19"/>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rPr>
              <w:t>communications to be provided by one Party to the other Party hereunder will be provided in the English language.</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17.4</w:t>
            </w: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89"/>
              </w:rPr>
              <w:t>None of the remedies set forth in this Agreement are intended to be exclusive, and each Party shall have available to it all remedies available under</w:t>
            </w:r>
          </w:p>
        </w:tc>
      </w:tr>
      <w:tr>
        <w:trPr>
          <w:trHeight w:val="222"/>
        </w:trPr>
        <w:tc>
          <w:tcPr>
            <w:tcW w:w="620" w:type="dxa"/>
            <w:vAlign w:val="bottom"/>
          </w:tcPr>
          <w:p>
            <w:pPr>
              <w:spacing w:after="0"/>
              <w:rPr>
                <w:sz w:val="19"/>
                <w:szCs w:val="19"/>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rPr>
              <w:t>law or in equity or in any other agreement between the Parties.</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17.5</w:t>
            </w: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w w:val="89"/>
              </w:rPr>
              <w:t>This Agreement may be executed in two counterparts and by facsimile or PDF, each of which shall be deemed an original and which together shall</w:t>
            </w:r>
          </w:p>
        </w:tc>
      </w:tr>
      <w:tr>
        <w:trPr>
          <w:trHeight w:val="222"/>
        </w:trPr>
        <w:tc>
          <w:tcPr>
            <w:tcW w:w="620" w:type="dxa"/>
            <w:vAlign w:val="bottom"/>
          </w:tcPr>
          <w:p>
            <w:pPr>
              <w:spacing w:after="0"/>
              <w:rPr>
                <w:sz w:val="19"/>
                <w:szCs w:val="19"/>
                <w:color w:val="auto"/>
              </w:rPr>
            </w:pPr>
          </w:p>
        </w:tc>
        <w:tc>
          <w:tcPr>
            <w:tcW w:w="10800" w:type="dxa"/>
            <w:vAlign w:val="bottom"/>
            <w:gridSpan w:val="4"/>
          </w:tcPr>
          <w:p>
            <w:pPr>
              <w:ind w:left="300"/>
              <w:spacing w:after="0"/>
              <w:rPr>
                <w:sz w:val="20"/>
                <w:szCs w:val="20"/>
                <w:color w:val="auto"/>
              </w:rPr>
            </w:pPr>
            <w:r>
              <w:rPr>
                <w:rFonts w:ascii="Arial" w:cs="Arial" w:eastAsia="Arial" w:hAnsi="Arial"/>
                <w:sz w:val="18"/>
                <w:szCs w:val="18"/>
                <w:color w:val="auto"/>
              </w:rPr>
              <w:t>constitute one instrument.</w:t>
            </w:r>
          </w:p>
        </w:tc>
      </w:tr>
    </w:tbl>
    <w:p>
      <w:pPr>
        <w:sectPr>
          <w:pgSz w:w="11900" w:h="16838" w:orient="portrait"/>
          <w:cols w:equalWidth="0" w:num="1">
            <w:col w:w="11420"/>
          </w:cols>
          <w:pgMar w:left="240" w:top="280" w:right="239" w:bottom="1440" w:gutter="0" w:footer="0" w:header="0"/>
        </w:sectPr>
      </w:pPr>
    </w:p>
    <w:bookmarkStart w:id="143" w:name="page144"/>
    <w:bookmarkEnd w:id="1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The Parties shall thereafter exchange original signature pages if the Agreement is executed by facsimile or PDF delivery.</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17.6</w:t>
            </w: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Any failure of a Party to comply with any obligation, covenant, agreement or condition herein contained may be expressly waived, in writing only,</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3"/>
              </w:rPr>
              <w:t>by the other Party hereto and such waiver shall be effective only in the specific instance and for the specific purpose for which made or given.</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17.7</w:t>
            </w:r>
          </w:p>
        </w:tc>
        <w:tc>
          <w:tcPr>
            <w:tcW w:w="10760" w:type="dxa"/>
            <w:vAlign w:val="bottom"/>
          </w:tcPr>
          <w:p>
            <w:pPr>
              <w:ind w:left="260"/>
              <w:spacing w:after="0"/>
              <w:rPr>
                <w:sz w:val="20"/>
                <w:szCs w:val="20"/>
                <w:color w:val="auto"/>
              </w:rPr>
            </w:pPr>
            <w:r>
              <w:rPr>
                <w:rFonts w:ascii="Arial" w:cs="Arial" w:eastAsia="Arial" w:hAnsi="Arial"/>
                <w:sz w:val="18"/>
                <w:szCs w:val="18"/>
                <w:color w:val="auto"/>
                <w:w w:val="89"/>
              </w:rPr>
              <w:t>Supplier may utilize Subcontractors with appropriate expertise and experience in the performance of its obligations under this Agreement; provided</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that Amarin has first given its written approval in each instance prior to the use of Subcontractors by Supplier, and Amarin may, as a condition of</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88"/>
              </w:rPr>
              <w:t>such approval, require Subcontractors to agree to conditions consistent with those contained herein. Nothing in this Clause 17.7 shall relieve Supplier</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from any obligation under this Agreement.</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17.8</w:t>
            </w: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Nothing in this Agreement shall constitute or be deemed to constitute the creation of a partnership, agency, or employer/employee relationship</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between the parties.</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17.9</w:t>
            </w:r>
          </w:p>
        </w:tc>
        <w:tc>
          <w:tcPr>
            <w:tcW w:w="10760" w:type="dxa"/>
            <w:vAlign w:val="bottom"/>
          </w:tcPr>
          <w:p>
            <w:pPr>
              <w:ind w:left="260"/>
              <w:spacing w:after="0"/>
              <w:rPr>
                <w:sz w:val="20"/>
                <w:szCs w:val="20"/>
                <w:color w:val="auto"/>
              </w:rPr>
            </w:pPr>
            <w:r>
              <w:rPr>
                <w:rFonts w:ascii="Arial" w:cs="Arial" w:eastAsia="Arial" w:hAnsi="Arial"/>
                <w:sz w:val="18"/>
                <w:szCs w:val="18"/>
                <w:color w:val="auto"/>
                <w:w w:val="87"/>
              </w:rPr>
              <w:t>This Agreement, together with the Specifications and the Schedules attached hereto, constitutes the entire agreement and understanding of the parties</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with respect to the subject matter and supersedes any previous agreement between Supplier and Amarin in relation to the subject matter of this</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0"/>
              </w:rPr>
              <w:t>Agreement. This Agreement, the Specifications, and the Schedules attached hereto or any order may only be modified only by a written document</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signed on behalf of each of the parties. If there are any inconsistencies between the terms and conditions of this Agreement and the terms and</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conditions set forth in any quotation, order, acknowledgement or invoice, or if there are any terms and conditions additional to those contained</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herein, the terms and conditions of this Agreement shall prevail.</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17.10</w:t>
            </w: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If any provision of this Agreement is held by any court or other competent authority to be invalid or unenforceable in whole or in part, it shall be</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deemed severed from this Agreement and the validity of the other provisions and the remainder of the provision in question shall not be affected.</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17.11</w:t>
            </w: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This Agreement shall be governed by and construed in accordance with the laws of the State of New York, USA, without regard to principles of</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0"/>
              </w:rPr>
              <w:t>conflicts of law, provided, however, that United Nations Convention on Contracts for the International Sales of Goods (1980) shall not apply to this</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Agreement.</w:t>
            </w: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17.12</w:t>
            </w:r>
          </w:p>
        </w:tc>
        <w:tc>
          <w:tcPr>
            <w:tcW w:w="10760" w:type="dxa"/>
            <w:vAlign w:val="bottom"/>
          </w:tcPr>
          <w:p>
            <w:pPr>
              <w:ind w:left="260"/>
              <w:spacing w:after="0"/>
              <w:rPr>
                <w:sz w:val="20"/>
                <w:szCs w:val="20"/>
                <w:color w:val="auto"/>
              </w:rPr>
            </w:pPr>
            <w:r>
              <w:rPr>
                <w:rFonts w:ascii="Arial" w:cs="Arial" w:eastAsia="Arial" w:hAnsi="Arial"/>
                <w:sz w:val="18"/>
                <w:szCs w:val="18"/>
                <w:color w:val="auto"/>
                <w:w w:val="89"/>
              </w:rPr>
              <w:t>The Parties hereto shall submit to the exclusive jurisdiction of the state and federal courts located in New York, New York, USA with respect to any</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0"/>
              </w:rPr>
              <w:t>dispute arising from this Agreement brought by Supplier, and the Parties hereto shall submit to the exclusive jurisdiction of the Tokyo District Court</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0"/>
              </w:rPr>
              <w:t>of Japan with respect to any dispute arising from this Agreement brought by Amarin. Notwithstanding Supplier’s obligation to file an action arising</w:t>
            </w:r>
          </w:p>
        </w:tc>
      </w:tr>
    </w:tbl>
    <w:p>
      <w:pPr>
        <w:ind w:left="920" w:right="140"/>
        <w:spacing w:after="0" w:line="261" w:lineRule="auto"/>
        <w:rPr>
          <w:sz w:val="20"/>
          <w:szCs w:val="20"/>
          <w:color w:val="auto"/>
        </w:rPr>
      </w:pPr>
      <w:r>
        <w:rPr>
          <w:rFonts w:ascii="Arial" w:cs="Arial" w:eastAsia="Arial" w:hAnsi="Arial"/>
          <w:sz w:val="18"/>
          <w:szCs w:val="18"/>
          <w:color w:val="auto"/>
        </w:rPr>
        <w:t>from the Agreement in the state or federal courts located in New York, New York, USA, Supplier does not consent to jurisdiction in the USA under any other circumstance.</w:t>
      </w:r>
    </w:p>
    <w:p>
      <w:pPr>
        <w:sectPr>
          <w:pgSz w:w="11900" w:h="16838" w:orient="portrait"/>
          <w:cols w:equalWidth="0" w:num="1">
            <w:col w:w="11420"/>
          </w:cols>
          <w:pgMar w:left="240" w:top="280" w:right="239" w:bottom="1440" w:gutter="0" w:footer="0" w:header="0"/>
        </w:sectPr>
      </w:pPr>
    </w:p>
    <w:bookmarkStart w:id="144" w:name="page145"/>
    <w:bookmarkEnd w:id="144"/>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HEREOF, each of the Parties has caused this Agreement to be executed by its duly authorized representative on and as of the date first written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NISSHIN PHARMA,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Toshinori Shiragami</w:t>
            </w:r>
          </w:p>
        </w:tc>
        <w:tc>
          <w:tcPr>
            <w:tcW w:w="2820" w:type="dxa"/>
            <w:vAlign w:val="bottom"/>
          </w:tcPr>
          <w:p>
            <w:pPr>
              <w:ind w:left="2260"/>
              <w:spacing w:after="0"/>
              <w:rPr>
                <w:sz w:val="20"/>
                <w:szCs w:val="20"/>
                <w:color w:val="auto"/>
              </w:rPr>
            </w:pPr>
            <w:r>
              <w:rPr>
                <w:rFonts w:ascii="Arial" w:cs="Arial" w:eastAsia="Arial" w:hAnsi="Arial"/>
                <w:sz w:val="18"/>
                <w:szCs w:val="18"/>
                <w:color w:val="auto"/>
              </w:rPr>
              <w:t>Date: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 2010</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Toshinori Shiragami</w:t>
            </w:r>
          </w:p>
        </w:tc>
        <w:tc>
          <w:tcPr>
            <w:tcW w:w="282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President</w:t>
            </w:r>
          </w:p>
        </w:tc>
        <w:tc>
          <w:tcPr>
            <w:tcW w:w="282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AMARIN PHARMACEUTICALS IRELAND LTD.</w:t>
            </w:r>
          </w:p>
        </w:tc>
        <w:tc>
          <w:tcPr>
            <w:tcW w:w="28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Thero</w:t>
            </w:r>
          </w:p>
        </w:tc>
        <w:tc>
          <w:tcPr>
            <w:tcW w:w="2820" w:type="dxa"/>
            <w:vAlign w:val="bottom"/>
          </w:tcPr>
          <w:p>
            <w:pPr>
              <w:ind w:left="2260"/>
              <w:spacing w:after="0"/>
              <w:rPr>
                <w:sz w:val="20"/>
                <w:szCs w:val="20"/>
                <w:color w:val="auto"/>
              </w:rPr>
            </w:pPr>
            <w:r>
              <w:rPr>
                <w:rFonts w:ascii="Arial" w:cs="Arial" w:eastAsia="Arial" w:hAnsi="Arial"/>
                <w:sz w:val="18"/>
                <w:szCs w:val="18"/>
                <w:color w:val="auto"/>
              </w:rPr>
              <w:t>Date: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 2010</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John Thero</w:t>
            </w:r>
          </w:p>
        </w:tc>
        <w:tc>
          <w:tcPr>
            <w:tcW w:w="282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20" w:type="dxa"/>
            <w:vAlign w:val="bottom"/>
          </w:tcPr>
          <w:p>
            <w:pPr>
              <w:spacing w:after="0"/>
              <w:rPr>
                <w:sz w:val="19"/>
                <w:szCs w:val="19"/>
                <w:color w:val="auto"/>
              </w:rPr>
            </w:pPr>
          </w:p>
        </w:tc>
        <w:tc>
          <w:tcPr>
            <w:tcW w:w="398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 MINIMUM PURCHASE REQUIREMENTS / MILESTONE 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The Parties shall work in good faith to reach a target Price per kilogram of not more than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as further described below. Notwithstanding the foregoing, from the Commencement Date through </w:t>
      </w:r>
      <w:r>
        <w:rPr>
          <w:rFonts w:ascii="Arial" w:cs="Arial" w:eastAsia="Arial" w:hAnsi="Arial"/>
          <w:sz w:val="16"/>
          <w:szCs w:val="16"/>
          <w:b w:val="1"/>
          <w:bCs w:val="1"/>
          <w:i w:val="1"/>
          <w:iCs w:val="1"/>
          <w:color w:val="auto"/>
        </w:rPr>
        <w:t>[***]</w:t>
      </w:r>
      <w:r>
        <w:rPr>
          <w:rFonts w:ascii="Arial" w:cs="Arial" w:eastAsia="Arial" w:hAnsi="Arial"/>
          <w:sz w:val="16"/>
          <w:szCs w:val="16"/>
          <w:color w:val="auto"/>
        </w:rPr>
        <w:t>, the Prices of the Drug Substance purchased from Supplier by Amarin during a Fiscal Year shall be as follows:</w:t>
      </w:r>
    </w:p>
    <w:p>
      <w:pPr>
        <w:spacing w:after="0" w:line="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of Drug Substance purchased during a Fiscal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quantity of Drug Substance purchased during a Fiscal Year in excess of</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quantity of Drug Substance purchased during a Fiscal Year in excess of</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quantity of Drug Substance purchased during a Fiscal Year in excess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Upon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Parties shall negotiate in good faith the revised Price for the Drug Substance purchased from Supplier by Amarin and the volume of such purchases to apply for the period which begins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Such Prices shall be determined in accordance with a mechanism that enables Supplier to obtain a reasonable manufacturing margin over costs for the supply of the Drug Substance to Amarin and taking into account the projected volume of purchases by Amarin. It is understood that a price target of not more than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be the reasonable aim of such price negotiations and that the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price is linked to a proposed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by Supplier to bring estimated total capacity to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Both the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of Amarin’s purchases are non-binding and subject to good faith negotiations. In the event the Parties are not able to agree on revised Prices, the Prices set forth in No.1 through No.4 above in this Schedule One shall continue to apply during the term of this Agreement.</w:t>
      </w:r>
    </w:p>
    <w:p>
      <w:pPr>
        <w:sectPr>
          <w:pgSz w:w="11900" w:h="16838" w:orient="portrait"/>
          <w:cols w:equalWidth="0" w:num="1">
            <w:col w:w="11400"/>
          </w:cols>
          <w:pgMar w:left="240" w:top="274" w:right="2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MINIMUM PURCHASE REQUIREMENTS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Amarin shall purchase the following minimum amounts of the Drug Substance in each of the items a-c below in accordance with the ordering procedures set forth in Clause 3 of the Agreement.</w:t>
      </w:r>
    </w:p>
    <w:p>
      <w:pPr>
        <w:spacing w:after="0" w:line="5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all Fiscal Years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each Fiscal Year</w:t>
      </w:r>
    </w:p>
    <w:p>
      <w:pPr>
        <w:sectPr>
          <w:pgSz w:w="11900" w:h="16838" w:orient="portrait"/>
          <w:cols w:equalWidth="0" w:num="1">
            <w:col w:w="11400"/>
          </w:cols>
          <w:pgMar w:left="240" w:top="274" w:right="259" w:bottom="1440" w:gutter="0" w:footer="0" w:header="0"/>
        </w:sectPr>
      </w:pP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 xml:space="preserve">Within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after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90" w:lineRule="exact"/>
        <w:rPr>
          <w:sz w:val="20"/>
          <w:szCs w:val="20"/>
          <w:color w:val="auto"/>
        </w:rPr>
      </w:pPr>
    </w:p>
    <w:p>
      <w:pPr>
        <w:sectPr>
          <w:pgSz w:w="11900" w:h="16838" w:orient="portrait"/>
          <w:cols w:equalWidth="0" w:num="2">
            <w:col w:w="3720" w:space="720"/>
            <w:col w:w="6960"/>
          </w:cols>
          <w:pgMar w:left="240" w:top="274" w:right="259" w:bottom="1440" w:gutter="0" w:footer="0" w:header="0"/>
          <w:type w:val="continuous"/>
        </w:sectPr>
      </w:pPr>
    </w:p>
    <w:p>
      <w:pPr>
        <w:ind w:left="460"/>
        <w:spacing w:after="0"/>
        <w:tabs>
          <w:tab w:leader="none" w:pos="88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 xml:space="preserve">Within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after the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w:t>
      </w:r>
    </w:p>
    <w:p>
      <w:pPr>
        <w:spacing w:after="0" w:line="171" w:lineRule="exact"/>
        <w:rPr>
          <w:sz w:val="20"/>
          <w:szCs w:val="20"/>
          <w:color w:val="auto"/>
        </w:rPr>
      </w:pPr>
    </w:p>
    <w:p>
      <w:pPr>
        <w:sectPr>
          <w:pgSz w:w="11900" w:h="16838" w:orient="portrait"/>
          <w:cols w:equalWidth="0" w:num="2">
            <w:col w:w="3680" w:space="720"/>
            <w:col w:w="7000"/>
          </w:cols>
          <w:pgMar w:left="240" w:top="274" w:right="259" w:bottom="1440" w:gutter="0" w:footer="0" w:header="0"/>
          <w:type w:val="continuous"/>
        </w:sectPr>
      </w:pPr>
    </w:p>
    <w:p>
      <w:pPr>
        <w:spacing w:after="0" w:line="332" w:lineRule="auto"/>
        <w:rPr>
          <w:sz w:val="20"/>
          <w:szCs w:val="20"/>
          <w:color w:val="auto"/>
        </w:rPr>
      </w:pPr>
      <w:r>
        <w:rPr>
          <w:rFonts w:ascii="Arial" w:cs="Arial" w:eastAsia="Arial" w:hAnsi="Arial"/>
          <w:sz w:val="16"/>
          <w:szCs w:val="16"/>
          <w:color w:val="auto"/>
        </w:rPr>
        <w:t xml:space="preserve">Note that with respect to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purchase requirement, if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is submitted after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in a certain year, Amarin will be responsible for both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order and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order in that year. For the avoidance of doubt, there shall be no Minimum Purchase Requirements other than as set forth in items a-c,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PAYMENTS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Amarin shall make the following non-refundable, one-time payments to Supplier upon satisfaction of the conditions set forth below:</w:t>
      </w:r>
    </w:p>
    <w:p>
      <w:pPr>
        <w:spacing w:after="0" w:line="9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USD 500,000 upon the signing of this Agreement by both Parties;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USD 500,000 upon the first Marketing Approval of the NDA for the Product in the US.</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the avoidance of doubt, the Parties acknowledge that Amarin shall be required to pay each of the Milestone Payments only one time and provided that the related condition has been satisfied.</w:t>
      </w:r>
    </w:p>
    <w:p>
      <w:pPr>
        <w:sectPr>
          <w:pgSz w:w="11900" w:h="16838" w:orient="portrait"/>
          <w:cols w:equalWidth="0" w:num="1">
            <w:col w:w="11400"/>
          </w:cols>
          <w:pgMar w:left="240" w:top="274" w:right="25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TWO</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DRUG SUBSTANCE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Substance</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Drug Substance means the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pharmaceutical drug substance which meets the Specifications set forth in the </w:t>
      </w:r>
      <w:r>
        <w:rPr>
          <w:rFonts w:ascii="Arial" w:cs="Arial" w:eastAsia="Arial" w:hAnsi="Arial"/>
          <w:sz w:val="18"/>
          <w:szCs w:val="18"/>
          <w:b w:val="1"/>
          <w:bCs w:val="1"/>
          <w:color w:val="auto"/>
        </w:rPr>
        <w:t>Schedule Three</w:t>
      </w:r>
      <w:r>
        <w:rPr>
          <w:rFonts w:ascii="Arial" w:cs="Arial" w:eastAsia="Arial" w:hAnsi="Arial"/>
          <w:sz w:val="18"/>
          <w:szCs w:val="18"/>
          <w:color w:val="auto"/>
        </w:rPr>
        <w:t xml:space="preserve"> and manufactured by Supplier and</w:t>
      </w:r>
    </w:p>
    <w:p>
      <w:pPr>
        <w:spacing w:after="0" w:line="126" w:lineRule="exact"/>
        <w:rPr>
          <w:sz w:val="20"/>
          <w:szCs w:val="20"/>
          <w:color w:val="auto"/>
        </w:rPr>
      </w:pPr>
    </w:p>
    <w:p>
      <w:pPr>
        <w:ind w:left="440" w:hanging="432"/>
        <w:spacing w:after="0"/>
        <w:tabs>
          <w:tab w:leader="none" w:pos="44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color w:val="auto"/>
        </w:rPr>
        <w:t>means: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compound which chemical name is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Company Code Name which is described in the US-DMF is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Common name is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Ethyl eicosapentaenoate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Chemical Abstracts Registry (CAS) Number is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t>
      </w:r>
    </w:p>
    <w:p>
      <w:pPr>
        <w:sectPr>
          <w:pgSz w:w="11900" w:h="16838" w:orient="portrait"/>
          <w:cols w:equalWidth="0" w:num="1">
            <w:col w:w="11160"/>
          </w:cols>
          <w:pgMar w:left="240" w:top="274" w:right="4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THREE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60" w:type="dxa"/>
            <w:vAlign w:val="bottom"/>
          </w:tcPr>
          <w:p>
            <w:pPr>
              <w:ind w:left="2000"/>
              <w:spacing w:after="0"/>
              <w:rPr>
                <w:sz w:val="20"/>
                <w:szCs w:val="20"/>
                <w:color w:val="auto"/>
              </w:rPr>
            </w:pPr>
            <w:r>
              <w:rPr>
                <w:rFonts w:ascii="Arial" w:cs="Arial" w:eastAsia="Arial" w:hAnsi="Arial"/>
                <w:sz w:val="18"/>
                <w:szCs w:val="18"/>
                <w:b w:val="1"/>
                <w:bCs w:val="1"/>
                <w:color w:val="auto"/>
              </w:rPr>
              <w:t>THE SPECIFICATIONS</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60" w:type="dxa"/>
            <w:vAlign w:val="bottom"/>
          </w:tcPr>
          <w:p>
            <w:pPr>
              <w:ind w:left="1720"/>
              <w:spacing w:after="0"/>
              <w:rPr>
                <w:sz w:val="20"/>
                <w:szCs w:val="20"/>
                <w:color w:val="auto"/>
              </w:rPr>
            </w:pPr>
            <w:r>
              <w:rPr>
                <w:rFonts w:ascii="Arial" w:cs="Arial" w:eastAsia="Arial" w:hAnsi="Arial"/>
                <w:sz w:val="14"/>
                <w:szCs w:val="14"/>
                <w:b w:val="1"/>
                <w:bCs w:val="1"/>
                <w:color w:val="auto"/>
              </w:rPr>
              <w:t xml:space="preserve">Release Tests and Specifications for </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line="153" w:lineRule="exact"/>
              <w:rPr>
                <w:sz w:val="20"/>
                <w:szCs w:val="20"/>
                <w:color w:val="auto"/>
              </w:rPr>
            </w:pPr>
            <w:r>
              <w:rPr>
                <w:rFonts w:ascii="Arial" w:cs="Arial" w:eastAsia="Arial" w:hAnsi="Arial"/>
                <w:sz w:val="14"/>
                <w:szCs w:val="14"/>
                <w:b w:val="1"/>
                <w:bCs w:val="1"/>
                <w:color w:val="auto"/>
              </w:rPr>
              <w:t>Test</w:t>
            </w:r>
          </w:p>
        </w:tc>
        <w:tc>
          <w:tcPr>
            <w:tcW w:w="2320" w:type="dxa"/>
            <w:vAlign w:val="bottom"/>
          </w:tcPr>
          <w:p>
            <w:pPr>
              <w:spacing w:after="0"/>
              <w:rPr>
                <w:sz w:val="13"/>
                <w:szCs w:val="13"/>
                <w:color w:val="auto"/>
              </w:rPr>
            </w:pPr>
          </w:p>
        </w:tc>
        <w:tc>
          <w:tcPr>
            <w:tcW w:w="5260" w:type="dxa"/>
            <w:vAlign w:val="bottom"/>
          </w:tcPr>
          <w:p>
            <w:pPr>
              <w:ind w:left="2040"/>
              <w:spacing w:after="0" w:line="153" w:lineRule="exact"/>
              <w:rPr>
                <w:sz w:val="20"/>
                <w:szCs w:val="20"/>
                <w:color w:val="auto"/>
              </w:rPr>
            </w:pPr>
            <w:r>
              <w:rPr>
                <w:rFonts w:ascii="Arial" w:cs="Arial" w:eastAsia="Arial" w:hAnsi="Arial"/>
                <w:sz w:val="14"/>
                <w:szCs w:val="14"/>
                <w:b w:val="1"/>
                <w:bCs w:val="1"/>
                <w:color w:val="auto"/>
              </w:rPr>
              <w:t>Specification</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tc>
        <w:tc>
          <w:tcPr>
            <w:tcW w:w="23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tc>
        <w:tc>
          <w:tcPr>
            <w:tcW w:w="2320" w:type="dxa"/>
            <w:vAlign w:val="bottom"/>
            <w:vMerge w:val="restart"/>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vMerge w:val="restart"/>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52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20" w:type="dxa"/>
            <w:vAlign w:val="bottom"/>
          </w:tcPr>
          <w:p>
            <w:pPr>
              <w:jc w:val="right"/>
              <w:ind w:right="1852"/>
              <w:spacing w:after="0"/>
              <w:rPr>
                <w:sz w:val="20"/>
                <w:szCs w:val="20"/>
                <w:color w:val="auto"/>
              </w:rPr>
            </w:pPr>
            <w:r>
              <w:rPr>
                <w:rFonts w:ascii="Arial" w:cs="Arial" w:eastAsia="Arial" w:hAnsi="Arial"/>
                <w:sz w:val="18"/>
                <w:szCs w:val="18"/>
                <w:b w:val="1"/>
                <w:bCs w:val="1"/>
                <w:i w:val="1"/>
                <w:iCs w:val="1"/>
                <w:color w:val="auto"/>
              </w:rPr>
              <w:t>[***]</w:t>
            </w: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spacing w:after="0"/>
              <w:rPr>
                <w:sz w:val="18"/>
                <w:szCs w:val="18"/>
                <w:color w:val="auto"/>
              </w:rPr>
            </w:pPr>
          </w:p>
        </w:tc>
        <w:tc>
          <w:tcPr>
            <w:tcW w:w="5260" w:type="dxa"/>
            <w:vAlign w:val="bottom"/>
          </w:tcPr>
          <w:p>
            <w:pPr>
              <w:ind w:left="204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jc w:val="right"/>
              <w:ind w:right="1612"/>
              <w:spacing w:after="0"/>
              <w:rPr>
                <w:sz w:val="20"/>
                <w:szCs w:val="20"/>
                <w:color w:val="auto"/>
              </w:rPr>
            </w:pPr>
            <w:r>
              <w:rPr>
                <w:rFonts w:ascii="Arial" w:cs="Arial" w:eastAsia="Arial" w:hAnsi="Arial"/>
                <w:sz w:val="18"/>
                <w:szCs w:val="18"/>
                <w:b w:val="1"/>
                <w:bCs w:val="1"/>
                <w:i w:val="1"/>
                <w:iCs w:val="1"/>
                <w:color w:val="auto"/>
              </w:rPr>
              <w:t>= ***]</w:t>
            </w:r>
          </w:p>
        </w:tc>
        <w:tc>
          <w:tcPr>
            <w:tcW w:w="5260" w:type="dxa"/>
            <w:vAlign w:val="bottom"/>
          </w:tcPr>
          <w:p>
            <w:pPr>
              <w:ind w:left="482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jc w:val="right"/>
              <w:ind w:right="1612"/>
              <w:spacing w:after="0"/>
              <w:rPr>
                <w:sz w:val="20"/>
                <w:szCs w:val="20"/>
                <w:color w:val="auto"/>
              </w:rPr>
            </w:pPr>
            <w:r>
              <w:rPr>
                <w:rFonts w:ascii="Arial" w:cs="Arial" w:eastAsia="Arial" w:hAnsi="Arial"/>
                <w:sz w:val="18"/>
                <w:szCs w:val="18"/>
                <w:b w:val="1"/>
                <w:bCs w:val="1"/>
                <w:i w:val="1"/>
                <w:iCs w:val="1"/>
                <w:color w:val="auto"/>
              </w:rPr>
              <w:t>= ***]</w:t>
            </w:r>
          </w:p>
        </w:tc>
        <w:tc>
          <w:tcPr>
            <w:tcW w:w="5260" w:type="dxa"/>
            <w:vAlign w:val="bottom"/>
          </w:tcPr>
          <w:p>
            <w:pPr>
              <w:ind w:left="482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320" w:type="dxa"/>
            <w:vAlign w:val="bottom"/>
          </w:tcPr>
          <w:p>
            <w:pPr>
              <w:jc w:val="right"/>
              <w:ind w:right="1612"/>
              <w:spacing w:after="0"/>
              <w:rPr>
                <w:sz w:val="20"/>
                <w:szCs w:val="20"/>
                <w:color w:val="auto"/>
              </w:rPr>
            </w:pPr>
            <w:r>
              <w:rPr>
                <w:rFonts w:ascii="Arial" w:cs="Arial" w:eastAsia="Arial" w:hAnsi="Arial"/>
                <w:sz w:val="18"/>
                <w:szCs w:val="18"/>
                <w:b w:val="1"/>
                <w:bCs w:val="1"/>
                <w:i w:val="1"/>
                <w:iCs w:val="1"/>
                <w:color w:val="auto"/>
              </w:rPr>
              <w:t>= ***]</w:t>
            </w:r>
          </w:p>
        </w:tc>
        <w:tc>
          <w:tcPr>
            <w:tcW w:w="5260" w:type="dxa"/>
            <w:vAlign w:val="bottom"/>
          </w:tcPr>
          <w:p>
            <w:pPr>
              <w:ind w:left="4820"/>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The above specification is included in the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which has submitted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to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FOUR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SUPPLIER MANUFACTURING CAPACITY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INITIAL EXPANSION PLAN</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Supplier shall complete the Initial Expansion on or before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after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Upon completion of the Initial Expansion, Supplier’s manufacturing capacity shall be increased such that Supplier is capable of manufacturing each Fiscal Year up to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running normal day shifts. The Initial Expansion shall include delivery of validated cGMP Drug Substance that meets the Specifications. As part of the Initial Expansion:</w:t>
      </w:r>
    </w:p>
    <w:p>
      <w:pPr>
        <w:spacing w:after="0" w:line="59" w:lineRule="exact"/>
        <w:rPr>
          <w:sz w:val="20"/>
          <w:szCs w:val="20"/>
          <w:color w:val="auto"/>
        </w:rPr>
      </w:pPr>
    </w:p>
    <w:p>
      <w:pPr>
        <w:ind w:left="9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Supplier must qualify and validate Drug Substance from each new manufacturing line and perform stability on Drug Substance to adequately support the Marketing Approvals.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Supplier will comply with any new requirement with respect to any new manufacturing lines arising from Amarin’s interactions with Regulatory Agencies.</w:t>
      </w:r>
    </w:p>
    <w:p>
      <w:pPr>
        <w:sectPr>
          <w:pgSz w:w="11900" w:h="16838" w:orient="portrait"/>
          <w:cols w:equalWidth="0" w:num="1">
            <w:col w:w="11400"/>
          </w:cols>
          <w:pgMar w:left="240" w:top="274" w:right="2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FIVE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VALIDATION ACTIVITIES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Supplier shall, promptly after the Initial Expansion, complete the validation of the manufacturing process and analytical methods for the Drug Substance that is associated with the Initial Expansion at no additional cost to Amarin (the “</w:t>
      </w:r>
      <w:r>
        <w:rPr>
          <w:rFonts w:ascii="Arial" w:cs="Arial" w:eastAsia="Arial" w:hAnsi="Arial"/>
          <w:sz w:val="18"/>
          <w:szCs w:val="18"/>
          <w:b w:val="1"/>
          <w:bCs w:val="1"/>
          <w:color w:val="auto"/>
        </w:rPr>
        <w:t>Initial Expansion Validation</w:t>
      </w:r>
      <w:r>
        <w:rPr>
          <w:rFonts w:ascii="Arial" w:cs="Arial" w:eastAsia="Arial" w:hAnsi="Arial"/>
          <w:sz w:val="18"/>
          <w:szCs w:val="18"/>
          <w:color w:val="auto"/>
        </w:rPr>
        <w:t xml:space="preserve">”). Supplier shall develop a validation protocol as soon as practicable utilizing consultation services provided by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shall be suitably reviewed by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Supplier shall deliver to Amarin, before and after validation, samples manufactured in the facility established by the Initial Expansion with a summary report written by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as soon as Supplier completes the validation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Amarin will be permitted to conduct reviews of the Facility in accordance with Clause 2.8.3</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conjunction with the Initial Expansion Validation, Supplier will produce appropriate numbers of process validation batches as required for Marketing Approval. The Initial Expansion Validation shall be deemed to be complete upon the manufacture of such validation batches that comply with the Specifications, the validation protocol and are otherwise in compliance with the terms of this Agreement. Provided that validation batches are otherwise in compliance with the terms of this Agreement, Amarin shall purchase such validation batches of Drug Substance.</w:t>
      </w:r>
    </w:p>
    <w:p>
      <w:pPr>
        <w:spacing w:after="0" w:line="11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Without limiting the foregoing, Supplier shall perform at no additional cost to Amarin on an on-going basis all validations and stability studies required by the applicable Marketing Approvals, the Specifications, cGMPs or Legal Requirements in connection with the regular course of manufacturing the Drug Substance for commercial supply.</w:t>
      </w:r>
    </w:p>
    <w:p>
      <w:pPr>
        <w:sectPr>
          <w:pgSz w:w="11900" w:h="16838" w:orient="portrait"/>
          <w:cols w:equalWidth="0" w:num="1">
            <w:col w:w="11420"/>
          </w:cols>
          <w:pgMar w:left="240" w:top="27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RELEASE AGREEMENT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Resignation and Release Agreement (the “Agreement”) is made between Colin Stewart (“Executive”) and Amarin Corporation plc (the “Company,” together with Executive, the “Parties”).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a letter agreement dated August 16, 2010 (the “Offer Letter”);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resigned from his employment effective November 10, 2010 for personal reasons (the “Resignation Date”);</w:t>
      </w:r>
    </w:p>
    <w:p>
      <w:pPr>
        <w:spacing w:after="0" w:line="171"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have agreed to enter into an amicable arrangement relating to the resignation of Executive’s employment that among other things,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Executive with certain severance payments and benefits in exchange for Executive’s release of all claims against the Company and related persons and entities including, without limitation, with respect to any claim for severance pay or benefits pursuant to the Offer Letter or otherwise;</w:t>
      </w:r>
    </w:p>
    <w:p>
      <w:pPr>
        <w:spacing w:after="0" w:line="97"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is hereby acknowledged, the Parties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20" w:lineRule="exact"/>
        <w:rPr>
          <w:sz w:val="20"/>
          <w:szCs w:val="20"/>
          <w:color w:val="auto"/>
        </w:rPr>
      </w:pPr>
    </w:p>
    <w:p>
      <w:pPr>
        <w:ind w:right="20" w:firstLine="8"/>
        <w:spacing w:after="0" w:line="258" w:lineRule="auto"/>
        <w:tabs>
          <w:tab w:leader="none" w:pos="176"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Resignation from Officer and Director Positions</w:t>
      </w:r>
      <w:r>
        <w:rPr>
          <w:rFonts w:ascii="Arial" w:cs="Arial" w:eastAsia="Arial" w:hAnsi="Arial"/>
          <w:sz w:val="18"/>
          <w:szCs w:val="18"/>
          <w:color w:val="auto"/>
        </w:rPr>
        <w:t>. Executive hereby resigns from the positions of President and Chief Executive Officer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from any other officer or director positions that Executive holds with the Company or any entities affiliated with the Company, including without limitation Amarin Pharma, Inc. and any other subsidiary of the Company, effective on the Resignation Date. Executive hereby agrees to sign any other documents that the Company may reasonably request in order to effectuate such resignation(s).</w:t>
      </w:r>
    </w:p>
    <w:p>
      <w:pPr>
        <w:spacing w:after="0" w:line="136" w:lineRule="exact"/>
        <w:rPr>
          <w:rFonts w:ascii="Arial" w:cs="Arial" w:eastAsia="Arial" w:hAnsi="Arial"/>
          <w:sz w:val="18"/>
          <w:szCs w:val="18"/>
          <w:color w:val="auto"/>
        </w:rPr>
      </w:pPr>
    </w:p>
    <w:p>
      <w:pPr>
        <w:ind w:right="120" w:firstLine="8"/>
        <w:spacing w:after="0" w:line="326" w:lineRule="auto"/>
        <w:tabs>
          <w:tab w:leader="none" w:pos="176" w:val="left"/>
        </w:tabs>
        <w:numPr>
          <w:ilvl w:val="0"/>
          <w:numId w:val="79"/>
        </w:numPr>
        <w:rPr>
          <w:rFonts w:ascii="Arial" w:cs="Arial" w:eastAsia="Arial" w:hAnsi="Arial"/>
          <w:sz w:val="15"/>
          <w:szCs w:val="15"/>
          <w:color w:val="auto"/>
        </w:rPr>
      </w:pPr>
      <w:r>
        <w:rPr>
          <w:rFonts w:ascii="Arial" w:cs="Arial" w:eastAsia="Arial" w:hAnsi="Arial"/>
          <w:sz w:val="15"/>
          <w:szCs w:val="15"/>
          <w:b w:val="1"/>
          <w:bCs w:val="1"/>
          <w:u w:val="single" w:color="auto"/>
          <w:color w:val="auto"/>
        </w:rPr>
        <w:t>Non-Contingent Accrued Obligations</w:t>
      </w:r>
      <w:r>
        <w:rPr>
          <w:rFonts w:ascii="Arial" w:cs="Arial" w:eastAsia="Arial" w:hAnsi="Arial"/>
          <w:sz w:val="15"/>
          <w:szCs w:val="15"/>
          <w:color w:val="auto"/>
        </w:rPr>
        <w:t>. The Company shall pay the Executive’s salary plus his accrued but unused vacation earned through the Resignation</w:t>
      </w:r>
      <w:r>
        <w:rPr>
          <w:rFonts w:ascii="Arial" w:cs="Arial" w:eastAsia="Arial" w:hAnsi="Arial"/>
          <w:sz w:val="15"/>
          <w:szCs w:val="15"/>
          <w:b w:val="1"/>
          <w:bCs w:val="1"/>
          <w:color w:val="auto"/>
        </w:rPr>
        <w:t xml:space="preserve"> </w:t>
      </w:r>
      <w:r>
        <w:rPr>
          <w:rFonts w:ascii="Arial" w:cs="Arial" w:eastAsia="Arial" w:hAnsi="Arial"/>
          <w:sz w:val="15"/>
          <w:szCs w:val="15"/>
          <w:color w:val="auto"/>
        </w:rPr>
        <w:t>Date. The Company will also reimburse Executive for any outstanding, reasonable business expenses that Executive has incurred on the Company’s behalf through the Resignation Date, provided the Company receives appropriate documentation pursuant to the Company’s business expense reimbursement policy on or before November 30, 2010. With respect to any employee benefits, Executive will be treated as a terminated employee effective on the Resignation Date.</w:t>
      </w:r>
    </w:p>
    <w:p>
      <w:pPr>
        <w:spacing w:after="0" w:line="89" w:lineRule="exact"/>
        <w:rPr>
          <w:rFonts w:ascii="Arial" w:cs="Arial" w:eastAsia="Arial" w:hAnsi="Arial"/>
          <w:sz w:val="15"/>
          <w:szCs w:val="15"/>
          <w:color w:val="auto"/>
        </w:rPr>
      </w:pPr>
    </w:p>
    <w:p>
      <w:pPr>
        <w:ind w:right="20" w:firstLine="8"/>
        <w:spacing w:after="0" w:line="304" w:lineRule="auto"/>
        <w:tabs>
          <w:tab w:leader="none" w:pos="176" w:val="left"/>
        </w:tabs>
        <w:numPr>
          <w:ilvl w:val="0"/>
          <w:numId w:val="79"/>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color w:val="auto"/>
        </w:rPr>
        <w:t>. Provided Executive enters into and complies with this Agreement, the Company shall provide Executive with severance payments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form of (i) salary continuation at Executive’s final base salary (annualized salary rate of $450,000) for twelve months from the Resignation Date, such payments to commence on the Company’s next regular payroll date following the Effective Date as defined below; and (ii) continuation of group plan benefits to the extent authorized by and consistent with 29 U.S.C. § 1161 et seq. (commonly known as “COBRA”), with the cost of the regular premium for such benefits shared in the same relative proportion by the Company and Executive as in effect on the Resignation Date, until the earlier of (a) twelve months from the Resignation Date, or</w:t>
      </w:r>
    </w:p>
    <w:p>
      <w:pPr>
        <w:ind w:right="100"/>
        <w:spacing w:after="0" w:line="261" w:lineRule="auto"/>
        <w:rPr>
          <w:rFonts w:ascii="Arial" w:cs="Arial" w:eastAsia="Arial" w:hAnsi="Arial"/>
          <w:sz w:val="15"/>
          <w:szCs w:val="15"/>
          <w:color w:val="auto"/>
        </w:rPr>
      </w:pPr>
      <w:r>
        <w:rPr>
          <w:rFonts w:ascii="Arial" w:cs="Arial" w:eastAsia="Arial" w:hAnsi="Arial"/>
          <w:sz w:val="18"/>
          <w:szCs w:val="18"/>
          <w:color w:val="auto"/>
        </w:rPr>
        <w:t>(b) the date the Executive becomes re-employed or otherwise ineligible for COBRA. The Parties acknowledge and agree that the severance payments set forth in this Section 3 are the exclusive payments, benefits and rights to</w:t>
      </w:r>
    </w:p>
    <w:p>
      <w:pPr>
        <w:sectPr>
          <w:pgSz w:w="11900" w:h="16838" w:orient="portrait"/>
          <w:cols w:equalWidth="0" w:num="1">
            <w:col w:w="11420"/>
          </w:cols>
          <w:pgMar w:left="240" w:top="125" w:right="239" w:bottom="1440" w:gutter="0" w:footer="0" w:header="0"/>
        </w:sectPr>
      </w:pPr>
    </w:p>
    <w:bookmarkStart w:id="152" w:name="page153"/>
    <w:bookmarkEnd w:id="152"/>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in connection with the ending of Executive’s employment and that Executive is not entitled to any other severance payments or equity rights of any kind pursuant to the Offer Letter or otherwise.</w:t>
      </w:r>
    </w:p>
    <w:p>
      <w:pPr>
        <w:spacing w:after="0" w:line="126" w:lineRule="exact"/>
        <w:rPr>
          <w:sz w:val="20"/>
          <w:szCs w:val="20"/>
          <w:color w:val="auto"/>
        </w:rPr>
      </w:pPr>
    </w:p>
    <w:p>
      <w:pPr>
        <w:ind w:right="20" w:firstLine="8"/>
        <w:spacing w:after="0" w:line="286" w:lineRule="auto"/>
        <w:tabs>
          <w:tab w:leader="none" w:pos="176"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color w:val="auto"/>
        </w:rPr>
        <w:t>. Executive irrevocably and unconditionally releases and forever discharges the Company, and all of their affiliated and related entities,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predecessors, successors and assigns, its and their respective employee benefit plans and the fiduciaries of such plans, and the current and former officers, directors, stockholders, employees, attorneys, accountants, and agents of each of the foregoing in their official and personal capacities (collectively referred to as the “Releasees”) generally from all claims, demands, debts, damages and liabilities of every name and nature, known or unknown (“Claims”) that, as of the date when Executive signs this Agreement, he has, ever had, now claims to have or ever claimed to have had against any or all of the Releasees. This release includes, without implication of limitation, the complete waiver and release of all Claims of or arising in connection with or for: the Offer Letter including Claims for breach of express or implied contract; fraudulent inducement, wrongful termination of employment whether in contract or tort; intentional, reckless, or negligent infliction of emotional distress; breach of any express or implied covenant of employment, including the covenant of good faith and fair dealing; interference with contractual or advantageous relations, whether prospective or existing; deceit or misrepresentation; discrimination or retaliation under state, federal, or municipal law, including, without implication of limitation, Title VII of the Civil Rights Act of 1964, 42 U.S.C. § 2000e et seq., the Americans with Disabilities Act, 42 U.S.C. § 12101 et seq., the Age Discrimination in Employment Act, 29 U.S.C. § 621 et seq., the Connecticut Fair Employment Practices Act, Conn. Gen. Stat., Title 46a, Ch. 814c, Sec. 46a-51 et seq., all as amended; all claims arising under any and all other similar federal, state and local statutes, all as amended; and all common law claims including, but not limited to, actions in tort, defamation, retaliation and breach of contract, all claims to any non-vested ownership interest in the Company (contractual or otherwise), including but not limited to claims to stock or stock options, and any other claims or damages arising under any other common law theory or any federal, state or local ordinance not expressly referenced above.</w:t>
      </w:r>
    </w:p>
    <w:p>
      <w:pPr>
        <w:spacing w:after="0" w:line="114" w:lineRule="exact"/>
        <w:rPr>
          <w:rFonts w:ascii="Arial" w:cs="Arial" w:eastAsia="Arial" w:hAnsi="Arial"/>
          <w:sz w:val="16"/>
          <w:szCs w:val="16"/>
          <w:color w:val="auto"/>
        </w:rPr>
      </w:pPr>
    </w:p>
    <w:p>
      <w:pPr>
        <w:ind w:right="40" w:firstLine="8"/>
        <w:spacing w:after="0" w:line="256" w:lineRule="auto"/>
        <w:tabs>
          <w:tab w:leader="none" w:pos="176"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w:t>
      </w:r>
      <w:r>
        <w:rPr>
          <w:rFonts w:ascii="Arial" w:cs="Arial" w:eastAsia="Arial" w:hAnsi="Arial"/>
          <w:sz w:val="18"/>
          <w:szCs w:val="18"/>
          <w:color w:val="auto"/>
        </w:rPr>
        <w:t>. The Parties acknowledge and agree that that the Executive was granted options to purchase a portion of the Company’s Ordinary Shares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and such Stock Options are governed by the applicable stock option plans and incentive stock option agreements (collectively “Equity Documents”) which provide, among other things, that no options vested on or prior to the Resignation Date and, therefore, lapsed and are of no further effect. Executive further acknowledges and agrees that Executive has no enhanced equity rights in connection with the ending of his employment and that, aside from the Stock Options, he has no further equity interests in the Company.</w:t>
      </w:r>
    </w:p>
    <w:p>
      <w:pPr>
        <w:spacing w:after="0" w:line="138" w:lineRule="exact"/>
        <w:rPr>
          <w:rFonts w:ascii="Arial" w:cs="Arial" w:eastAsia="Arial" w:hAnsi="Arial"/>
          <w:sz w:val="18"/>
          <w:szCs w:val="18"/>
          <w:color w:val="auto"/>
        </w:rPr>
      </w:pPr>
    </w:p>
    <w:p>
      <w:pPr>
        <w:ind w:firstLine="8"/>
        <w:spacing w:after="0" w:line="258" w:lineRule="auto"/>
        <w:tabs>
          <w:tab w:leader="none" w:pos="176"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color w:val="auto"/>
        </w:rPr>
        <w:t>. Executive commits to returning to the Company all Company property, including, without limitation, computer equipment, software, keys</w:t>
      </w:r>
      <w:r>
        <w:rPr>
          <w:rFonts w:ascii="Arial" w:cs="Arial" w:eastAsia="Arial" w:hAnsi="Arial"/>
          <w:sz w:val="18"/>
          <w:szCs w:val="18"/>
          <w:b w:val="1"/>
          <w:bCs w:val="1"/>
          <w:color w:val="auto"/>
        </w:rPr>
        <w:t xml:space="preserve"> </w:t>
      </w:r>
      <w:r>
        <w:rPr>
          <w:rFonts w:ascii="Arial" w:cs="Arial" w:eastAsia="Arial" w:hAnsi="Arial"/>
          <w:sz w:val="18"/>
          <w:szCs w:val="18"/>
          <w:color w:val="auto"/>
        </w:rPr>
        <w:t>and access cards, credit cards, files and any documents (including computerized data and any copies made of any computerized data or software) containing information concerning the Company, its business or its business relationships. After returning all such property, Executive commits to deleting and finally purging any duplicates of files or documents that may contain Company or customer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from any computer or other device that remains Executive’s property after the Resignation Date.</w:t>
      </w:r>
    </w:p>
    <w:p>
      <w:pPr>
        <w:spacing w:after="0" w:line="165" w:lineRule="exact"/>
        <w:rPr>
          <w:sz w:val="20"/>
          <w:szCs w:val="20"/>
          <w:color w:val="auto"/>
        </w:rPr>
      </w:pPr>
    </w:p>
    <w:p>
      <w:pPr>
        <w:ind w:right="220" w:firstLine="8"/>
        <w:spacing w:after="0" w:line="310" w:lineRule="auto"/>
        <w:tabs>
          <w:tab w:leader="none" w:pos="176"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 Public Announcement</w:t>
      </w:r>
      <w:r>
        <w:rPr>
          <w:rFonts w:ascii="Arial" w:cs="Arial" w:eastAsia="Arial" w:hAnsi="Arial"/>
          <w:sz w:val="16"/>
          <w:szCs w:val="16"/>
          <w:color w:val="auto"/>
        </w:rPr>
        <w:t>. Executive agrees not to disparage the Company or any of its officers, directors or employees or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products or services. Executive hereby consents to the form of public announcement concerning Executive’s resignation from the Company in substantially the form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will not make any written or oral statements that are inconsistent with this announcement.</w:t>
      </w:r>
    </w:p>
    <w:p>
      <w:pPr>
        <w:spacing w:after="0" w:line="97" w:lineRule="exact"/>
        <w:rPr>
          <w:rFonts w:ascii="Arial" w:cs="Arial" w:eastAsia="Arial" w:hAnsi="Arial"/>
          <w:sz w:val="16"/>
          <w:szCs w:val="16"/>
          <w:color w:val="auto"/>
        </w:rPr>
      </w:pPr>
    </w:p>
    <w:p>
      <w:pPr>
        <w:ind w:right="60" w:firstLine="8"/>
        <w:spacing w:after="0" w:line="262" w:lineRule="auto"/>
        <w:tabs>
          <w:tab w:leader="none" w:pos="176"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Advice of Counsel</w:t>
      </w:r>
      <w:r>
        <w:rPr>
          <w:rFonts w:ascii="Arial" w:cs="Arial" w:eastAsia="Arial" w:hAnsi="Arial"/>
          <w:sz w:val="18"/>
          <w:szCs w:val="18"/>
          <w:color w:val="auto"/>
        </w:rPr>
        <w:t>. This Agreement is a legally binding document and Executive’s signature will commit Executive to its terms. Executive acknowledges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has been advised to discuss all aspects of this Agreement with his attorney, that he has carefully read and fully understands all of the provisions of this Agreement and that Executive is voluntarily entering into this Agreement.</w:t>
      </w:r>
    </w:p>
    <w:p>
      <w:pPr>
        <w:spacing w:after="0" w:line="132" w:lineRule="exact"/>
        <w:rPr>
          <w:rFonts w:ascii="Arial" w:cs="Arial" w:eastAsia="Arial" w:hAnsi="Arial"/>
          <w:sz w:val="18"/>
          <w:szCs w:val="18"/>
          <w:color w:val="auto"/>
        </w:rPr>
      </w:pPr>
    </w:p>
    <w:p>
      <w:pPr>
        <w:ind w:right="260" w:firstLine="8"/>
        <w:spacing w:after="0" w:line="275" w:lineRule="auto"/>
        <w:tabs>
          <w:tab w:leader="none" w:pos="176"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To accept this Agreement, Executive must return a signed original of this Agreement so that it is received by Joseph Zakrzewski,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This Agreement shall become effective upon execution by the Parties (the “Effective Date”).</w:t>
      </w:r>
    </w:p>
    <w:p>
      <w:pPr>
        <w:spacing w:after="0" w:line="119" w:lineRule="exact"/>
        <w:rPr>
          <w:rFonts w:ascii="Arial" w:cs="Arial" w:eastAsia="Arial" w:hAnsi="Arial"/>
          <w:sz w:val="18"/>
          <w:szCs w:val="18"/>
          <w:color w:val="auto"/>
        </w:rPr>
      </w:pPr>
    </w:p>
    <w:p>
      <w:pPr>
        <w:jc w:val="both"/>
        <w:ind w:right="40" w:firstLine="8"/>
        <w:spacing w:after="0" w:line="262"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rPr>
        <w:t>. Executive acknowledges that, if any portion or provision of this Agreement shall to any extent be declared illegal or unenforceable by a court</w:t>
      </w:r>
      <w:r>
        <w:rPr>
          <w:rFonts w:ascii="Arial" w:cs="Arial" w:eastAsia="Arial" w:hAnsi="Arial"/>
          <w:sz w:val="18"/>
          <w:szCs w:val="18"/>
          <w:b w:val="1"/>
          <w:bCs w:val="1"/>
          <w:color w:val="auto"/>
        </w:rPr>
        <w:t xml:space="preserve"> </w:t>
      </w:r>
      <w:r>
        <w:rPr>
          <w:rFonts w:ascii="Arial" w:cs="Arial" w:eastAsia="Arial" w:hAnsi="Arial"/>
          <w:sz w:val="18"/>
          <w:szCs w:val="18"/>
          <w:color w:val="auto"/>
        </w:rPr>
        <w:t>of competent jurisdiction, then the remainder other than those as to which it is so declared illegal or unenforceable, shall not be affected thereby, and each portion and provision shall be valid and enforceable to the fullest extent permitted by law.</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along with the Equity Documents and the Confidentiality Agreement Executive entered into with the Company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of being considered for the President and CEO position, and the Deed of Indemnity dated August 16, 2010 and the Employee Confidentiality and Assignment Agreement Executive agreed to enter into as part of the Offer Letter, the terms of which continue to be in full force and effect and are incorporated by reference into this Agreement, constitute the entire agreement between Executive and the Company concerning Executive’s relationship with the Company, and supersedes and replaces any and all prior agreements and understandings between the Parties concerning the Executive’s relationship with the Company including, without limitation, the Offer Letter.</w:t>
      </w:r>
    </w:p>
    <w:p>
      <w:pPr>
        <w:spacing w:after="0" w:line="139" w:lineRule="exact"/>
        <w:rPr>
          <w:sz w:val="20"/>
          <w:szCs w:val="20"/>
          <w:color w:val="auto"/>
        </w:rPr>
      </w:pPr>
    </w:p>
    <w:p>
      <w:pPr>
        <w:ind w:firstLine="8"/>
        <w:spacing w:after="0" w:line="310" w:lineRule="auto"/>
        <w:tabs>
          <w:tab w:leader="none" w:pos="257"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No waiver of any provision of this Agreement shall be effective unless made in writing and signed by the waiving party. The failure of either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97" w:lineRule="exact"/>
        <w:rPr>
          <w:rFonts w:ascii="Arial" w:cs="Arial" w:eastAsia="Arial" w:hAnsi="Arial"/>
          <w:sz w:val="16"/>
          <w:szCs w:val="16"/>
          <w:color w:val="auto"/>
        </w:rPr>
      </w:pPr>
    </w:p>
    <w:p>
      <w:pPr>
        <w:ind w:right="40" w:firstLine="8"/>
        <w:spacing w:after="0" w:line="310" w:lineRule="auto"/>
        <w:tabs>
          <w:tab w:leader="none" w:pos="263"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The Company shall undertake to make deductions, withholdings and tax reports with respect to payments and benefits under this Agreement and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other compensation matters to the extent that it reasonably and in good faith determines that it is required to make such deductions, withholdings and tax reports. Payments under this Agreement shall be in amounts net of any such deductions or withholdings. Nothing in this Agreement shall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4" w:name="page155"/>
    <w:bookmarkEnd w:id="15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construed to require the Company to make any payments to compensate Executive for any adverse tax effect associated with any payments or benefits made to Executive in connection with Executive’s employment with the Company.</w:t>
      </w:r>
    </w:p>
    <w:p>
      <w:pPr>
        <w:spacing w:after="0" w:line="126" w:lineRule="exact"/>
        <w:rPr>
          <w:sz w:val="20"/>
          <w:szCs w:val="20"/>
          <w:color w:val="auto"/>
        </w:rPr>
      </w:pPr>
    </w:p>
    <w:p>
      <w:pPr>
        <w:ind w:right="40" w:firstLine="8"/>
        <w:spacing w:after="0" w:line="256" w:lineRule="auto"/>
        <w:tabs>
          <w:tab w:leader="none" w:pos="263"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Interpretation</w:t>
      </w:r>
      <w:r>
        <w:rPr>
          <w:rFonts w:ascii="Arial" w:cs="Arial" w:eastAsia="Arial" w:hAnsi="Arial"/>
          <w:sz w:val="18"/>
          <w:szCs w:val="18"/>
          <w:color w:val="auto"/>
        </w:rPr>
        <w:t>. This Agreement shall be interpreted and enforced under the laws of Connecticut without regard to conflict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Executive and the Company submit to the exclusive personal jurisdiction of the federal and state courts located in the State of Connecticut in connection with any dispute or any claim related to this Agreement. In the event of any dispute, this Agreement is intended by the parties to be construed as a whole, to be interpreted in accordance with its fair meaning, and not to be construed strictly for or against either Party or the “drafter” of all or any portion of this Agreement.</w:t>
      </w:r>
    </w:p>
    <w:p>
      <w:pPr>
        <w:spacing w:after="0" w:line="138" w:lineRule="exact"/>
        <w:rPr>
          <w:rFonts w:ascii="Arial" w:cs="Arial" w:eastAsia="Arial" w:hAnsi="Arial"/>
          <w:sz w:val="18"/>
          <w:szCs w:val="18"/>
          <w:color w:val="auto"/>
        </w:rPr>
      </w:pPr>
    </w:p>
    <w:p>
      <w:pPr>
        <w:ind w:right="300" w:firstLine="8"/>
        <w:spacing w:after="0" w:line="262" w:lineRule="auto"/>
        <w:tabs>
          <w:tab w:leader="none" w:pos="263"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one and the same document. Facsimile and pdf signatures shall be deemed to be of equal force and effect as originals.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INTENTIONALLY LEFT BLANK]</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intending to be legally bound, have executed this Agreement on the date(s) indicated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AMARIN CORPORATION PLC</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34"/>
        </w:trPr>
        <w:tc>
          <w:tcPr>
            <w:tcW w:w="4820" w:type="dxa"/>
            <w:vAlign w:val="bottom"/>
            <w:gridSpan w:val="2"/>
          </w:tcPr>
          <w:p>
            <w:pPr>
              <w:spacing w:after="0"/>
              <w:rPr>
                <w:sz w:val="20"/>
                <w:szCs w:val="20"/>
                <w:color w:val="auto"/>
              </w:rPr>
            </w:pPr>
            <w:r>
              <w:rPr>
                <w:rFonts w:ascii="Arial" w:cs="Arial" w:eastAsia="Arial" w:hAnsi="Arial"/>
                <w:sz w:val="18"/>
                <w:szCs w:val="18"/>
                <w:color w:val="auto"/>
              </w:rPr>
              <w:t>By: /s/ Joseph Zakrzewski</w:t>
            </w:r>
          </w:p>
        </w:tc>
        <w:tc>
          <w:tcPr>
            <w:tcW w:w="6600" w:type="dxa"/>
            <w:vAlign w:val="bottom"/>
            <w:gridSpan w:val="2"/>
          </w:tcPr>
          <w:p>
            <w:pPr>
              <w:ind w:left="2260"/>
              <w:spacing w:after="0"/>
              <w:rPr>
                <w:sz w:val="20"/>
                <w:szCs w:val="20"/>
                <w:color w:val="auto"/>
              </w:rPr>
            </w:pPr>
            <w:r>
              <w:rPr>
                <w:rFonts w:ascii="Arial" w:cs="Arial" w:eastAsia="Arial" w:hAnsi="Arial"/>
                <w:sz w:val="18"/>
                <w:szCs w:val="18"/>
                <w:color w:val="auto"/>
              </w:rPr>
              <w:t>11/9/2010</w:t>
            </w:r>
          </w:p>
        </w:tc>
      </w:tr>
      <w:tr>
        <w:trPr>
          <w:trHeight w:val="215"/>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Zakrzewski</w:t>
            </w:r>
          </w:p>
        </w:tc>
        <w:tc>
          <w:tcPr>
            <w:tcW w:w="2260" w:type="dxa"/>
            <w:vAlign w:val="bottom"/>
          </w:tcPr>
          <w:p>
            <w:pPr>
              <w:spacing w:after="0"/>
              <w:rPr>
                <w:sz w:val="18"/>
                <w:szCs w:val="18"/>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22"/>
        </w:trPr>
        <w:tc>
          <w:tcPr>
            <w:tcW w:w="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Chairman</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bl>
    <w:p>
      <w:pPr>
        <w:spacing w:after="0" w:line="15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 HAVE READ THIS AGREEMENT THOROUGHLY, UNDERSTAND ITS TERMS AND HAVE SIGNED IT KNOWINGLY AND VOLUNTARILY. I UNDERSTAND THAT THIS AGREEMENT IS A LEGAL DOCUMENT.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/s/ Colin Stewart</w:t>
            </w: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11/9/2010</w:t>
            </w:r>
          </w:p>
        </w:tc>
      </w:tr>
      <w:tr>
        <w:trPr>
          <w:trHeight w:val="222"/>
        </w:trPr>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Colin Stewart</w:t>
            </w:r>
          </w:p>
        </w:tc>
        <w:tc>
          <w:tcPr>
            <w:tcW w:w="228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5"/>
        </w:trPr>
        <w:tc>
          <w:tcPr>
            <w:tcW w:w="4800" w:type="dxa"/>
            <w:vAlign w:val="bottom"/>
          </w:tcPr>
          <w:p>
            <w:pPr>
              <w:spacing w:after="0"/>
              <w:rPr>
                <w:sz w:val="24"/>
                <w:szCs w:val="24"/>
                <w:color w:val="auto"/>
              </w:rPr>
            </w:pPr>
          </w:p>
        </w:tc>
        <w:tc>
          <w:tcPr>
            <w:tcW w:w="2280" w:type="dxa"/>
            <w:vAlign w:val="bottom"/>
          </w:tcPr>
          <w:p>
            <w:pPr>
              <w:jc w:val="right"/>
              <w:ind w:right="1232"/>
              <w:spacing w:after="0"/>
              <w:rPr>
                <w:sz w:val="20"/>
                <w:szCs w:val="20"/>
                <w:color w:val="auto"/>
              </w:rPr>
            </w:pPr>
            <w:r>
              <w:rPr>
                <w:rFonts w:ascii="Arial" w:cs="Arial" w:eastAsia="Arial" w:hAnsi="Arial"/>
                <w:sz w:val="18"/>
                <w:szCs w:val="18"/>
                <w:color w:val="auto"/>
              </w:rPr>
              <w:t>5</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6" w:name="page157"/>
    <w:bookmarkEnd w:id="156"/>
    <w:p>
      <w:pPr>
        <w:ind w:left="1034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0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Amarin Corporation plc announces that its President and Chief Executive Officer, Colin Stewart, has resigned effective November 10, 2010 to address personal matters.</w:t>
      </w:r>
    </w:p>
    <w:p>
      <w:pPr>
        <w:sectPr>
          <w:pgSz w:w="11900" w:h="16838" w:orient="portrait"/>
          <w:cols w:equalWidth="0" w:num="1">
            <w:col w:w="11420"/>
          </w:cols>
          <w:pgMar w:left="240" w:top="27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118110</wp:posOffset>
            </wp:positionV>
            <wp:extent cx="1946910" cy="394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469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Mystic, Connecticut 06355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It is with great pleasure that I confirm your recent promotion to the position of President of Amarin Corporation plc (the “Company”), effective November 10, 2010. As discussed, it is our expectation that, for the time being, you will also continue to serve as the principal financial officer of the Company as well as a member of the senior management team of Aramin Pharma Inc. and their affiliates.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letter will serve as an amendment to your November 5, 2009 letter agreement with the Company regarding the terms and conditions of your employment (the “Letter Agreement”). This letter supplements Section 1 and supersedes Sections 3 and 5 of the Letter Agreement, all other provision of the Letter Agreement shall remain in full force and effect.</w:t>
      </w:r>
    </w:p>
    <w:p>
      <w:pPr>
        <w:spacing w:after="0" w:line="14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connection with your enhanced role, you will be paid a bi-weekly salary at the annual rate of $375,000, less applicable deductions and withholdings. Your salary shall be subject to annual review and adjustment at the discretion of the Company. This paragraph supersedes Section 3 of the Letter Agreement.</w:t>
      </w:r>
    </w:p>
    <w:p>
      <w:pPr>
        <w:spacing w:after="0" w:line="8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you will be eligible to receive an annual performance bonus as determined by the Board (or the Remuneration Committee thereof) (the “Annual Bonus”). The Company will target the Annual Bonus at 40% of your annual base salary; for purposes of 2010 your Annual Bonus will be pro rated based on the number of days you served as President (at the 40% target rate) and the number of days you served as Chief Financial Officer (at the 35% target rate in effect prior to your promotion). Any such bonuses shall be payable in the absolute discretion of the Board (or the Remuneration Committee thereof “REMCO”), taking into account the performance of the Company and your personal performance. Further, any bonus payment will be subject to your employment on the actual payment date of any bonus as well as approval by and adjustment at the discretion of the Board and the final terms of any applicable bonus plan. This paragraph supersedes Section 5 of the Letter Agreement.</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your new role, you have been granted options to purchase 1,200,000 Ordinary Shares, par value £0.50 per share (and represented by American Depository Shares, or ADSs), which represents approximately 1% of the Company’s outstanding equity capitalization based on approximately 102,194,949 Ordinary Shares and options to purchase approximately 11,658,601 Ordinary Shares currently outstanding (excluding warrants). The exercise price per share is the closing price of the Company’s ADSs on the NASDAQ Capital Market on Thursday, November 11, 2010. Twenty five percent (25%) of these option shares shall be fully vested and immediately exercisable on the date of grant, with the remainder to vest in three equal annual installments, beginning on the first anniversary of November 10, 2010, so long as your employment continues through such vesting dates. The terms and conditions set forth in the</w:t>
      </w:r>
    </w:p>
    <w:p>
      <w:pPr>
        <w:sectPr>
          <w:pgSz w:w="11900" w:h="16838" w:orient="portrait"/>
          <w:cols w:equalWidth="0" w:num="1">
            <w:col w:w="11420"/>
          </w:cols>
          <w:pgMar w:left="240" w:top="125" w:right="239" w:bottom="1440" w:gutter="0" w:footer="0" w:header="0"/>
        </w:sectPr>
      </w:pPr>
    </w:p>
    <w:bookmarkStart w:id="158" w:name="page159"/>
    <w:bookmarkEnd w:id="15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2002 Stock Option Plan and applicable stock option agreement shall govern any such option award. The paragraph is in addition to and does not supersede any of the provision on the Letter Agreement.</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You understand that your employment with the Company will continue to be “at will” which means it is not for a specified period and may be terminated by either you or the Company at any time subject Section 12 of the Letter Agreement. Similarly, the terms and conditions of your employment may change at the discretion of the Board or REMCO. The Letter Agreement as amended by this letter supersedes any prior oral or written statements or understanding concerning compensation or other terms of your employment, including statements made by any Board member or Company representative in connection with your enhanced role.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Thank you again for your many contributions to the Amarin over this past year. We look forward to your continued service in your new role in the years to 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S. Zakrzewski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Joseph S. Zakrzewski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CEO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READ, UNDERSTOOD AND AGREED: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/s/ John F. Thero</w:t>
            </w:r>
          </w:p>
        </w:tc>
        <w:tc>
          <w:tcPr>
            <w:tcW w:w="6840" w:type="dxa"/>
            <w:vAlign w:val="bottom"/>
            <w:gridSpan w:val="2"/>
          </w:tcPr>
          <w:p>
            <w:pPr>
              <w:ind w:left="2280"/>
              <w:spacing w:after="0"/>
              <w:rPr>
                <w:sz w:val="20"/>
                <w:szCs w:val="20"/>
                <w:color w:val="auto"/>
              </w:rPr>
            </w:pPr>
            <w:r>
              <w:rPr>
                <w:rFonts w:ascii="Arial" w:cs="Arial" w:eastAsia="Arial" w:hAnsi="Arial"/>
                <w:sz w:val="18"/>
                <w:szCs w:val="18"/>
                <w:color w:val="auto"/>
              </w:rPr>
              <w:t>11/19/2010</w:t>
            </w:r>
          </w:p>
        </w:tc>
      </w:tr>
      <w:tr>
        <w:trPr>
          <w:trHeight w:val="222"/>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F. Thero</w:t>
            </w:r>
          </w:p>
        </w:tc>
        <w:tc>
          <w:tcPr>
            <w:tcW w:w="228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5"/>
        </w:trPr>
        <w:tc>
          <w:tcPr>
            <w:tcW w:w="4580" w:type="dxa"/>
            <w:vAlign w:val="bottom"/>
          </w:tcPr>
          <w:p>
            <w:pPr>
              <w:spacing w:after="0"/>
              <w:rPr>
                <w:sz w:val="24"/>
                <w:szCs w:val="24"/>
                <w:color w:val="auto"/>
              </w:rPr>
            </w:pPr>
          </w:p>
        </w:tc>
        <w:tc>
          <w:tcPr>
            <w:tcW w:w="2280" w:type="dxa"/>
            <w:vAlign w:val="bottom"/>
          </w:tcPr>
          <w:p>
            <w:pPr>
              <w:jc w:val="right"/>
              <w:ind w:right="1012"/>
              <w:spacing w:after="0"/>
              <w:rPr>
                <w:sz w:val="20"/>
                <w:szCs w:val="20"/>
                <w:color w:val="auto"/>
              </w:rPr>
            </w:pPr>
            <w:r>
              <w:rPr>
                <w:rFonts w:ascii="Arial" w:cs="Arial" w:eastAsia="Arial" w:hAnsi="Arial"/>
                <w:sz w:val="18"/>
                <w:szCs w:val="18"/>
                <w:color w:val="auto"/>
              </w:rPr>
              <w:t>2</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118110</wp:posOffset>
            </wp:positionV>
            <wp:extent cx="1964055" cy="403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640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Employment Agreement (“Agreement”) is made and entered into by and between Amarin Corporation plc (the “Company”), and Joseph S. Zakrzewski (“Executive”) effective December 31, 2010. This Agreement fully amends and restates the Consulting Agreement between the Company and the Executive dated November 10, 2010 (the “Consulting Agreement”). For the avoidance of doubt, all compensation earned by Executive pursuant to the Consulting Agreement prior to January 1, 2011 shall be due and payable in accordance with the terms of the Consulting Agreement. Pursuant to this Agreement, the Company desires to retain Executive as an employee to perform duties for the Company and Executive is willing to perform such duties, on terms set forth more fully below. In consideration of the mutual promises contained herein, the parties agree as follows:</w:t>
      </w:r>
    </w:p>
    <w:p>
      <w:pPr>
        <w:spacing w:after="0" w:line="120" w:lineRule="exact"/>
        <w:rPr>
          <w:sz w:val="20"/>
          <w:szCs w:val="20"/>
          <w:color w:val="auto"/>
        </w:rPr>
      </w:pPr>
    </w:p>
    <w:p>
      <w:pPr>
        <w:ind w:firstLine="464"/>
        <w:spacing w:after="0" w:line="285"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xml:space="preserve">. Executive will serve as the Company’s Chief Executive Officer and Executive Chairman and will have such duties, responsibilities and authorities as determined by the Company’s Board of Directors (the “Duties”). Executive agrees to devote such time to these Duties as is necessary to perform them with the understanding that for so long as he serves as Chief Executive Officer his employment with the Company will be his primary business commitment and that Executive will work two and one-half (2.5) days per week. Notwithstanding the foregoing, the Executive may manage his personal investments, engage in religious, charitable or other community activities, and, subject to the terms of this Section, provide professional services to third parties and serve on corporate and industry boards, as long as such activities do not pose an actual direct conflict of interest and do not materially interfere with the Executive’s performance of his duties to the Company as set forth herein. Executive represents that set forth on </w:t>
      </w:r>
      <w:r>
        <w:rPr>
          <w:rFonts w:ascii="Arial" w:cs="Arial" w:eastAsia="Arial" w:hAnsi="Arial"/>
          <w:sz w:val="16"/>
          <w:szCs w:val="16"/>
          <w:i w:val="1"/>
          <w:iCs w:val="1"/>
          <w:u w:val="single" w:color="auto"/>
          <w:color w:val="auto"/>
        </w:rPr>
        <w:t>Appendix A</w:t>
      </w:r>
      <w:r>
        <w:rPr>
          <w:rFonts w:ascii="Arial" w:cs="Arial" w:eastAsia="Arial" w:hAnsi="Arial"/>
          <w:sz w:val="16"/>
          <w:szCs w:val="16"/>
          <w:color w:val="auto"/>
        </w:rPr>
        <w:t xml:space="preserve"> is a comprehensive list of all outside professional activities with which he is currently involved. From time to time, the Company may ask Executive to work with and at the direction of the Company’s legal counsel in order to provide assistance on certain legal matters. It is the Company’s intention that such work be covered by the attorney-client privilege to the maximum extent permitted by law. In addition to the Executive’s role as Chief Executive Officer and Executive Chairman of the Company, the Executive acknowledges and agrees that he may be required, without additional compensation, to perform duties for certain affiliated entities of the Company, including without limitation Amarin Pharma, Inc., and to accept any reasonable office or position with any such affiliate as the Company’s Board of Directors (the “Board”) may require, including, but not limited to, service as an officer or director of any such affiliate. For the avoidance of doubt, Executive may perform the Duties from a remote location, and shall not be required to commute to the Company’s Mystic, Connecticut facility or any other facility of the Company.</w:t>
      </w:r>
    </w:p>
    <w:p>
      <w:pPr>
        <w:spacing w:after="0" w:line="128" w:lineRule="exact"/>
        <w:rPr>
          <w:rFonts w:ascii="Arial" w:cs="Arial" w:eastAsia="Arial" w:hAnsi="Arial"/>
          <w:sz w:val="16"/>
          <w:szCs w:val="16"/>
          <w:color w:val="auto"/>
        </w:rPr>
      </w:pPr>
    </w:p>
    <w:p>
      <w:pPr>
        <w:ind w:right="120" w:firstLine="464"/>
        <w:spacing w:after="0" w:line="256"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Salary; Post-Employment Consulting Fee; Stock Options; Discretionary Bonus; Expenses</w:t>
      </w:r>
      <w:r>
        <w:rPr>
          <w:rFonts w:ascii="Arial" w:cs="Arial" w:eastAsia="Arial" w:hAnsi="Arial"/>
          <w:sz w:val="18"/>
          <w:szCs w:val="18"/>
          <w:color w:val="auto"/>
        </w:rPr>
        <w:t>. Effective January 1, 2011, the Company shall pay the Executive a salary at the rate of $250,000 per year as sole compensation for the performance of the Duties. In the event that Executive ceases to serve as the Company’s Chief Executive Officer, for any reason, but continues to serve as the non-employee Executive Chairman or Chairman of the Board, then, for so long as Executive continues to serve in such capacity, the Company shall pay the Executive</w:t>
      </w:r>
    </w:p>
    <w:p>
      <w:pPr>
        <w:sectPr>
          <w:pgSz w:w="11900" w:h="16838" w:orient="portrait"/>
          <w:cols w:equalWidth="0" w:num="1">
            <w:col w:w="11420"/>
          </w:cols>
          <w:pgMar w:left="240" w:top="125" w:right="239" w:bottom="1440" w:gutter="0" w:footer="0" w:header="0"/>
        </w:sectPr>
      </w:pPr>
    </w:p>
    <w:bookmarkStart w:id="160" w:name="page161"/>
    <w:bookmarkEnd w:id="16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consulting fees at the rate of $37,500 per fiscal quarter as sole compensation for the performance of such duties to the Company. The amount paid to the Executive pursuant to the first sentence of this Section 2 shall be referred to herein as the “Salary” and the amount paid to the Executive pursuant to the second sentence of this Section 2 shall be referred to herein as “Consulting Fees”. The Salary shall be less applicable deductions and withholdings and will be paid to Executive consistent with the Company’s regular payroll practices and reported by the Company to taxing authorities on Form W-2 and the Consulting Fees shall not be subject to withholdings and will be paid to Executive quarterly and reported by the Company to taxing authorities on Form 1099. In consideration of Executive’s service to the Company as Chief Executive Officer, Executive has been granted options in accordance with the Consulting Agreement to purchase 1,750,000 Ordinary Shares, par value £0.50 per share (and represented by American Depository Shares, or ADSs) (the “CEO Options”), which represents approximately 1.5% of the Company’s outstanding equity capitalization based on approximately 102,194,949 Ordinary Shares and options to purchase approximately 11,658,601 Ordinary Shares currently outstanding (excluding warrants). For the avoidance of doubt, the CEO Options are in addition to the options granted to Executive pursuant to that certain letter agreement (the “Letter Agreement”) between the Company and the Executive dated October 12, 2009 (the “Board Member Options”). The exercise price per share of the CEO Option shares were set at the closing price of the Company’s ADSs on the NASDAQ Capital Market on Thursday, November 11, 2010. Twenty five percent (25%) of the CEO Option shares shall be fully vested and immediately exercisable on the date of grant, with the remainder to vest in three equal annual installments, beginning on the first anniversary of November 10, 2010, so long as Executive continues to serve as the Company’s Chief Executive Officer. In the event that the Executive ceases to serve as the Company’s Chief Executive Officer, for any reason, other than as set forth in the immediately following sentence, the CEO Option shares shall cease vesting and the CEO Option award, to the extent then vested and exercisable, shall be exercisable for twelve (12) months following such event, as provided in Section 6(a)(xi)(C) (Other Termination) under the Company’s 2002 Stock Option Plan, notwithstanding the fact that the Executive may continue to serve as Executive Chairman, Chairman or in some other capacity with the Company. As provided in the Company’s 2002 Stock Option Plan, if within two years following a Change of Control (as defined in the 2002 Stock Option Plan), the Executive is removed as the Company’s Chief Executive Officer for any reason other than for Cause (as defined in the 2002 Stock Option Plan), all of the Executive’s CEO Option unvested shares will vest in full. For the avoidance of doubt, in the event of a Change of Control, the vesting of the Board Member Options shall be governed by Section 6(a)(viii)(l) of the 2002 Stock Option Plan. Except as modified by the terms of this Agreement, the terms and conditions set forth in the 2002 Stock Option Plan and applicable stock option agreement shall govern the CEO Option award. In addition, for so long as the Executive continues to serve as the Company’s Chief Executive Officer, the Executive will be eligible to receive an annual performance bonus as determined by the Board (or the Remuneration Committee thereof) (the “Annual Bonus”). The Company will target the Annual Bonus at 50% of the Executive’s annual Salary, which shall be prorated for 2010 as set forth in the Consulting Agreement. Any such bonuses shall be payable in the absolute discretion of the Board (or the Remuneration Committee thereof), taking into account the performance of the Company and Executive’s personal performance. The Company shall also reimburse Executive for all reasonable travel and out-of-pocket expenses incurred by Executive in performing Duties pursuant to this Agreement consistent with the Company’s expense reimbursement policies.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1" w:name="page162"/>
    <w:bookmarkEnd w:id="161"/>
    <w:p>
      <w:pPr>
        <w:ind w:left="-20" w:right="40" w:firstLine="464"/>
        <w:spacing w:after="0" w:line="290" w:lineRule="auto"/>
        <w:tabs>
          <w:tab w:leader="none" w:pos="612"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Nondisclosure of Confidential Information</w:t>
      </w:r>
      <w:r>
        <w:rPr>
          <w:rFonts w:ascii="Arial" w:cs="Arial" w:eastAsia="Arial" w:hAnsi="Arial"/>
          <w:sz w:val="16"/>
          <w:szCs w:val="16"/>
          <w:color w:val="auto"/>
        </w:rPr>
        <w:t>. “Confidential Information” means all trade secrets and confidential or proprietary information, whether or not in writing, concerning the Company’s business, technology, business relationships or financial affairs which the Company has not released to the general public. Executive will not, at any time, without the Company’s prior written permission, either during or after the term of this Agreement, disclose any Confidential Information to anyone outside of the Company, or use or permit to be used any Confidential Information for any purpose other than the performance of the Duties for or on behalf of the Company. In addition, Executive understands that the Company is now and may hereafter be subject to non-disclosure or confidentiality agreements with third persons which require the Company to protect or refrain from use of its or their confidential information. Executive agrees to be bound by the terms of such agreements in the event Executive has access to such confidential information.</w:t>
      </w:r>
    </w:p>
    <w:p>
      <w:pPr>
        <w:spacing w:after="0" w:line="118" w:lineRule="exact"/>
        <w:rPr>
          <w:rFonts w:ascii="Arial" w:cs="Arial" w:eastAsia="Arial" w:hAnsi="Arial"/>
          <w:sz w:val="16"/>
          <w:szCs w:val="16"/>
          <w:color w:val="auto"/>
        </w:rPr>
      </w:pPr>
    </w:p>
    <w:p>
      <w:pPr>
        <w:ind w:left="-20" w:right="40" w:firstLine="464"/>
        <w:spacing w:after="0" w:line="286" w:lineRule="auto"/>
        <w:tabs>
          <w:tab w:leader="none" w:pos="612"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Executive will make full and prompt disclosure to the Company of all inventions, discoveries, designs, developments, methods, modifications, improvements, ideas, products, processes, techniques, know-how, trade secrets, graphics or images, and audio or visual works and other works of authorship (collectively “Developments”), whether or not patentable or copyrightable, that are created, made, conceived or reduced to practice by Executive (alone or jointly with others) in performance of the Duties during the term of this Agreement. Executive acknowledges that all work performed by Executive for the Company is on a “work for hire” basis, and Executive hereby assigns and transfers and, to the extent any such assignment cannot be made at present, will assign and transfer, to the Company and its successors and assigns all Executive’s right, title and interest in all Developments that (i) relate to the business of the Company or any customer of the Company or any of the products or services being researched, developed, manufactured, performed or sold by the Company or which may be used with such products or services; or (ii) result from tasks assigned to Executive by the Company and/or the Duties; or (iii) result from the use of premises or personal property (whether tangible or intangible) owned, leased or contracted for by the Company (“Company-Related Developments”). For the avoidance of doubt, this Agreement does not obligate Executive to assign to the Company any Development which is developed on Executive’s own time and does not relate to the business efforts or research and development efforts in which, during the term of this Agreement, the Company actually is engaged or reasonably would be engaged, and does not result from the use of premises or equipment owned or leased by the Company.</w:t>
      </w:r>
    </w:p>
    <w:p>
      <w:pPr>
        <w:spacing w:after="0" w:line="124" w:lineRule="exact"/>
        <w:rPr>
          <w:rFonts w:ascii="Arial" w:cs="Arial" w:eastAsia="Arial" w:hAnsi="Arial"/>
          <w:sz w:val="16"/>
          <w:szCs w:val="16"/>
          <w:color w:val="auto"/>
        </w:rPr>
      </w:pPr>
    </w:p>
    <w:p>
      <w:pPr>
        <w:ind w:left="-20" w:firstLine="464"/>
        <w:spacing w:after="0" w:line="289" w:lineRule="auto"/>
        <w:tabs>
          <w:tab w:leader="none" w:pos="612"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Documents: Property</w:t>
      </w:r>
      <w:r>
        <w:rPr>
          <w:rFonts w:ascii="Arial" w:cs="Arial" w:eastAsia="Arial" w:hAnsi="Arial"/>
          <w:sz w:val="16"/>
          <w:szCs w:val="16"/>
          <w:color w:val="auto"/>
        </w:rPr>
        <w:t>. All Developments, files, letters, notes, memoranda, reports, records, data, layouts, charts, quotations and proposals, specification sheets, or other written, photographic or other tangible material containing Confidential Information, whether created by Executive or others, which come into Executive’s custody or possession (“Documents”), are the exclusive property of the Company to be used by Executive only in the performance of the Duties. Further, any property situated on the Company’s premises or owned or leased by the Company, including without limitation computers, electronic files, disks and other storage media, filing cabinets or other work areas, is subject to inspection by the Company at any time with or without notice. In the event that the Executive ceases to serve as Chief Executive Officer and a Board member, Executive will promptly deliver to the Company all Documents, Company property and other materials of any nature pertaining to the Confidential Information of the Company and to the Duties, and will not take or keep in Executive’s possession any of the foregoing or any copies.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162" w:name="page163"/>
    <w:bookmarkEnd w:id="162"/>
    <w:p>
      <w:pPr>
        <w:ind w:left="-60" w:firstLine="464"/>
        <w:spacing w:after="0" w:line="285" w:lineRule="auto"/>
        <w:tabs>
          <w:tab w:leader="none" w:pos="57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 and Nonsolicitation</w:t>
      </w:r>
      <w:r>
        <w:rPr>
          <w:rFonts w:ascii="Arial" w:cs="Arial" w:eastAsia="Arial" w:hAnsi="Arial"/>
          <w:sz w:val="16"/>
          <w:szCs w:val="16"/>
          <w:color w:val="auto"/>
        </w:rPr>
        <w:t>. During the Executive’s services to the Company as Chief Executive Officer, Executive (i) will not, directly or indirectly, whether as owner, partner, shareholder, consultant, agent, employee, co-venturer or otherwise, engage, participate, assist or invest in any business activity anywhere in the United States or Europe that develops, manufactures or markets any products that are competitive with the products of the Company, or products that the Company or its subsidiaries or corporate affiliates (the “Company” for purposes of this Section 6), has under development or that are the subject of active planning at any time during Executive’s service to the Company as Chief Executive Officer (a “Competing Business”); and (ii) will refrain from directly or indirectly employing, attempting to employ, contracting with, recruiting or otherwise soliciting, inducing or influencing any employee to leave employment with the Company or any subsidiary of Company other than general solicitations of employment not directly targeting employees of the Company, (such as through general advertisements, search firms, etc.), and (iii) will refrain from soliciting or encouraging any independent contractor to terminate or otherwise modify adversely its business relationship with the Company or any of it subsidiaries. The Executive understands that the restrictions set forth in this Section 6 are intended to protect the Company’s interest in its Confidential Information (defined above) and established employee, customer and supplier relationships and goodwill, and agrees that such restrictions are reasonable and appropriate for this purpose. Notwithstanding the foregoing, the Executive may own up to one percent (1%) of the outstanding stock of a publicly held corporation, which constitutes or is affiliated with a Competing Business. For the avoidance of doubt, Executive’s assistance with any disputes and litigation associated with his role with Reliant Pharmaceuticals, including, without limitation, litigation related to Omacor, shall not be construed as a breach of this Section 6.</w:t>
      </w:r>
    </w:p>
    <w:p>
      <w:pPr>
        <w:spacing w:after="0" w:line="128" w:lineRule="exact"/>
        <w:rPr>
          <w:rFonts w:ascii="Arial" w:cs="Arial" w:eastAsia="Arial" w:hAnsi="Arial"/>
          <w:sz w:val="16"/>
          <w:szCs w:val="16"/>
          <w:color w:val="auto"/>
        </w:rPr>
      </w:pPr>
    </w:p>
    <w:p>
      <w:pPr>
        <w:ind w:left="-60" w:right="20" w:firstLine="464"/>
        <w:spacing w:after="0" w:line="288" w:lineRule="auto"/>
        <w:tabs>
          <w:tab w:leader="none" w:pos="57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Avoidance of Conflict of Interest</w:t>
      </w:r>
      <w:r>
        <w:rPr>
          <w:rFonts w:ascii="Arial" w:cs="Arial" w:eastAsia="Arial" w:hAnsi="Arial"/>
          <w:sz w:val="16"/>
          <w:szCs w:val="16"/>
          <w:color w:val="auto"/>
        </w:rPr>
        <w:t>. Executive represents and warrants that Executive has no outstanding agreement or obligation that is in conflict with any of the provisions of this Agreement, or that would preclude Executive from fully complying with the provisions hereof, and further certifies that Executive will not enter into such conflicting agreement during the term of this Agreement. Executive will advise the Company at such time as any activity of either the Company or another business presents Executive with an actual direct conflict of interest. Executive will take whatever action is requested by the Company to resolve any such conflict. Executive further represents and warrants that it has full power and authority to enter into this Agreement and perform its obligations hereunder. The Company acknowledges that Executive is currently a venture partner with OrbiMed Advisors LLC, which, together with its affiliates (collectively “OrbiMed”), is a shareholder of the Company. Without limiting the generality of the foregoing, for so long as the Executive renders services to the Company, the Executive hereby agrees that he shall not engage in any employment, consulting or other business activity (whether full-time or part-time) with OrbiMed that would create a conflict of interest with the Company.</w:t>
      </w:r>
    </w:p>
    <w:p>
      <w:pPr>
        <w:spacing w:after="0" w:line="119" w:lineRule="exact"/>
        <w:rPr>
          <w:rFonts w:ascii="Arial" w:cs="Arial" w:eastAsia="Arial" w:hAnsi="Arial"/>
          <w:sz w:val="16"/>
          <w:szCs w:val="16"/>
          <w:color w:val="auto"/>
        </w:rPr>
      </w:pPr>
    </w:p>
    <w:p>
      <w:pPr>
        <w:ind w:left="-60" w:right="160" w:firstLine="464"/>
        <w:spacing w:after="0" w:line="255" w:lineRule="auto"/>
        <w:tabs>
          <w:tab w:leader="none" w:pos="5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If Executive is made a party, or is threatened to be made a party, to any action, suit or proceeding, whether civil, criminal, administrative or investigative, by reason of his employment with the Company or the fact that Executive is an officer or director of the Company or provided services to an affiliate thereof, Executive shall be indemnified and held harmless by the Company and such affiliate to the fullest extent permitted or authorized by applicable law and its organizational documents, against all cost, expense, liability and loss reasonably incurred or suffered by Executive in connection therewith. Executive shall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80" w:right="279" w:bottom="1440" w:gutter="0" w:footer="0" w:header="0"/>
        </w:sectPr>
      </w:pPr>
    </w:p>
    <w:bookmarkStart w:id="163" w:name="page164"/>
    <w:bookmarkEnd w:id="16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covered under the Company’s directors’ and officers’ liability insurance policy. This Section 8 shall be in addition to, and not in lieu of, Company’s indemnification obligations set forth in that certain Deed of Indemnity between Company and Executive dated February 16, 2010 and that certain Indemnification Agreement between Amarin Pharma Inc. and Executive dated September 15, 2009 (the “Indemnification Agreement”).</w:t>
      </w:r>
    </w:p>
    <w:p>
      <w:pPr>
        <w:spacing w:after="0" w:line="107" w:lineRule="exact"/>
        <w:rPr>
          <w:sz w:val="20"/>
          <w:szCs w:val="20"/>
          <w:color w:val="auto"/>
        </w:rPr>
      </w:pPr>
    </w:p>
    <w:p>
      <w:pPr>
        <w:ind w:left="640" w:hanging="176"/>
        <w:spacing w:after="0"/>
        <w:tabs>
          <w:tab w:leader="none" w:pos="64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continue until terminated as provided below in Section 10.</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Termination: Continuation of Salary</w:t>
      </w:r>
      <w:r>
        <w:rPr>
          <w:rFonts w:ascii="Arial" w:cs="Arial" w:eastAsia="Arial" w:hAnsi="Arial"/>
          <w:sz w:val="16"/>
          <w:szCs w:val="16"/>
          <w:color w:val="auto"/>
        </w:rPr>
        <w:t>. The Company or the Executive may terminate this Agreement at any time and for any reason upon giving ninety</w:t>
      </w:r>
    </w:p>
    <w:p>
      <w:pPr>
        <w:spacing w:after="0" w:line="38" w:lineRule="exact"/>
        <w:rPr>
          <w:rFonts w:ascii="Arial" w:cs="Arial" w:eastAsia="Arial" w:hAnsi="Arial"/>
          <w:sz w:val="16"/>
          <w:szCs w:val="16"/>
          <w:color w:val="auto"/>
        </w:rPr>
      </w:pPr>
    </w:p>
    <w:p>
      <w:pPr>
        <w:ind w:firstLine="8"/>
        <w:spacing w:after="0" w:line="283" w:lineRule="auto"/>
        <w:tabs>
          <w:tab w:leader="none" w:pos="3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days prior written notice thereof to the other party. Any such notice shall be addressed to Executive or the Company, respectfully, at the address shown below or such other address as Executive may notify the Company of and shall be deemed given if delivered as set forth pursuant to Section 18 below. The Company may, in addition to any other rights it may have at law or in equity, terminate this Agreement immediately and without prior notice if Executive refuses to or is unable to perform the Duties or is in breach of any material provision of this Agreement. Upon such termination all rights and duties of the parties with respect to the Executive providing Duties and the Company compensating the Executive for such Duties shall cease except the Company shall be obliged to pay, within thirty (30) days of the effective date of termination, all Salary earned through the date of termination but unpaid and reimbursable expenses actually incurred prior to termination, if any, in accordance with the provisions of Section 2. For the avoidance of doubt, the Indemnification Agreement shall survive the expiration or earlier termination of this Agreement. Notwithstanding the foregoing, if at any time prior to Executive’s voluntary resignation as Executive Officer or Executive’s voluntary termination of this Agreement, in the event that the Company shall remove the Executive as Chief Executive Officer or terminate this Agreement without Cause (as defined below), the Executive shall (i) be entitled to continue to receive Salary for the twelve (12) month period following the effective date of such removal and/or termination, commencing on the Company’s first regular payroll date that occurs after the 30 day period that immediately follows the effective date of termination; (ii) be entitled to continuation of group health plan benefits to the extent authorized by and consistent with the terms of such plans, with the cost of the regular premium for such benefits shared in the same relative proportion by the Company and the Executive as in effect on the date of termination and (iii) be eligible to receive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Annual Bonus, as determined by the Board (or the Remuneration Committee thereof) and consistent with Executive’s contribution to such objectives as part of the Annual Bonus, for the year in which the Executive is terminated (based on the number of days the Executive served as Chief Executive Officer during such calendar year), such bonus to be paid at the same time as annual bonuses are paid to the Company’s other senior executives but in no event later than March 15 of the calendar year immediately following the termination. The Executive’s right to receive such payments shall be conditioned upon the Executive’s execution and delivery of a customary release and non-disparagement agreement in favor of the Company. Notwithstanding the foregoing, in the event that the Executive voluntarily resigns as Chief Executive Officer or otherwise voluntarily terminates this Agreement or in the event that this Agreement is terminated due to the Executive’s death or disability, the Executive shall not be entitled to the continuation of Salary or his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Annual Bonus as provided above;</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(x) the Executive shall be eligible to receive a</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Annual Bonus to the extent provided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immediately following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4" w:name="page165"/>
    <w:bookmarkEnd w:id="16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sentence, and (y) for so long as the Executive continues to serve as Chairman of the Board, he shall be entitled to receive the Consulting Fees described in the second sentence of Section 2 of this Agreement. In the event that the Company elects to hire a new Chief Executive Officer (including, without limitation, upon your recommendation), the Executive agrees to resign as Chief Executive Officer, which resignation shall be deemed a voluntary resignation for purposes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such event, the Executive shall be eligible to receive to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Annual Bonus to the extent provided above. For purposes of this Agreement, “Cause” shall mean: (i) conduct by the Executive constituting an act of material misconduct in connection with the performance of the Executive’s duties, including, without limitation, misappropriation of funds or property of the Company other than the occasional, customary and de minimis use of Company property for personal purposes; (ii) the commission by the Executive of (A) any felony; or (B) a misdemeanor involving moral turpitude, deceit, dishonesty or fraud; (iii) any conduct by the Executive that would reasonably be expected to result in material injury or reputational harm to the Company or any of its subsidiaries and affiliates if the Executive were retained in the Executive’s position; (iv) continued non-performance or unsatisfactory performance by the Executive of the Employee’s responsibilities as reasonably determined by the Company’s Board of Directors; (v) a breach by the Executive of any of the provisions contained this Agreement including, without limitation, any of the provisions of Sections 3 and 6 hereof; (vi) a material violation by the Executive of any of the Company’s written policies or procedures provided that, other than in the case of clause (B) above or other noncurable events, Executive is provided with written notice and fifteen (15) days to cure.</w:t>
      </w:r>
    </w:p>
    <w:p>
      <w:pPr>
        <w:spacing w:after="0" w:line="121" w:lineRule="exact"/>
        <w:rPr>
          <w:sz w:val="20"/>
          <w:szCs w:val="20"/>
          <w:color w:val="auto"/>
        </w:rPr>
      </w:pPr>
    </w:p>
    <w:p>
      <w:pPr>
        <w:ind w:right="20" w:firstLine="464"/>
        <w:spacing w:after="0" w:line="332" w:lineRule="auto"/>
        <w:tabs>
          <w:tab w:leader="none" w:pos="71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Notwithstanding anything herein to the contrary, the provisions of this Agreement shall survive termination or expiration of this Agreement to the extent to necessary to accomplish the purpose(s) of the provision.</w:t>
      </w:r>
    </w:p>
    <w:p>
      <w:pPr>
        <w:spacing w:after="0" w:line="85" w:lineRule="exact"/>
        <w:rPr>
          <w:rFonts w:ascii="Arial" w:cs="Arial" w:eastAsia="Arial" w:hAnsi="Arial"/>
          <w:sz w:val="16"/>
          <w:szCs w:val="16"/>
          <w:color w:val="auto"/>
        </w:rPr>
      </w:pPr>
    </w:p>
    <w:p>
      <w:pPr>
        <w:ind w:right="480" w:firstLine="464"/>
        <w:spacing w:after="0" w:line="268"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Notwithstanding anything herein to the contrary, it is understood that the Executive shall be entitled to the employee benefits offered by the Company to other executives of the Company, subject to the terms and conditions of those programs.</w:t>
      </w:r>
    </w:p>
    <w:p>
      <w:pPr>
        <w:spacing w:after="0" w:line="131" w:lineRule="exact"/>
        <w:rPr>
          <w:rFonts w:ascii="Arial" w:cs="Arial" w:eastAsia="Arial" w:hAnsi="Arial"/>
          <w:sz w:val="18"/>
          <w:szCs w:val="18"/>
          <w:color w:val="auto"/>
        </w:rPr>
      </w:pPr>
    </w:p>
    <w:p>
      <w:pPr>
        <w:ind w:right="20" w:firstLine="464"/>
        <w:spacing w:after="0" w:line="332" w:lineRule="auto"/>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payments made by the Company to the Executive under this Agreement shall be less any tax or other amounts required to be withheld by the Company under applicable law. Nothing herein shall be construed to require the Company to minimize tax consequences for the Executive.</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in any respect other than by written instrument executed by the party against whom enforcement 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sought.</w:t>
      </w:r>
    </w:p>
    <w:p>
      <w:pPr>
        <w:spacing w:after="0" w:line="164" w:lineRule="exact"/>
        <w:rPr>
          <w:rFonts w:ascii="Arial" w:cs="Arial" w:eastAsia="Arial" w:hAnsi="Arial"/>
          <w:sz w:val="16"/>
          <w:szCs w:val="16"/>
          <w:color w:val="auto"/>
        </w:rPr>
      </w:pPr>
    </w:p>
    <w:p>
      <w:pPr>
        <w:ind w:right="20" w:firstLine="464"/>
        <w:spacing w:after="0" w:line="294" w:lineRule="auto"/>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and conditions herein contained and in the Indemnification Agreement constitute the entire agreement between the parties and supersede all previous agreements and understandings, whether oral or written, between the parties hereto with respect to the subject matter hereof, and no agreement or understanding varying or extending the same shall be binding upon either party hereto unless in a written document which expressly refers to this Agreement and which is signed by the party to be bound thereby. Without limiting the forgoing, the Company and the Executive hereby acknowledge and agree that the Letter Agreement is terminated and superseded by this Agreement in all respects.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5" w:name="page166"/>
    <w:bookmarkEnd w:id="165"/>
    <w:p>
      <w:pPr>
        <w:ind w:right="380" w:firstLine="464"/>
        <w:spacing w:after="0" w:line="268"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and Personal Jurisdiction</w:t>
      </w:r>
      <w:r>
        <w:rPr>
          <w:rFonts w:ascii="Arial" w:cs="Arial" w:eastAsia="Arial" w:hAnsi="Arial"/>
          <w:sz w:val="18"/>
          <w:szCs w:val="18"/>
          <w:color w:val="auto"/>
        </w:rPr>
        <w:t>. This Agreement shall be governed by and construed in accordance with the internal laws of the State of Connecticut, without reference to its principles of conflict of laws.</w:t>
      </w:r>
    </w:p>
    <w:p>
      <w:pPr>
        <w:spacing w:after="0" w:line="131" w:lineRule="exact"/>
        <w:rPr>
          <w:rFonts w:ascii="Arial" w:cs="Arial" w:eastAsia="Arial" w:hAnsi="Arial"/>
          <w:sz w:val="18"/>
          <w:szCs w:val="18"/>
          <w:color w:val="auto"/>
        </w:rPr>
      </w:pPr>
    </w:p>
    <w:p>
      <w:pPr>
        <w:ind w:right="40" w:firstLine="464"/>
        <w:spacing w:after="0" w:line="332"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Changes</w:t>
      </w:r>
      <w:r>
        <w:rPr>
          <w:rFonts w:ascii="Arial" w:cs="Arial" w:eastAsia="Arial" w:hAnsi="Arial"/>
          <w:sz w:val="16"/>
          <w:szCs w:val="16"/>
          <w:color w:val="auto"/>
        </w:rPr>
        <w:t>. Executive understands that, absent an express amendment, Executive’s obligations under this Agreement will continue in accordance with its express terms regardless of any changes in the nature of Executive’s Duties, compensation or other terms and conditions of the Executive relationship.</w:t>
      </w:r>
    </w:p>
    <w:p>
      <w:pPr>
        <w:spacing w:after="0" w:line="85" w:lineRule="exact"/>
        <w:rPr>
          <w:rFonts w:ascii="Arial" w:cs="Arial" w:eastAsia="Arial" w:hAnsi="Arial"/>
          <w:sz w:val="16"/>
          <w:szCs w:val="16"/>
          <w:color w:val="auto"/>
        </w:rPr>
      </w:pPr>
    </w:p>
    <w:p>
      <w:pPr>
        <w:jc w:val="both"/>
        <w:ind w:firstLine="464"/>
        <w:spacing w:after="0" w:line="256"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hereby required or permitted to be given shall be sufficiently given if in writing and delivered in person, by facsimile transmission, electronic mail, overnight delivery service or U.S. mail, to either party at the last known address of such party or such other address as shall have been designated by written notice by such party to the other party. If by mail, delivery shall be deemed effective three (3) business days after mailing in accordance with the above provisions.</w:t>
      </w:r>
    </w:p>
    <w:p>
      <w:pPr>
        <w:spacing w:after="0" w:line="143" w:lineRule="exact"/>
        <w:rPr>
          <w:rFonts w:ascii="Arial" w:cs="Arial" w:eastAsia="Arial" w:hAnsi="Arial"/>
          <w:sz w:val="18"/>
          <w:szCs w:val="18"/>
          <w:color w:val="auto"/>
        </w:rPr>
      </w:pPr>
    </w:p>
    <w:p>
      <w:pPr>
        <w:ind w:right="120" w:firstLine="464"/>
        <w:spacing w:after="0" w:line="294"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waiver of any term or condition of this Agreement shall be valid or binding on either party unless the same shall be been mutually assented to in writing by both parties. The failure of either party to enforce at any time any of the provisions of this Agreement, or the failure to require at any time performance by the other party of any of the provisions of this Agreement, shall in no way be construed to be a present or future waiver of such provisions, nor in any way affect the right of either party to enforce each and every such provision thereafter. The express waiver by either party of any provision, condition or requirement of this Agreement shall not constitute a waiver of any future obligation to comply with such provision, condition or requirement.</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w:t>
      </w:r>
    </w:p>
    <w:p>
      <w:pPr>
        <w:spacing w:after="0" w:line="165"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to be executed or executed this Employment Agreement as of the day and year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2160" w:type="dxa"/>
            <w:vAlign w:val="bottom"/>
          </w:tcPr>
          <w:p>
            <w:pPr>
              <w:spacing w:after="0"/>
              <w:rPr>
                <w:sz w:val="19"/>
                <w:szCs w:val="19"/>
                <w:color w:val="auto"/>
              </w:rPr>
            </w:pPr>
          </w:p>
        </w:tc>
        <w:tc>
          <w:tcPr>
            <w:tcW w:w="1320" w:type="dxa"/>
            <w:vAlign w:val="bottom"/>
          </w:tcPr>
          <w:p>
            <w:pPr>
              <w:ind w:left="120"/>
              <w:spacing w:after="0"/>
              <w:rPr>
                <w:sz w:val="20"/>
                <w:szCs w:val="20"/>
                <w:color w:val="auto"/>
              </w:rPr>
            </w:pPr>
            <w:r>
              <w:rPr>
                <w:rFonts w:ascii="Arial" w:cs="Arial" w:eastAsia="Arial" w:hAnsi="Arial"/>
                <w:sz w:val="18"/>
                <w:szCs w:val="18"/>
                <w:color w:val="auto"/>
                <w:w w:val="87"/>
              </w:rPr>
              <w:t>Date 12-31-2010</w:t>
            </w: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Joseph Zakrzewski</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b w:val="1"/>
                <w:bCs w:val="1"/>
                <w:color w:val="auto"/>
              </w:rPr>
              <w:t>AMARIN CORPORATION PLC</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12/31/2010</w:t>
            </w:r>
          </w:p>
        </w:tc>
        <w:tc>
          <w:tcPr>
            <w:tcW w:w="1320" w:type="dxa"/>
            <w:vAlign w:val="bottom"/>
          </w:tcPr>
          <w:p>
            <w:pPr>
              <w:spacing w:after="0"/>
              <w:rPr>
                <w:sz w:val="24"/>
                <w:szCs w:val="24"/>
                <w:color w:val="auto"/>
              </w:rPr>
            </w:pP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8"/>
                <w:szCs w:val="18"/>
                <w:color w:val="auto"/>
              </w:rPr>
              <w:t>Name: John F. Thero</w:t>
            </w:r>
          </w:p>
        </w:tc>
        <w:tc>
          <w:tcPr>
            <w:tcW w:w="2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Title: President</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Date</w:t>
            </w:r>
          </w:p>
        </w:tc>
      </w:tr>
      <w:tr>
        <w:trPr>
          <w:trHeight w:val="365"/>
        </w:trPr>
        <w:tc>
          <w:tcPr>
            <w:tcW w:w="4240" w:type="dxa"/>
            <w:vAlign w:val="bottom"/>
          </w:tcPr>
          <w:p>
            <w:pPr>
              <w:spacing w:after="0"/>
              <w:rPr>
                <w:sz w:val="24"/>
                <w:szCs w:val="24"/>
                <w:color w:val="auto"/>
              </w:rPr>
            </w:pP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7</w:t>
            </w:r>
          </w:p>
        </w:tc>
        <w:tc>
          <w:tcPr>
            <w:tcW w:w="132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Outside Professional Activities</w:t>
      </w:r>
    </w:p>
    <w:p>
      <w:pPr>
        <w:spacing w:after="0" w:line="17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Venture Partner, OrbiMed Advisors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Chairman of the Board, Zelos Therapeutics, Inc.</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Chairman of the Board, Promedior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Chairman of the Board, Xcellerex,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Board Member, Insulet Corporation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Board Member, Rapid Bio Microsystems, Inc.</w:t>
      </w:r>
    </w:p>
    <w:p>
      <w:pPr>
        <w:sectPr>
          <w:pgSz w:w="11900" w:h="16838" w:orient="portrait"/>
          <w:cols w:equalWidth="0" w:num="1">
            <w:col w:w="10220"/>
          </w:cols>
          <w:pgMar w:left="1440" w:top="2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INCENTIVE COMPENSATION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commencing the fiscal year ending December 31,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Management Incentive Compensation Plan (“MIC Plan”)</w:t>
      </w:r>
    </w:p>
    <w:p>
      <w:pPr>
        <w:spacing w:after="0" w:line="9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Increase management focus on realistic goals intended to create value for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Encourage management to work as a team to achieve the Company’s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Encourage individuals to realize goals that are meaningful to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incentives for participants to strive for achievement above and beyond the Company goals;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Help attract and retain high quality senior management personnel.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left="900" w:hanging="325"/>
        <w:spacing w:after="0" w:line="255"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otherwise determined by the Remuneration Committee (REMCO), all executive officers and any other VP’s reporting to the President or CEO shall participate in the MIC Plan. The President and CEO may designate other employees to participate in the MIC Plan from time to time. As described below, REMCO is responsible for approving the corporate goals and the individual goals of all executive officer and any other VP’s reporting to the President or CEO; the President and CEO are responsible for approving the individual goals of all other eligible MIC plan participants.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Company Achievement Level to Establish a Bonus Pool</w:t>
      </w:r>
    </w:p>
    <w:p>
      <w:pPr>
        <w:spacing w:after="0" w:line="96" w:lineRule="exact"/>
        <w:rPr>
          <w:sz w:val="20"/>
          <w:szCs w:val="20"/>
          <w:color w:val="auto"/>
        </w:rPr>
      </w:pPr>
    </w:p>
    <w:p>
      <w:pPr>
        <w:ind w:left="900" w:hanging="325"/>
        <w:spacing w:after="0" w:line="298"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connection with the Board’s approval of the annual operating plan, REMCO will meet to agree upon certain Corporate Goals and to establish a percentage weighting to each Corporate Goal based upon relative importance. These percentages will be used to calculate the Company Achievement Level at year-end. The Company must have achieved at a specific percentage of the Corporate Goals at year-end in order for any individual to be eligible for a bonus, as determined by REMCO. Such percentage shall initially be as set forth below:</w:t>
      </w:r>
    </w:p>
    <w:p>
      <w:pPr>
        <w:spacing w:after="0" w:line="32" w:lineRule="exact"/>
        <w:rPr>
          <w:sz w:val="20"/>
          <w:szCs w:val="20"/>
          <w:color w:val="auto"/>
        </w:rPr>
      </w:pPr>
    </w:p>
    <w:p>
      <w:pPr>
        <w:ind w:left="3140"/>
        <w:spacing w:after="0"/>
        <w:tabs>
          <w:tab w:leader="none" w:pos="6560" w:val="left"/>
        </w:tabs>
        <w:rPr>
          <w:sz w:val="20"/>
          <w:szCs w:val="20"/>
          <w:color w:val="auto"/>
        </w:rPr>
      </w:pPr>
      <w:r>
        <w:rPr>
          <w:rFonts w:ascii="Arial" w:cs="Arial" w:eastAsia="Arial" w:hAnsi="Arial"/>
          <w:sz w:val="18"/>
          <w:szCs w:val="18"/>
          <w:color w:val="auto"/>
        </w:rPr>
        <w:t>Minimum Company Achievement Level:</w:t>
      </w:r>
      <w:r>
        <w:rPr>
          <w:sz w:val="20"/>
          <w:szCs w:val="20"/>
          <w:color w:val="auto"/>
        </w:rPr>
        <w:tab/>
      </w:r>
      <w:r>
        <w:rPr>
          <w:rFonts w:ascii="Arial" w:cs="Arial" w:eastAsia="Arial" w:hAnsi="Arial"/>
          <w:sz w:val="15"/>
          <w:szCs w:val="15"/>
          <w:color w:val="auto"/>
        </w:rPr>
        <w:t>70% of Corporate Goals</w:t>
      </w:r>
    </w:p>
    <w:p>
      <w:pPr>
        <w:spacing w:after="0" w:line="90" w:lineRule="exact"/>
        <w:rPr>
          <w:sz w:val="20"/>
          <w:szCs w:val="20"/>
          <w:color w:val="auto"/>
        </w:rPr>
      </w:pPr>
    </w:p>
    <w:p>
      <w:pPr>
        <w:ind w:left="900" w:right="8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the Minimum Company Achievement Level is reached, each individual will be eligible for his/her full Bonus Potential. If the Minimum Company Achievement Level is not reached, REMCO may elect to award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bonuses.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Board approves changes the operating plan in the middle of the year, REMCO will work in good faith to realign the corporate and individual goals under the MIC Plan.</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Minimum Individual Achievement Level to Be Eligible for Bonus</w:t>
      </w:r>
    </w:p>
    <w:p>
      <w:pPr>
        <w:spacing w:after="0" w:line="96" w:lineRule="exact"/>
        <w:rPr>
          <w:sz w:val="20"/>
          <w:szCs w:val="20"/>
          <w:color w:val="auto"/>
        </w:rPr>
      </w:pPr>
    </w:p>
    <w:p>
      <w:pPr>
        <w:ind w:left="900" w:right="44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individual must have achieved at least a specified percentage of his/her individual goals at year-end in order to be eligible for a bonus, as determined by REMCO. Such percentage shall initially be as set forth below:</w:t>
      </w:r>
    </w:p>
    <w:p>
      <w:pPr>
        <w:spacing w:after="0" w:line="51" w:lineRule="exact"/>
        <w:rPr>
          <w:sz w:val="20"/>
          <w:szCs w:val="20"/>
          <w:color w:val="auto"/>
        </w:rPr>
      </w:pPr>
    </w:p>
    <w:p>
      <w:pPr>
        <w:ind w:left="3120"/>
        <w:spacing w:after="0"/>
        <w:tabs>
          <w:tab w:leader="none" w:pos="6560" w:val="left"/>
        </w:tabs>
        <w:rPr>
          <w:sz w:val="20"/>
          <w:szCs w:val="20"/>
          <w:color w:val="auto"/>
        </w:rPr>
      </w:pPr>
      <w:r>
        <w:rPr>
          <w:rFonts w:ascii="Arial" w:cs="Arial" w:eastAsia="Arial" w:hAnsi="Arial"/>
          <w:sz w:val="18"/>
          <w:szCs w:val="18"/>
          <w:color w:val="auto"/>
        </w:rPr>
        <w:t>Minimum Individual Achievement Level:</w:t>
      </w:r>
      <w:r>
        <w:rPr>
          <w:sz w:val="20"/>
          <w:szCs w:val="20"/>
          <w:color w:val="auto"/>
        </w:rPr>
        <w:tab/>
      </w:r>
      <w:r>
        <w:rPr>
          <w:rFonts w:ascii="Arial" w:cs="Arial" w:eastAsia="Arial" w:hAnsi="Arial"/>
          <w:sz w:val="16"/>
          <w:szCs w:val="16"/>
          <w:color w:val="auto"/>
        </w:rPr>
        <w:t>70% of Individual Goals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Potential</w:t>
      </w:r>
    </w:p>
    <w:p>
      <w:pPr>
        <w:spacing w:after="0" w:line="9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Bonus Potential are to be created on an individual basis by REMCO.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Bonus Potential shall be determined from time to time by REMCO. Bonus Potential shall initially be the following as a percentage of base salary:</w:t>
      </w:r>
    </w:p>
    <w:p>
      <w:pPr>
        <w:spacing w:after="0" w:line="235" w:lineRule="exact"/>
        <w:rPr>
          <w:sz w:val="20"/>
          <w:szCs w:val="20"/>
          <w:color w:val="auto"/>
        </w:rPr>
      </w:pPr>
    </w:p>
    <w:tbl>
      <w:tblPr>
        <w:tblLayout w:type="fixed"/>
        <w:tblInd w:w="3440" w:type="dxa"/>
        <w:tblCellMar>
          <w:top w:w="0" w:type="dxa"/>
          <w:left w:w="0" w:type="dxa"/>
          <w:bottom w:w="0" w:type="dxa"/>
          <w:right w:w="0" w:type="dxa"/>
        </w:tblCellMar>
      </w:tblP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CEO</w:t>
            </w: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President</w:t>
            </w: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Sr. VP’s</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VP’s</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Directors/Managers</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Others designated as eligible</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Formula</w:t>
      </w:r>
    </w:p>
    <w:p>
      <w:pPr>
        <w:spacing w:after="0" w:line="96" w:lineRule="exact"/>
        <w:rPr>
          <w:sz w:val="20"/>
          <w:szCs w:val="20"/>
          <w:color w:val="auto"/>
        </w:rPr>
      </w:pPr>
    </w:p>
    <w:p>
      <w:pPr>
        <w:ind w:left="900" w:hanging="325"/>
        <w:spacing w:after="0" w:line="256"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actual amount of the bonus paid will be calculated using a goals-based formula. The CEO’s and the President’s goals shall be the Corporate Goals unless otherwise determined by REMCO. REMCO is responsible for approving the corporate goals and the individual goals of all executive officer and any other VP’s reporting to the President or CEO. The President and CEO are responsible for approving the individual goals of all other eligible MIC plan participants.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Participant’s Bonus = Bonus Potential*Percentage of Goals Achieved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Payment:</w:t>
      </w:r>
    </w:p>
    <w:p>
      <w:pPr>
        <w:spacing w:after="0" w:line="96" w:lineRule="exact"/>
        <w:rPr>
          <w:sz w:val="20"/>
          <w:szCs w:val="20"/>
          <w:color w:val="auto"/>
        </w:rPr>
      </w:pPr>
    </w:p>
    <w:p>
      <w:pPr>
        <w:ind w:left="900" w:right="340" w:hanging="325"/>
        <w:spacing w:after="0" w:line="33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Annual payments are to be made within 60 days of approval by REMCO (which approval is intended to be within 120 days of year-end). Each participant must be in the continued employ of the Company at the time of bonus payment to receive payment.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payments are subject to the withholding of applicable taxes.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w:t>
      </w:r>
    </w:p>
    <w:p>
      <w:pPr>
        <w:spacing w:after="0" w:line="96" w:lineRule="exact"/>
        <w:rPr>
          <w:sz w:val="20"/>
          <w:szCs w:val="20"/>
          <w:color w:val="auto"/>
        </w:rPr>
      </w:pPr>
    </w:p>
    <w:p>
      <w:pPr>
        <w:jc w:val="both"/>
        <w:ind w:left="900" w:hanging="325"/>
        <w:spacing w:after="0" w:line="255"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MIC Plan shall be administered by the REMCO in its sole discretion. All decisions and interpretations of REMCO shall be final and binding on all participants in the MIC Plan. The MIC Plan does not represent an employment contract. It can be cancelled or amended by REMCO at any time. Any and all provisions of this MIC Plan, including underlying corporate and individual goals, can be cancelled or amended by REMCO at any time. In addition, REMCO has the discretion to recognize achievements over and above the agreed upon goals by increasing the Bonus Payment above the targeted amount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March 16, 2011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Consulting Agreement (“Agreement”) is made and entered into by and between Amarin Corporation plc (the “Company”), and Joseph S. Zakrzewski (“Executive”) as of November 10, 2010. The Company desires to retain Executive as an independent contractor to perform consulting services for the Company and Executive is willing to perform such services, on terms set forth more fully below. In consideration of the mutual promises contained herein, the parties agree as follows:</w:t>
      </w:r>
    </w:p>
    <w:p>
      <w:pPr>
        <w:spacing w:after="0" w:line="143" w:lineRule="exact"/>
        <w:rPr>
          <w:sz w:val="20"/>
          <w:szCs w:val="20"/>
          <w:color w:val="auto"/>
        </w:rPr>
      </w:pPr>
    </w:p>
    <w:p>
      <w:pPr>
        <w:ind w:firstLine="464"/>
        <w:spacing w:after="0" w:line="285"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Executive will serve as the Company’s Chief Executive Officer and Executive Chairman and will have such duties, responsibilities and authorities as determined by the Company’s Board of Directors (the “Services”). Executive agrees to devote such time to these Services as is necessary to perform them with the understanding that for so long as he serves as Chief Executive Officer his service to the Company will be his primary business commitment and that Executive will work two and one-half (2.5) days per week. Notwithstanding the foregoing, the Executive may manage his personal investments, engage in religious, charitable or other community activities, and, subject to the terms of this Section, provide professional services to third parties and serve on corporate and industry boards, as long as such activities do not pose an actual direct conflict of interest and do not materially interfere with the Executive’s performance of his duties to the Company as set forth herein. Executive represents that set forth on </w:t>
      </w:r>
      <w:r>
        <w:rPr>
          <w:rFonts w:ascii="Arial" w:cs="Arial" w:eastAsia="Arial" w:hAnsi="Arial"/>
          <w:sz w:val="16"/>
          <w:szCs w:val="16"/>
          <w:i w:val="1"/>
          <w:iCs w:val="1"/>
          <w:u w:val="single" w:color="auto"/>
          <w:color w:val="auto"/>
        </w:rPr>
        <w:t>Appendix A</w:t>
      </w:r>
      <w:r>
        <w:rPr>
          <w:rFonts w:ascii="Arial" w:cs="Arial" w:eastAsia="Arial" w:hAnsi="Arial"/>
          <w:sz w:val="16"/>
          <w:szCs w:val="16"/>
          <w:color w:val="auto"/>
        </w:rPr>
        <w:t xml:space="preserve"> is a comprehensive list of all outside professional activities with which he is currently involved. From time to time, the Company may ask Executive to work with and at the direction of the Company’s legal counsel in order to provide assistance on certain legal matters. It is the Company’s intention that such work be covered by the attorney-client privilege to the maximum extent permitted by law. In addition to the Executive’s role as Chief Executive Officer and Executive Chairman of the Company, the Executive acknowledges and agrees that he may be required, without additional compensation, to perform services for certain affiliated entities of the Company, including without limitation Amarin Pharma, Inc., and to accept any reasonable office or position with any such affiliate as the Company’s Board of Directors (the “Board”) may require, including, but not limited to, service as an officer or director of any such affiliate. For the avoidance of doubt, Executive may perform the Services from a remote location, and shall not be required to commute to the Company’s Mystic, Connecticut facility or any other facility of the Company.</w:t>
      </w:r>
    </w:p>
    <w:p>
      <w:pPr>
        <w:spacing w:after="0" w:line="128" w:lineRule="exact"/>
        <w:rPr>
          <w:rFonts w:ascii="Arial" w:cs="Arial" w:eastAsia="Arial" w:hAnsi="Arial"/>
          <w:sz w:val="16"/>
          <w:szCs w:val="16"/>
          <w:color w:val="auto"/>
        </w:rPr>
      </w:pPr>
    </w:p>
    <w:p>
      <w:pPr>
        <w:ind w:right="20" w:firstLine="464"/>
        <w:spacing w:after="0" w:line="291"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Consulting Fees; Stock Options; Discretionary Bonus; Expenses</w:t>
      </w:r>
      <w:r>
        <w:rPr>
          <w:rFonts w:ascii="Arial" w:cs="Arial" w:eastAsia="Arial" w:hAnsi="Arial"/>
          <w:sz w:val="16"/>
          <w:szCs w:val="16"/>
          <w:color w:val="auto"/>
        </w:rPr>
        <w:t>. The Company shall pay the Executive $62,500 per calendar quarter as sole compensation for the performance of the Services, which amount is inclusive of the $37,500 per calendar quarter previously paid to the Executive for his service to the Company pursuant to that certain letter agreement between the Company and the Executive dated October 12, 2009 (the “Letter Agreement”). In the event that Executive ceases to serve as the Company’s Chief Executive Officer, for any reason, but continues to serve as the Executive Chairman or Chairman of the Board, then, for so long as Executive continues to serve in such capacity, the Company shall pay the Executive $37,500 per calendar quarter as sole compensation for the performance of such services to the Company. The</w:t>
      </w:r>
    </w:p>
    <w:p>
      <w:pPr>
        <w:sectPr>
          <w:pgSz w:w="11900" w:h="16838" w:orient="portrait"/>
          <w:cols w:equalWidth="0" w:num="1">
            <w:col w:w="11420"/>
          </w:cols>
          <w:pgMar w:left="240" w:top="125" w:right="239" w:bottom="1440" w:gutter="0" w:footer="0" w:header="0"/>
        </w:sectPr>
      </w:pPr>
    </w:p>
    <w:bookmarkStart w:id="171" w:name="page172"/>
    <w:bookmarkEnd w:id="17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paid to the Executive pursuant to the first or second sentence of this Section 2 shall be referred to herein as the “Consulting Fees”. The Consulting Fees will be paid to Executive on a quarterly basis and reported by the Company to taxing authorities on Form 1099. In consideration of Executive’s service to the Company as Chief Executive Officer, Executive will be granted options to purchase 1,750,000 Ordinary Shares, par value £0.50 per share (and represented by American Depository Shares, or ADSs) (the “CEO Options”), which represents approximately 1.5% of the Company’s outstanding equity capitalization based on approximately 102,194,949 Ordinary Shares and options to purchase approximately 11,658,601 Ordinary Shares currently outstanding (excluding warrants). For the avoidance of doubt, the CEO Options are in addition to the options granted to Executive pursuant to the Letter Agreement (the “Board Member Options”). The exercise price per share of the CEO Option shares will be the closing price of the Company’s ADSs on the NASDAQ Capital Market on Thursday, November 11, 2010. Twenty five percent (25%) of the CEO Option shares shall be fully vested and immediately exercisable on the date of grant, with the remainder to vest in three equal annual installments, beginning on the first anniversary of the Effective Date, so long as Executive continues to serve as the Company’s Chief Executive Officer. In the event that the Executive ceases to serve as the Company’s Chief Executive Officer, for any reason, other than as set forth in the immediately following sentence, the CEO Option shares shall cease vesting and the CEO Option award, to the extent then vested and exercisable, shall be exercisable for twelve (12) months following such event, as provided in Section 6(a)(xi)(C) (Other Termination) under the Company’s 2002 Stock Option Plan, notwithstanding the fact that the Executive may continue to serve as Executive Chairman, Chairman or in some other capacity with the Company. As provided in the Company’s 2002 Stock Option Plan, if within two years following a Change of Control (as defined in the 2002 Stock Option Plan), the Executive is removed as the Company’s Chief Executive Officer for any reason other than for Cause (as defined in the 2002 Stock Option Plan), all of the Executive’s CEO Option unvested shares will vest in full. For the avoidance of doubt, (i) the Board Member Options shall continue to vest subject to, and in accordance with, the terms of that certain Award Agreement dated December 21, 2009 and the terms of the 2002 Stock Option Plan, notwithstanding the fact that the Executive may cease to serve as the Company’s Chief Executive Officer, and (ii) provided that the Executive is then servicing as a director, in the event of a Change of Control, the vesting of the Board Member Options shall be governed by Section 6(a)(viii)(1) of the 2002 Stock Option Plan. Except as modified by the terms of this Agreement, the terms and conditions set forth in the 2002 Stock Option Plan and applicable stock option agreement shall govern the CEO Option award. In addition, for so long as the Executive continues to serves as the Company’s Chief Executive Officer, the Executive will be eligible to receive an annual performance bonus as determined by the Board (or the Remuneration Committee thereof) (the “Annual Bonus”). The Company will target the Annual Bonus at 50% of the Executive’s annual Consulting Fees, which shall be prorated for 2010. Any such bonuses shall be payable in the absolute discretion of the Board (or the Remuneration Committee thereof), taking into account the performance of the Company and Executive’s personal performance. The Company shall also reimburse Executive for all reasonable travel and out-of-pocket expenses incurred by Executive in performing Services pursuant to this Agreement consistent with the Company’s expense reimbursement policies.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72" w:name="page173"/>
    <w:bookmarkEnd w:id="172"/>
    <w:p>
      <w:pPr>
        <w:ind w:left="-8" w:firstLine="464"/>
        <w:spacing w:after="0" w:line="290" w:lineRule="auto"/>
        <w:tabs>
          <w:tab w:leader="none" w:pos="624"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Nondisclosure of Confidential Information</w:t>
      </w:r>
      <w:r>
        <w:rPr>
          <w:rFonts w:ascii="Arial" w:cs="Arial" w:eastAsia="Arial" w:hAnsi="Arial"/>
          <w:sz w:val="16"/>
          <w:szCs w:val="16"/>
          <w:color w:val="auto"/>
        </w:rPr>
        <w:t>. “Confidential Information” means all trade secrets and confidential or proprietary information, whether or not in writing, concerning the Company’s business, technology, business relationships or financial affairs which the Company has not released to the general public. Executive will not, at any time, without the Company’s prior written permission, either during or after the term of this Agreement, disclose any Confidential Information to anyone outside of the Company, or use or permit to be used any Confidential Information for any purpose other than the performance of the Services for or on behalf of the Company. In addition, Executive understands that the Company is now and may hereafter be subject to non-disclosure or confidentiality agreements with third persons which require the Company to protect or refrain from use of its or their confidential information. Executive agrees to be bound by the terms of such agreements in the event Executive has access to such confidential information.</w:t>
      </w:r>
    </w:p>
    <w:p>
      <w:pPr>
        <w:spacing w:after="0" w:line="118" w:lineRule="exact"/>
        <w:rPr>
          <w:rFonts w:ascii="Arial" w:cs="Arial" w:eastAsia="Arial" w:hAnsi="Arial"/>
          <w:sz w:val="16"/>
          <w:szCs w:val="16"/>
          <w:color w:val="auto"/>
        </w:rPr>
      </w:pPr>
    </w:p>
    <w:p>
      <w:pPr>
        <w:ind w:left="-8" w:right="80" w:firstLine="464"/>
        <w:spacing w:after="0" w:line="301" w:lineRule="auto"/>
        <w:tabs>
          <w:tab w:leader="none" w:pos="624" w:val="left"/>
        </w:tabs>
        <w:numPr>
          <w:ilvl w:val="1"/>
          <w:numId w:val="102"/>
        </w:numPr>
        <w:rPr>
          <w:rFonts w:ascii="Arial" w:cs="Arial" w:eastAsia="Arial" w:hAnsi="Arial"/>
          <w:sz w:val="15"/>
          <w:szCs w:val="15"/>
          <w:color w:val="auto"/>
        </w:rPr>
      </w:pPr>
      <w:r>
        <w:rPr>
          <w:rFonts w:ascii="Arial" w:cs="Arial" w:eastAsia="Arial" w:hAnsi="Arial"/>
          <w:sz w:val="15"/>
          <w:szCs w:val="15"/>
          <w:u w:val="single" w:color="auto"/>
          <w:color w:val="auto"/>
        </w:rPr>
        <w:t>Ownership</w:t>
      </w:r>
      <w:r>
        <w:rPr>
          <w:rFonts w:ascii="Arial" w:cs="Arial" w:eastAsia="Arial" w:hAnsi="Arial"/>
          <w:sz w:val="15"/>
          <w:szCs w:val="15"/>
          <w:color w:val="auto"/>
        </w:rPr>
        <w:t>. Executive will make full and prompt disclosure to the Company of all inventions, discoveries, designs, developments, methods, modifications, improvements, ideas, products, processes, techniques, know-how, trade secrets, graphics or images, and audio or visual works and other works of authorship (collectively “Developments”), whether or not patentable or copyrightable, that are created, made, conceived or reduced to practice by Executive (alone or jointly with others) in performance of the Services during the term of this Agreement. Executive acknowledges that all work performed by Executive within the scope of the Services is on a “work for hire” basis, and Executive hereby assigns and transfers and, to the extent any such assignment cannot be made at present, will assign and transfer, to the Company and its successors and assigns all Executive’s right, title and interest in all Developments that (i) relate to the business of the Company or any customer of the Company or any of the products or services being researched, developed, manufactured, performed or sold by the Company or which may be used with such products or services; or (ii) result from tasks assigned to Executive by the Company and/or the Services; or</w:t>
      </w:r>
    </w:p>
    <w:p>
      <w:pPr>
        <w:spacing w:after="0" w:line="4" w:lineRule="exact"/>
        <w:rPr>
          <w:rFonts w:ascii="Arial" w:cs="Arial" w:eastAsia="Arial" w:hAnsi="Arial"/>
          <w:sz w:val="15"/>
          <w:szCs w:val="15"/>
          <w:color w:val="auto"/>
        </w:rPr>
      </w:pPr>
    </w:p>
    <w:p>
      <w:pPr>
        <w:ind w:left="-8" w:right="160" w:firstLine="8"/>
        <w:spacing w:after="0" w:line="295" w:lineRule="auto"/>
        <w:tabs>
          <w:tab w:leader="none" w:pos="29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result from the use of premises or personal property (whether tangible or intangible) owned, leased or contracted for by the Company (“Company-Related Developments”). For the avoidance of doubt, this Agreement does not obligate Executive to assign to the Company any Development which is developed on Executive’s own time and does not relate to the business efforts or research and development efforts in which, during the term of this Agreement, the Company actually is engaged or reasonably would be engaged, and does not result from the use of premises or equipment owned or leased by the Company.</w:t>
      </w:r>
    </w:p>
    <w:p>
      <w:pPr>
        <w:spacing w:after="0" w:line="115" w:lineRule="exact"/>
        <w:rPr>
          <w:rFonts w:ascii="Arial" w:cs="Arial" w:eastAsia="Arial" w:hAnsi="Arial"/>
          <w:sz w:val="16"/>
          <w:szCs w:val="16"/>
          <w:color w:val="auto"/>
        </w:rPr>
      </w:pPr>
    </w:p>
    <w:p>
      <w:pPr>
        <w:ind w:left="-8" w:firstLine="464"/>
        <w:spacing w:after="0" w:line="289" w:lineRule="auto"/>
        <w:tabs>
          <w:tab w:leader="none" w:pos="624"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Documents; Property</w:t>
      </w:r>
      <w:r>
        <w:rPr>
          <w:rFonts w:ascii="Arial" w:cs="Arial" w:eastAsia="Arial" w:hAnsi="Arial"/>
          <w:sz w:val="16"/>
          <w:szCs w:val="16"/>
          <w:color w:val="auto"/>
        </w:rPr>
        <w:t>. All Developments, files, letters, notes, memoranda, reports, records, data, layouts, charts, quotations and proposals, specification sheets, or other written, photographic or other tangible material containing Confidential Information, whether created by Executive or others, which come into Executive’s custody or possession (“Documents”), are the exclusive property of the Company to be used by Executive only in the performance of the Services. Further, any property situated on the Company’s premises or owned or leased by the Company, including without limitation computers, electronic files, disks and other storage media, filing cabinets or other work areas, is subject to inspection by the Company at any time with or without notice. In the event that the Executive ceases to serve as Chief Executive Officer and a Board member, Executive will promptly deliver to the Company all Documents, Company property and other materials of any nature pertaining to the Confidential Information of the Company and to the Services, and will not take or keep in Executive’s possession any of the foregoing or any copies.</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80" w:right="299" w:bottom="1440" w:gutter="0" w:footer="0" w:header="0"/>
        </w:sectPr>
      </w:pPr>
    </w:p>
    <w:bookmarkStart w:id="173" w:name="page174"/>
    <w:bookmarkEnd w:id="173"/>
    <w:p>
      <w:pPr>
        <w:ind w:left="-60" w:firstLine="464"/>
        <w:spacing w:after="0" w:line="285" w:lineRule="auto"/>
        <w:tabs>
          <w:tab w:leader="none" w:pos="57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 and Nonsolicitation</w:t>
      </w:r>
      <w:r>
        <w:rPr>
          <w:rFonts w:ascii="Arial" w:cs="Arial" w:eastAsia="Arial" w:hAnsi="Arial"/>
          <w:sz w:val="16"/>
          <w:szCs w:val="16"/>
          <w:color w:val="auto"/>
        </w:rPr>
        <w:t>. During the Executive’s services to the Company as Chief Executive Officer, Executive (i) will not, directly or indirectly, whether as owner, partner, shareholder, consultant, agent, employee, co-venturer or otherwise, engage, participate, assist or invest in any business activity anywhere in the United States or Europe that develops, manufactures or markets any products that are competitive with the products of the Company, or products that the Company or its subsidiaries or corporate affiliates (the “Company” for purposes of this Section 6), has under development or that are the subject of active planning at any time during Executive’s service to the Company as Chief Executive Officer (a “Competing Business”); and (ii) will refrain from directly or indirectly employing, attempting to employ, contracting with, recruiting or otherwise soliciting, inducing or influencing any employee to leave employment with the Company or any subsidiary of Company other than general solicitations of employment not directly targeting employees of the Company, (such as through general advertisements, search firms, etc.), and (iii) will refrain from soliciting or encouraging any independent contractor to terminate or otherwise modify adversely its business relationship with the Company or any of it subsidiaries. The Executive understands that the restrictions set forth in this Section 6 are intended to protect the Company’s interest in its Confidential Information (defined above) and established employee, customer and supplier relationships and goodwill, and agrees that such restrictions are reasonable and appropriate for this purpose. Notwithstanding the foregoing, the Executive may own up to one percent (1%) of the outstanding stock of a publicly held corporation, which constitutes or is affiliated with a Competing Business. For the avoidance of doubt, Executive’s assistance with any disputes and litigation associated with his role with Reliant Pharmaceuticals, including, without limitation, litigation related to Omacor/Lovaza, shall not be construed as a breach of this Section 6.</w:t>
      </w:r>
    </w:p>
    <w:p>
      <w:pPr>
        <w:spacing w:after="0" w:line="128" w:lineRule="exact"/>
        <w:rPr>
          <w:rFonts w:ascii="Arial" w:cs="Arial" w:eastAsia="Arial" w:hAnsi="Arial"/>
          <w:sz w:val="16"/>
          <w:szCs w:val="16"/>
          <w:color w:val="auto"/>
        </w:rPr>
      </w:pPr>
    </w:p>
    <w:p>
      <w:pPr>
        <w:ind w:left="-60" w:right="20" w:firstLine="464"/>
        <w:spacing w:after="0" w:line="288" w:lineRule="auto"/>
        <w:tabs>
          <w:tab w:leader="none" w:pos="57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Avoidance of Conflict of Interest</w:t>
      </w:r>
      <w:r>
        <w:rPr>
          <w:rFonts w:ascii="Arial" w:cs="Arial" w:eastAsia="Arial" w:hAnsi="Arial"/>
          <w:sz w:val="16"/>
          <w:szCs w:val="16"/>
          <w:color w:val="auto"/>
        </w:rPr>
        <w:t>. Executive represents and warrants that Executive has no outstanding agreement or obligation that is in conflict with any of the provisions of this Agreement, or that would preclude Executive from fully complying with the provisions hereof, and further certifies that Executive will not enter into such conflicting agreement during the term of this Agreement. Executive will advise the Company at such time as any activity of either the Company or another business presents Executive with an actual direct conflict of interest. Executive will take whatever action is requested by the Company to resolve any such conflict. Executive further represents and warrants that it has full power and authority to enter into this Agreement and perform its obligations hereunder. The Company acknowledges that Executive is currently a venture partner with OrbiMed Advisors LLC, which, together with its affiliates (collectively “OrbiMed”), is a shareholder of the Company. Without limiting the generality of the foregoing, for so long as the Executive renders services to the Company, the Executive hereby agrees that he shall not engage in any employment, consulting or other business activity (whether full-time or part-time) with OrbiMed that would create a conflict of interest with the Company. This Section 7 shall only apply while Executive is Chief Executive Officer.</w:t>
      </w:r>
    </w:p>
    <w:p>
      <w:pPr>
        <w:spacing w:after="0" w:line="119" w:lineRule="exact"/>
        <w:rPr>
          <w:rFonts w:ascii="Arial" w:cs="Arial" w:eastAsia="Arial" w:hAnsi="Arial"/>
          <w:sz w:val="16"/>
          <w:szCs w:val="16"/>
          <w:color w:val="auto"/>
        </w:rPr>
      </w:pPr>
    </w:p>
    <w:p>
      <w:pPr>
        <w:ind w:left="-60" w:right="160" w:firstLine="464"/>
        <w:spacing w:after="0" w:line="256" w:lineRule="auto"/>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If Executive is made a party, or is threatened to be made a party, to any action, suit or proceeding, whether civil, criminal, administrative or investigative, by reason of the performance of the Services or the fact that Executive is an officer or director of the Company or provided services to an affiliate thereof, Executive shall be indemnified and held harmless by the Company and such affiliate to the fullest extent permitted or authorized by applicable law and its organizational documents, against all cost, expense, liability and loss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80" w:right="279" w:bottom="1440" w:gutter="0" w:footer="0" w:header="0"/>
        </w:sectPr>
      </w:pPr>
    </w:p>
    <w:bookmarkStart w:id="174" w:name="page175"/>
    <w:bookmarkEnd w:id="17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incurred or suffered by Executive in connection therewith. Executive shall be covered under the Company’s directors’ and officers’ liability insurance policy. This Section 8 shall be in addition to, and not in lieu of, Company’s indemnification obligations set forth in that certain Deed of Indemnity between Company and Executive dated February 16, 2010 (“Deed of Indemnity”) and that certain Indemnification Agreement between Amarin Pharma Inc. and Executive dated September 15, 2009 (the “Indemnification Agreement”).</w:t>
      </w:r>
    </w:p>
    <w:p>
      <w:pPr>
        <w:spacing w:after="0" w:line="143" w:lineRule="exact"/>
        <w:rPr>
          <w:sz w:val="20"/>
          <w:szCs w:val="20"/>
          <w:color w:val="auto"/>
        </w:rPr>
      </w:pPr>
    </w:p>
    <w:p>
      <w:pPr>
        <w:ind w:left="640" w:hanging="176"/>
        <w:spacing w:after="0"/>
        <w:tabs>
          <w:tab w:leader="none" w:pos="64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commence on November 10, 2010, and will continue until terminated as provided below in Section 10.</w:t>
      </w:r>
    </w:p>
    <w:p>
      <w:pPr>
        <w:spacing w:after="0" w:line="171" w:lineRule="exact"/>
        <w:rPr>
          <w:rFonts w:ascii="Arial" w:cs="Arial" w:eastAsia="Arial" w:hAnsi="Arial"/>
          <w:sz w:val="18"/>
          <w:szCs w:val="18"/>
          <w:color w:val="auto"/>
        </w:rPr>
      </w:pPr>
    </w:p>
    <w:p>
      <w:pPr>
        <w:ind w:right="40" w:firstLine="464"/>
        <w:spacing w:after="0" w:line="301" w:lineRule="auto"/>
        <w:tabs>
          <w:tab w:leader="none" w:pos="720" w:val="left"/>
        </w:tabs>
        <w:numPr>
          <w:ilvl w:val="1"/>
          <w:numId w:val="105"/>
        </w:numPr>
        <w:rPr>
          <w:rFonts w:ascii="Arial" w:cs="Arial" w:eastAsia="Arial" w:hAnsi="Arial"/>
          <w:sz w:val="15"/>
          <w:szCs w:val="15"/>
          <w:color w:val="auto"/>
        </w:rPr>
      </w:pPr>
      <w:r>
        <w:rPr>
          <w:rFonts w:ascii="Arial" w:cs="Arial" w:eastAsia="Arial" w:hAnsi="Arial"/>
          <w:sz w:val="15"/>
          <w:szCs w:val="15"/>
          <w:u w:val="single" w:color="auto"/>
          <w:color w:val="auto"/>
        </w:rPr>
        <w:t>Termination; Continuation of Payments</w:t>
      </w:r>
      <w:r>
        <w:rPr>
          <w:rFonts w:ascii="Arial" w:cs="Arial" w:eastAsia="Arial" w:hAnsi="Arial"/>
          <w:sz w:val="15"/>
          <w:szCs w:val="15"/>
          <w:color w:val="auto"/>
        </w:rPr>
        <w:t>. The Company or the Executive may terminate this Agreement at any time and for any reason upon giving thirty (30) days prior written notice thereof to the other party. Any such notice shall be addressed to Executive or the Company, respectfully, at the address shown below or such other address as Executive may notify the Company of and shall be deemed given if delivered as set forth pursuant to Section 17 below. The Company may, in addition to any other rights it may have at law or in equity, terminate this Agreement immediately and without prior notice if Executive refuses to or is unable to perform the Services or is in breach of any material provision of this Agreement. Upon such termination all rights and duties of the parties with respect to the Executive providing Services and the Company compensating the Executive for such Services shall cease except the Company shall be obliged to pay, within thirty (30) days of the effective date of termination, all Consulting Fees for services actually performed and reimbursable expenses actually incurred prior to termination, if any, in accordance with the provisions of Section 2. For the avoidance of doubt, the Deed of Indemnity and Indemnification Agreement shall survive the expiration or earlier termination of this Agreement. Notwithstanding the foregoing, if at any time prior to Executive’s voluntary resignation as Chief Executive Officer or Executive’s voluntary termination of this Agreement, in the event that the Company shall remove the Executive as Chief Executive Officer or terminate this Agreement without Cause (as defined below), the Executive shall (i) be entitled to continue to receive Consulting Fees for the twelve</w:t>
      </w:r>
    </w:p>
    <w:p>
      <w:pPr>
        <w:spacing w:after="0" w:line="3" w:lineRule="exact"/>
        <w:rPr>
          <w:rFonts w:ascii="Arial" w:cs="Arial" w:eastAsia="Arial" w:hAnsi="Arial"/>
          <w:sz w:val="15"/>
          <w:szCs w:val="15"/>
          <w:color w:val="auto"/>
        </w:rPr>
      </w:pPr>
    </w:p>
    <w:p>
      <w:pPr>
        <w:ind w:right="40" w:firstLine="8"/>
        <w:spacing w:after="0" w:line="286" w:lineRule="auto"/>
        <w:tabs>
          <w:tab w:leader="none" w:pos="3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month period following the effective date of such removal and/or termination, and (ii) be eligible to receive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Annual Bonus, as determined by the Board (or the Remuneration Committee thereof) and consistent with Executive’s contribution to such objectives as part of the Annual Bonus, for the year in which the Executive is terminated (based on the number of days the Executive served as Chief Executive Officer during such calendar year), such bonus to be paid at the same time as annual bonuses are paid to the Company’s other senior executives. The Executive’s right to receive such payments shall be conditioned upon the Executive’s execution and delivery of a customary release and non-disparagement agreement in favor of the Company. Notwithstanding the foregoing, in the event that the Executive voluntarily resigns as Chief Executive Officer or otherwise voluntarily terminates this Agreement or in the event that this Agreement is terminated due to the Executive’s death or disability, the Executive shall not be entitled to the continuation of Consulting Fees or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Annual Bonus as provided above;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the Executive shall be eligible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Annual Bonus to the extent provided in the immediately following sentence, and (y) for so long as the Executive continues to serve as Chairman of the Board, he shall be entitled to receive those consulting fees described in the second sentence of Section 2 of this Agreement. In the event that the Company elects to hire a new Chief Executive Officer (including, without limitation, upon your recommendation), you agree to resign as Chief Executive Officer, which resignation shall be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5" w:name="page176"/>
    <w:bookmarkEnd w:id="175"/>
    <w:p>
      <w:pPr>
        <w:ind w:right="8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deemed a voluntary resignation for purposes of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such event, you shall be eligible to receive to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Annual Bonus to the extent provided above. For purposes of this Agreement, “Cause” shall mean: (i) conduct by the Executive constituting an act of material misconduct in connection with the performance of the Executive’s duties, including, without limitation, misappropriation of funds or property of the Company other than the occasional, customary and de minimis use of Company property for personal purposes; (ii) the commission by the Executive of (A) any felony; or (B) a misdemeanor involving moral turpitude, deceit, dishonesty or fraud; (iii) any conduct by the Executive that would reasonably be expected to result in material injury or reputational harm to the Company or any of its subsidiaries and affiliates if the Executive were retained in the Executive’s position; (iv) continued non-performance or unsatisfactory performance by the Executive of the Employee’s responsibilities as reasonably determined by the Company’s Board of Directors;</w:t>
      </w:r>
    </w:p>
    <w:p>
      <w:pPr>
        <w:spacing w:after="0" w:line="5" w:lineRule="exact"/>
        <w:rPr>
          <w:sz w:val="20"/>
          <w:szCs w:val="20"/>
          <w:color w:val="auto"/>
        </w:rPr>
      </w:pPr>
    </w:p>
    <w:p>
      <w:pPr>
        <w:ind w:left="260" w:hanging="252"/>
        <w:spacing w:after="0"/>
        <w:tabs>
          <w:tab w:leader="none" w:pos="2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breach by the Executive of any of the provisions contained this Agreement including, without limitation, any of the provisions of Sections 3 and 6 hereof;</w:t>
      </w:r>
    </w:p>
    <w:p>
      <w:pPr>
        <w:spacing w:after="0" w:line="32" w:lineRule="exact"/>
        <w:rPr>
          <w:rFonts w:ascii="Arial" w:cs="Arial" w:eastAsia="Arial" w:hAnsi="Arial"/>
          <w:sz w:val="16"/>
          <w:szCs w:val="16"/>
          <w:color w:val="auto"/>
        </w:rPr>
      </w:pPr>
    </w:p>
    <w:p>
      <w:pPr>
        <w:ind w:right="20" w:firstLine="8"/>
        <w:spacing w:after="0" w:line="261" w:lineRule="auto"/>
        <w:tabs>
          <w:tab w:leader="none" w:pos="2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material violation by the Executive of any of the Company’s written policies or procedures provided that, other than in the case of clause (B) above or other noncurable events, Executive is provided with written notice and fifteen (15) days to cure.</w:t>
      </w:r>
    </w:p>
    <w:p>
      <w:pPr>
        <w:spacing w:after="0" w:line="137" w:lineRule="exact"/>
        <w:rPr>
          <w:rFonts w:ascii="Arial" w:cs="Arial" w:eastAsia="Arial" w:hAnsi="Arial"/>
          <w:sz w:val="18"/>
          <w:szCs w:val="18"/>
          <w:color w:val="auto"/>
        </w:rPr>
      </w:pPr>
    </w:p>
    <w:p>
      <w:pPr>
        <w:ind w:right="20" w:firstLine="464"/>
        <w:spacing w:after="0" w:line="332" w:lineRule="auto"/>
        <w:tabs>
          <w:tab w:leader="none" w:pos="713"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Notwithstanding anything herein to the contrary, the provisions of this Agreement shall survive termination or expiration of this Agreement to the extent to necessary to accomplish the purpose(s) of the provision.</w:t>
      </w:r>
    </w:p>
    <w:p>
      <w:pPr>
        <w:spacing w:after="0" w:line="85" w:lineRule="exact"/>
        <w:rPr>
          <w:rFonts w:ascii="Arial" w:cs="Arial" w:eastAsia="Arial" w:hAnsi="Arial"/>
          <w:sz w:val="16"/>
          <w:szCs w:val="16"/>
          <w:color w:val="auto"/>
        </w:rPr>
      </w:pPr>
    </w:p>
    <w:p>
      <w:pPr>
        <w:ind w:firstLine="464"/>
        <w:spacing w:after="0" w:line="288" w:lineRule="auto"/>
        <w:tabs>
          <w:tab w:leader="none" w:pos="720"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Independent Contractor; Taxes.</w:t>
      </w:r>
      <w:r>
        <w:rPr>
          <w:rFonts w:ascii="Arial" w:cs="Arial" w:eastAsia="Arial" w:hAnsi="Arial"/>
          <w:sz w:val="16"/>
          <w:szCs w:val="16"/>
          <w:color w:val="auto"/>
        </w:rPr>
        <w:t xml:space="preserve"> It is understood and agreed that Executive will be an independent contractor. Executive will perform Services under the Company’s Board of Directors’ general direction as to the result of activity but Executive shall determine, in Executive’s discretion, the manner and means by which the Services are accomplished, subject to the express condition that Executive will at all times comply with applicable law. Executive expressly waives any right to participate in any of the Company’s employee benefit plans or perquisites. Executive further disclaims any intention or right to participate in any of the Company’s employee benefit plans or perquisites even if Executive’s status with the Company is determined by a third party tribunal to be that of an employee. Executive acknowledges and agrees that Executive is obligated to report as income all Consulting Fees received by Executive pursuant to this Agreement, and Executive agrees to and acknowledges the obligation to pay all taxes, including without imitation all federal and state income tax, social security taxes and unemployment, disability insurance and workers’ compensation applicable to Executive and any person who performs Services in connection with this Agreement.</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at any time, Executive’s status with the Company as an independent contractor changes or Executive is ever deemed to be an employee of the Company, each of the covenants set forth above and this Agreement remain in full force and effect in its entirety until and unless it is replaced with a subsequent and superseding agreement.</w:t>
      </w:r>
    </w:p>
    <w:p>
      <w:pPr>
        <w:spacing w:after="0" w:line="140" w:lineRule="exact"/>
        <w:rPr>
          <w:sz w:val="20"/>
          <w:szCs w:val="20"/>
          <w:color w:val="auto"/>
        </w:rPr>
      </w:pPr>
    </w:p>
    <w:p>
      <w:pPr>
        <w:ind w:left="720" w:hanging="256"/>
        <w:spacing w:after="0"/>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in any respect other than by written instrument executed by the party against whom enforcement 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sought.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76" w:name="page177"/>
    <w:bookmarkEnd w:id="176"/>
    <w:p>
      <w:pPr>
        <w:ind w:left="-40" w:firstLine="464"/>
        <w:spacing w:after="0" w:line="294" w:lineRule="auto"/>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6"/>
          <w:szCs w:val="16"/>
          <w:color w:val="auto"/>
        </w:rPr>
        <w:t>. The terms and conditions herein contained and in the Indemnification Agreement constitute the entire agreement between the parties and supersede all previous agreements and understandings, whether oral or written, between the parties hereto with respect to the subject matter hereof, and no agreement or understanding varying or extending the same shall be binding upon either party hereto unless in a written document which expressly refers to this Agreement and which is signed by the party to be bound thereby. Without limiting the forgoing, the Company and the Executive hereby acknowledge and agree that the Letter Agreement is terminated and superseded by this Agreement in all respects.</w:t>
      </w:r>
    </w:p>
    <w:p>
      <w:pPr>
        <w:spacing w:after="0" w:line="115" w:lineRule="exact"/>
        <w:rPr>
          <w:rFonts w:ascii="Arial" w:cs="Arial" w:eastAsia="Arial" w:hAnsi="Arial"/>
          <w:sz w:val="16"/>
          <w:szCs w:val="16"/>
          <w:color w:val="auto"/>
        </w:rPr>
      </w:pPr>
    </w:p>
    <w:p>
      <w:pPr>
        <w:ind w:left="-40" w:right="380" w:firstLine="464"/>
        <w:spacing w:after="0" w:line="268"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Governing Law and Personal Jurisdiction</w:t>
      </w:r>
      <w:r>
        <w:rPr>
          <w:rFonts w:ascii="Arial" w:cs="Arial" w:eastAsia="Arial" w:hAnsi="Arial"/>
          <w:sz w:val="18"/>
          <w:szCs w:val="18"/>
          <w:color w:val="auto"/>
        </w:rPr>
        <w:t>. This Agreement shall be governed by and construed in accordance with the internal laws of the State of Connecticut, without reference to its principles of conflict of laws.</w:t>
      </w:r>
    </w:p>
    <w:p>
      <w:pPr>
        <w:spacing w:after="0" w:line="131" w:lineRule="exact"/>
        <w:rPr>
          <w:rFonts w:ascii="Arial" w:cs="Arial" w:eastAsia="Arial" w:hAnsi="Arial"/>
          <w:sz w:val="18"/>
          <w:szCs w:val="18"/>
          <w:color w:val="auto"/>
        </w:rPr>
      </w:pPr>
    </w:p>
    <w:p>
      <w:pPr>
        <w:ind w:left="-40" w:right="40" w:firstLine="464"/>
        <w:spacing w:after="0" w:line="332" w:lineRule="auto"/>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Changes</w:t>
      </w:r>
      <w:r>
        <w:rPr>
          <w:rFonts w:ascii="Arial" w:cs="Arial" w:eastAsia="Arial" w:hAnsi="Arial"/>
          <w:sz w:val="16"/>
          <w:szCs w:val="16"/>
          <w:color w:val="auto"/>
        </w:rPr>
        <w:t>. Executive understands that, absent an express amendment, Executive’s obligations under this Agreement will continue in accordance with its express terms regardless of any changes in nature of Executive’s Services, compensation or other terms and conditions of the Executive relationship.</w:t>
      </w:r>
    </w:p>
    <w:p>
      <w:pPr>
        <w:spacing w:after="0" w:line="85" w:lineRule="exact"/>
        <w:rPr>
          <w:rFonts w:ascii="Arial" w:cs="Arial" w:eastAsia="Arial" w:hAnsi="Arial"/>
          <w:sz w:val="16"/>
          <w:szCs w:val="16"/>
          <w:color w:val="auto"/>
        </w:rPr>
      </w:pPr>
    </w:p>
    <w:p>
      <w:pPr>
        <w:jc w:val="both"/>
        <w:ind w:left="-40" w:firstLine="464"/>
        <w:spacing w:after="0" w:line="256"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hereby required or permitted to be given shall be sufficiently given if in writing and delivered in person, by facsimile transmission, electronic mail, overnight delivery service or U.S. mail, to either party at the last known address of such party or such other address as shall have been designated by written notice by such party to the other party. If by mail, delivery shall be deemed effective three (3) business days after mailing in accordance with the above provisions.</w:t>
      </w:r>
    </w:p>
    <w:p>
      <w:pPr>
        <w:spacing w:after="0" w:line="143" w:lineRule="exact"/>
        <w:rPr>
          <w:rFonts w:ascii="Arial" w:cs="Arial" w:eastAsia="Arial" w:hAnsi="Arial"/>
          <w:sz w:val="18"/>
          <w:szCs w:val="18"/>
          <w:color w:val="auto"/>
        </w:rPr>
      </w:pPr>
    </w:p>
    <w:p>
      <w:pPr>
        <w:ind w:left="-40" w:right="120" w:firstLine="464"/>
        <w:spacing w:after="0" w:line="294" w:lineRule="auto"/>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waiver of any term or condition of this Agreement shall be valid or binding on either party unless the same shall be been mutually assented to in writing by both parties. The failure of either party to enforce at any time any of the provisions of this Agreement, or the failure to require at any time performance by the other party of any of the provisions of this Agreement, shall in no way be construed to be a present or future waiver of such provisions, nor in any way affect the right of either party to enforce each and every such provision thereafter. The express waiver by either party of any provision, condition or requirement of this Agreement shall not constitute a waiver of any future obligation to comply with such provision, condition or requirement.</w:t>
      </w:r>
    </w:p>
    <w:p>
      <w:pPr>
        <w:spacing w:after="0" w:line="115" w:lineRule="exact"/>
        <w:rPr>
          <w:rFonts w:ascii="Arial" w:cs="Arial" w:eastAsia="Arial" w:hAnsi="Arial"/>
          <w:sz w:val="16"/>
          <w:szCs w:val="16"/>
          <w:color w:val="auto"/>
        </w:rPr>
      </w:pPr>
    </w:p>
    <w:p>
      <w:pPr>
        <w:ind w:left="680" w:hanging="256"/>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80" w:right="279" w:bottom="1440" w:gutter="0" w:footer="0" w:header="0"/>
        </w:sectPr>
      </w:pPr>
    </w:p>
    <w:bookmarkStart w:id="177" w:name="page178"/>
    <w:bookmarkEnd w:id="177"/>
    <w:p>
      <w:pPr>
        <w:ind w:right="5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to be executed or executed this Consulting Agreement as of the day and year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/s/ Joseph S. Zakrzewski</w:t>
            </w:r>
          </w:p>
        </w:tc>
        <w:tc>
          <w:tcPr>
            <w:tcW w:w="6040" w:type="dxa"/>
            <w:vAlign w:val="bottom"/>
            <w:gridSpan w:val="2"/>
          </w:tcPr>
          <w:p>
            <w:pPr>
              <w:jc w:val="right"/>
              <w:ind w:right="2192"/>
              <w:spacing w:after="0"/>
              <w:rPr>
                <w:sz w:val="20"/>
                <w:szCs w:val="20"/>
                <w:color w:val="auto"/>
              </w:rPr>
            </w:pPr>
            <w:r>
              <w:rPr>
                <w:rFonts w:ascii="Arial" w:cs="Arial" w:eastAsia="Arial" w:hAnsi="Arial"/>
                <w:sz w:val="18"/>
                <w:szCs w:val="18"/>
                <w:color w:val="auto"/>
              </w:rPr>
              <w:t>11-22-2010</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Joseph S. Zakrzewski</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Date</w:t>
            </w:r>
          </w:p>
        </w:tc>
      </w:tr>
      <w:tr>
        <w:trPr>
          <w:trHeight w:val="6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AMARIN CORPORATION PLC</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6"/>
              </w:rPr>
              <w:t>/s/ John F. Thero</w:t>
            </w:r>
          </w:p>
        </w:tc>
        <w:tc>
          <w:tcPr>
            <w:tcW w:w="6040" w:type="dxa"/>
            <w:vAlign w:val="bottom"/>
            <w:gridSpan w:val="2"/>
          </w:tcPr>
          <w:p>
            <w:pPr>
              <w:jc w:val="right"/>
              <w:ind w:right="2192"/>
              <w:spacing w:after="0"/>
              <w:rPr>
                <w:sz w:val="20"/>
                <w:szCs w:val="20"/>
                <w:color w:val="auto"/>
              </w:rPr>
            </w:pPr>
            <w:r>
              <w:rPr>
                <w:rFonts w:ascii="Arial" w:cs="Arial" w:eastAsia="Arial" w:hAnsi="Arial"/>
                <w:sz w:val="18"/>
                <w:szCs w:val="18"/>
                <w:color w:val="auto"/>
              </w:rPr>
              <w:t>11/22/2010</w:t>
            </w:r>
          </w:p>
        </w:tc>
      </w:tr>
      <w:tr>
        <w:trPr>
          <w:trHeight w:val="202"/>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John F. Thero</w:t>
            </w:r>
          </w:p>
        </w:tc>
        <w:tc>
          <w:tcPr>
            <w:tcW w:w="580" w:type="dxa"/>
            <w:vAlign w:val="bottom"/>
          </w:tcPr>
          <w:p>
            <w:pPr>
              <w:spacing w:after="0"/>
              <w:rPr>
                <w:sz w:val="17"/>
                <w:szCs w:val="17"/>
                <w:color w:val="auto"/>
              </w:rPr>
            </w:pPr>
          </w:p>
        </w:tc>
        <w:tc>
          <w:tcPr>
            <w:tcW w:w="54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Date</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President</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Outside Professional Activities</w:t>
      </w:r>
    </w:p>
    <w:p>
      <w:pPr>
        <w:spacing w:after="0" w:line="17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Venture Partner, OrbiMed Advisors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Chairman of the Board, Zelos Therapeutics, Inc.</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Chairman of the Board, Promedior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Chairman of the Board, Xcellerex,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Board Member, Insulet Corporation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Board Member, Rapid Bio Microsystems, Inc.</w:t>
      </w:r>
    </w:p>
    <w:p>
      <w:pPr>
        <w:sectPr>
          <w:pgSz w:w="11900" w:h="16838" w:orient="portrait"/>
          <w:cols w:equalWidth="0" w:num="1">
            <w:col w:w="10220"/>
          </w:cols>
          <w:pgMar w:left="1440" w:top="2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118110</wp:posOffset>
            </wp:positionV>
            <wp:extent cx="5419725" cy="69462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1972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190" w:lineRule="auto"/>
        <w:rPr>
          <w:sz w:val="20"/>
          <w:szCs w:val="20"/>
          <w:color w:val="auto"/>
        </w:rPr>
      </w:pPr>
      <w:r>
        <w:rPr>
          <w:rFonts w:ascii="Arial" w:cs="Arial" w:eastAsia="Arial" w:hAnsi="Arial"/>
          <w:sz w:val="7"/>
          <w:szCs w:val="7"/>
          <w:color w:val="FFFFFF"/>
        </w:rPr>
        <w:t>PHARMA INC. March 1, 2010 Frederick W. Ahlhoim 48 Hawkins Lane North Andover, MA 01845 Dear Fred, Amarin Pharma, Inc. is pleased to offer you employmentreporting,theposition of Vice PresidentFinance,reportingtothecompany’sChiefFinancialOfficer.Thepositionisofferedthefollowingterms.1.Role/DutiesYourresponsibilitieswillincludeaccounting,Sarbanes-Oxley function compliance,tax,budgeting,businessdevelopmentsupportandotheractivitiesrelatedtothe.Theseresponsibilitiesmayberevisedfromtimetotimeasdeemedappropriatebybusinesscircumstances.2. Commencement Date/Location Your start date will be March 29, 2010. Your principal place of work will be Mystic, Connecticut; however you may be required to travel to workappropriateotherlocations from time totime,totheextentsuchtravelisreasonablynecessarytoperformyourdutieshereunder.3.BaseSalaryYoursemimonthlysalarywillbe$7,292.00($175,008annualized)lesswithholdings.Your salary will be reviewed on or about the anniversary of your start date. 4. Bonus Eligibility You will be eligible for an annual bonus of us to 20% of your annual salary (prorated for your first year to reflect that your start date was later than January 1st. Award of such bonus is based on determination of the company’ Remuneration Committee based on assessment of individual and performance and</w:t>
      </w:r>
    </w:p>
    <w:p>
      <w:pPr>
        <w:ind w:right="80"/>
        <w:spacing w:after="0"/>
        <w:rPr>
          <w:sz w:val="20"/>
          <w:szCs w:val="20"/>
          <w:color w:val="auto"/>
        </w:rPr>
      </w:pPr>
      <w:r>
        <w:rPr>
          <w:rFonts w:ascii="Arial" w:cs="Arial" w:eastAsia="Arial" w:hAnsi="Arial"/>
          <w:sz w:val="11"/>
          <w:szCs w:val="11"/>
          <w:color w:val="FFFFFF"/>
        </w:rPr>
        <w:t>achievement of goals. 5. Stock Options You will be recommended for 250,000 options over Ordinary Shares in the Company, subject to approval by the Remuneration Committeecorporatetheir first meeting following your commencement date. The options will vest In four equal installments with the first quarter vesting on the first anniversary of the option grant date and the remainder in equal amounts over the following three anniversary dates.</w:t>
      </w:r>
    </w:p>
    <w:p>
      <w:pPr>
        <w:sectPr>
          <w:pgSz w:w="11900" w:h="16838" w:orient="portrait"/>
          <w:cols w:equalWidth="0" w:num="1">
            <w:col w:w="11420"/>
          </w:cols>
          <w:pgMar w:left="240" w:top="125" w:right="23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31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703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199" w:lineRule="auto"/>
        <w:rPr>
          <w:sz w:val="20"/>
          <w:szCs w:val="20"/>
          <w:color w:val="auto"/>
        </w:rPr>
      </w:pPr>
      <w:r>
        <w:rPr>
          <w:rFonts w:ascii="Arial" w:cs="Arial" w:eastAsia="Arial" w:hAnsi="Arial"/>
          <w:sz w:val="7"/>
          <w:szCs w:val="7"/>
          <w:color w:val="FFFFFF"/>
        </w:rPr>
        <w:t>6. Expenses Amarin shall reimburse you for all reasonable expenses you incur while carrying out your duties on behalf of Amarin provided that you follow the appropriate reimbursement claims procedure, Including providing reasonable documentation of such expenses. It Is understood that while Amarin will make lodging available to you while working In Mystic, Connecticut, mileage costs associated with travel between your home and Mystic, Connecticut will not be deemed reimbursed business expense. 7. Health Insurance You will be entitled to such major medical, life insurance and disability Insurance coverage as is, or may during your employment, be provided generally to other employees of Amarin as set forth from time to time in the applicable plan documents. Coverage is effective upon registration with our health plan providers. 8.401(k) You shall be eligible to participate in any 401(k) plan maintained by the company for the benefit of its employees. 9. Hours of Work Your normal hours of work are weekdays 8:30 am to 5:30 pm, although Amarin expects you to work such hours and at such times as may be reasonably necessary in order for you to carry out your duties effectively. 10. Vacation You are entitled to paid vacation of 15 business days per annum, excluding U</w:t>
      </w:r>
      <w:r>
        <w:rPr>
          <w:rFonts w:ascii="Arial" w:cs="Arial" w:eastAsia="Arial" w:hAnsi="Arial"/>
          <w:sz w:val="10"/>
          <w:szCs w:val="10"/>
          <w:color w:val="FFFFFF"/>
          <w:vertAlign w:val="subscript"/>
        </w:rPr>
        <w:t>convenient</w:t>
      </w:r>
      <w:r>
        <w:rPr>
          <w:rFonts w:ascii="Arial" w:cs="Arial" w:eastAsia="Arial" w:hAnsi="Arial"/>
          <w:sz w:val="7"/>
          <w:szCs w:val="7"/>
          <w:color w:val="FFFFFF"/>
        </w:rPr>
        <w:t>.S.Fderal holidays. The vacation year is January 1 to December 31 and unused vacation entitlement to a maximum of five days may be carried forward to</w:t>
      </w:r>
    </w:p>
    <w:p>
      <w:pPr>
        <w:spacing w:after="0" w:line="211" w:lineRule="auto"/>
        <w:tabs>
          <w:tab w:leader="none" w:pos="3480" w:val="left"/>
        </w:tabs>
        <w:rPr>
          <w:sz w:val="20"/>
          <w:szCs w:val="20"/>
          <w:color w:val="auto"/>
        </w:rPr>
      </w:pPr>
      <w:r>
        <w:rPr>
          <w:rFonts w:ascii="Arial" w:cs="Arial" w:eastAsia="Arial" w:hAnsi="Arial"/>
          <w:sz w:val="3"/>
          <w:szCs w:val="3"/>
          <w:color w:val="FFFFFF"/>
        </w:rPr>
        <w:t>the subsequent year. Vacation must be taken at times</w:t>
      </w:r>
      <w:r>
        <w:rPr>
          <w:sz w:val="20"/>
          <w:szCs w:val="20"/>
          <w:color w:val="auto"/>
        </w:rPr>
        <w:tab/>
      </w:r>
      <w:r>
        <w:rPr>
          <w:rFonts w:ascii="Arial" w:cs="Arial" w:eastAsia="Arial" w:hAnsi="Arial"/>
          <w:sz w:val="2"/>
          <w:szCs w:val="2"/>
          <w:color w:val="FFFFFF"/>
        </w:rPr>
        <w:t>to Amarin and sufficient notice of intention to take vac</w:t>
      </w:r>
      <w:r>
        <w:rPr>
          <w:rFonts w:ascii="Arial" w:cs="Arial" w:eastAsia="Arial" w:hAnsi="Arial"/>
          <w:sz w:val="4"/>
          <w:szCs w:val="4"/>
          <w:color w:val="FFFFFF"/>
          <w:vertAlign w:val="superscript"/>
        </w:rPr>
        <w:t>shall</w:t>
      </w:r>
      <w:r>
        <w:rPr>
          <w:rFonts w:ascii="Arial" w:cs="Arial" w:eastAsia="Arial" w:hAnsi="Arial"/>
          <w:sz w:val="2"/>
          <w:szCs w:val="2"/>
          <w:color w:val="FFFFFF"/>
        </w:rPr>
        <w:t>tion must be given to accommodate the needs of the business. Vacation is accrued and not</w:t>
      </w:r>
    </w:p>
    <w:p>
      <w:pPr>
        <w:spacing w:after="0"/>
        <w:tabs>
          <w:tab w:leader="none" w:pos="6620" w:val="left"/>
        </w:tabs>
        <w:rPr>
          <w:sz w:val="20"/>
          <w:szCs w:val="20"/>
          <w:color w:val="auto"/>
        </w:rPr>
      </w:pPr>
      <w:r>
        <w:rPr>
          <w:rFonts w:ascii="Arial" w:cs="Arial" w:eastAsia="Arial" w:hAnsi="Arial"/>
          <w:sz w:val="2"/>
          <w:szCs w:val="2"/>
          <w:color w:val="FFFFFF"/>
        </w:rPr>
        <w:t>allotted</w:t>
      </w:r>
      <w:r>
        <w:rPr>
          <w:rFonts w:ascii="Arial" w:cs="Arial" w:eastAsia="Arial" w:hAnsi="Arial"/>
          <w:sz w:val="4"/>
          <w:szCs w:val="4"/>
          <w:color w:val="FFFFFF"/>
          <w:vertAlign w:val="subscript"/>
        </w:rPr>
        <w:t>business</w:t>
      </w:r>
      <w:r>
        <w:rPr>
          <w:rFonts w:ascii="Arial" w:cs="Arial" w:eastAsia="Arial" w:hAnsi="Arial"/>
          <w:sz w:val="2"/>
          <w:szCs w:val="2"/>
          <w:color w:val="FFFFFF"/>
        </w:rPr>
        <w:t>alump sum. ii. Restrictions during Employment During the course of your employment with Amarin, you</w:t>
      </w:r>
      <w:r>
        <w:rPr>
          <w:sz w:val="20"/>
          <w:szCs w:val="20"/>
          <w:color w:val="auto"/>
        </w:rPr>
        <w:tab/>
      </w:r>
      <w:r>
        <w:rPr>
          <w:rFonts w:ascii="Arial" w:cs="Arial" w:eastAsia="Arial" w:hAnsi="Arial"/>
          <w:sz w:val="3"/>
          <w:szCs w:val="3"/>
          <w:color w:val="FFFFFF"/>
        </w:rPr>
        <w:t>not: (a) be directly or indirectly employed, engaged, concerned or interested in any</w:t>
      </w:r>
    </w:p>
    <w:p>
      <w:pPr>
        <w:ind w:right="180"/>
        <w:spacing w:after="0" w:line="190" w:lineRule="auto"/>
        <w:rPr>
          <w:sz w:val="20"/>
          <w:szCs w:val="20"/>
          <w:color w:val="auto"/>
        </w:rPr>
      </w:pPr>
      <w:r>
        <w:rPr>
          <w:rFonts w:ascii="Arial" w:cs="Arial" w:eastAsia="Arial" w:hAnsi="Arial"/>
          <w:sz w:val="11"/>
          <w:szCs w:val="11"/>
          <w:color w:val="FFFFFF"/>
        </w:rPr>
        <w:t>other or undertaking; or (b) engage in any activity which the company’s Board of Directors reasonable considers may be, or become, harmful to the Interests of Amarin or which might reasonably be considered to interfere with the performance of your duties hereunder. The above provisions shall not apply:</w:t>
      </w:r>
    </w:p>
    <w:p>
      <w:pPr>
        <w:sectPr>
          <w:pgSz w:w="11900" w:h="16838" w:orient="portrait"/>
          <w:cols w:equalWidth="0" w:num="1">
            <w:col w:w="11380"/>
          </w:cols>
          <w:pgMar w:left="240" w:top="1440" w:right="27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color w:val="FFFFFF"/>
        </w:rPr>
        <w:t>(a) to the holding by you (directly or through nominees) of investments listedconsentany recognized stock exchange as long as you do not hold more than 5% of the issued shares or other securities of any class of</w:t>
      </w:r>
    </w:p>
    <w:p>
      <w:pPr>
        <w:spacing w:after="0" w:line="181" w:lineRule="auto"/>
        <w:rPr>
          <w:sz w:val="20"/>
          <w:szCs w:val="20"/>
          <w:color w:val="auto"/>
        </w:rPr>
      </w:pPr>
      <w:r>
        <w:rPr>
          <w:rFonts w:ascii="Arial" w:cs="Arial" w:eastAsia="Arial" w:hAnsi="Arial"/>
          <w:sz w:val="7"/>
          <w:szCs w:val="7"/>
          <w:color w:val="FFFFFF"/>
        </w:rPr>
        <w:t>Inanyyournone-pharmaceuticalcompany;or(b)enterprises;toanyact orundertaken(d)toanybynotyouforwithprofitthevolunteerpriorwrittenactivities, or participationofthecompany’inprofessionalChiefExecutiveassociations,Officer,orChiefcontinuingFinancialeducation,Officer orwhichBoarddo ofnotDirectors;unreasonablyor(c)interferetopassivewithinvestmenttheperformanceinterests of duties. 12. General Indemnification If you are made a party, or are threatened to be made a party, to any action, suit or proceeding, whether civil, criminal, administrative or investigative, by reason of the</w:t>
      </w:r>
    </w:p>
    <w:p>
      <w:pPr>
        <w:ind w:right="20"/>
        <w:spacing w:after="0" w:line="181" w:lineRule="auto"/>
        <w:rPr>
          <w:sz w:val="20"/>
          <w:szCs w:val="20"/>
          <w:color w:val="auto"/>
        </w:rPr>
      </w:pPr>
      <w:r>
        <w:rPr>
          <w:rFonts w:ascii="Arial" w:cs="Arial" w:eastAsia="Arial" w:hAnsi="Arial"/>
          <w:sz w:val="7"/>
          <w:szCs w:val="7"/>
          <w:color w:val="FFFFFF"/>
        </w:rPr>
        <w:t>expense,factthat youliabilityareanandemploylossreasonablyofAmarin,incurredyoushallorsufferedbeindemnifiedbyyouinandconnectionheldharmlesstherewithbyAmarin.Youshalltothebe fullestcoveredextentunderpermittedAmarin’relationshipordirectors’authorizedandbyofficersapplicableliabilitylaw andinsuranceitsorganizationalpolicytothedocuments,extentAmarinagainstprovidesallcost, such coverage to other similarly situated Vice Presidents. This provision shall survive termination of your employment . 13. Termination It is understood that the employment relationship between</w:t>
      </w:r>
    </w:p>
    <w:p>
      <w:pPr>
        <w:ind w:left="11320"/>
        <w:spacing w:after="0"/>
        <w:rPr>
          <w:sz w:val="20"/>
          <w:szCs w:val="20"/>
          <w:color w:val="auto"/>
        </w:rPr>
      </w:pPr>
      <w:r>
        <w:rPr>
          <w:rFonts w:ascii="Arial" w:cs="Arial" w:eastAsia="Arial" w:hAnsi="Arial"/>
          <w:sz w:val="1"/>
          <w:szCs w:val="1"/>
          <w:color w:val="FFFFFF"/>
        </w:rPr>
        <w:t>ofyouthisandofferAmarinletteristo“atJohnwill”Thero,andthisCFO,offerAmarinletter Pharma,doesnot Inc.,alter 12theRoosevelt“employmentAvenue,atwill”Mystic,relationshipCT06355.in anySubjectway.toIf your chooseacceptancetoacceptof theaboveofferoffer,theweabovewillprovidetermsandyouconditions,withapplicationspleasesignfor healthandreturninsurance,copya</w:t>
      </w:r>
    </w:p>
    <w:p>
      <w:pPr>
        <w:ind w:right="360"/>
        <w:spacing w:after="0" w:line="209" w:lineRule="auto"/>
        <w:rPr>
          <w:sz w:val="20"/>
          <w:szCs w:val="20"/>
          <w:color w:val="auto"/>
        </w:rPr>
      </w:pPr>
      <w:r>
        <w:rPr>
          <w:rFonts w:ascii="Arial" w:cs="Arial" w:eastAsia="Arial" w:hAnsi="Arial"/>
          <w:sz w:val="12"/>
          <w:szCs w:val="12"/>
          <w:color w:val="FFFFFF"/>
        </w:rPr>
        <w:t>confidentiality agreement, intellectual property rights and other customary materials. We look forward to your joining the company. Wtheare confident you will have a successful and challenging career with Amarin.</w:t>
      </w:r>
    </w:p>
    <w:p>
      <w:pPr>
        <w:sectPr>
          <w:pgSz w:w="11900" w:h="16838" w:orient="portrait"/>
          <w:cols w:equalWidth="0" w:num="1">
            <w:col w:w="11420"/>
          </w:cols>
          <w:pgMar w:left="240" w:top="1440" w:right="23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31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703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FFFFFF"/>
        </w:rPr>
        <w:t>Signed for on behalf of: AMARIN PHARMA,Inc, Name: John F. Thero Date: I hereby accept and agree to be bound by the terms and conditions of the offer letter set out above. Signed: Name: Fred Ahiholrn Date:</w:t>
      </w:r>
    </w:p>
    <w:p>
      <w:pPr>
        <w:sectPr>
          <w:pgSz w:w="11900" w:h="16838" w:orient="portrait"/>
          <w:cols w:equalWidth="0" w:num="1">
            <w:col w:w="11220"/>
          </w:cols>
          <w:pgMar w:left="240" w:top="1440" w:right="4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80" w:type="dxa"/>
            <w:vAlign w:val="bottom"/>
            <w:gridSpan w:val="3"/>
          </w:tcPr>
          <w:p>
            <w:pPr>
              <w:ind w:left="860"/>
              <w:spacing w:after="0"/>
              <w:rPr>
                <w:sz w:val="20"/>
                <w:szCs w:val="20"/>
                <w:color w:val="auto"/>
              </w:rPr>
            </w:pPr>
            <w:r>
              <w:rPr>
                <w:rFonts w:ascii="Arial" w:cs="Arial" w:eastAsia="Arial" w:hAnsi="Arial"/>
                <w:sz w:val="18"/>
                <w:szCs w:val="18"/>
                <w:b w:val="1"/>
                <w:bCs w:val="1"/>
                <w:color w:val="auto"/>
                <w:w w:val="86"/>
              </w:rPr>
              <w:t>Subsidiaries of the Registrant</w:t>
            </w:r>
          </w:p>
        </w:tc>
      </w:tr>
      <w:tr>
        <w:trPr>
          <w:trHeight w:val="35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3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Jurisdiction</w:t>
            </w:r>
          </w:p>
        </w:tc>
        <w:tc>
          <w:tcPr>
            <w:tcW w:w="100" w:type="dxa"/>
            <w:vAlign w:val="bottom"/>
          </w:tcPr>
          <w:p>
            <w:pPr>
              <w:spacing w:after="0"/>
              <w:rPr>
                <w:sz w:val="24"/>
                <w:szCs w:val="24"/>
                <w:color w:val="auto"/>
              </w:rPr>
            </w:pPr>
          </w:p>
        </w:tc>
      </w:tr>
      <w:tr>
        <w:trPr>
          <w:trHeight w:val="201"/>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Amarin Pharmaceuticals Ireland Limited</w:t>
            </w:r>
          </w:p>
        </w:tc>
        <w:tc>
          <w:tcPr>
            <w:tcW w:w="232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Ireland</w:t>
            </w:r>
          </w:p>
        </w:tc>
        <w:tc>
          <w:tcPr>
            <w:tcW w:w="100" w:type="dxa"/>
            <w:vAlign w:val="bottom"/>
          </w:tcPr>
          <w:p>
            <w:pPr>
              <w:spacing w:after="0"/>
              <w:rPr>
                <w:sz w:val="17"/>
                <w:szCs w:val="17"/>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3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7"/>
              </w:rPr>
              <w:t>Delaware</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Amarin Neuroscience Limited</w:t>
            </w:r>
          </w:p>
        </w:tc>
        <w:tc>
          <w:tcPr>
            <w:tcW w:w="23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UK</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Ester Neurosciences Limited</w:t>
            </w:r>
          </w:p>
        </w:tc>
        <w:tc>
          <w:tcPr>
            <w:tcW w:w="23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Amarin Finance Limited</w:t>
            </w:r>
          </w:p>
        </w:tc>
        <w:tc>
          <w:tcPr>
            <w:tcW w:w="232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Bermuda</w:t>
            </w:r>
          </w:p>
        </w:tc>
      </w:tr>
    </w:tbl>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Nos. 333-163704 and 333-170505 on Form F-3 and Registration Statement Nos. 333-146839, 333-143358, 333-132520, 333-110704, 333-101775, 333-84152, 333-168054 and 333-168055 on Form S-8 of our reports dated March 16, 2011, relating to the consolidated financial statements of Amarin Corporation plc and subsidiaries, and our report relating to the effectiveness of Amarin Corporation plc’s internal control over financial reporting dated March 16, 2011 (which report expresses an adverse opinion on the effectiveness of Amarin Corporation plc’s internal control over financial reporting because of a material weakness), appearing in this Annual Report on Form 10-K of Amarin Corporation plc for the year ended December 31, 2010.</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March 16, 2011</w:t>
      </w:r>
      <w:r>
        <w:rPr>
          <w:sz w:val="20"/>
          <w:szCs w:val="20"/>
          <w:color w:val="auto"/>
        </w:rPr>
        <w:tab/>
      </w:r>
      <w:r>
        <w:rPr>
          <w:rFonts w:ascii="Arial" w:cs="Arial" w:eastAsia="Arial" w:hAnsi="Arial"/>
          <w:sz w:val="15"/>
          <w:szCs w:val="15"/>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Date: March 16, 2011</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6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2010, to which this Certification is attached as Exhibit 32.1 (the “Annual Report”) fully complies with the requirements of Section 13(a) or 15(d) of the Securities Exchange Act; and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March 16, 2011</w:t>
            </w:r>
          </w:p>
        </w:tc>
        <w:tc>
          <w:tcPr>
            <w:tcW w:w="560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March 16, 2011</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upperLetter"/>
      <w:start w:val="61"/>
    </w:lvl>
  </w:abstractNum>
  <w:abstractNum w:abstractNumId="3">
    <w:nsid w:val="235BA861"/>
    <w:multiLevelType w:val="hybridMultilevel"/>
    <w:lvl w:ilvl="0">
      <w:lvlJc w:val="left"/>
      <w:lvlText w:val="%1"/>
      <w:numFmt w:val="upperLetter"/>
      <w:start w:val="6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1"/>
      <w:numFmt w:val="upperLetter"/>
      <w:start w:val="6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1)"/>
      <w:numFmt w:val="lowerRoman"/>
      <w:start w:val="2"/>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1)"/>
      <w:numFmt w:val="decimal"/>
      <w:start w:val="1"/>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1)"/>
      <w:numFmt w:val="decimal"/>
      <w:start w:val="2"/>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1)"/>
      <w:numFmt w:val="decimal"/>
      <w:start w:val="2"/>
    </w:lvl>
  </w:abstractNum>
  <w:abstractNum w:abstractNumId="26">
    <w:nsid w:val="15014ACB"/>
    <w:multiLevelType w:val="hybridMultilevel"/>
    <w:lvl w:ilvl="0">
      <w:lvlJc w:val="left"/>
      <w:lvlText w:val="(%1)"/>
      <w:numFmt w:val="lowerRoman"/>
      <w:start w:val="1"/>
    </w:lvl>
  </w:abstractNum>
  <w:abstractNum w:abstractNumId="27">
    <w:nsid w:val="5F5E7FD0"/>
    <w:multiLevelType w:val="hybridMultilevel"/>
    <w:lvl w:ilvl="0">
      <w:lvlJc w:val="left"/>
      <w:lvlText w:val="(%1)"/>
      <w:numFmt w:val="decimal"/>
      <w:start w:val="3"/>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1)"/>
      <w:numFmt w:val="decimal"/>
      <w:start w:val="4"/>
    </w:lvl>
  </w:abstractNum>
  <w:abstractNum w:abstractNumId="30">
    <w:nsid w:val="6B94764"/>
    <w:multiLevelType w:val="hybridMultilevel"/>
    <w:lvl w:ilvl="0">
      <w:lvlJc w:val="left"/>
      <w:lvlText w:val="(%1)"/>
      <w:numFmt w:val="decimal"/>
      <w:start w:val="5"/>
    </w:lvl>
  </w:abstractNum>
  <w:abstractNum w:abstractNumId="31">
    <w:nsid w:val="42C296BD"/>
    <w:multiLevelType w:val="hybridMultilevel"/>
    <w:lvl w:ilvl="0">
      <w:lvlJc w:val="left"/>
      <w:lvlText w:val="(%1)"/>
      <w:numFmt w:val="lowerRoman"/>
      <w:start w:val="2"/>
    </w:lvl>
  </w:abstractNum>
  <w:abstractNum w:abstractNumId="32">
    <w:nsid w:val="168E121F"/>
    <w:multiLevelType w:val="hybridMultilevel"/>
    <w:lvl w:ilvl="0">
      <w:lvlJc w:val="left"/>
      <w:lvlText w:val="(%1)"/>
      <w:numFmt w:val="lowerRoman"/>
      <w:start w:val="4"/>
    </w:lvl>
  </w:abstractNum>
  <w:abstractNum w:abstractNumId="33">
    <w:nsid w:val="1EBA5D23"/>
    <w:multiLevelType w:val="hybridMultilevel"/>
    <w:lvl w:ilvl="0">
      <w:lvlJc w:val="left"/>
      <w:lvlText w:val="(%1)"/>
      <w:numFmt w:val="decimal"/>
      <w:start w:val="8"/>
    </w:lvl>
  </w:abstractNum>
  <w:abstractNum w:abstractNumId="34">
    <w:nsid w:val="661E3F1E"/>
    <w:multiLevelType w:val="hybridMultilevel"/>
    <w:lvl w:ilvl="0">
      <w:lvlJc w:val="left"/>
      <w:lvlText w:val="(%1)"/>
      <w:numFmt w:val="decimal"/>
      <w:start w:val="9"/>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0"/>
    </w:lvl>
  </w:abstractNum>
  <w:abstractNum w:abstractNumId="37">
    <w:nsid w:val="7BD3EE7B"/>
    <w:multiLevelType w:val="hybridMultilevel"/>
    <w:lvl w:ilvl="0">
      <w:lvlJc w:val="left"/>
      <w:lvlText w:val="(%1)"/>
      <w:numFmt w:val="decimal"/>
      <w:start w:val="11"/>
    </w:lvl>
  </w:abstractNum>
  <w:abstractNum w:abstractNumId="38">
    <w:nsid w:val="51D9C564"/>
    <w:multiLevelType w:val="hybridMultilevel"/>
    <w:lvl w:ilvl="0">
      <w:lvlJc w:val="left"/>
      <w:lvlText w:val="(%1)"/>
      <w:numFmt w:val="decimal"/>
      <w:start w:val="12"/>
    </w:lvl>
  </w:abstractNum>
  <w:abstractNum w:abstractNumId="39">
    <w:nsid w:val="613EFDC5"/>
    <w:multiLevelType w:val="hybridMultilevel"/>
    <w:lvl w:ilvl="0">
      <w:lvlJc w:val="left"/>
      <w:lvlText w:val="(%1)"/>
      <w:numFmt w:val="decimal"/>
      <w:start w:val="13"/>
    </w:lvl>
  </w:abstractNum>
  <w:abstractNum w:abstractNumId="40">
    <w:nsid w:val="BF72B14"/>
    <w:multiLevelType w:val="hybridMultilevel"/>
    <w:lvl w:ilvl="0">
      <w:lvlJc w:val="left"/>
      <w:lvlText w:val="(%1)"/>
      <w:numFmt w:val="decimal"/>
      <w:start w:val="14"/>
    </w:lvl>
  </w:abstractNum>
  <w:abstractNum w:abstractNumId="41">
    <w:nsid w:val="11447B73"/>
    <w:multiLevelType w:val="hybridMultilevel"/>
    <w:lvl w:ilvl="0">
      <w:lvlJc w:val="left"/>
      <w:lvlText w:val="(%1)"/>
      <w:numFmt w:val="lowerRoman"/>
      <w:start w:val="3"/>
    </w:lvl>
  </w:abstractNum>
  <w:abstractNum w:abstractNumId="42">
    <w:nsid w:val="42963E5A"/>
    <w:multiLevelType w:val="hybridMultilevel"/>
    <w:lvl w:ilvl="0">
      <w:lvlJc w:val="left"/>
      <w:lvlText w:val="(%1)"/>
      <w:numFmt w:val="decimal"/>
      <w:start w:val="15"/>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1)"/>
      <w:numFmt w:val="lowerLetter"/>
      <w:start w:val="1"/>
    </w:lvl>
  </w:abstractNum>
  <w:abstractNum w:abstractNumId="45">
    <w:nsid w:val="1A32234B"/>
    <w:multiLevelType w:val="hybridMultilevel"/>
    <w:lvl w:ilvl="0">
      <w:lvlJc w:val="left"/>
      <w:lvlText w:val="(%1)"/>
      <w:numFmt w:val="upperLetter"/>
      <w:start w:val="1"/>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decimal"/>
      <w:start w:val="1"/>
    </w:lvl>
  </w:abstractNum>
  <w:abstractNum w:abstractNumId="48">
    <w:nsid w:val="4962813B"/>
    <w:multiLevelType w:val="hybridMultilevel"/>
    <w:lvl w:ilvl="0">
      <w:lvlJc w:val="left"/>
      <w:lvlText w:val="%1."/>
      <w:numFmt w:val="decimal"/>
      <w:start w:val="2"/>
    </w:lvl>
    <w:lvl w:ilvl="1">
      <w:lvlJc w:val="left"/>
      <w:lvlText w:val="(%2)"/>
      <w:numFmt w:val="lowerLetter"/>
      <w:start w:val="1"/>
    </w:lvl>
  </w:abstractNum>
  <w:abstractNum w:abstractNumId="49">
    <w:nsid w:val="60B6DF70"/>
    <w:multiLevelType w:val="hybridMultilevel"/>
    <w:lvl w:ilvl="0">
      <w:lvlJc w:val="left"/>
      <w:lvlText w:val="%1"/>
      <w:numFmt w:val="decimal"/>
      <w:start w:val="1"/>
    </w:lvl>
    <w:lvl w:ilvl="1">
      <w:lvlJc w:val="left"/>
      <w:lvlText w:val="(%2)"/>
      <w:numFmt w:val="lowerLetter"/>
      <w:start w:val="3"/>
    </w:lvl>
  </w:abstractNum>
  <w:abstractNum w:abstractNumId="50">
    <w:nsid w:val="6A5EE64"/>
    <w:multiLevelType w:val="hybridMultilevel"/>
    <w:lvl w:ilvl="0">
      <w:lvlJc w:val="left"/>
      <w:lvlText w:val="(%1)"/>
      <w:numFmt w:val="decimal"/>
      <w:start w:val="90"/>
    </w:lvl>
    <w:lvl w:ilvl="1">
      <w:lvlJc w:val="left"/>
      <w:lvlText w:val="%2"/>
      <w:numFmt w:val="lowerLetter"/>
      <w:start w:val="1"/>
    </w:lvl>
  </w:abstractNum>
  <w:abstractNum w:abstractNumId="51">
    <w:nsid w:val="14330624"/>
    <w:multiLevelType w:val="hybridMultilevel"/>
    <w:lvl w:ilvl="0">
      <w:lvlJc w:val="left"/>
      <w:lvlText w:val="%1"/>
      <w:numFmt w:val="lowerRoman"/>
      <w:start w:val="1"/>
    </w:lvl>
    <w:lvl w:ilvl="1">
      <w:lvlJc w:val="left"/>
      <w:lvlText w:val="(%2)"/>
      <w:numFmt w:val="lowerLetter"/>
      <w:start w:val="4"/>
    </w:lvl>
  </w:abstractNum>
  <w:abstractNum w:abstractNumId="52">
    <w:nsid w:val="7FFFCA11"/>
    <w:multiLevelType w:val="hybridMultilevel"/>
    <w:lvl w:ilvl="0">
      <w:lvlJc w:val="left"/>
      <w:lvlText w:val="(%1)"/>
      <w:numFmt w:val="lowerRoman"/>
      <w:start w:val="1"/>
    </w:lvl>
    <w:lvl w:ilvl="1">
      <w:lvlJc w:val="left"/>
      <w:lvlText w:val="%2"/>
      <w:numFmt w:val="lowerLetter"/>
      <w:start w:val="1"/>
    </w:lvl>
  </w:abstractNum>
  <w:abstractNum w:abstractNumId="53">
    <w:nsid w:val="1A27709E"/>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54">
    <w:nsid w:val="71EA1109"/>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55">
    <w:nsid w:val="100F59DC"/>
    <w:multiLevelType w:val="hybridMultilevel"/>
    <w:lvl w:ilvl="0">
      <w:lvlJc w:val="left"/>
      <w:lvlText w:val="%1."/>
      <w:numFmt w:val="decimal"/>
      <w:start w:val="5"/>
    </w:lvl>
  </w:abstractNum>
  <w:abstractNum w:abstractNumId="56">
    <w:nsid w:val="7FB7E0AA"/>
    <w:multiLevelType w:val="hybridMultilevel"/>
    <w:lvl w:ilvl="0">
      <w:lvlJc w:val="left"/>
      <w:lvlText w:val="%1."/>
      <w:numFmt w:val="decimal"/>
      <w:start w:val="9"/>
    </w:lvl>
    <w:lvl w:ilvl="1">
      <w:lvlJc w:val="left"/>
      <w:lvlText w:val="(%2)"/>
      <w:numFmt w:val="lowerLetter"/>
      <w:start w:val="1"/>
    </w:lvl>
  </w:abstractNum>
  <w:abstractNum w:abstractNumId="57">
    <w:nsid w:val="6EB5BD4"/>
    <w:multiLevelType w:val="hybridMultilevel"/>
    <w:lvl w:ilvl="0">
      <w:lvlJc w:val="left"/>
      <w:lvlText w:val="(%1)"/>
      <w:numFmt w:val="lowerLetter"/>
      <w:start w:val="9"/>
    </w:lvl>
    <w:lvl w:ilvl="1">
      <w:lvlJc w:val="left"/>
      <w:lvlText w:val="(%2)"/>
      <w:numFmt w:val="lowerLetter"/>
      <w:start w:val="3"/>
    </w:lvl>
  </w:abstractNum>
  <w:abstractNum w:abstractNumId="58">
    <w:nsid w:val="6F6DD9AC"/>
    <w:multiLevelType w:val="hybridMultilevel"/>
    <w:lvl w:ilvl="0">
      <w:lvlJc w:val="left"/>
      <w:lvlText w:val="%1."/>
      <w:numFmt w:val="decimal"/>
      <w:start w:val="10"/>
    </w:lvl>
  </w:abstractNum>
  <w:abstractNum w:abstractNumId="59">
    <w:nsid w:val="94211F2"/>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60">
    <w:nsid w:val="885E1B"/>
    <w:multiLevelType w:val="hybridMultilevel"/>
    <w:lvl w:ilvl="0">
      <w:lvlJc w:val="left"/>
      <w:lvlText w:val="(%1)"/>
      <w:numFmt w:val="lowerLetter"/>
      <w:start w:val="9"/>
    </w:lvl>
    <w:lvl w:ilvl="1">
      <w:lvlJc w:val="left"/>
      <w:lvlText w:val="%2."/>
      <w:numFmt w:val="decimal"/>
      <w:start w:val="17"/>
    </w:lvl>
    <w:lvl w:ilvl="2">
      <w:lvlJc w:val="left"/>
      <w:lvlText w:val="(%3)"/>
      <w:numFmt w:val="lowerLetter"/>
      <w:start w:val="2"/>
    </w:lvl>
  </w:abstractNum>
  <w:abstractNum w:abstractNumId="61">
    <w:nsid w:val="76272110"/>
    <w:multiLevelType w:val="hybridMultilevel"/>
    <w:lvl w:ilvl="0">
      <w:lvlJc w:val="left"/>
      <w:lvlText w:val="%1."/>
      <w:numFmt w:val="decimal"/>
      <w:start w:val="21"/>
    </w:lvl>
  </w:abstractNum>
  <w:abstractNum w:abstractNumId="62">
    <w:nsid w:val="4C04A8AF"/>
    <w:multiLevelType w:val="hybridMultilevel"/>
    <w:lvl w:ilvl="0">
      <w:lvlJc w:val="left"/>
      <w:lvlText w:val="%1."/>
      <w:numFmt w:val="decimal"/>
      <w:start w:val="27"/>
    </w:lvl>
  </w:abstractNum>
  <w:abstractNum w:abstractNumId="63">
    <w:nsid w:val="1716703B"/>
    <w:multiLevelType w:val="hybridMultilevel"/>
    <w:lvl w:ilvl="0">
      <w:lvlJc w:val="left"/>
      <w:lvlText w:val="(%1)"/>
      <w:numFmt w:val="lowerRoman"/>
      <w:start w:val="1"/>
    </w:lvl>
  </w:abstractNum>
  <w:abstractNum w:abstractNumId="64">
    <w:nsid w:val="14E17E33"/>
    <w:multiLevelType w:val="hybridMultilevel"/>
    <w:lvl w:ilvl="0">
      <w:lvlJc w:val="left"/>
      <w:lvlText w:val="1"/>
      <w:numFmt w:val="bullet"/>
      <w:start w:val="1"/>
    </w:lvl>
  </w:abstractNum>
  <w:abstractNum w:abstractNumId="65">
    <w:nsid w:val="3222E7CD"/>
    <w:multiLevelType w:val="hybridMultilevel"/>
    <w:lvl w:ilvl="0">
      <w:lvlJc w:val="left"/>
      <w:lvlText w:val="2"/>
      <w:numFmt w:val="bullet"/>
      <w:start w:val="1"/>
    </w:lvl>
  </w:abstractNum>
  <w:abstractNum w:abstractNumId="66">
    <w:nsid w:val="74DE0EE3"/>
    <w:multiLevelType w:val="hybridMultilevel"/>
    <w:lvl w:ilvl="0">
      <w:lvlJc w:val="left"/>
      <w:lvlText w:val="3"/>
      <w:numFmt w:val="bullet"/>
      <w:start w:val="1"/>
    </w:lvl>
  </w:abstractNum>
  <w:abstractNum w:abstractNumId="67">
    <w:nsid w:val="68EBC550"/>
    <w:multiLevelType w:val="hybridMultilevel"/>
    <w:lvl w:ilvl="0">
      <w:lvlJc w:val="left"/>
      <w:lvlText w:val="4"/>
      <w:numFmt w:val="bullet"/>
      <w:start w:val="1"/>
    </w:lvl>
  </w:abstractNum>
  <w:abstractNum w:abstractNumId="68">
    <w:nsid w:val="2DF6D648"/>
    <w:multiLevelType w:val="hybridMultilevel"/>
    <w:lvl w:ilvl="0">
      <w:lvlJc w:val="left"/>
      <w:lvlText w:val="5"/>
      <w:numFmt w:val="bullet"/>
      <w:start w:val="1"/>
    </w:lvl>
  </w:abstractNum>
  <w:abstractNum w:abstractNumId="69">
    <w:nsid w:val="46B7D447"/>
    <w:multiLevelType w:val="hybridMultilevel"/>
    <w:lvl w:ilvl="0">
      <w:lvlJc w:val="left"/>
      <w:lvlText w:val="6"/>
      <w:numFmt w:val="bullet"/>
      <w:start w:val="1"/>
    </w:lvl>
  </w:abstractNum>
  <w:abstractNum w:abstractNumId="70">
    <w:nsid w:val="4A2AC315"/>
    <w:multiLevelType w:val="hybridMultilevel"/>
    <w:lvl w:ilvl="0">
      <w:lvlJc w:val="left"/>
      <w:lvlText w:val="7"/>
      <w:numFmt w:val="bullet"/>
      <w:start w:val="1"/>
    </w:lvl>
  </w:abstractNum>
  <w:abstractNum w:abstractNumId="71">
    <w:nsid w:val="39EE015C"/>
    <w:multiLevelType w:val="hybridMultilevel"/>
    <w:lvl w:ilvl="0">
      <w:lvlJc w:val="left"/>
      <w:lvlText w:val="8"/>
      <w:numFmt w:val="bullet"/>
      <w:start w:val="1"/>
    </w:lvl>
  </w:abstractNum>
  <w:abstractNum w:abstractNumId="72">
    <w:nsid w:val="57FC4FBB"/>
    <w:multiLevelType w:val="hybridMultilevel"/>
    <w:lvl w:ilvl="0">
      <w:lvlJc w:val="left"/>
      <w:lvlText w:val="9"/>
      <w:numFmt w:val="bullet"/>
      <w:start w:val="1"/>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1."/>
      <w:numFmt w:val="decimal"/>
      <w:start w:val="1"/>
    </w:lvl>
  </w:abstractNum>
  <w:abstractNum w:abstractNumId="79">
    <w:nsid w:val="7055A5F5"/>
    <w:multiLevelType w:val="hybridMultilevel"/>
    <w:lvl w:ilvl="0">
      <w:lvlJc w:val="left"/>
      <w:lvlText w:val="%1."/>
      <w:numFmt w:val="decimal"/>
      <w:start w:val="4"/>
    </w:lvl>
  </w:abstractNum>
  <w:abstractNum w:abstractNumId="80">
    <w:nsid w:val="5FB8370B"/>
    <w:multiLevelType w:val="hybridMultilevel"/>
    <w:lvl w:ilvl="0">
      <w:lvlJc w:val="left"/>
      <w:lvlText w:val="%1."/>
      <w:numFmt w:val="decimal"/>
      <w:start w:val="7"/>
    </w:lvl>
  </w:abstractNum>
  <w:abstractNum w:abstractNumId="81">
    <w:nsid w:val="50801EE1"/>
    <w:multiLevelType w:val="hybridMultilevel"/>
    <w:lvl w:ilvl="0">
      <w:lvlJc w:val="left"/>
      <w:lvlText w:val="%1."/>
      <w:numFmt w:val="decimal"/>
      <w:start w:val="11"/>
    </w:lvl>
  </w:abstractNum>
  <w:abstractNum w:abstractNumId="82">
    <w:nsid w:val="488AC1A"/>
    <w:multiLevelType w:val="hybridMultilevel"/>
    <w:lvl w:ilvl="0">
      <w:lvlJc w:val="left"/>
      <w:lvlText w:val="%1."/>
      <w:numFmt w:val="decimal"/>
      <w:start w:val="13"/>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decimal"/>
      <w:start w:val="3"/>
    </w:lvl>
  </w:abstractNum>
  <w:abstractNum w:abstractNumId="85">
    <w:nsid w:val="7672BD23"/>
    <w:multiLevelType w:val="hybridMultilevel"/>
    <w:lvl w:ilvl="0">
      <w:lvlJc w:val="left"/>
      <w:lvlText w:val="%1."/>
      <w:numFmt w:val="decimal"/>
      <w:start w:val="6"/>
    </w:lvl>
  </w:abstractNum>
  <w:abstractNum w:abstractNumId="86">
    <w:nsid w:val="6FC75AF8"/>
    <w:multiLevelType w:val="hybridMultilevel"/>
    <w:lvl w:ilvl="0">
      <w:lvlJc w:val="left"/>
      <w:lvlText w:val="%1"/>
      <w:numFmt w:val="decimal"/>
      <w:start w:val="1"/>
    </w:lvl>
    <w:lvl w:ilvl="1">
      <w:lvlJc w:val="left"/>
      <w:lvlText w:val="%2."/>
      <w:numFmt w:val="decimal"/>
      <w:start w:val="9"/>
    </w:lvl>
  </w:abstractNum>
  <w:abstractNum w:abstractNumId="87">
    <w:nsid w:val="6A5F7029"/>
    <w:multiLevelType w:val="hybridMultilevel"/>
    <w:lvl w:ilvl="0">
      <w:lvlJc w:val="left"/>
      <w:lvlText w:val="(%1)"/>
      <w:numFmt w:val="decimal"/>
      <w:start w:val="90"/>
    </w:lvl>
    <w:lvl w:ilvl="1">
      <w:lvlJc w:val="left"/>
      <w:lvlText w:val="%2"/>
      <w:numFmt w:val="decimal"/>
      <w:start w:val="1"/>
    </w:lvl>
  </w:abstractNum>
  <w:abstractNum w:abstractNumId="88">
    <w:nsid w:val="7D5E18F8"/>
    <w:multiLevelType w:val="hybridMultilevel"/>
    <w:lvl w:ilvl="0">
      <w:lvlJc w:val="left"/>
      <w:lvlText w:val="%1."/>
      <w:numFmt w:val="decimal"/>
      <w:start w:val="11"/>
    </w:lvl>
  </w:abstractNum>
  <w:abstractNum w:abstractNumId="89">
    <w:nsid w:val="5F3534A4"/>
    <w:multiLevelType w:val="hybridMultilevel"/>
    <w:lvl w:ilvl="0">
      <w:lvlJc w:val="left"/>
      <w:lvlText w:val="%1."/>
      <w:numFmt w:val="decimal"/>
      <w:start w:val="16"/>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
      <w:numFmt w:val="bullet"/>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1"/>
      <w:numFmt w:val="lowerRoman"/>
      <w:start w:val="1"/>
    </w:lvl>
    <w:lvl w:ilvl="1">
      <w:lvlJc w:val="left"/>
      <w:lvlText w:val="%2."/>
      <w:numFmt w:val="decimal"/>
      <w:start w:val="3"/>
    </w:lvl>
  </w:abstractNum>
  <w:abstractNum w:abstractNumId="102">
    <w:nsid w:val="59ADEA3D"/>
    <w:multiLevelType w:val="hybridMultilevel"/>
    <w:lvl w:ilvl="0">
      <w:lvlJc w:val="left"/>
      <w:lvlText w:val="(%1)"/>
      <w:numFmt w:val="lowerRoman"/>
      <w:start w:val="3"/>
    </w:lvl>
    <w:lvl w:ilvl="1">
      <w:lvlJc w:val="left"/>
      <w:lvlText w:val="%2."/>
      <w:numFmt w:val="decimal"/>
      <w:start w:val="5"/>
    </w:lvl>
  </w:abstractNum>
  <w:abstractNum w:abstractNumId="103">
    <w:nsid w:val="288F1A34"/>
    <w:multiLevelType w:val="hybridMultilevel"/>
    <w:lvl w:ilvl="0">
      <w:lvlJc w:val="left"/>
      <w:lvlText w:val="%1."/>
      <w:numFmt w:val="decimal"/>
      <w:start w:val="6"/>
    </w:lvl>
  </w:abstractNum>
  <w:abstractNum w:abstractNumId="104">
    <w:nsid w:val="2A155DBC"/>
    <w:multiLevelType w:val="hybridMultilevel"/>
    <w:lvl w:ilvl="0">
      <w:lvlJc w:val="left"/>
      <w:lvlText w:val="%1"/>
      <w:numFmt w:val="decimal"/>
      <w:start w:val="1"/>
    </w:lvl>
    <w:lvl w:ilvl="1">
      <w:lvlJc w:val="left"/>
      <w:lvlText w:val="%2."/>
      <w:numFmt w:val="decimal"/>
      <w:start w:val="9"/>
    </w:lvl>
  </w:abstractNum>
  <w:abstractNum w:abstractNumId="105">
    <w:nsid w:val="1D9F6E5F"/>
    <w:multiLevelType w:val="hybridMultilevel"/>
    <w:lvl w:ilvl="0">
      <w:lvlJc w:val="left"/>
      <w:lvlText w:val="(%1)"/>
      <w:numFmt w:val="decimal"/>
      <w:start w:val="12"/>
    </w:lvl>
    <w:lvl w:ilvl="1">
      <w:lvlJc w:val="left"/>
      <w:lvlText w:val="%2"/>
      <w:numFmt w:val="decimal"/>
      <w:start w:val="1"/>
    </w:lvl>
  </w:abstractNum>
  <w:abstractNum w:abstractNumId="106">
    <w:nsid w:val="97E1B4E"/>
    <w:multiLevelType w:val="hybridMultilevel"/>
    <w:lvl w:ilvl="0">
      <w:lvlJc w:val="left"/>
      <w:lvlText w:val="(%1)"/>
      <w:numFmt w:val="lowerRoman"/>
      <w:start w:val="5"/>
    </w:lvl>
    <w:lvl w:ilvl="1">
      <w:lvlJc w:val="left"/>
      <w:lvlText w:val="%2."/>
      <w:numFmt w:val="decimal"/>
      <w:start w:val="11"/>
    </w:lvl>
  </w:abstractNum>
  <w:abstractNum w:abstractNumId="107">
    <w:nsid w:val="51088277"/>
    <w:multiLevelType w:val="hybridMultilevel"/>
    <w:lvl w:ilvl="0">
      <w:lvlJc w:val="left"/>
      <w:lvlText w:val="%1."/>
      <w:numFmt w:val="decimal"/>
      <w:start w:val="13"/>
    </w:lvl>
  </w:abstractNum>
  <w:abstractNum w:abstractNumId="108">
    <w:nsid w:val="1CA0C5FA"/>
    <w:multiLevelType w:val="hybridMultilevel"/>
    <w:lvl w:ilvl="0">
      <w:lvlJc w:val="left"/>
      <w:lvlText w:val="%1."/>
      <w:numFmt w:val="decimal"/>
      <w:start w:val="14"/>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2019-12-10T12:11:08Z</dcterms:created>
  <dcterms:modified xsi:type="dcterms:W3CDTF">2019-12-10T12:11:08Z</dcterms:modified>
</cp:coreProperties>
</file>