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rn-20260630.htm"/>
      <w:bookmarkStart w:id="1" w:name="ksamrn20260630"/>
      <w:bookmarkEnd w:id="0"/>
      <w:bookmarkEnd w:id="1"/>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 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spacing w:before="12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000-21392</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Amarin Corporation plc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6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5068" w:type="dxa"/>
        <w:jc w:val="left"/>
        <w:tblInd w:w="0" w:type="dxa"/>
        <w:tblLayout w:type="fixed"/>
        <w:tblCellMar>
          <w:top w:w="28" w:type="dxa"/>
          <w:left w:w="28" w:type="dxa"/>
          <w:bottom w:w="28" w:type="dxa"/>
          <w:right w:w="28" w:type="dxa"/>
        </w:tblCellMar>
      </w:tblPr>
      <w:tblGrid>
        <w:gridCol w:w="3016"/>
        <w:gridCol w:w="146"/>
        <w:gridCol w:w="190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8th Floor, One Central Plaza,</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Dame Street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Dublin</w:t>
            </w:r>
            <w:r>
              <w:rPr>
                <w:rFonts w:ascii="Times New Roman" w:hAnsi="Times New Roman"/>
                <w:color w:val="000000"/>
                <w:sz w:val="20"/>
              </w:rPr>
              <w:t> </w:t>
            </w:r>
            <w:r>
              <w:rPr>
                <w:rFonts w:ascii="Times New Roman" w:hAnsi="Times New Roman"/>
                <w:b/>
                <w:color w:val="000000"/>
                <w:sz w:val="20"/>
              </w:rPr>
              <w:t>2, Co. Dublin,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D02 K7K5, Ireland</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 +353 (0) 1</w:t>
      </w:r>
      <w:r>
        <w:rPr>
          <w:rFonts w:ascii="Times New Roman" w:hAnsi="Times New Roman"/>
          <w:color w:val="000000"/>
          <w:sz w:val="20"/>
        </w:rPr>
        <w:t xml:space="preserve"> </w:t>
      </w:r>
      <w:r>
        <w:rPr>
          <w:rFonts w:ascii="Times New Roman" w:hAnsi="Times New Roman"/>
          <w:b/>
          <w:color w:val="000000"/>
          <w:sz w:val="16"/>
        </w:rPr>
        <w:t>6699 020</w:t>
      </w:r>
    </w:p>
    <w:p>
      <w:pPr>
        <w:pStyle w:val="TextBody"/>
        <w:pBdr>
          <w:bottom w:val="single" w:sz="4" w:space="1" w:color="000000"/>
        </w:pBdr>
        <w:bidi w:val="0"/>
        <w:spacing w:before="0" w:after="16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468" w:type="dxa"/>
        <w:jc w:val="left"/>
        <w:tblInd w:w="0" w:type="dxa"/>
        <w:tblLayout w:type="fixed"/>
        <w:tblCellMar>
          <w:top w:w="28" w:type="dxa"/>
          <w:left w:w="28" w:type="dxa"/>
          <w:bottom w:w="28" w:type="dxa"/>
          <w:right w:w="28" w:type="dxa"/>
        </w:tblCellMar>
      </w:tblPr>
      <w:tblGrid>
        <w:gridCol w:w="4621"/>
        <w:gridCol w:w="1366"/>
        <w:gridCol w:w="3481"/>
      </w:tblGrid>
      <w:tr>
        <w:trPr/>
        <w:tc>
          <w:tcPr>
            <w:tcW w:w="462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462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4621"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American Depositary Shares (ADS(s)), each ADS</w:t>
              <w:br/>
              <w:t>representing the right to receive twenty (20) Ordinary Shares of</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Amarin Corporation plc</w:t>
            </w:r>
          </w:p>
        </w:tc>
        <w:tc>
          <w:tcPr>
            <w:tcW w:w="1366"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AMRN</w:t>
            </w:r>
          </w:p>
        </w:tc>
        <w:tc>
          <w:tcPr>
            <w:tcW w:w="3481"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6" w:type="dxa"/>
        <w:jc w:val="left"/>
        <w:tblInd w:w="0" w:type="dxa"/>
        <w:tblLayout w:type="fixed"/>
        <w:tblCellMar>
          <w:top w:w="28" w:type="dxa"/>
          <w:left w:w="28" w:type="dxa"/>
          <w:bottom w:w="28" w:type="dxa"/>
          <w:right w:w="28" w:type="dxa"/>
        </w:tblCellMar>
      </w:tblPr>
      <w:tblGrid>
        <w:gridCol w:w="2326"/>
        <w:gridCol w:w="146"/>
        <w:gridCol w:w="37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422,456,685 Ordinary Shares, 50 pence par value per share, were outstanding as of July 24, 2026, including 20,632,560 Ordinary Shares held as American Depositary Shares (ADSs), each representing 20 Ordinary Shares.</w:t>
      </w:r>
    </w:p>
    <w:p>
      <w:pPr>
        <w:pStyle w:val="TextBody"/>
        <w:pBdr>
          <w:bottom w:val="double" w:sz="4" w:space="1" w:color="000000"/>
        </w:pBdr>
        <w:bidi w:val="0"/>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FORM 10-Q</w:t>
      </w:r>
    </w:p>
    <w:tbl>
      <w:tblPr>
        <w:tblW w:w="10205" w:type="dxa"/>
        <w:jc w:val="left"/>
        <w:tblInd w:w="0" w:type="dxa"/>
        <w:tblLayout w:type="fixed"/>
        <w:tblCellMar>
          <w:top w:w="28" w:type="dxa"/>
          <w:left w:w="28" w:type="dxa"/>
          <w:bottom w:w="28" w:type="dxa"/>
          <w:right w:w="28" w:type="dxa"/>
        </w:tblCellMar>
      </w:tblPr>
      <w:tblGrid>
        <w:gridCol w:w="742"/>
        <w:gridCol w:w="386"/>
        <w:gridCol w:w="8419"/>
        <w:gridCol w:w="146"/>
        <w:gridCol w:w="512"/>
      </w:tblGrid>
      <w:tr>
        <w:trPr/>
        <w:tc>
          <w:tcPr>
            <w:tcW w:w="7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_changes">
              <w:r>
                <w:rPr>
                  <w:rStyle w:val="InternetLink"/>
                  <w:rFonts w:ascii="Times New Roman" w:hAnsi="Times New Roman"/>
                  <w:color w:val="0000FF"/>
                  <w:sz w:val="20"/>
                  <w:u w:val="single"/>
                </w:rPr>
                <w:t>Condensed Consolidated Statement of Changes in Stockholders’ Equity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AMARIN CORPORATION PLC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amounts)</w:t>
      </w:r>
    </w:p>
    <w:tbl>
      <w:tblPr>
        <w:tblW w:w="10205" w:type="dxa"/>
        <w:jc w:val="left"/>
        <w:tblInd w:w="0" w:type="dxa"/>
        <w:tblLayout w:type="fixed"/>
        <w:tblCellMar>
          <w:top w:w="28" w:type="dxa"/>
          <w:left w:w="28" w:type="dxa"/>
          <w:bottom w:w="28" w:type="dxa"/>
          <w:right w:w="28" w:type="dxa"/>
        </w:tblCellMar>
      </w:tblPr>
      <w:tblGrid>
        <w:gridCol w:w="6263"/>
        <w:gridCol w:w="146"/>
        <w:gridCol w:w="211"/>
        <w:gridCol w:w="991"/>
        <w:gridCol w:w="166"/>
        <w:gridCol w:w="146"/>
        <w:gridCol w:w="222"/>
        <w:gridCol w:w="1047"/>
        <w:gridCol w:w="1013"/>
      </w:tblGrid>
      <w:tr>
        <w:trPr/>
        <w:tc>
          <w:tcPr>
            <w:tcW w:w="6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167,929</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195,910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649,882</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670,775</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194,459</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211,494</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Ordinary Shares, £0.50 par value per share, unlimited authorized; 436,242,879 shares issued, 420,044,022 shares outstanding as of June 30, 2026; 429,847,579 shares issued, 416,214,102 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310,184</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1,923,801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stock; 16,198,857 shares as of June 30, 2026; 13,633,477 shares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(1,707,344</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2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459,281</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6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670,775</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AMARIN CORPORATION PLC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tbl>
      <w:tblPr>
        <w:tblW w:w="8961" w:type="dxa"/>
        <w:jc w:val="left"/>
        <w:tblInd w:w="0" w:type="dxa"/>
        <w:tblLayout w:type="fixed"/>
        <w:tblCellMar>
          <w:top w:w="28" w:type="dxa"/>
          <w:left w:w="28" w:type="dxa"/>
          <w:bottom w:w="28" w:type="dxa"/>
          <w:right w:w="28" w:type="dxa"/>
        </w:tblCellMar>
      </w:tblPr>
      <w:tblGrid>
        <w:gridCol w:w="3466"/>
        <w:gridCol w:w="211"/>
        <w:gridCol w:w="781"/>
        <w:gridCol w:w="166"/>
        <w:gridCol w:w="146"/>
        <w:gridCol w:w="211"/>
        <w:gridCol w:w="781"/>
        <w:gridCol w:w="166"/>
        <w:gridCol w:w="146"/>
        <w:gridCol w:w="211"/>
        <w:gridCol w:w="781"/>
        <w:gridCol w:w="166"/>
        <w:gridCol w:w="146"/>
        <w:gridCol w:w="211"/>
        <w:gridCol w:w="781"/>
        <w:gridCol w:w="591"/>
      </w:tblGrid>
      <w:tr>
        <w:trPr/>
        <w:tc>
          <w:tcPr>
            <w:tcW w:w="3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royalty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goods sold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Ordinary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AMARIN CORPORATION PLC</w:t>
      </w:r>
    </w:p>
    <w:p>
      <w:pPr>
        <w:pStyle w:val="TextBody"/>
        <w:bidi w:val="0"/>
        <w:jc w:val="center"/>
        <w:rPr>
          <w:rFonts w:ascii="Times New Roman" w:hAnsi="Times New Roman"/>
          <w:b/>
          <w:color w:val="000000"/>
          <w:sz w:val="20"/>
        </w:rPr>
      </w:pPr>
      <w:bookmarkStart w:id="5" w:name="condensed_consolidated_statement_changes"/>
      <w:bookmarkEnd w:id="5"/>
      <w:r>
        <w:rPr>
          <w:rFonts w:ascii="Times New Roman" w:hAnsi="Times New Roman"/>
          <w:b/>
          <w:color w:val="000000"/>
          <w:sz w:val="20"/>
        </w:rPr>
        <w:t>CONDENSED CONSOLIDATED STATEMENT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amounts)</w:t>
      </w:r>
    </w:p>
    <w:tbl>
      <w:tblPr>
        <w:tblW w:w="10279"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46"/>
        <w:gridCol w:w="976"/>
        <w:gridCol w:w="166"/>
        <w:gridCol w:w="146"/>
        <w:gridCol w:w="196"/>
        <w:gridCol w:w="691"/>
        <w:gridCol w:w="146"/>
        <w:gridCol w:w="146"/>
        <w:gridCol w:w="196"/>
        <w:gridCol w:w="826"/>
        <w:gridCol w:w="166"/>
        <w:gridCol w:w="146"/>
        <w:gridCol w:w="196"/>
        <w:gridCol w:w="661"/>
        <w:gridCol w:w="166"/>
        <w:gridCol w:w="146"/>
        <w:gridCol w:w="196"/>
        <w:gridCol w:w="886"/>
        <w:gridCol w:w="166"/>
        <w:gridCol w:w="146"/>
        <w:gridCol w:w="196"/>
        <w:gridCol w:w="69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429,847,579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(13,633,477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1,923,801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(1,707,344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435,545,639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(15,951,037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1,922,254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(1,717,856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449,413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436,242,879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(16,198,857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314,531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1,923,885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(1,725,506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443,616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79"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46"/>
        <w:gridCol w:w="976"/>
        <w:gridCol w:w="166"/>
        <w:gridCol w:w="146"/>
        <w:gridCol w:w="196"/>
        <w:gridCol w:w="691"/>
        <w:gridCol w:w="146"/>
        <w:gridCol w:w="146"/>
        <w:gridCol w:w="196"/>
        <w:gridCol w:w="826"/>
        <w:gridCol w:w="166"/>
        <w:gridCol w:w="146"/>
        <w:gridCol w:w="196"/>
        <w:gridCol w:w="661"/>
        <w:gridCol w:w="166"/>
        <w:gridCol w:w="146"/>
        <w:gridCol w:w="196"/>
        <w:gridCol w:w="886"/>
        <w:gridCol w:w="166"/>
        <w:gridCol w:w="146"/>
        <w:gridCol w:w="196"/>
        <w:gridCol w:w="69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422,256,900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(10,672,049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1,914,750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(1,668,546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486,176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426,842,579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(12,477,390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308,152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1,916,223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(1,684,243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473,687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428,714,819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(13,313,322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309,421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1,920,993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(1,698,382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464,924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AMARIN CORPORATION PLC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6952"/>
        <w:gridCol w:w="146"/>
        <w:gridCol w:w="211"/>
        <w:gridCol w:w="781"/>
        <w:gridCol w:w="166"/>
        <w:gridCol w:w="146"/>
        <w:gridCol w:w="211"/>
        <w:gridCol w:w="781"/>
        <w:gridCol w:w="81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related to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Initial recognition of 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AMARIN CORPORATION PLC</w:t>
      </w:r>
    </w:p>
    <w:p>
      <w:pPr>
        <w:pStyle w:val="TextBody"/>
        <w:bidi w:val="0"/>
        <w:jc w:val="center"/>
        <w:rPr>
          <w:rFonts w:ascii="Times New Roman" w:hAnsi="Times New Roman"/>
          <w:b/>
          <w:color w:val="000000"/>
          <w:sz w:val="20"/>
        </w:rPr>
      </w:pPr>
      <w:bookmarkStart w:id="7" w:name="notes_to_condensed_consolidated_financia"/>
      <w:bookmarkEnd w:id="7"/>
      <w:r>
        <w:rPr>
          <w:rFonts w:ascii="Times New Roman" w:hAnsi="Times New Roman"/>
          <w:b/>
          <w:color w:val="000000"/>
          <w:sz w:val="20"/>
        </w:rPr>
        <w:t>NOTES TO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Nature of Business and Basis of Presentation</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Nature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hAnsi="Times New Roman"/>
          <w:color w:val="000000"/>
          <w:sz w:val="13"/>
        </w:rPr>
        <w:t>®</w:t>
      </w:r>
      <w:r>
        <w:rPr>
          <w:rFonts w:ascii="Times New Roman" w:hAnsi="Times New Roman"/>
          <w:color w:val="000000"/>
          <w:sz w:val="20"/>
        </w:rPr>
        <w:t xml:space="preserve"> (icosapent ethyl, or IPE). VASCEPA, under the brand name VAZKEPA, hereinafter along with VASCEPA, collectively referred to as VASCEPA is also commercialized in various other countries throughout the world.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and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European Medicines Agency, or EMA, core dossier.</w:t>
      </w:r>
    </w:p>
    <w:tbl>
      <w:tblPr>
        <w:tblW w:w="10205" w:type="dxa"/>
        <w:jc w:val="left"/>
        <w:tblInd w:w="0" w:type="dxa"/>
        <w:tblLayout w:type="fixed"/>
        <w:tblCellMar>
          <w:top w:w="28" w:type="dxa"/>
          <w:left w:w="28" w:type="dxa"/>
          <w:bottom w:w="28" w:type="dxa"/>
          <w:right w:w="28" w:type="dxa"/>
        </w:tblCellMar>
      </w:tblPr>
      <w:tblGrid>
        <w:gridCol w:w="5279"/>
        <w:gridCol w:w="146"/>
        <w:gridCol w:w="4780"/>
      </w:tblGrid>
      <w:tr>
        <w:trPr/>
        <w:tc>
          <w:tcPr>
            <w:tcW w:w="5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r>
      <w:tr>
        <w:trPr/>
        <w:tc>
          <w:tcPr>
            <w:tcW w:w="5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VASCEPA (U.S. NDA Core Dossier)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VAZKEPA (EMA Core Dossier)</w:t>
            </w:r>
          </w:p>
        </w:tc>
      </w:tr>
      <w:tr>
        <w:trPr/>
        <w:tc>
          <w:tcPr>
            <w:tcW w:w="5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Amarin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Recordati Industria Chimica e Farmaceutica S.p.A "Recordati" (Europe) (1)</w:t>
            </w:r>
          </w:p>
        </w:tc>
      </w:tr>
      <w:tr>
        <w:trPr/>
        <w:tc>
          <w:tcPr>
            <w:tcW w:w="5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HLS Therapeutics Inc. "HLS"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CSL Seqirus "CSL"(Australia/New Zealand)</w:t>
            </w:r>
          </w:p>
        </w:tc>
      </w:tr>
      <w:tr>
        <w:trPr/>
        <w:tc>
          <w:tcPr>
            <w:tcW w:w="5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Biologix FZCo "Biologix" (Middle East North Africa, or MENA)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Lotus Pharmaceuticals, "Lotus" (Southeast Asia)</w:t>
            </w:r>
          </w:p>
        </w:tc>
      </w:tr>
      <w:tr>
        <w:trPr/>
        <w:tc>
          <w:tcPr>
            <w:tcW w:w="5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Eddingpharm (Asia) Macao Commercial Offshore Limited "Edding" (China Territory)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Neopharm (Israel) 1996 Ltd. "Neopharm" (Israel)</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As part of the Recordati partnership, agreements with Vianex S.A "Vianex" (Greece), Magnapharm Marketing &amp; Sales Romania S.R.L. "Magnapharm" (Romania), and Salus, Veletrgovina, d.o.o, "Salus" (Slovenia) have been transitioned to Recordati.</w:t>
      </w:r>
    </w:p>
    <w:p>
      <w:pPr>
        <w:pStyle w:val="TextBody"/>
        <w:bidi w:val="0"/>
        <w:spacing w:before="120" w:after="283"/>
        <w:jc w:val="left"/>
        <w:rPr>
          <w:rFonts w:ascii="Times New Roman" w:hAnsi="Times New Roman"/>
          <w:sz w:val="20"/>
        </w:rPr>
      </w:pPr>
      <w:r>
        <w:rPr>
          <w:rFonts w:ascii="Times New Roman" w:hAnsi="Times New Roman"/>
          <w:color w:val="000000"/>
          <w:sz w:val="20"/>
        </w:rPr>
        <w:t>VASCEPA was first approved by the U.S. Food and Drug Administration, or U.S. FDA, in July 2012 for use as an adjunct to diet to reduce triglyceride, or TG, levels in adult patients with severe (</w:t>
      </w:r>
      <w:r>
        <w:rPr>
          <w:rFonts w:ascii="Times New Roman" w:hAnsi="Times New Roman"/>
          <w:color w:val="000000"/>
          <w:sz w:val="20"/>
          <w:u w:val="single"/>
        </w:rPr>
        <w:t>&gt;</w:t>
      </w:r>
      <w:r>
        <w:rPr>
          <w:rFonts w:ascii="Times New Roman" w:hAnsi="Times New Roman"/>
          <w:color w:val="000000"/>
          <w:sz w:val="20"/>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CV outcomes trial, REDUCE-IT</w:t>
      </w:r>
      <w:r>
        <w:rPr>
          <w:rFonts w:ascii="Times New Roman" w:hAnsi="Times New Roman"/>
          <w:color w:val="000000"/>
          <w:sz w:val="13"/>
        </w:rPr>
        <w:t>®</w:t>
      </w:r>
      <w:r>
        <w:rPr>
          <w:rFonts w:ascii="Times New Roman" w:hAnsi="Times New Roman"/>
          <w:color w:val="000000"/>
          <w:sz w:val="20"/>
        </w:rPr>
        <w:t xml:space="preserve">, or Reduction of Cardiovascular Events with EPA – Intervention Trial. VASCEPA is approved by the U.S. FDA as an adjunct to maximally tolerated statin therapy for reducing persistent CV risk in select high risk patients, or the REDUCE-IT indication.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IPE have obtained U.S. FDA approval with labeling consistent with the MARINE indication of VASCEPA and have entered the U.S. market: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1"/>
        <w:gridCol w:w="146"/>
        <w:gridCol w:w="2087"/>
        <w:gridCol w:w="146"/>
        <w:gridCol w:w="1729"/>
        <w:gridCol w:w="146"/>
        <w:gridCol w:w="1246"/>
        <w:gridCol w:w="146"/>
        <w:gridCol w:w="1314"/>
        <w:gridCol w:w="146"/>
        <w:gridCol w:w="618"/>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(ANDA Holder)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Distributed / Licensee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FDA MARINE Indication Approval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1-gram Launch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0.5-gram Launch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Active</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Hikma Pharmaceuticals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Hikma Pharmaceuticals USA Inc.;</w:t>
              <w:br/>
              <w:t>Northstar Rx;</w:t>
              <w:br/>
              <w:t>Bryant Ranch Pre-Pack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Reddy’s Laboratories,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Reddy’s Laboratories,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Teva Pharmaceuticals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Teva Pharmaceuticals USA, Inc.;</w:t>
              <w:br/>
              <w:t>AvKare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Apotex,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Apotex, Inc.;</w:t>
              <w:br/>
              <w:t>American Health Packaging;</w:t>
              <w:br/>
              <w:t>Golden State Medical Supply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Zydus Lifesciences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Zydus Pharmaceuticals 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Onesource Specialty (Amneal Original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Amneal 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Humanwell Puracap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Epic Pharma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Ascent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Camber Pharmaceuticals;</w:t>
              <w:br/>
              <w:t>Northstar Rx;</w:t>
              <w:br/>
              <w:t>XL Care 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br/>
              <w:t>February 2024</w:t>
              <w:b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br/>
              <w:t>–</w:t>
              <w:br/>
              <w:t>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Qilu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PharmaObedient (Spriaso Original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Xiamen LP Pharma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Vitruvias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On March 26, 2021, the European Commission, or EC, approved the marketing authorization application for VAZKEPA, in the European Union, or EU, to reduce the risk of CV events in high-risk, statin-treated adult patients who have elevated TGs (</w:t>
      </w:r>
      <w:r>
        <w:rPr>
          <w:rFonts w:ascii="Times New Roman" w:hAnsi="Times New Roman"/>
          <w:color w:val="000000"/>
          <w:sz w:val="20"/>
          <w:u w:val="single"/>
        </w:rPr>
        <w:t>&gt;</w:t>
      </w:r>
      <w:r>
        <w:rPr>
          <w:rFonts w:ascii="Times New Roman" w:hAnsi="Times New Roman"/>
          <w:color w:val="000000"/>
          <w:sz w:val="20"/>
        </w:rPr>
        <w:t>150 mg/dL) and either established CV disease or diabetes and at least one additional CV risk event. On April 22, 2021, the Company announced that the Medicines and Healthcare Products Regulatory Agency, or MHRA, approved VAZKEPA in England, Scotland and Wales to reduce CV risk. Collectively, CHMP, EMA, EC and MHRA are referred to herein as the European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2025, the Company announced the execution of an exclusive long-term license and supply agreement with Recordati Industria Chimica e Farmaceutica S.p.A., or Recordati, to develop and commercialize VAZKEPA in 59 countries, focused in Europe.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June 1, 2023, the Company announced that the National Medical Products Administration, or NMPA, granted approval for VASCEPA under the MARINE indication and the Company's partner, Eddingpharm (Asia) Macao Commercial Offshore Limited, or Edding, launched commercially in October 2023. On June 28, 2024, Edding received NMPA approval for VASCEPA in Mainland China for the REDUCE-IT indication. On February 23, 2022, the Hong Kong Department of Health concluded their evaluation and approved the use of VASCEPA under the REDUCE-IT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Amarin is responsible for supplying VASCEPA to all markets in which the branded product is sold, including countries where the drug is promoted and sold via collaboration with third-party partners that compensate Amarin for such supply. Amarin is not responsible for providing any generic company with drug product.</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conjunction with the Company’s audited consolidated financial statements and notes included in its Annual Report on Form 10-K for the fiscal year ended December 31, 2025, or the Form 10-K, filed with the SEC. The balance sheet amounts in this report were derived from the Company’s audited consolidated financial statements included in the Form 10-K.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2026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 Certain amounts in the condensed consolidated financial statements of the prior year have been reclassified to conform to current year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as of April 11, 2025, the Company implemented an adjustment to the ratio of its American Depository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received a cash payment in lieu of such fractional ADSs. The rate for the cash payment was set when the depositary bank aggregated the fractional ADSs and sold them in one or more market trades. All references to ADSs in the accompanying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or RSUs, were proportionately adjusted.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total assets of $624.4 million, of which $314.6 million consisted of cash and short-term investments. More specifically, the Company had current assets of $602.8 million, including cash and cash equivalents of $143.6 million, short-term investments of $171.1 million, accounts receivable, net, of $92.9 million and inventory of $164.1 million. As of June 30, 2026, the Company had no debt outstanding.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270" w:after="283"/>
        <w:jc w:val="left"/>
        <w:rPr>
          <w:rFonts w:ascii="Times New Roman" w:hAnsi="Times New Roman"/>
          <w:sz w:val="20"/>
        </w:rPr>
      </w:pPr>
      <w:r>
        <w:rPr>
          <w:rFonts w:ascii="Times New Roman" w:hAnsi="Times New Roman"/>
          <w:b/>
          <w:i/>
          <w:color w:val="000000"/>
          <w:sz w:val="20"/>
          <w:u w:val="single"/>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Accounting Standards Codification, or ASC, Topic 606, </w:t>
      </w:r>
      <w:r>
        <w:rPr>
          <w:rFonts w:ascii="Times New Roman" w:hAnsi="Times New Roman"/>
          <w:i/>
          <w:color w:val="000000"/>
          <w:sz w:val="20"/>
        </w:rPr>
        <w:t>Revenue from Contracts with Customers</w:t>
      </w:r>
      <w:r>
        <w:rPr>
          <w:rFonts w:ascii="Times New Roman" w:hAnsi="Times New Roman"/>
          <w:color w:val="000000"/>
          <w:sz w:val="20"/>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pStyle w:val="TextBody"/>
        <w:bidi w:val="0"/>
        <w:spacing w:before="270" w:after="283"/>
        <w:jc w:val="left"/>
        <w:rPr>
          <w:rFonts w:ascii="Times New Roman" w:hAnsi="Times New Roman"/>
          <w:sz w:val="20"/>
        </w:rPr>
      </w:pPr>
      <w:r>
        <w:rPr>
          <w:rFonts w:ascii="Times New Roman" w:hAnsi="Times New Roman"/>
          <w:b/>
          <w:i/>
          <w:color w:val="000000"/>
          <w:sz w:val="20"/>
          <w:u w:val="single"/>
        </w:rPr>
        <w:t>Cash and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net, comprised of trade receivables, are generally due within 45 days and are stated at amounts due from customers. The Company recognizes an allowance for losses on accounts receivable in an amount equal to the estimated probable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losses net of any recoveries. The allowance is based primarily on assessment of specific identifiable customer accounts considered at risk or uncollectible, as well as an analysis of current receivables ageing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impact of accounts receivable reserves on the gross trade accounts receivable balances as of June 30, 2026 and December 31, 2025:</w:t>
      </w:r>
    </w:p>
    <w:tbl>
      <w:tblPr>
        <w:tblW w:w="5965" w:type="dxa"/>
        <w:jc w:val="left"/>
        <w:tblInd w:w="0" w:type="dxa"/>
        <w:tblLayout w:type="fixed"/>
        <w:tblCellMar>
          <w:top w:w="28" w:type="dxa"/>
          <w:left w:w="28" w:type="dxa"/>
          <w:bottom w:w="28" w:type="dxa"/>
          <w:right w:w="28" w:type="dxa"/>
        </w:tblCellMar>
      </w:tblPr>
      <w:tblGrid>
        <w:gridCol w:w="2671"/>
        <w:gridCol w:w="146"/>
        <w:gridCol w:w="239"/>
        <w:gridCol w:w="886"/>
        <w:gridCol w:w="166"/>
        <w:gridCol w:w="146"/>
        <w:gridCol w:w="319"/>
        <w:gridCol w:w="1181"/>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trade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Chargebacks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Long-Lived Asset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pStyle w:val="TextBody"/>
        <w:bidi w:val="0"/>
        <w:spacing w:before="270" w:after="283"/>
        <w:jc w:val="left"/>
        <w:rPr>
          <w:rFonts w:ascii="Times New Roman" w:hAnsi="Times New Roman"/>
          <w:sz w:val="20"/>
        </w:rPr>
      </w:pPr>
      <w:r>
        <w:rPr>
          <w:rFonts w:ascii="Times New Roman" w:hAnsi="Times New Roman"/>
          <w:b/>
          <w:i/>
          <w:color w:val="000000"/>
          <w:sz w:val="20"/>
          <w:u w:val="single"/>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as provision for 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Ordinary Shares from employees are classified as cash flows from financing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 does not believe the outcome of these audits will have a material adverse effect on its condensed consolidated financial position or results of operations. </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determined by dividing net loss by the weighted average number of Ordinary Shares outstanding during the period. Diluted net loss per share is determined by dividing net loss by diluted weighted average number of Ordinary Shares outstanding. Diluted weighted average shares reflects the dilutive effect, if any, of potentially dilutive Ordinary Shares, such as from the exercise of stock options and vesting of restricted stock units, or RSUs, calculated using the treasury stock method. In periods with reported net operating losses, all stock options and RSUs outstanding are deemed anti-dilutive such that basic and diluted loss per share are equal.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calculation of net loss and the number of Ordinary Shares and ADSs used to compute basic and diluted net loss per Ordinary Share and ADS for the three and six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4298"/>
        <w:gridCol w:w="146"/>
        <w:gridCol w:w="247"/>
        <w:gridCol w:w="914"/>
        <w:gridCol w:w="194"/>
        <w:gridCol w:w="170"/>
        <w:gridCol w:w="247"/>
        <w:gridCol w:w="914"/>
        <w:gridCol w:w="166"/>
        <w:gridCol w:w="146"/>
        <w:gridCol w:w="234"/>
        <w:gridCol w:w="867"/>
        <w:gridCol w:w="184"/>
        <w:gridCol w:w="161"/>
        <w:gridCol w:w="234"/>
        <w:gridCol w:w="867"/>
        <w:gridCol w:w="216"/>
      </w:tblGrid>
      <w:tr>
        <w:trPr/>
        <w:tc>
          <w:tcPr>
            <w:tcW w:w="4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Ordinary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ADS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ADS—basic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following potentially dilutive securities were not included in the computation of net loss per share because the effect would be anti-dilutive or because performance criteria were not yet met for awards contingent upon such measures:</w:t>
      </w:r>
    </w:p>
    <w:tbl>
      <w:tblPr>
        <w:tblW w:w="9629" w:type="dxa"/>
        <w:jc w:val="left"/>
        <w:tblInd w:w="0" w:type="dxa"/>
        <w:tblLayout w:type="fixed"/>
        <w:tblCellMar>
          <w:top w:w="28" w:type="dxa"/>
          <w:left w:w="28" w:type="dxa"/>
          <w:bottom w:w="28" w:type="dxa"/>
          <w:right w:w="28" w:type="dxa"/>
        </w:tblCellMar>
      </w:tblPr>
      <w:tblGrid>
        <w:gridCol w:w="3496"/>
        <w:gridCol w:w="146"/>
        <w:gridCol w:w="215"/>
        <w:gridCol w:w="995"/>
        <w:gridCol w:w="215"/>
        <w:gridCol w:w="215"/>
        <w:gridCol w:w="215"/>
        <w:gridCol w:w="995"/>
        <w:gridCol w:w="146"/>
        <w:gridCol w:w="146"/>
        <w:gridCol w:w="200"/>
        <w:gridCol w:w="927"/>
        <w:gridCol w:w="200"/>
        <w:gridCol w:w="200"/>
        <w:gridCol w:w="200"/>
        <w:gridCol w:w="927"/>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are anti-dilutive during periods of net earnings when the exercise price of the stock options exceeds the market price of the underlying securities on the last day of the reporting period. RSUs are anti-dilutive during periods of net earnings when underlying performance-based vesting requirements were not achieved as of the last day of the reporting period.</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29%, 31%, and 27%, respectively, of gross product sales for the six months ended June 30, 2026, and represented 45%, 29%, and 17%, respectively, of the gross accounts receivable balance as of June 30, 2026. Customers A, B, and C accounted for 32%, 29%, and 29%, respectively, of gross product sales for the six months ended June 30, 2025, and represented 43%, 23%, and 17%, respectively, of the gross accounts receivable balance as of December 31, 2025. The Company has not experienced any significant write-offs of its accounts receivable. All customer accounts are actively managed and no losses in excess of amounts reserved are currently expected.</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Concentration of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unadjusted quoted prices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reflect the Company’s estimates of the assumptions that market participants would use in pricing the asset or liability. The Company develops these inputs based on the best information available, including its own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estimated fair value of the Company’s assets and liabilities as of June 30, 2026 and December 31, 2025, and indicate the fair value hierarchy of the valuation techniques the Company utilized to determine such fair value:</w:t>
      </w:r>
    </w:p>
    <w:tbl>
      <w:tblPr>
        <w:tblW w:w="6650" w:type="dxa"/>
        <w:jc w:val="left"/>
        <w:tblInd w:w="0" w:type="dxa"/>
        <w:tblLayout w:type="fixed"/>
        <w:tblCellMar>
          <w:top w:w="28" w:type="dxa"/>
          <w:left w:w="28" w:type="dxa"/>
          <w:bottom w:w="28" w:type="dxa"/>
          <w:right w:w="28" w:type="dxa"/>
        </w:tblCellMar>
      </w:tblPr>
      <w:tblGrid>
        <w:gridCol w:w="2041"/>
        <w:gridCol w:w="146"/>
        <w:gridCol w:w="211"/>
        <w:gridCol w:w="781"/>
        <w:gridCol w:w="146"/>
        <w:gridCol w:w="146"/>
        <w:gridCol w:w="211"/>
        <w:gridCol w:w="781"/>
        <w:gridCol w:w="146"/>
        <w:gridCol w:w="146"/>
        <w:gridCol w:w="211"/>
        <w:gridCol w:w="571"/>
        <w:gridCol w:w="146"/>
        <w:gridCol w:w="146"/>
        <w:gridCol w:w="239"/>
        <w:gridCol w:w="39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2041"/>
        <w:gridCol w:w="146"/>
        <w:gridCol w:w="211"/>
        <w:gridCol w:w="781"/>
        <w:gridCol w:w="146"/>
        <w:gridCol w:w="146"/>
        <w:gridCol w:w="211"/>
        <w:gridCol w:w="781"/>
        <w:gridCol w:w="146"/>
        <w:gridCol w:w="146"/>
        <w:gridCol w:w="211"/>
        <w:gridCol w:w="571"/>
        <w:gridCol w:w="146"/>
        <w:gridCol w:w="146"/>
        <w:gridCol w:w="239"/>
        <w:gridCol w:w="39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investments are stated at amortized cost, which approximates fair value. The Company does not intend to sell these investment securities and the contractual maturities are not greater than 12 months. Those with original maturities greater than 90 days and maturities less than 12 months are included in short-term investments on its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Unrealized gains or losses are not recognized until maturity, except other-than-temporary unrealized losses, which are recognized in earnings in the period incurred. The Company evaluates securities with unrealized losses to determine whether such losses are other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than temporary. The unrealized loss for the six months ended June 30, 2026 and 2025 were $0.2 million and less than $0.1 million, respectively. Interest on investments is reported in interest income in our condensed consolidated statement of operations. Interest receivable in investment securities of $1.4 million and $1.3 million as of June 30, 2026 and December 31, 2025, respectively, is reported in prepaid and other current assets in our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accounts payable and accrued liabilities approximate fair value because of their short-term nature.</w:t>
      </w:r>
    </w:p>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Segment and Geographical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A single management team that reports to the Company’s CODM, who is the Chief Executive Officer, comprehensively manages the business on an integrated basis for the purpose of allocating resources. Therefore, the Company has one operating segment. The CODM uses consolidated net income (loss) to make operating decisions, allocate resources, and evaluate financial performance of the segment, primarily by monitoring actual results compared to forecasted results, as well as by reviewing year over year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reviews significant segment expenses for our single reportable segment. Significant segment expenses include cost of goods sold, selling expenses, general and administrative expenses, research and development expenses, payroll and payroll related expenses, non-cash stock-based compensation expense, and restructuring, all of which are presented in our condensed consolidated statements of operations. Other segment items include interest income, net, other income (expense), net, and provision for income taxes, which are also presented in our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does not currently assess segment performance or allocate resources based on a measure of total assets nor is it practical for the Company to disaggregate assets based on geography. Accordingly, a total asset measure has not been provided for segment disclosure.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table below is a summary of the reportable segment profit or loss, including significant reportable segment expenses:</w:t>
      </w:r>
    </w:p>
    <w:tbl>
      <w:tblPr>
        <w:tblW w:w="10205" w:type="dxa"/>
        <w:jc w:val="left"/>
        <w:tblInd w:w="0" w:type="dxa"/>
        <w:tblLayout w:type="fixed"/>
        <w:tblCellMar>
          <w:top w:w="28" w:type="dxa"/>
          <w:left w:w="28" w:type="dxa"/>
          <w:bottom w:w="28" w:type="dxa"/>
          <w:right w:w="28" w:type="dxa"/>
        </w:tblCellMar>
      </w:tblPr>
      <w:tblGrid>
        <w:gridCol w:w="3854"/>
        <w:gridCol w:w="268"/>
        <w:gridCol w:w="940"/>
        <w:gridCol w:w="211"/>
        <w:gridCol w:w="185"/>
        <w:gridCol w:w="268"/>
        <w:gridCol w:w="940"/>
        <w:gridCol w:w="166"/>
        <w:gridCol w:w="146"/>
        <w:gridCol w:w="246"/>
        <w:gridCol w:w="861"/>
        <w:gridCol w:w="193"/>
        <w:gridCol w:w="170"/>
        <w:gridCol w:w="246"/>
        <w:gridCol w:w="913"/>
        <w:gridCol w:w="598"/>
      </w:tblGrid>
      <w:tr>
        <w:trPr/>
        <w:tc>
          <w:tcPr>
            <w:tcW w:w="38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product revenue, net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product revenue, net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RoW product revenue, net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 net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87,652</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royalty revenue</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 net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114,757</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goods sold</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payroll related expense</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 expense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(32,742</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taxes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&amp; consolidated net loss</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During the three and six months ended June 30, 2026 the Company recorded litigation-related charges of $6.3 million and $9.4 million, respectively, within general and administrative expense.</w:t>
      </w:r>
    </w:p>
    <w:p>
      <w:pPr>
        <w:pStyle w:val="TextBody"/>
        <w:bidi w:val="0"/>
        <w:spacing w:before="270" w:after="283"/>
        <w:jc w:val="left"/>
        <w:rPr>
          <w:rFonts w:ascii="Times New Roman" w:hAnsi="Times New Roman"/>
          <w:sz w:val="20"/>
        </w:rPr>
      </w:pPr>
      <w:r>
        <w:rPr>
          <w:rFonts w:ascii="Times New Roman" w:hAnsi="Times New Roman"/>
          <w:b/>
          <w:i/>
          <w:color w:val="000000"/>
          <w:sz w:val="20"/>
          <w:u w:val="single"/>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identifies a restructuring event as a program that is planned and controlled by management, and materially changes either the scope of the Company's business or the manner in which that business is conducted. The accounting for involuntary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termination benefits that are provided pursuant to a one-time benefit arrangement are accounted for under </w:t>
      </w:r>
      <w:r>
        <w:rPr>
          <w:rFonts w:ascii="Times New Roman" w:hAnsi="Times New Roman"/>
          <w:i/>
          <w:color w:val="000000"/>
          <w:sz w:val="20"/>
        </w:rPr>
        <w:t>ASC 420 – Exit or Disposal Cost Obligations,</w:t>
      </w:r>
      <w:r>
        <w:rPr>
          <w:rFonts w:ascii="Times New Roman" w:hAnsi="Times New Roman"/>
          <w:color w:val="000000"/>
          <w:sz w:val="20"/>
        </w:rPr>
        <w:t xml:space="preserve"> whereas involuntary termination benefits that are part of an ongoing written or substantive plan are accounted for under </w:t>
      </w:r>
      <w:r>
        <w:rPr>
          <w:rFonts w:ascii="Times New Roman" w:hAnsi="Times New Roman"/>
          <w:i/>
          <w:color w:val="000000"/>
          <w:sz w:val="20"/>
        </w:rPr>
        <w:t>ASC 712 – Compensation – Nonretirement Postemployment Benefits.</w:t>
      </w:r>
      <w:r>
        <w:rPr>
          <w:rFonts w:ascii="Times New Roman" w:hAnsi="Times New Roman"/>
          <w:color w:val="000000"/>
          <w:sz w:val="20"/>
        </w:rPr>
        <w:t xml:space="preserve"> The Company accrues a liability for termination benefits under ASC 712 when it is probable that a liability has been incurred and the amount can be reasonably estimated and under ASC 420 when the termination benefits are communicated.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2025, the Company announced a global restructuring plan, the Global Restructuring Plan, in connection with the execution of an exclusive long-term license and supply agreement with Recordati, with the vast majority of estimated cost savings to come from the elimination of commercial roles in the Company’s European operations. During the three and six months ended June 30, 2026, the Company recognized approximately less than $0.1 million and $3.4 million, respectively, and $22.8 million for both the three and six months ended June 30, 2025 of restructuring expense reflected on the condensed consolidated statement of operations related to the reduction in force, substantially all of which is cash expenditure. Since inception of the Global Restructuring Plan, the Company has recognized cumulative restructuring charges of $39.6 million in the now completed Global 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components of the Company's restructuring charges for the three and six months ended June 30, 2026 and 2025:</w:t>
      </w:r>
    </w:p>
    <w:p>
      <w:pPr>
        <w:pStyle w:val="TextBody"/>
        <w:bidi w:val="0"/>
        <w:jc w:val="left"/>
        <w:rPr/>
      </w:pPr>
      <w:r>
        <w:rPr/>
        <w:t> </w:t>
      </w:r>
    </w:p>
    <w:tbl>
      <w:tblPr>
        <w:tblW w:w="9740" w:type="dxa"/>
        <w:jc w:val="left"/>
        <w:tblInd w:w="0" w:type="dxa"/>
        <w:tblLayout w:type="fixed"/>
        <w:tblCellMar>
          <w:top w:w="28" w:type="dxa"/>
          <w:left w:w="28" w:type="dxa"/>
          <w:bottom w:w="28" w:type="dxa"/>
          <w:right w:w="28" w:type="dxa"/>
        </w:tblCellMar>
      </w:tblPr>
      <w:tblGrid>
        <w:gridCol w:w="3571"/>
        <w:gridCol w:w="146"/>
        <w:gridCol w:w="346"/>
        <w:gridCol w:w="568"/>
        <w:gridCol w:w="239"/>
        <w:gridCol w:w="239"/>
        <w:gridCol w:w="346"/>
        <w:gridCol w:w="1110"/>
        <w:gridCol w:w="166"/>
        <w:gridCol w:w="146"/>
        <w:gridCol w:w="282"/>
        <w:gridCol w:w="765"/>
        <w:gridCol w:w="222"/>
        <w:gridCol w:w="195"/>
        <w:gridCol w:w="282"/>
        <w:gridCol w:w="906"/>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restructuring separation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contract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acceleration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restructuring costs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change in restructuring liability, which is included within accrued expenses and other current liabilities:</w:t>
      </w:r>
    </w:p>
    <w:p>
      <w:pPr>
        <w:pStyle w:val="TextBody"/>
        <w:bidi w:val="0"/>
        <w:jc w:val="center"/>
        <w:rPr/>
      </w:pPr>
      <w:r>
        <w:rPr/>
        <w:t> </w:t>
      </w:r>
    </w:p>
    <w:tbl>
      <w:tblPr>
        <w:tblW w:w="5458" w:type="dxa"/>
        <w:jc w:val="left"/>
        <w:tblInd w:w="0" w:type="dxa"/>
        <w:tblLayout w:type="fixed"/>
        <w:tblCellMar>
          <w:top w:w="28" w:type="dxa"/>
          <w:left w:w="28" w:type="dxa"/>
          <w:bottom w:w="28" w:type="dxa"/>
          <w:right w:w="28" w:type="dxa"/>
        </w:tblCellMar>
      </w:tblPr>
      <w:tblGrid>
        <w:gridCol w:w="3331"/>
        <w:gridCol w:w="146"/>
        <w:gridCol w:w="443"/>
        <w:gridCol w:w="1327"/>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cash obligations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Times New Roman" w:hAnsi="Times New Roman"/>
          <w:b/>
          <w:i/>
          <w:color w:val="000000"/>
          <w:sz w:val="20"/>
          <w:u w:val="single"/>
        </w:rPr>
      </w:pPr>
      <w:r>
        <w:rPr>
          <w:rFonts w:ascii="Times New Roman" w:hAnsi="Times New Roman"/>
          <w:b/>
          <w:i/>
          <w:color w:val="000000"/>
          <w:sz w:val="20"/>
          <w:u w:val="single"/>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or FASB, and are adopted early by the Company or adopted as of the specified effective date.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or ASU, No.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and subsequently ASU No. 2025-01 </w:t>
      </w:r>
      <w:r>
        <w:rPr>
          <w:rFonts w:ascii="Times New Roman" w:hAnsi="Times New Roman"/>
          <w:i/>
          <w:color w:val="000000"/>
          <w:sz w:val="20"/>
        </w:rPr>
        <w:t>Income Statement — Reporting Comprehensive Income —Expense Disaggregation Disclosures (Subtopic 220-40): Clarifying the Effective Date</w:t>
      </w:r>
      <w:r>
        <w:rPr>
          <w:rFonts w:ascii="Times New Roman" w:hAnsi="Times New Roman"/>
          <w:color w:val="000000"/>
          <w:sz w:val="20"/>
        </w:rPr>
        <w:t>, which requires a public business entity to disclose specific information about certain costs and expenses in the notes to its financial statements for annual reporting periods beginning after December 15, 2026 and interim reporting periods beginning after December 15, 2027. The Company is currently evaluating the impact that the adoption of ASU 2024-03 will have on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Instruments–Credit Losses</w:t>
      </w:r>
      <w:r>
        <w:rPr>
          <w:rFonts w:ascii="Times New Roman" w:hAnsi="Times New Roman"/>
          <w:color w:val="000000"/>
          <w:sz w:val="20"/>
        </w:rPr>
        <w:t>, which provides guidance on an optional practical expedient when applying the guidance related to the estimation of expected credit losses for current accounts receivable and current contract assets resulting from transactions arising from contracts with customers. The guidance is effective for annual reporting periods beginning after December 15, 2025 and interim reporting periods within that fiscal year. The Company adopted this guidance during the current fiscal year, and the adoption did not have a material impact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new accounting guidance, ASU No. 2025-11, </w:t>
      </w:r>
      <w:r>
        <w:rPr>
          <w:rFonts w:ascii="Times New Roman" w:hAnsi="Times New Roman"/>
          <w:i/>
          <w:color w:val="000000"/>
          <w:sz w:val="20"/>
        </w:rPr>
        <w:t>Interim Reporting (Topic 270): Narrow Scope Improvements</w:t>
      </w:r>
      <w:r>
        <w:rPr>
          <w:rFonts w:ascii="Times New Roman" w:hAnsi="Times New Roman"/>
          <w:color w:val="000000"/>
          <w:sz w:val="20"/>
        </w:rPr>
        <w:t>, which clarifies the scope and requirements for interim financial statement disclosures. The amendment creates a comprehensive list of required interim disclosures and introduces a disclosure principle requiring entities to disclose, in interim periods, any event or change since the previous year-end that has a material effect on the entity. The guidance is effective for annual reporting periods beginning after December 15, 2027, and for interim periods within that fiscal year. The Company is currently evaluating the impact of adopting this guidance.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Intangible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June 30, 2026, the intangible assets have an estimated weighted-average remaining useful life of 4.8 years. The carrying value as of June 30, 2026 and December 31, 2025 is as follows:</w:t>
      </w:r>
    </w:p>
    <w:p>
      <w:pPr>
        <w:pStyle w:val="TextBody"/>
        <w:bidi w:val="0"/>
        <w:jc w:val="left"/>
        <w:rPr/>
      </w:pPr>
      <w:r>
        <w:rPr/>
        <w:t> </w:t>
      </w:r>
    </w:p>
    <w:tbl>
      <w:tblPr>
        <w:tblW w:w="5575" w:type="dxa"/>
        <w:jc w:val="left"/>
        <w:tblInd w:w="0" w:type="dxa"/>
        <w:tblLayout w:type="fixed"/>
        <w:tblCellMar>
          <w:top w:w="28" w:type="dxa"/>
          <w:left w:w="28" w:type="dxa"/>
          <w:bottom w:w="28" w:type="dxa"/>
          <w:right w:w="28" w:type="dxa"/>
        </w:tblCellMar>
      </w:tblPr>
      <w:tblGrid>
        <w:gridCol w:w="2281"/>
        <w:gridCol w:w="146"/>
        <w:gridCol w:w="250"/>
        <w:gridCol w:w="875"/>
        <w:gridCol w:w="166"/>
        <w:gridCol w:w="146"/>
        <w:gridCol w:w="334"/>
        <w:gridCol w:w="1166"/>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its purchases of saleable inventory of VASCEPA from suppliers that have been qualified by the U.S. FDA and other global regulatory agencies. Inventory is comprised of raw materials, work in progress, and finished goods. Raw materials include purchased components and materials used in the manufacturing process, primarily API. Work in process consists of products in various stages of production. Finished goods represent completed products available for sale, VASCEPA, in 1-gram or 0.5-gram capsules. API currently has a shelf life of between four and five years. After being converted into capsule form, which is the last step in the manufacturing process, VASCEPA 1-gram and 0.5-gram capsules currently have additional shelf lives of four years and three years, respectively. Inventories as of June 30, 2026 and December 31, 2025 consist of the following:</w:t>
      </w:r>
    </w:p>
    <w:tbl>
      <w:tblPr>
        <w:tblW w:w="4860" w:type="dxa"/>
        <w:jc w:val="left"/>
        <w:tblInd w:w="0" w:type="dxa"/>
        <w:tblLayout w:type="fixed"/>
        <w:tblCellMar>
          <w:top w:w="28" w:type="dxa"/>
          <w:left w:w="28" w:type="dxa"/>
          <w:bottom w:w="28" w:type="dxa"/>
          <w:right w:w="28" w:type="dxa"/>
        </w:tblCellMar>
      </w:tblPr>
      <w:tblGrid>
        <w:gridCol w:w="1606"/>
        <w:gridCol w:w="146"/>
        <w:gridCol w:w="239"/>
        <w:gridCol w:w="886"/>
        <w:gridCol w:w="146"/>
        <w:gridCol w:w="146"/>
        <w:gridCol w:w="319"/>
        <w:gridCol w:w="11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inventory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During the six months ended June 30, 2026, approximately $1.7 million of inventory was expensed through cost of goods sold for product dating inventory. During both the three and six months ended June 30, 2025, approximately $0.4 million of inventory was expensed through cost of goods sold for product dating inventory.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the Company provides disclosure of the possible loss or range of loss. If a reasonable estimate cannot be made, however, the Company will provide disclosure to that effect.</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Litigation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below, there have been no material updates to our litigation as reported in the Company’s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U.S., which the Supreme Court granted on January 16, 2026. Thereafter, the District Court granted a stipulation proposed by the parties to stay the District Court proceedings pending the conclusion of Hikma’s appeal before the Supreme Court. After oral argument on April 29, 2026, the Supreme Court issued a decision on June 4, 2026, reversing the decision of the Federal Circuit and remanding the case for further proceedings, finding that the Company failed to state a claim for active inducement, and thus, cannot withstand Hikma’s motion to dismiss.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2023, the Company’s former chief executive officer, Karim Mikhail, filed a complaint against the Company and certain of its affiliates in the Superior Court of New Jersey, Law Division – Somerset County, captioned Mikhail v. Amarin Corporation, plc (Docket No. SOM-L-000366-23), concerning Mr. Mikhail’s alleged “constructive termination” from the Company. The complaint seeks unspecified damages arising from claims for breaches of his employment agreement, the Company's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On November 26, 2025, the District Court granted Amarin's renewed motion to dismiss Karim Mikhail's first amended complaint in its entirety. On December 30, 2025, plaintiff filed a second amended complaint. In February 2026, the court issued an order granting Amarin permission to file a motion to dismiss, adopting a briefing schedule proposed by the parties. The parties will complete briefing per the schedule and thereafter file all briefs (i.e., “bundle”) with the court in August 2026. The Company believes it has valid defenses and will vigorously defend against the claims but cannot predict the outcome.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27, 2021 and February 21, 2023, Dr. Reddy’s and Hikma, respectively, filed complaints against the Company in the U.S. District Court for the District of New Jersey, Civil action No. 21-cv-10309 and No. 23-cv-01016, alleging various antitrust violations stemming from alleged anticompetitive practices related to the supply of active pharmaceutical ingredient of VASCEPA. DRL's complaint also includes a state law tortious interference claim related to the same alleged conduct. On March 28, 2024, Teva Pharmaceuticals USA, Inc., or Teva, filed a complaint against the Company in the U.S. District Court for the District of New Jersey, Civil action No. 24-cv-04341, alleging various antitrust violations analogous to those made by Dr. Reddy’s and Hikma. Further, on June 14, 2024, Apotex, Inc., or Apotex, filed a complaint against the Company in the U.S. District Court for the District of New Jersey, Civil action No. 24-cv-07041, alleging various antitrust violations analogous to those made by Dr. Reddy’s, Hikma and Teva, as well as a breach of contract claim related to the same alleged conduct. Apotex also seeks declaratory judgment regarding the applicability of a 2020 settlement agreement to its antitrust claims. In October 2024, Apotex amended its complaint to add as defendants KD Pharma-Bexbach GmbH; KD Swiss GmbH; Marine Ingredients, LLC; Innova Softgel, LLC; 03 Holding GmbH; Capiton AG. Relief sought include an unspecified amount of damages for alleged economic harm to each of Dr. Reddy’s, Hikma, Teva and Apotex, treble damages, other costs and fees and injunctive relief against the alleged violative activities. On December 9, 2025, the Company filed motions for judgment on the pleadings to dismiss the claims of Teva and Apotex, based on prior settlement agreements Amarin entered into with Teva and Apotex on May 25, 2018, and June 16, 2020, respectively, relating to generic versions of Amarin’s branded product VASCEPA. On February 2, 2026, the Court denied both motions.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named as a defendant in six putative antitrust class action lawsuits in the District Court for the District of New Jersey, as displayed in the table below. Each of the six antitrust putative class action lawsuits alleges the Company violated federal antitrust laws by monopolizing and engaging in a conspiracy to restrain trade in the IPE drug and API markets. The Indirect Purchaser Plaintiffs also assert related state antitrust, consumer protection, and unjust enrichment claims. The Indirect Purchaser Plaintiffs seek relief in the form of an unspecified amount of compensatory damages, treble damages, other costs and fees, restitution, and declaratory and injunctive relief against the alleged violative activities. The Direct Purchaser Plaintiff seeks treble damages and other costs and fees. On April 14, 2026, the Company agreed to a Confidential Settlement Agreement and Release with the named Indirect Purchaser Plaintiffs and the Direct Purchaser Plaintiff, together, the Purchaser Plaintiffs, wherein in exchange for a negotiated settlement payment, the Purchaser Plaintiffs will voluntarily dismiss with prejudice all pending claims against the Company. The negotiated settlement payment was recognized within selling, general and administrative expenses on the condensed consolidated statement of operations during the three months ended March 31, 2026 and settled during the three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8"/>
        <w:gridCol w:w="146"/>
        <w:gridCol w:w="980"/>
        <w:gridCol w:w="146"/>
        <w:gridCol w:w="1709"/>
        <w:gridCol w:w="146"/>
        <w:gridCol w:w="890"/>
      </w:tblGrid>
      <w:tr>
        <w:trPr/>
        <w:tc>
          <w:tcPr>
            <w:tcW w:w="6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6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Lawsuits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Civil Action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Direct/Indirect Purchasers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6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Uniformed Fire Officers Association Family Protection Plan Local 854 </w:t>
              <w:br/>
              <w:t>Uniformed Fire Officers Association for Retired Fire Officers Family Protection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Indirect Purchaser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r>
      <w:tr>
        <w:trPr/>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International Union of Operating Engineers Locals 137, 137A, 137B, 137C, 137R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21-12416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Indirect Purchaser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6/11/2021</w:t>
            </w:r>
          </w:p>
        </w:tc>
      </w:tr>
      <w:tr>
        <w:trPr/>
        <w:tc>
          <w:tcPr>
            <w:tcW w:w="6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KPH Healthcare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21-12747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 Purchaser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6/18/2021</w:t>
            </w:r>
          </w:p>
        </w:tc>
      </w:tr>
      <w:tr>
        <w:trPr/>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464A United Food and Commercial Workers Union Welfare Service Benefit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Indirect Purchaser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6/25/2021</w:t>
            </w:r>
          </w:p>
        </w:tc>
      </w:tr>
      <w:tr>
        <w:trPr/>
        <w:tc>
          <w:tcPr>
            <w:tcW w:w="6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Teamsters Health &amp; Welfare Fund of Philadelphia and Vicinity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Indirect Purchaser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7/7/2021</w:t>
            </w:r>
          </w:p>
        </w:tc>
      </w:tr>
      <w:tr>
        <w:trPr/>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Trustees of Heavy and General Laborers’ Local Unions 472 and 172 of N.J. Welfare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21-14639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Indirect Purchaser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8/5/2021</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Antitrust litigation can be lengthy, costly and could materially affect and disrupt the Company’s business. The Company cannot predict when these matters will be resolved in their entirety, their outcome or their potential impact on the Company’s business. The Company believes it has valid defenses and will vigorously defend against the remaining claims. If it is determined that the Company has violated antitrust law, the Company could be subject to significant civil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above, in the ordinary course of business, the Company is from time to time involved in lawsuits, claims, investigations, proceedings, and threats of litigation relating to intellectual property, commercial arrangements and other matters. The Company believes it has valid defenses and will vigorously defend against the claims but cannot predict the outcome. The Company is unable to reasonably estimate the loss exposure, if any, associated with these claims, except for a $6.3 million provision.</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Milestone and Supply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negotiate with its contract suppliers to better align its supply arrangements with current and anticipated global demand. As of June 30, 2026, the Company has a total of approximately $42.8 million in future contractual purchase obligations as well as $96.0 million of future purchase obligations contingent on certain suppliers obtaining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$6.6 million as of June 30, 2026) for the potential market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provision for any of these obligations since the amounts are either not paid or payable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Equity</w:t>
      </w:r>
    </w:p>
    <w:p>
      <w:pPr>
        <w:pStyle w:val="TextBody"/>
        <w:bidi w:val="0"/>
        <w:spacing w:before="270" w:after="283"/>
        <w:jc w:val="left"/>
        <w:rPr>
          <w:rFonts w:ascii="Times New Roman" w:hAnsi="Times New Roman"/>
          <w:sz w:val="20"/>
        </w:rPr>
      </w:pPr>
      <w:r>
        <w:rPr>
          <w:rFonts w:ascii="Times New Roman" w:hAnsi="Times New Roman"/>
          <w:i/>
          <w:color w:val="000000"/>
          <w:sz w:val="20"/>
          <w:u w:val="single"/>
        </w:rPr>
        <w:t>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11, 2025, the Company effected its ADS Ratio Change on its ADSs from one ADS representing one Ordinary Share, to the new ratio of one ADS representing 20 Ordinary Shares.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six months ended June 30, 2026 and 2025, except as described above, the Company did not engage in any transactions involving its ADSs. Refer to </w:t>
      </w:r>
      <w:r>
        <w:rPr>
          <w:rFonts w:ascii="Times New Roman" w:hAnsi="Times New Roman"/>
          <w:i/>
          <w:color w:val="000000"/>
          <w:sz w:val="20"/>
        </w:rPr>
        <w:t>Incentive Equity Awards</w:t>
      </w:r>
      <w:r>
        <w:rPr>
          <w:rFonts w:ascii="Times New Roman" w:hAnsi="Times New Roman"/>
          <w:color w:val="000000"/>
          <w:sz w:val="20"/>
        </w:rPr>
        <w:t xml:space="preserve"> below for discussions of Ordinary Shares issued as a result of stock option exercises and vesting of RSUs.</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Ordinary Shares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was no Ordinary Share activity during the six months ended June 30, 2026 and 2025, except as described in </w:t>
      </w:r>
      <w:r>
        <w:rPr>
          <w:rFonts w:ascii="Times New Roman" w:hAnsi="Times New Roman"/>
          <w:i/>
          <w:color w:val="000000"/>
          <w:sz w:val="20"/>
        </w:rPr>
        <w:t>Incentive Equity Awards</w:t>
      </w:r>
      <w:r>
        <w:rPr>
          <w:rFonts w:ascii="Times New Roman" w:hAnsi="Times New Roman"/>
          <w:color w:val="000000"/>
          <w:sz w:val="20"/>
        </w:rPr>
        <w:t xml:space="preserve"> below.</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Incentive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aggregate number of Ordinary Shares underlying stock options and RSUs outstanding under the Amarin Corporation plc 2020 Stock Incentive Plan, as amended, or the 2020 Plan, as of June 30, 2026:</w:t>
      </w:r>
    </w:p>
    <w:p>
      <w:pPr>
        <w:pStyle w:val="TextBody"/>
        <w:bidi w:val="0"/>
        <w:jc w:val="left"/>
        <w:rPr/>
      </w:pPr>
      <w:r>
        <w:rPr/>
        <w:t> </w:t>
      </w:r>
    </w:p>
    <w:tbl>
      <w:tblPr>
        <w:tblW w:w="4934" w:type="dxa"/>
        <w:jc w:val="left"/>
        <w:tblInd w:w="0" w:type="dxa"/>
        <w:tblLayout w:type="fixed"/>
        <w:tblCellMar>
          <w:top w:w="28" w:type="dxa"/>
          <w:left w:w="28" w:type="dxa"/>
          <w:bottom w:w="28" w:type="dxa"/>
          <w:right w:w="28" w:type="dxa"/>
        </w:tblCellMar>
      </w:tblPr>
      <w:tblGrid>
        <w:gridCol w:w="3436"/>
        <w:gridCol w:w="146"/>
        <w:gridCol w:w="1036"/>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30,765,660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outstanding on a fully-diluted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9,691,440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outstanding on a fully-diluted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represents equity awards activity during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8"/>
        <w:gridCol w:w="146"/>
        <w:gridCol w:w="931"/>
        <w:gridCol w:w="146"/>
        <w:gridCol w:w="146"/>
        <w:gridCol w:w="146"/>
        <w:gridCol w:w="931"/>
        <w:gridCol w:w="191"/>
      </w:tblGrid>
      <w:tr>
        <w:trPr/>
        <w:tc>
          <w:tcPr>
            <w:tcW w:w="7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issued in settlement of 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retained for settlement of employee tax obligations ─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Ordinary Shares issued in settlement of vested Performance-based RSUs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retained for settlement of employee tax obligations ─ Performance-based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Performance-based RSUs vested in connection with the achievement of certain performance conditions during the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granted RSUs for a total of 5,615,880 Ordinary Shares and stock options for a total of 5,570,420 Ordinary Shares to employees under the 2020 Plan. The RSUs vest annually over a three-year period and the stock options vest quarterly over a three-year period with a one-year cliff vesting.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granted to Aaron Berg (i) RSUs for 1,500,000 Ordinary Shares that vested upon the date of grant; and (ii) stock options and RSUs of 750,000 and 250,000 Ordinary Shares that both vest 50% on June 26, 2026 and December 26, 2026,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granted RSUs for a total of 10,646,844 Ordinary Shares and stock options for a total of 3,313,059 Ordinary Shares to employees under the 2020 Plan. The RSUs and stock options vest 50% on both January 1, 2026 and July 1, 2026,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sells VASCEPA principally to a limited number of major wholesalers, as well as selected regional wholesalers and specialty retail pharmacy providers in the U.S. and commercial partners globally,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 </w:t>
      </w:r>
    </w:p>
    <w:p>
      <w:pPr>
        <w:pStyle w:val="TextBody"/>
        <w:bidi w:val="0"/>
        <w:spacing w:before="120" w:after="283"/>
        <w:jc w:val="left"/>
        <w:rPr>
          <w:rFonts w:ascii="Times New Roman" w:hAnsi="Times New Roman"/>
          <w:sz w:val="20"/>
        </w:rPr>
      </w:pPr>
      <w:r>
        <w:rPr>
          <w:rFonts w:ascii="Times New Roman" w:hAnsi="Times New Roman"/>
          <w:color w:val="000000"/>
          <w:sz w:val="20"/>
        </w:rPr>
        <w:t>Within the U.S., 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w:t>
      </w:r>
      <w:r>
        <w:rPr>
          <w:rFonts w:ascii="Times New Roman" w:hAnsi="Times New Roman"/>
          <w:color w:val="00B050"/>
          <w:sz w:val="20"/>
        </w:rPr>
        <w:t xml:space="preserve">. </w:t>
      </w:r>
      <w:r>
        <w:rPr>
          <w:rFonts w:ascii="Times New Roman" w:hAnsi="Times New Roman"/>
          <w:color w:val="000000"/>
          <w:sz w:val="20"/>
        </w:rPr>
        <w:t xml:space="preserve">The Company calculates gross product revenues generally based on the wholesale acquisition cost or list price that the Company charges its distributors for VASCEPA.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w:t>
      </w:r>
    </w:p>
    <w:p>
      <w:pPr>
        <w:pStyle w:val="TextBody"/>
        <w:bidi w:val="0"/>
        <w:spacing w:before="270" w:after="283"/>
        <w:jc w:val="left"/>
        <w:rPr>
          <w:rFonts w:ascii="Times New Roman" w:hAnsi="Times New Roman"/>
          <w:sz w:val="20"/>
        </w:rPr>
      </w:pPr>
      <w:r>
        <w:rPr>
          <w:rFonts w:ascii="Times New Roman" w:hAnsi="Times New Roman"/>
          <w:i/>
          <w:color w:val="000000"/>
          <w:sz w:val="20"/>
        </w:rPr>
        <w:t>Reserves for Variable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pStyle w:val="TextBody"/>
        <w:bidi w:val="0"/>
        <w:spacing w:before="120" w:after="283"/>
        <w:jc w:val="left"/>
        <w:rPr>
          <w:rFonts w:ascii="Times New Roman" w:hAnsi="Times New Roman"/>
          <w:sz w:val="20"/>
        </w:rPr>
      </w:pPr>
      <w:r>
        <w:rPr>
          <w:rFonts w:ascii="Times New Roman" w:hAnsi="Times New Roman"/>
          <w:i/>
          <w:color w:val="000000"/>
          <w:sz w:val="20"/>
        </w:rPr>
        <w:t>Trade Allowances:</w:t>
      </w:r>
      <w:r>
        <w:rPr>
          <w:rFonts w:ascii="Times New Roman" w:hAnsi="Times New Roman"/>
          <w:color w:val="000000"/>
          <w:sz w:val="20"/>
        </w:rPr>
        <w:t xml:space="preserve"> The Company generally provides invoice discounts on VASCEPA sales to its distributors for prompt payment and fees for distribution services, such as fees for certain data that distributors provide to the Company. The payment terms for sales to distributors in the U.S. and Europe generally include a 2-3% discount for prompt payment; while the fees for U.S. and global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Rebates, Chargebacks and Discounts: </w:t>
      </w:r>
      <w:r>
        <w:rPr>
          <w:rFonts w:ascii="Times New Roman" w:hAnsi="Times New Roman"/>
          <w:color w:val="000000"/>
          <w:sz w:val="20"/>
        </w:rPr>
        <w:t>The Company contracts with Medicaid, Medicare, other government agencies and various private organizations, or collectively, Third-party Payors, so that VASCEPA will be eligible for purchase by, or partial or full reimbursement from, such Third-party Payors. The Company has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The Company’s distributors have the right to return unopened unprescribed VASCEPA during the 18-month period 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xml:space="preserve">Other incentives that the Company offers to indirect customers include co-pay mitigation rebates provided by the Company 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activity in each of the net product revenue allowance and reserve categories described above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6"/>
        <w:gridCol w:w="146"/>
        <w:gridCol w:w="211"/>
        <w:gridCol w:w="736"/>
        <w:gridCol w:w="166"/>
        <w:gridCol w:w="146"/>
        <w:gridCol w:w="220"/>
        <w:gridCol w:w="880"/>
        <w:gridCol w:w="166"/>
        <w:gridCol w:w="146"/>
        <w:gridCol w:w="211"/>
        <w:gridCol w:w="631"/>
        <w:gridCol w:w="166"/>
        <w:gridCol w:w="146"/>
        <w:gridCol w:w="211"/>
        <w:gridCol w:w="631"/>
        <w:gridCol w:w="166"/>
        <w:gridCol w:w="146"/>
        <w:gridCol w:w="211"/>
        <w:gridCol w:w="841"/>
        <w:gridCol w:w="412"/>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w:t>
              <w:br/>
              <w:t>Allowances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br/>
              <w:t>Chargebacks</w:t>
              <w:br/>
              <w:t>and Discounts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br/>
              <w:t>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Incentives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123,247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related to current period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426,323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related to prior period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Credits/payments made for current period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(302,847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Credits/payments made for prior period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125,472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9"/>
        <w:gridCol w:w="146"/>
        <w:gridCol w:w="211"/>
        <w:gridCol w:w="736"/>
        <w:gridCol w:w="166"/>
        <w:gridCol w:w="146"/>
        <w:gridCol w:w="221"/>
        <w:gridCol w:w="886"/>
        <w:gridCol w:w="166"/>
        <w:gridCol w:w="146"/>
        <w:gridCol w:w="211"/>
        <w:gridCol w:w="631"/>
        <w:gridCol w:w="166"/>
        <w:gridCol w:w="146"/>
        <w:gridCol w:w="211"/>
        <w:gridCol w:w="631"/>
        <w:gridCol w:w="166"/>
        <w:gridCol w:w="146"/>
        <w:gridCol w:w="211"/>
        <w:gridCol w:w="841"/>
        <w:gridCol w:w="212"/>
      </w:tblGrid>
      <w:tr>
        <w:trPr/>
        <w:tc>
          <w:tcPr>
            <w:tcW w:w="3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w:t>
              <w:br/>
              <w:t>Allowances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br/>
              <w:t>Chargebacks</w:t>
              <w:br/>
              <w:t>and Discounts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br/>
              <w:t>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Incentives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related to current period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357,306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related to prior period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Credits/payments made for current period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Credits/payments made for prior period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99,808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Licensing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Licenses of intellectual property: </w:t>
      </w:r>
      <w:r>
        <w:rPr>
          <w:rFonts w:ascii="Times New Roman" w:hAnsi="Times New Roman"/>
          <w:color w:val="000000"/>
          <w:sz w:val="20"/>
        </w:rPr>
        <w:t xml:space="preserve">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At the inception of each arrangement that includes development, regulatory and commercial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pStyle w:val="TextBody"/>
        <w:bidi w:val="0"/>
        <w:spacing w:before="120" w:after="283"/>
        <w:jc w:val="left"/>
        <w:rPr>
          <w:rFonts w:ascii="Times New Roman" w:hAnsi="Times New Roman"/>
          <w:sz w:val="20"/>
        </w:rPr>
      </w:pPr>
      <w:r>
        <w:rPr>
          <w:rFonts w:ascii="Times New Roman" w:hAnsi="Times New Roman"/>
          <w:i/>
          <w:color w:val="000000"/>
          <w:sz w:val="20"/>
        </w:rPr>
        <w:t>Royalty Payments:</w:t>
      </w:r>
      <w:r>
        <w:rPr>
          <w:rFonts w:ascii="Times New Roman" w:hAnsi="Times New Roman"/>
          <w:color w:val="000000"/>
          <w:sz w:val="20"/>
        </w:rPr>
        <w:t xml:space="preserve"> At the inception of each arrangement that includes royalty-based payments, the Company evaluates whether the royalties relate to the license of intellectual property, in which case they are accounted for under the royalty constraint within ASC 606 and recognized when the later of the subsequent sale or usage occurs or when the performance obligations have been satisfied. If the royalties do not relate to the licensing of intellectual property, the royalties are accounted for under the variable consideration constraint within ASC 606 and are recognized in the transaction price only to the extent that it is probable that a significant reversal in the amount of cumulative revenue will not occur when the uncertainty around the variable consideration is subsequently resolved. Royalty payments that fall within the variable consideration constraint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The royalties that are considered variable consideration are recognized when the uncertainty related to the variable consideration is subsequently resolved. At the end of each subsequent reporting period, the Company reevaluates the circumstances and recognizes royalties that are no longer constrained.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various incentives and payments to certain customers that are accounted for as consideration payable to customers. Consideration payable to customers is recognized as a reduction of the transaction price and, therefore, as a reduction of net revenue, unless the payment is in exchange for a distinct good or service received from the customer and the fair value of that good or service can be reasonably estimated. In such cases, the amount is recognized as an operating expense. Consideration payable to a customer is recognized as a reduction of the transaction price at the later of when the Company recognizes revenue for the transfer of the related goods or services or when the Company promises to pay or pays the consideration to the customer.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Development, Commercialization and Supply Agreements</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In-licenses</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Mochida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and 2025, the Company exercised certain rights under the agreement, resulting in payments of $1.0 million in each of such periods to Mochida, which was recorded as research and development expense in the condensed consolidated statement of operations.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Out-licenses</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Eddingpharm (Asia) Macao Commercial Offshore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transaction price is comprised of the following upfront payments and milestones:</w:t>
      </w:r>
    </w:p>
    <w:tbl>
      <w:tblPr>
        <w:tblW w:w="7432" w:type="dxa"/>
        <w:jc w:val="left"/>
        <w:tblInd w:w="0" w:type="dxa"/>
        <w:tblLayout w:type="fixed"/>
        <w:tblCellMar>
          <w:top w:w="28" w:type="dxa"/>
          <w:left w:w="28" w:type="dxa"/>
          <w:bottom w:w="28" w:type="dxa"/>
          <w:right w:w="28" w:type="dxa"/>
        </w:tblCellMar>
      </w:tblPr>
      <w:tblGrid>
        <w:gridCol w:w="4771"/>
        <w:gridCol w:w="146"/>
        <w:gridCol w:w="1291"/>
        <w:gridCol w:w="146"/>
        <w:gridCol w:w="211"/>
        <w:gridCol w:w="676"/>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 Price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Upfront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Submission of the CTA for the MARINE indication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VASCEPA under the MARINE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Submission of the CTA for the REDUCE-IT indication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VASCEPA under the REDUCE-IT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Development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Total Transaction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occurs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fully recognized the transaction price as of June 30, 2024. </w:t>
      </w:r>
    </w:p>
    <w:p>
      <w:pPr>
        <w:pStyle w:val="TextBody"/>
        <w:bidi w:val="0"/>
        <w:jc w:val="left"/>
        <w:rPr>
          <w:rFonts w:ascii="Times New Roman" w:hAnsi="Times New Roman"/>
          <w:color w:val="000000"/>
          <w:sz w:val="20"/>
        </w:rPr>
      </w:pPr>
      <w:r>
        <w:rPr>
          <w:rFonts w:ascii="Times New Roman" w:hAnsi="Times New Roman"/>
          <w:color w:val="000000"/>
          <w:sz w:val="20"/>
        </w:rPr>
        <w:t>The Company recognized royalties of $0.7 million and $1.2 million for the three and six months ended June 30, 2026, respectively, and $0.6 million and $0.9 million for the three and six months ended June 30, 2025, respectively.</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Biologix FZCo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received approval of VASCEPA under the MARINE and REDUCE-IT indications in the following countries: </w:t>
      </w:r>
    </w:p>
    <w:tbl>
      <w:tblPr>
        <w:tblW w:w="6367" w:type="dxa"/>
        <w:jc w:val="left"/>
        <w:tblInd w:w="0" w:type="dxa"/>
        <w:tblLayout w:type="fixed"/>
        <w:tblCellMar>
          <w:top w:w="28" w:type="dxa"/>
          <w:left w:w="28" w:type="dxa"/>
          <w:bottom w:w="28" w:type="dxa"/>
          <w:right w:w="28" w:type="dxa"/>
        </w:tblCellMar>
      </w:tblPr>
      <w:tblGrid>
        <w:gridCol w:w="1861"/>
        <w:gridCol w:w="146"/>
        <w:gridCol w:w="1381"/>
        <w:gridCol w:w="146"/>
        <w:gridCol w:w="1216"/>
        <w:gridCol w:w="146"/>
        <w:gridCol w:w="147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MARINE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REDUCE-IT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Launch Date</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Lebanon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2018</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Arab Emirates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2019</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Qatar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2022</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Bahrain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Kuwait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Saudi Arabia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net product revenue of $0.7 million and $1.2 million for the three and six months ended June 30, 2026, respectively, and $2.7 million for both the three and six months ended June 30, 2025, related to sales to Biologix.</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HLS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transaction price is comprised of the following upfront payments and milestones:</w:t>
      </w:r>
    </w:p>
    <w:tbl>
      <w:tblPr>
        <w:tblW w:w="8937" w:type="dxa"/>
        <w:jc w:val="left"/>
        <w:tblInd w:w="0" w:type="dxa"/>
        <w:tblLayout w:type="fixed"/>
        <w:tblCellMar>
          <w:top w:w="28" w:type="dxa"/>
          <w:left w:w="28" w:type="dxa"/>
          <w:bottom w:w="28" w:type="dxa"/>
          <w:right w:w="28" w:type="dxa"/>
        </w:tblCellMar>
      </w:tblPr>
      <w:tblGrid>
        <w:gridCol w:w="6121"/>
        <w:gridCol w:w="146"/>
        <w:gridCol w:w="1426"/>
        <w:gridCol w:w="146"/>
        <w:gridCol w:w="211"/>
        <w:gridCol w:w="676"/>
        <w:gridCol w:w="2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 Price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Upfront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Achievement of the REDUCE-IT trial primary endpoint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from Health 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exclusivity from the Office of Patented Medicines and Liaison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Sales-based milestone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Total Transaction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non-refundable, upfront and sales-based and regulatory milestone payments just described, the Company is entitled to receive certain sales-based milestone payments of up to an additional $47.5 million, as well as tiered double-digit royalties on net sales of VASCEPA in Canada. None of the other clinical or regulatory milestones have been included in the transaction price, as all outstanding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net licensing revenue of $0.4 million related to recognition of a milestone in connection with the HLS agreement, offset by consideration payable to the customer (none for the three and six months ended June 30, 2025). As of June 30, 2026 the transaction price has been fully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net product revenue of $0.7 million for both the three and six months ended June 30, 2026 and nil for both the three and six months ended June 30, 2025 related to sales to HLS. The Company also recognized royalties of $0.7 million and $1.4 million for the three and six months ended June 30, 2026, respectively, and $0.5 million and $1.2 million for the three and six months ended June 30, 2025, respectively.</w:t>
      </w:r>
    </w:p>
    <w:p>
      <w:pPr>
        <w:pStyle w:val="TextBody"/>
        <w:bidi w:val="0"/>
        <w:spacing w:before="27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and milestone payment, the Company will be eligible to receive event-related milestone payments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recognized net product revenue of nil and $2.0 million for the three and six months ended June 30, 2026, respectively, and $0.8 million for both the three and six months ended June 30, 2025 related to sales to CSL.</w:t>
      </w:r>
    </w:p>
    <w:p>
      <w:pPr>
        <w:pStyle w:val="TextBody"/>
        <w:bidi w:val="0"/>
        <w:spacing w:before="150" w:after="283"/>
        <w:jc w:val="left"/>
        <w:rPr>
          <w:rFonts w:ascii="Times New Roman" w:hAnsi="Times New Roman"/>
          <w:i/>
          <w:color w:val="000000"/>
          <w:sz w:val="20"/>
          <w:u w:val="single"/>
        </w:rPr>
      </w:pPr>
      <w:r>
        <w:rPr>
          <w:rFonts w:ascii="Times New Roman" w:hAnsi="Times New Roman"/>
          <w:i/>
          <w:color w:val="000000"/>
          <w:sz w:val="20"/>
          <w:u w:val="single"/>
        </w:rPr>
        <w:t>Recordati Industria Chimica e Farmaceutica 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entered into an exclusive long-term license and supply agreement with Recordati, or the Recordati Licensing Agreement, related to the development and commercialization of VASCEPA in 59 countries focused in Europe, or the Recordati Territory. Under the terms of the Recordati Licensing Agreement, the Company granted Recordati an exclusive license with the right to sublicense development and commercialization of VASCEPA in the Recordati Territory for uses that are currently commercialized and under development by the Company based on the Company’s REDUCE-IT clinical trials of VASCEPA. The Company has received marketing authorization by the MHRA and the EMA and subsequently made VASCEPA available under individual reimbursement or received national reimbursement and launched commercial operations, which has since been licensed to Recordati, in the following countries.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3"/>
        <w:gridCol w:w="146"/>
        <w:gridCol w:w="1988"/>
        <w:gridCol w:w="146"/>
        <w:gridCol w:w="1886"/>
        <w:gridCol w:w="146"/>
        <w:gridCol w:w="1573"/>
        <w:gridCol w:w="146"/>
        <w:gridCol w:w="1461"/>
      </w:tblGrid>
      <w:tr>
        <w:trPr/>
        <w:tc>
          <w:tcPr>
            <w:tcW w:w="2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2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 Reimbursement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National Reimbursement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Availability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Launch Date</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2022</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England/Wales/Northern Ireland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Greece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2024</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2025</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Slovenia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2025</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Romania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2026</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2026</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Vianex will be the sole and exclusive distributor of VAZKEPA in the Greek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Salus will be the sole and exclusive distributor of VAZKEPA in the Slovenian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Magnapharm will be the sole and exclusive distributor of VAZKEPA in the Romanian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received regulatory approval in Switzerland by the Swiss Agency for Therapeutic Products, or Swissmedic. VAZKEPA has been made available in Switzerland under individual reimbursement since January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assessed this arrangement in accordance with Topic 606 and concluded that the contract counterparty, Recordati, is a customer. The Company identified the following distinct performance obligation at the inception of the contract: an exclusive license to use its intellectual property; regulatory approvals; and regulatory documents in connection with the importation, distribution, promotion, marketing and sale of VASCEPA in the Recordati Territory. The Company will be responsible for supplying finished product to Recordati at a set price, as defined in the Recordati Licensing Agreement.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an upfront payment of $25.0 million, which was fully recognized during 2025. In addition to the upfront payment, the Company will be eligible to receive sales-based milestone payments and royalties on net sales of VASCEPA in the Recordati Territory. The achievement of sales-based milestone events occurs when annual aggregate net sales of VASCEPA in the Recordati Territory equals or exceeds certain specified thresholds resulting in total payments to the Company of up to $150.0 million. Each such milestone payment will be payable only once regardless of how many times the sales milestone event is achieved. Each such milestone payment is non-refundable and non-creditable against any other milestone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includes the $25.0 million upfront consideration. Any consideration related to sales-based milestones, including royalties, will be recognized when the related sales occur or uncertainty related to the consideration resolved, and therefore have also been excluded from the transaction price. The Company will reevaluate the transaction price in each reporting period and as uncertain events are resolved or other changes in circumstances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2025, the Company recognized $25.0 million as licensing revenue related to the upfront payment received in connection with the Recordati Licensing Agreement (none for the three and six months ended June 30, 2026).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net product revenue of $5.4 million and $8.4 million for the three and six months ended June 30, 2026, respectively, related to sales to Recordati (none for the three and six months ended June 30, 2025). The Company also recognized royalties of $1.4 million and $2.0 million for the three and six months ended June 30, 2026, respectively (none for the three and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 </w:t>
      </w:r>
    </w:p>
    <w:p>
      <w:pPr>
        <w:pStyle w:val="TextBody"/>
        <w:bidi w:val="0"/>
        <w:spacing w:before="120" w:after="283"/>
        <w:jc w:val="left"/>
        <w:rPr>
          <w:rFonts w:ascii="Times New Roman" w:hAnsi="Times New Roman"/>
          <w:sz w:val="20"/>
        </w:rPr>
      </w:pPr>
      <w:r>
        <w:rPr>
          <w:rFonts w:ascii="Times New Roman" w:hAnsi="Times New Roman"/>
          <w:color w:val="000000"/>
          <w:sz w:val="20"/>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the Company will have a one-time option to terminate the agreement effective on the first day of the 97</w:t>
      </w:r>
      <w:r>
        <w:rPr>
          <w:rFonts w:ascii="Times New Roman" w:hAnsi="Times New Roman"/>
          <w:color w:val="000000"/>
          <w:sz w:val="13"/>
        </w:rPr>
        <w:t>th</w:t>
      </w:r>
      <w:r>
        <w:rPr>
          <w:rFonts w:ascii="Times New Roman" w:hAnsi="Times New Roman"/>
          <w:color w:val="000000"/>
          <w:sz w:val="20"/>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the Company receives certain abatements subject to the limitations in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paid annual rent of approximately $0.2 million for the first year following the Zug Commencement Date, and such rent increases by a nominal percentage every year following the first anniversary of the Zug Commencement Date. The Zug Lease was terminated effective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the Company entered into a lease agreement for new office space in Dublin, Ireland, or the Subsequent Dublin Lease. The Subsequent Dublin Lease commenced on September 1, 2024, or the Subsequent Dublin Commencement Date, for a two-year period. Under the Subsequent Dublin Lease, the Company paid annual rent of approximately $0.5 million during the duration of the lease term, which was terminated effective on February 28,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2025, the Company entered into an amended lease agreement, which amended the Subsequent Dublin Lease, for additional office space in Dublin, Ireland, or the Amended Subsequent Dublin Lease. The Amended Subsequent Dublin Lease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commenced on March 1, 2025, or the Amended Subsequent Dublin Commencement Date, for a two-year period. Under the Amended Subsequent Dublin Lease, the Company will pay annual rent of approximately $0.9 million during the duration of the lease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licensing agreement with Recordati, the Company had lease agreements for various automobiles with terms ranging from month-to-month up to 36 months within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operating lease liability is $7.2 million and $8.2 million and the total operating lease right-of-use asset is $5.6 million and $6.5 million, as of June 30, 2026 and December 31,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expense for the three and six months ended June 30, 2026 is approximately $0.7 million and $1.3 million, respectively. The lease expense for the three and six months ended June 30, 2025 is approximately $0.9 million and $1.8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depicts a maturity analysis of the Company’s undiscounted payments for its operating lease liabilities and their reconciliation with the carrying amount of lease liability presented in the statement of financial position as of June 30, 2026:</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2956"/>
        <w:gridCol w:w="146"/>
        <w:gridCol w:w="550"/>
        <w:gridCol w:w="1655"/>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Undiscounted 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Lessor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20, 2023, the Company entered into a sublease agreement, or the Sublease, for 50,000 square feet of the 67,747 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income are as follows:</w:t>
      </w:r>
    </w:p>
    <w:tbl>
      <w:tblPr>
        <w:tblW w:w="9297" w:type="dxa"/>
        <w:jc w:val="left"/>
        <w:tblInd w:w="0" w:type="dxa"/>
        <w:tblLayout w:type="fixed"/>
        <w:tblCellMar>
          <w:top w:w="28" w:type="dxa"/>
          <w:left w:w="28" w:type="dxa"/>
          <w:bottom w:w="28" w:type="dxa"/>
          <w:right w:w="28" w:type="dxa"/>
        </w:tblCellMar>
      </w:tblPr>
      <w:tblGrid>
        <w:gridCol w:w="3166"/>
        <w:gridCol w:w="146"/>
        <w:gridCol w:w="386"/>
        <w:gridCol w:w="771"/>
        <w:gridCol w:w="267"/>
        <w:gridCol w:w="267"/>
        <w:gridCol w:w="386"/>
        <w:gridCol w:w="771"/>
        <w:gridCol w:w="146"/>
        <w:gridCol w:w="146"/>
        <w:gridCol w:w="360"/>
        <w:gridCol w:w="718"/>
        <w:gridCol w:w="249"/>
        <w:gridCol w:w="249"/>
        <w:gridCol w:w="360"/>
        <w:gridCol w:w="718"/>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Interest income from sales-type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Operating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minimum sales-type lease and operating lease receivables as of June 30, 2026 are as follows:</w:t>
      </w:r>
    </w:p>
    <w:tbl>
      <w:tblPr>
        <w:tblW w:w="5070" w:type="dxa"/>
        <w:jc w:val="left"/>
        <w:tblInd w:w="0" w:type="dxa"/>
        <w:tblLayout w:type="fixed"/>
        <w:tblCellMar>
          <w:top w:w="28" w:type="dxa"/>
          <w:left w:w="28" w:type="dxa"/>
          <w:bottom w:w="28" w:type="dxa"/>
          <w:right w:w="28" w:type="dxa"/>
        </w:tblCellMar>
      </w:tblPr>
      <w:tblGrid>
        <w:gridCol w:w="1681"/>
        <w:gridCol w:w="146"/>
        <w:gridCol w:w="464"/>
        <w:gridCol w:w="931"/>
        <w:gridCol w:w="146"/>
        <w:gridCol w:w="146"/>
        <w:gridCol w:w="367"/>
        <w:gridCol w:w="998"/>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Sales-Type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8" w:name="item_2_managements_discussion_analysis"/>
      <w:bookmarkEnd w:id="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2025, or our Annual Report, and under Part II, Item 1A, “Risk Factors” of this Quarterly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pharmaceutical company focused on the commercialization and development of therapeutics to improve cardiovascular, or CV, health and reduce CV risk. </w:t>
      </w:r>
    </w:p>
    <w:p>
      <w:pPr>
        <w:pStyle w:val="TextBody"/>
        <w:bidi w:val="0"/>
        <w:spacing w:before="120" w:after="283"/>
        <w:jc w:val="left"/>
        <w:rPr>
          <w:rFonts w:ascii="Times New Roman" w:hAnsi="Times New Roman"/>
          <w:sz w:val="20"/>
        </w:rPr>
      </w:pPr>
      <w:r>
        <w:rPr>
          <w:rFonts w:ascii="Times New Roman" w:hAnsi="Times New Roman"/>
          <w:color w:val="000000"/>
          <w:sz w:val="20"/>
        </w:rPr>
        <w:t>Our commercialized product, VASCEPA</w:t>
      </w:r>
      <w:r>
        <w:rPr>
          <w:rFonts w:ascii="Times New Roman" w:hAnsi="Times New Roman"/>
          <w:color w:val="000000"/>
          <w:sz w:val="13"/>
        </w:rPr>
        <w:t>®</w:t>
      </w:r>
      <w:r>
        <w:rPr>
          <w:rFonts w:ascii="Times New Roman" w:hAnsi="Times New Roman"/>
          <w:color w:val="000000"/>
          <w:sz w:val="20"/>
        </w:rPr>
        <w:t xml:space="preserve"> (icosapent ethyl, or IPE) was first approved by the United States, or U.S., Food and Drug Administration, or U.S. FDA, in July 2012 for use as an adjunct to diet to reduce triglyceride, or TG, levels in adult patients with severe (≥500 mg/dL) hypertriglyceridemia, or HTG, or the MARINE indication. On December 13, 2019, the U.S. FDA approved another indication and label expansion for VASCEPA based on the results of our long-term CV outcomes trial, REDUCE-IT</w:t>
      </w:r>
      <w:r>
        <w:rPr>
          <w:rFonts w:ascii="Times New Roman" w:hAnsi="Times New Roman"/>
          <w:color w:val="000000"/>
          <w:sz w:val="13"/>
        </w:rPr>
        <w:t>®</w:t>
      </w:r>
      <w:r>
        <w:rPr>
          <w:rFonts w:ascii="Times New Roman" w:hAnsi="Times New Roman"/>
          <w:color w:val="000000"/>
          <w:sz w:val="20"/>
        </w:rPr>
        <w:t xml:space="preserve">, or Reduction of CV Events with EPA – Intervention Trial. VASCEPA is approved by the U.S. FDA as an adjunct to maximally tolerated statin therapy for reducing persistent CV risk in select high risk-patients, or the REDUCE-IT indication. </w:t>
      </w:r>
    </w:p>
    <w:p>
      <w:pPr>
        <w:pStyle w:val="TextBody"/>
        <w:bidi w:val="0"/>
        <w:spacing w:before="120" w:after="283"/>
        <w:jc w:val="left"/>
        <w:rPr>
          <w:rFonts w:ascii="Times New Roman" w:hAnsi="Times New Roman"/>
          <w:sz w:val="20"/>
        </w:rPr>
      </w:pPr>
      <w:r>
        <w:rPr>
          <w:rFonts w:ascii="Times New Roman" w:hAnsi="Times New Roman"/>
          <w:color w:val="000000"/>
          <w:sz w:val="20"/>
        </w:rPr>
        <w:t>On March 26, 2021, the European Commission, or EC, approved the marketing authorization application for VASCEPA, under the brand name VAZKEPA</w:t>
      </w:r>
      <w:r>
        <w:rPr>
          <w:rFonts w:ascii="Times New Roman" w:hAnsi="Times New Roman"/>
          <w:color w:val="000000"/>
          <w:sz w:val="13"/>
        </w:rPr>
        <w:t>®</w:t>
      </w:r>
      <w:r>
        <w:rPr>
          <w:rFonts w:ascii="Times New Roman" w:hAnsi="Times New Roman"/>
          <w:color w:val="000000"/>
          <w:sz w:val="20"/>
        </w:rPr>
        <w:t>, hereinafter along with VASCEPA, collectively referred to as VASCEPA, in the European Union, or EU, to reduce the risk of CV events in high-risk statin-treated adult patients who have elevated TG (</w:t>
      </w:r>
      <w:r>
        <w:rPr>
          <w:rFonts w:ascii="Times New Roman" w:hAnsi="Times New Roman"/>
          <w:color w:val="000000"/>
          <w:sz w:val="20"/>
          <w:u w:val="single"/>
        </w:rPr>
        <w:t>&gt;</w:t>
      </w:r>
      <w:r>
        <w:rPr>
          <w:rFonts w:ascii="Times New Roman" w:hAnsi="Times New Roman"/>
          <w:color w:val="000000"/>
          <w:sz w:val="20"/>
        </w:rPr>
        <w:t>150 mg/dL) and either established CV disease or diabetes and at least one additional CV risk event. On April 22, 2021, we announced that the Medicines and Healthcare Products Regulatory Agency, or MHRA, approved VAZKEPA in England, Scotland and Wales to reduce CV risk. Collectively, Committee for Medicinal Products for Human Use, or CHMP, EMA, EC and MHRA are referred to herein as the European Regulatory Authorities.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and our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EMA core dossier.</w:t>
      </w:r>
    </w:p>
    <w:tbl>
      <w:tblPr>
        <w:tblW w:w="10205" w:type="dxa"/>
        <w:jc w:val="left"/>
        <w:tblInd w:w="0" w:type="dxa"/>
        <w:tblLayout w:type="fixed"/>
        <w:tblCellMar>
          <w:top w:w="28" w:type="dxa"/>
          <w:left w:w="28" w:type="dxa"/>
          <w:bottom w:w="28" w:type="dxa"/>
          <w:right w:w="28" w:type="dxa"/>
        </w:tblCellMar>
      </w:tblPr>
      <w:tblGrid>
        <w:gridCol w:w="5279"/>
        <w:gridCol w:w="146"/>
        <w:gridCol w:w="4780"/>
      </w:tblGrid>
      <w:tr>
        <w:trPr/>
        <w:tc>
          <w:tcPr>
            <w:tcW w:w="5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r>
      <w:tr>
        <w:trPr/>
        <w:tc>
          <w:tcPr>
            <w:tcW w:w="5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VASCEPA (U.S. NDA Core Dossier)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VAZKEPA (EMA Core Dossier)</w:t>
            </w:r>
          </w:p>
        </w:tc>
      </w:tr>
      <w:tr>
        <w:trPr/>
        <w:tc>
          <w:tcPr>
            <w:tcW w:w="5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Amarin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Recordati Industria Chimica e Farmaceutica S.p.A "Recordati" (Europe) (1)</w:t>
            </w:r>
          </w:p>
        </w:tc>
      </w:tr>
      <w:tr>
        <w:trPr/>
        <w:tc>
          <w:tcPr>
            <w:tcW w:w="5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HLS Therapeutics Inc. "HLS"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CSL Seqirus "CSL"(Australia/New Zealand)</w:t>
            </w:r>
          </w:p>
        </w:tc>
      </w:tr>
      <w:tr>
        <w:trPr/>
        <w:tc>
          <w:tcPr>
            <w:tcW w:w="5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Biologix FZCo "Biologix" (Middle East North Africa, or MENA)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Lotus Pharmaceuticals, "Lotus" (Southeast Asia)</w:t>
            </w:r>
          </w:p>
        </w:tc>
      </w:tr>
      <w:tr>
        <w:trPr/>
        <w:tc>
          <w:tcPr>
            <w:tcW w:w="5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Eddingpharm (Asia) Macao Commercial Offshore Limited "Edding" (China Territory)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Neopharm (Israel) 1996 Ltd. "Neopharm" (Israel)</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As part of the Recordati partnership, agreements with Vianex S.A "Vianex" (Greece), Magnapharm Marketing &amp; Sales Romania S.R.L. "Magnapharm" (Romania), and Salus, Veletrgovina, d.o.o, "Salus" (Slovenia) have been transitioned to Recordati.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responsible for supplying VASCEPA to all markets in which the branded product is sold, including countries where the drug is promoted and sold via collaboration with third-party partners that compensate us for such supply. We are not responsible for providing any generic company with drug product. The Company operates in one business segment.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31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IPE have obtained U.S. FDA approval with labeling consistent with the MARINE indication and have entered the U.S. market:</w:t>
      </w:r>
    </w:p>
    <w:tbl>
      <w:tblPr>
        <w:tblW w:w="10205" w:type="dxa"/>
        <w:jc w:val="left"/>
        <w:tblInd w:w="0" w:type="dxa"/>
        <w:tblLayout w:type="fixed"/>
        <w:tblCellMar>
          <w:top w:w="28" w:type="dxa"/>
          <w:left w:w="28" w:type="dxa"/>
          <w:bottom w:w="28" w:type="dxa"/>
          <w:right w:w="28" w:type="dxa"/>
        </w:tblCellMar>
      </w:tblPr>
      <w:tblGrid>
        <w:gridCol w:w="2481"/>
        <w:gridCol w:w="146"/>
        <w:gridCol w:w="2087"/>
        <w:gridCol w:w="146"/>
        <w:gridCol w:w="1729"/>
        <w:gridCol w:w="146"/>
        <w:gridCol w:w="1246"/>
        <w:gridCol w:w="146"/>
        <w:gridCol w:w="1314"/>
        <w:gridCol w:w="146"/>
        <w:gridCol w:w="618"/>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(ANDA Holder)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Distributed / Licensee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FDA MARINE Indication Approval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1-gram Launch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0.5-gram Launch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Active</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Hikma Pharmaceuticals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Hikma Pharmaceuticals USA Inc.;</w:t>
              <w:br/>
              <w:t>Northstar Rx;</w:t>
              <w:br/>
              <w:t>Bryant Ranch Pre-Pack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Reddy’s Laboratories,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Reddy’s Laboratories,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Teva Pharmaceuticals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Teva Pharmaceuticals USA, Inc.;</w:t>
              <w:br/>
              <w:t>AvKare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Apotex,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Apotex, Inc.;</w:t>
              <w:br/>
              <w:t>American Health Packaging;</w:t>
              <w:br/>
              <w:t>Golden State Medical Supply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Zydus Lifesciences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Zydus Pharmaceuticals 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Onesource Specialty (Amneal Original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Amneal 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Humanwell Puracap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Epic Pharma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Ascent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Camber Pharmaceuticals;</w:t>
              <w:br/>
              <w:t>Northstar Rx;</w:t>
              <w:br/>
              <w:t>XL Care 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br/>
              <w:t>February 2024</w:t>
              <w:b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br/>
              <w:t>–</w:t>
              <w:br/>
              <w:t>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Qilu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PharmaObedient (Spriaso Original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Xiamen LP Pharma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Vitruvias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 in the U.S.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4933950" cy="243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33950" cy="24384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t>
      </w:r>
    </w:p>
    <w:p>
      <w:pPr>
        <w:pStyle w:val="TextBody"/>
        <w:bidi w:val="0"/>
        <w:spacing w:before="280" w:after="283"/>
        <w:jc w:val="left"/>
        <w:rPr>
          <w:rFonts w:ascii="Times New Roman" w:hAnsi="Times New Roman"/>
          <w:sz w:val="20"/>
        </w:rPr>
      </w:pPr>
      <w:r>
        <w:rPr>
          <w:rFonts w:ascii="Times New Roman" w:hAnsi="Times New Roman"/>
          <w:b/>
          <w:i/>
          <w:color w:val="000000"/>
          <w:sz w:val="20"/>
        </w:rPr>
        <w:t>Partnerships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core areas of focus is continuing to work on generating revenue from our partnerships in key international markets. We and our partners have obtained varying levels of indication approvals and initiated or are in the process of initiating commercial launches in various territories where our partners have access. We and our partners continue to seek additional regulatory approvals in the countries in which our partners operate. We have agreements in place with the following partners within the respective territories: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146"/>
        <w:gridCol w:w="1433"/>
        <w:gridCol w:w="146"/>
        <w:gridCol w:w="1766"/>
        <w:gridCol w:w="146"/>
        <w:gridCol w:w="1683"/>
        <w:gridCol w:w="146"/>
        <w:gridCol w:w="1966"/>
        <w:gridCol w:w="146"/>
        <w:gridCol w:w="1434"/>
      </w:tblGrid>
      <w:tr>
        <w:trPr/>
        <w:tc>
          <w:tcPr>
            <w:tcW w:w="11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34" w:type="dxa"/>
            <w:tcBorders/>
            <w:shd w:fill="FFFFFF" w:val="clear"/>
            <w:vAlign w:val="center"/>
          </w:tcPr>
          <w:p>
            <w:pPr>
              <w:pStyle w:val="TableContents"/>
              <w:bidi w:val="0"/>
              <w:spacing w:before="0" w:after="283"/>
              <w:jc w:val="left"/>
              <w:rPr>
                <w:sz w:val="4"/>
                <w:szCs w:val="4"/>
              </w:rPr>
            </w:pPr>
            <w:r>
              <w:rPr>
                <w:sz w:val="4"/>
                <w:szCs w:val="4"/>
              </w:rPr>
            </w:r>
          </w:p>
        </w:tc>
      </w:tr>
      <w:tr>
        <w:trPr/>
        <w:tc>
          <w:tcPr>
            <w:tcW w:w="11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Agreement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Country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MARINE Approval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REDUCE-IT Approval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Launch Date</w:t>
            </w:r>
          </w:p>
        </w:tc>
      </w:tr>
      <w:tr>
        <w:trPr/>
        <w:tc>
          <w:tcPr>
            <w:tcW w:w="1193"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Edding </w:t>
            </w:r>
            <w:r>
              <w:rPr>
                <w:rFonts w:ascii="Times New Roman" w:hAnsi="Times New Roman"/>
                <w:color w:val="000000"/>
                <w:sz w:val="13"/>
              </w:rPr>
              <w:t>(1)</w:t>
            </w:r>
          </w:p>
        </w:tc>
        <w:tc>
          <w:tcPr>
            <w:tcW w:w="146"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2015</w:t>
            </w:r>
          </w:p>
        </w:tc>
        <w:tc>
          <w:tcPr>
            <w:tcW w:w="146"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Mainland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2023</w:t>
            </w:r>
          </w:p>
        </w:tc>
      </w:tr>
      <w:tr>
        <w:trPr/>
        <w:tc>
          <w:tcPr>
            <w:tcW w:w="1193"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33"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2024</w:t>
            </w:r>
          </w:p>
        </w:tc>
      </w:tr>
      <w:tr>
        <w:trPr/>
        <w:tc>
          <w:tcPr>
            <w:tcW w:w="119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Biologix </w:t>
            </w:r>
            <w:r>
              <w:rPr>
                <w:rFonts w:ascii="Times New Roman" w:hAnsi="Times New Roman"/>
                <w:color w:val="000000"/>
                <w:sz w:val="13"/>
              </w:rPr>
              <w:t>(2)</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14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2016</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Lebanon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2018</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2019</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Qatar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2022</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Bahrain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Kuwait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Saudi Arabia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11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2020</w:t>
            </w:r>
          </w:p>
        </w:tc>
      </w:tr>
      <w:tr>
        <w:trPr/>
        <w:tc>
          <w:tcPr>
            <w:tcW w:w="119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CSL</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14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2023</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2024</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Zealand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Neopharm </w:t>
            </w:r>
            <w:r>
              <w:rPr>
                <w:rFonts w:ascii="Times New Roman" w:hAnsi="Times New Roman"/>
                <w:color w:val="000000"/>
                <w:sz w:val="13"/>
              </w:rPr>
              <w:t>(3)</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2024</w:t>
            </w:r>
          </w:p>
        </w:tc>
      </w:tr>
      <w:tr>
        <w:trPr/>
        <w:tc>
          <w:tcPr>
            <w:tcW w:w="1193" w:type="dxa"/>
            <w:vMerge w:val="restart"/>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Lotus </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Korea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9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Recordati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VASCEPA is under registration in Macau and Taiwan in the China Territory with Edding.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VASCEPA is under registration in additional countries in the MENA region with Biologix.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VASCEPA is under registration in additional countries in the Israel territory with Neopharm.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VASCEPA is under registration in additional countries in the ASEAN region with Lotus.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VASCEPA is under registration in 59 countries focused in Europe with Recordati.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 Refer to table below for listing of European countries with VAZKEPA currently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we received marketing authorization and regulatory approval in the EU, England, Wales and Scotland with 10 years of market protection and, in April 2024, we were issued a patent that extended our exclusivity to 2039.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an exclusive long-term license and supply agreement with Recordati, or the Recordati Licensing Agreement, related to the development and commercialization of VAZKEPA in 59 countries focused in Europe, or the Recordati Territory. As a result of the Recordati Licensing Agreement, Recordati is solely responsible for commercializing VAZKEPA in the Recordati Territory. Recordati may sell VAZKEPA pursuant to the product reimbursements we have already obtained in Europe, as shown below, and the agreements with existing partners in the Recordati Territory have been transitioned to Recordati. In addition, Recordati will use commercially reasonable efforts to pursue future product reimbursements and approvals in the Recordati Territory.</w:t>
      </w:r>
    </w:p>
    <w:tbl>
      <w:tblPr>
        <w:tblW w:w="10205" w:type="dxa"/>
        <w:jc w:val="left"/>
        <w:tblInd w:w="0" w:type="dxa"/>
        <w:tblLayout w:type="fixed"/>
        <w:tblCellMar>
          <w:top w:w="28" w:type="dxa"/>
          <w:left w:w="28" w:type="dxa"/>
          <w:bottom w:w="28" w:type="dxa"/>
          <w:right w:w="28" w:type="dxa"/>
        </w:tblCellMar>
      </w:tblPr>
      <w:tblGrid>
        <w:gridCol w:w="2713"/>
        <w:gridCol w:w="146"/>
        <w:gridCol w:w="1988"/>
        <w:gridCol w:w="146"/>
        <w:gridCol w:w="1886"/>
        <w:gridCol w:w="146"/>
        <w:gridCol w:w="1573"/>
        <w:gridCol w:w="146"/>
        <w:gridCol w:w="1461"/>
      </w:tblGrid>
      <w:tr>
        <w:trPr/>
        <w:tc>
          <w:tcPr>
            <w:tcW w:w="2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2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 Reimbursement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National Reimbursement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Availability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Launch Date</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2022</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England/Wales/Northern Ireland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2022</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2023</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Greece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2024</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2025</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Slovenia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2025</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Romania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2026</w:t>
            </w:r>
          </w:p>
        </w:tc>
      </w:tr>
      <w:tr>
        <w:trPr/>
        <w:tc>
          <w:tcPr>
            <w:tcW w:w="2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2026</w:t>
            </w:r>
          </w:p>
        </w:tc>
      </w:tr>
      <w:tr>
        <w:trPr/>
        <w:tc>
          <w:tcPr>
            <w:tcW w:w="2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Vianex will be the sole and exclusive distributor of VAZKEPA in the Greek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Salus will be the sole and exclusive distributor of VAZKEPA in the Slovenian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Magnapharm will be the sole and exclusive distributor of VAZKEPA in the Romanian territory to import, register, distribute and commercialize VAZKEPA.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received regulatory approval in Switzerland by the Swiss Agency for Therapeutic Products, or Swissmedic. VAZKEPA has been made available in Switzerland under individual reimbursement since January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responsible for supplying finished product to these partners. We continue to assess other potential partnership opportunities for VASCEPA with companies with the intention of partnering in all other international markets where VASCEPA receives local regulatory approval.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inception in 2011, the REDUCE-IT CV outcomes study of VASCEPA has been the centerpiece of our research and development. We also continue to study the potential mechanisms of action of the single active ingredient in VASCEPA,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REDUCE-IT results, as of the date of the filing of this Quarterly Report, more than 70 clinical treatment guidelines, consensus statements or scientific statements from global medical or scientific societies or within peer reviewed journals have recognized the use of IPE in appropriate at-risk patients for CV risk reductions, including those statements which we were informed of by our global partners as well as guidelines which were newly received during the second quarter of 2026 as listed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European Federation of Internal Medicine released Assessment and Management of Cardiovascular–Kidney–Liver Metabolic-Syndrome in the Primary Care Setting: A Multidisciplinary Consensus Statement, in the European Journal of Internal Medicine. This stated that treatment of elevated triglycerides, or TG, can be considered in high- or very-high-risk patients, with elevated TG (1.52–5.63 mmol/L or 135–499 mg/dL). High-dose IPE (2 g twice daily) could be added to statin therapy to reduce CV risk.</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American Heart Association, or AHA, released a 2026 Scientific Statement update on the Secondary Prevention After Coronary Artery Bypass Graft Surgery, which stated that as a third line therapy if the combination of statin and ezetimibe still fails to achieve the target Low-Density Lipoprotein Cholesterol, or LDL-C, thresholds then consider either PCSK9 inhibitor or IPE if the TG level is between 135 mg/dL (1.5 mmol/L) and 500 mg/dL (5.6 mmol/L).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American College of Cardiology/AHA Joint Committee released a report; the 2026 AHA/American College of Cardiology, or ACC/American Diabetes Association, or ADA/American Society of Nephrology, or ASN, Guideline for the Prevention, Detection, Evaluation, and Management of Cardiovascular-Kidney-Metabolic Syndrome. This report states that for those with persistent HTG on maximally tolerated statins, or with additional CV risk factors, IPE can be considered to lower ASCVD risk. In addition, studies using relative-risk reduction estimates from RCTs and absolute event rates from epidemiologic studies of CAC demonstrate that moderate-to-severe CAC identifies patients at high absolute CVD risk who are most likely to benefit from several preventive therapies indicated for CKM syndrome (statins, GLP-1–based therapy, aggressive BP lowering, and IPE in those with HTG).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at the Digestive Disease Week meeting in Chicago, IL, researchers from Harvard working on an Amarin supported investigator-initiated trial presented data at a poster session. The poster presentation included data on the effect of IPE treatment on fecal metabolites and microbiome among patients with a history of adenoma, and results from a secondary analysis of a prospective, single-arm clinical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at the European Atherosclerosis Society meeting in Athens, Greece, global collaborators presented two Amarin supported oral E-poster presentations. The first presentation reported data on how risk-weighted apolipoprotein B compares to traditional lipid biomarkers in predicting residual CV risk in statin-treated hypertriglyceridemic patients, post hoc analysis of the REDUCE-IT placebo arm. The second presentation reported on residual CV risk from elevated TG in established atherosclerotic CV disease patients from the CPRD database in the 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at the European Society for Clinical Investigation meeting in Lisbon, Portugal, at an oral poster presentation, global collaborators presented a post-hoc analysis of REDUCE-IT reporting the impact of IPE on coagulation biomarkers and clinical outcomes in high-risk CV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at the National Lipid Association meeting in Chicago, IL, researchers from the Geisinger Health System reported on designing and implementation strategies for improving best clinician practices of HTG management in patients post-ACS as a poster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Amarin and global medical and scientific collaborators supported a total of 12 publications inclusive of accepted abstracts, posters, and manuscripts.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Commercial and Clinical Supply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in the U.S.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We continue to negotiate with our contract suppliers to align our supply arrangements with current and future global market demand. As of June 30, 2026, we had inventory of $164.1 million, of which 43% is inventory approved for use in North America.</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70" w:after="283"/>
        <w:jc w:val="left"/>
        <w:rPr>
          <w:rFonts w:ascii="Times New Roman" w:hAnsi="Times New Roman"/>
          <w:sz w:val="20"/>
        </w:rPr>
      </w:pPr>
      <w:r>
        <w:rPr>
          <w:rFonts w:ascii="Times New Roman" w:hAnsi="Times New Roman"/>
          <w:i/>
          <w:color w:val="000000"/>
          <w:sz w:val="20"/>
        </w:rPr>
        <w:t>Product revenue, net</w:t>
      </w:r>
      <w:r>
        <w:rPr>
          <w:rFonts w:ascii="Times New Roman" w:hAnsi="Times New Roman"/>
          <w:color w:val="000000"/>
          <w:sz w:val="20"/>
        </w:rPr>
        <w:t>. All of our product revenue is derived from product sales of 1-gram and 0.5-gram size capsules of VASCEPA, net of 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U.S.,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t>
      </w:r>
    </w:p>
    <w:p>
      <w:pPr>
        <w:pStyle w:val="TextBody"/>
        <w:bidi w:val="0"/>
        <w:spacing w:before="270" w:after="283"/>
        <w:jc w:val="left"/>
        <w:rPr>
          <w:rFonts w:ascii="Times New Roman" w:hAnsi="Times New Roman"/>
          <w:sz w:val="20"/>
        </w:rPr>
      </w:pPr>
      <w:r>
        <w:rPr>
          <w:rFonts w:ascii="Times New Roman" w:hAnsi="Times New Roman"/>
          <w:i/>
          <w:color w:val="000000"/>
          <w:sz w:val="20"/>
        </w:rPr>
        <w:t>Licensing and royalty revenue</w:t>
      </w:r>
      <w:r>
        <w:rPr>
          <w:rFonts w:ascii="Times New Roman" w:hAnsi="Times New Roman"/>
          <w:color w:val="000000"/>
          <w:sz w:val="20"/>
        </w:rPr>
        <w:t>. Licensing and royalty revenue currently consists of revenue attributable to receipt of upfront, non-refundable 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when the uncertainty related to the consideration is resolved.</w:t>
      </w:r>
    </w:p>
    <w:p>
      <w:pPr>
        <w:pStyle w:val="TextBody"/>
        <w:bidi w:val="0"/>
        <w:spacing w:before="27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Cost of goods sold includes the cost of API for VASCEPA on which revenue was recognized during the period, as well as the 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Cost of goods sold may vary by region due to regional approval requirements. Our cost of goods sold is not materially impacted by whether we sell VASCEPA directly in a country or we sell VASCEPA to a commercial partner for resale in a country.</w:t>
      </w:r>
    </w:p>
    <w:p>
      <w:pPr>
        <w:pStyle w:val="TextBody"/>
        <w:bidi w:val="0"/>
        <w:spacing w:before="27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Selling, general and administrative expense consists primarily of salaries and other related costs, including stock-based compensation expense, for personnel in our marketing, executive, business development, finance and information technology functions. Other costs primarily include facility costs and professional fees for accounting, consulting and legal services.</w:t>
      </w:r>
    </w:p>
    <w:p>
      <w:pPr>
        <w:pStyle w:val="TextBody"/>
        <w:bidi w:val="0"/>
        <w:spacing w:before="27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Research and development expense consists primarily of fees paid to professional service providers in 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pStyle w:val="TextBody"/>
        <w:bidi w:val="0"/>
        <w:spacing w:before="270" w:after="283"/>
        <w:jc w:val="left"/>
        <w:rPr>
          <w:rFonts w:ascii="Times New Roman" w:hAnsi="Times New Roman"/>
          <w:sz w:val="20"/>
        </w:rPr>
      </w:pPr>
      <w:r>
        <w:rPr>
          <w:rFonts w:ascii="Times New Roman" w:hAnsi="Times New Roman"/>
          <w:i/>
          <w:color w:val="000000"/>
          <w:sz w:val="20"/>
        </w:rPr>
        <w:t>Restructuring expense</w:t>
      </w:r>
      <w:r>
        <w:rPr>
          <w:rFonts w:ascii="Times New Roman" w:hAnsi="Times New Roman"/>
          <w:color w:val="000000"/>
          <w:sz w:val="20"/>
        </w:rPr>
        <w:t>. Restructuring expense consists of restructuring costs incurred under our June 2025 Global Restructuring Plan, which consists of severance pay, incentive compensation, insurance benefits, stock-based compensation and other contract related costs.</w:t>
      </w:r>
    </w:p>
    <w:p>
      <w:pPr>
        <w:pStyle w:val="TextBody"/>
        <w:bidi w:val="0"/>
        <w:spacing w:before="270" w:after="283"/>
        <w:jc w:val="left"/>
        <w:rPr>
          <w:rFonts w:ascii="Times New Roman" w:hAnsi="Times New Roman"/>
          <w:sz w:val="20"/>
        </w:rPr>
      </w:pPr>
      <w:r>
        <w:rPr>
          <w:rFonts w:ascii="Times New Roman" w:hAnsi="Times New Roman"/>
          <w:i/>
          <w:color w:val="000000"/>
          <w:sz w:val="20"/>
        </w:rPr>
        <w:t>Interest income, net and other income (expense), net</w:t>
      </w:r>
      <w:r>
        <w:rPr>
          <w:rFonts w:ascii="Times New Roman" w:hAnsi="Times New Roman"/>
          <w:color w:val="000000"/>
          <w:sz w:val="20"/>
        </w:rPr>
        <w:t>. Interest income, net, consists primarily of interest earned on our cash and cash equivalents, as well as on our short-term investments. Other income (expense), net, consists of foreign exchange losses and gains as well as sublease income.</w:t>
      </w:r>
    </w:p>
    <w:p>
      <w:pPr>
        <w:pStyle w:val="TextBody"/>
        <w:bidi w:val="0"/>
        <w:spacing w:before="270" w:after="283"/>
        <w:jc w:val="left"/>
        <w:rPr>
          <w:rFonts w:ascii="Times New Roman" w:hAnsi="Times New Roman"/>
          <w:sz w:val="20"/>
        </w:rPr>
      </w:pPr>
      <w:r>
        <w:rPr>
          <w:rFonts w:ascii="Times New Roman" w:hAnsi="Times New Roman"/>
          <w:i/>
          <w:color w:val="000000"/>
          <w:sz w:val="20"/>
        </w:rPr>
        <w:t>Benefit from (provision for) income taxes.</w:t>
      </w:r>
      <w:r>
        <w:rPr>
          <w:rFonts w:ascii="Times New Roman" w:hAnsi="Times New Roman"/>
          <w:color w:val="000000"/>
          <w:sz w:val="20"/>
        </w:rPr>
        <w:t xml:space="preserve"> Benefit from (provision for) income taxes, deferred tax assets and liabilities, and reserves for unrecognized tax benefits reflect management’s best assessment of estimated future taxes to be paid. We are subject to income taxes in both the U.S. and foreign jurisdictions. In applying guidance prescribed under ASC 740 and based on present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 xml:space="preserve">evidence and conclusions around the realizability of deferred tax assets, we determined that any tax benefit related to the pretax losses generated for 2026 and 2025 are not more likely than not to be realized. </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recent accounting pronouncements, see Note 2—Significant Accounting Policies in the accompanying Notes to our unaudited condensed consolidated financial statements included elsewhere in this Quarterly Report.</w:t>
      </w:r>
    </w:p>
    <w:p>
      <w:pPr>
        <w:pStyle w:val="TextBody"/>
        <w:bidi w:val="0"/>
        <w:spacing w:before="300" w:after="283"/>
        <w:jc w:val="left"/>
        <w:rPr>
          <w:rFonts w:ascii="Times New Roman" w:hAnsi="Times New Roman"/>
          <w:sz w:val="20"/>
        </w:rPr>
      </w:pPr>
      <w:r>
        <w:rPr>
          <w:rFonts w:ascii="Times New Roman" w:hAnsi="Times New Roman"/>
          <w:b/>
          <w:color w:val="000000"/>
          <w:sz w:val="20"/>
        </w:rPr>
        <w:t>Effects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 impact of inflation on operations has been minimal during the past three years. </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Comparison of Three Months Ended June 30, 2026 and June 30, 2025</w:t>
      </w:r>
    </w:p>
    <w:p>
      <w:pPr>
        <w:pStyle w:val="TextBody"/>
        <w:bidi w:val="0"/>
        <w:spacing w:before="270" w:after="283"/>
        <w:jc w:val="left"/>
        <w:rPr>
          <w:rFonts w:ascii="Times New Roman" w:hAnsi="Times New Roman"/>
          <w:sz w:val="20"/>
        </w:rPr>
      </w:pPr>
      <w:r>
        <w:rPr>
          <w:rFonts w:ascii="Times New Roman" w:hAnsi="Times New Roman"/>
          <w:i/>
          <w:color w:val="000000"/>
          <w:sz w:val="20"/>
        </w:rPr>
        <w:t>Total revenue, net.</w:t>
      </w:r>
      <w:r>
        <w:rPr>
          <w:rFonts w:ascii="Times New Roman" w:hAnsi="Times New Roman"/>
          <w:color w:val="000000"/>
          <w:sz w:val="20"/>
        </w:rPr>
        <w:t xml:space="preserve"> We recorded total revenue, net, of $42.2 million and $72.7 million during the three months ended June 30, 2026 and 2025, respectively, a decrease of $30.5 million, or 42%. Total revenue, net, consists primarily of revenue from the sale of VASCEPA in the U.S. In addition to the U.S., during the three months ending June 30, 2026, we also sold VASCEPA by prescription in certain countries outside of the U.S., through collaborations with third-party companies. As further discussed below, the aforementioned decrease is due primarily to a $23.0 million decrease in licensing and royalty revenue, a $4.3 million decrease in U.S. net product revenue and a $3.3 million decrease in net product revenue outside of the U.S.</w:t>
      </w:r>
    </w:p>
    <w:p>
      <w:pPr>
        <w:pStyle w:val="TextBody"/>
        <w:bidi w:val="0"/>
        <w:spacing w:before="270" w:after="283"/>
        <w:jc w:val="left"/>
        <w:rPr>
          <w:rFonts w:ascii="Times New Roman" w:hAnsi="Times New Roman"/>
          <w:sz w:val="20"/>
        </w:rPr>
      </w:pPr>
      <w:r>
        <w:rPr>
          <w:rFonts w:ascii="Times New Roman" w:hAnsi="Times New Roman"/>
          <w:i/>
          <w:color w:val="000000"/>
          <w:sz w:val="20"/>
        </w:rPr>
        <w:t>Product revenue, net</w:t>
      </w:r>
      <w:r>
        <w:rPr>
          <w:rFonts w:ascii="Times New Roman" w:hAnsi="Times New Roman"/>
          <w:color w:val="000000"/>
          <w:sz w:val="20"/>
        </w:rPr>
        <w:t>. We recorded product revenue, net, of $39.1 million and $46.6 million during the three months ended June 30, 2026 and 2025, respectively, a decrease of $7.5 million, or 16%. This decrease was due primarily to decreases in VASCEPA prices within the U.S., transition of European operations to Recordati and lower sales to our partners outside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U.S. product revenue, net, of $32.2 million and $36.5 million during the three months ended June 30, 2026 and 2025, respectively. This decrease was primarily due to a lower net selling price associated with changes in customer mix.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IPE market in the U.S., based on prescription levels reported by Symphony Health, increased by 3% for the three months ended June 30, 2026 compared to the three months ended June 30, 2025. Our share of the IPE market has increased to approximately 48% in the three months ended June 30, 2026 compared to approximately 43% in the three months ended June 30, 2025. Additionally, based on prescription levels reported by Symphony Health, VASCEPA-branded prescriptions increased by 17% in the three months ended June 30, 2026 compared to the three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 collaboration agreement with Recordati to commercialize VASCEPA in Europe. For the three months ended June 30, 2026, we recorded Europe product revenue, net, of $5.4 million compared to $6.6 million during the three months ended June 30, 2025, primarily due to the change in business structure within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we recorded RoW product revenue, net, of $1.4 million from our six collaboration partners, comprising multiple distinct geographies, compared to $3.5 million during the three months ended June 30, 2025. The decrease reflects normal variability across the multiple geographies encompassing this early stage of a developing ex-U.S.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generic competition in the U.S., we remain confident that the global patient need for VASCEPA is high. For the remainder of 2026, we will continue to (i) competitively manage our market leadership in the U.S., and (ii) drive expanded access and increased patient uptake of VASCEPA through ongoing support of our commercialization partners and their pricing, reimbursement and licensure initiatives in non-U.S. geographies around the world.</w:t>
      </w:r>
    </w:p>
    <w:p>
      <w:pPr>
        <w:pStyle w:val="TextBody"/>
        <w:bidi w:val="0"/>
        <w:spacing w:before="270" w:after="283"/>
        <w:jc w:val="left"/>
        <w:rPr>
          <w:rFonts w:ascii="Times New Roman" w:hAnsi="Times New Roman"/>
          <w:sz w:val="20"/>
        </w:rPr>
      </w:pPr>
      <w:r>
        <w:rPr>
          <w:rFonts w:ascii="Times New Roman" w:hAnsi="Times New Roman"/>
          <w:i/>
          <w:color w:val="000000"/>
          <w:sz w:val="20"/>
        </w:rPr>
        <w:t>Licensing and royalty revenue</w:t>
      </w:r>
      <w:r>
        <w:rPr>
          <w:rFonts w:ascii="Times New Roman" w:hAnsi="Times New Roman"/>
          <w:color w:val="000000"/>
          <w:sz w:val="20"/>
        </w:rPr>
        <w:t xml:space="preserve">. Licensing and royalty revenue during the three months ended June 30, 2026 and 2025 was $3.1 million and $26.1 million, respectively, a decrease of $23.0 million, or 88%. This decrease was primarily due to the recognition of a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$25.0 million upfront payment resulting from the execution of the Recordati Licensing Agreement in prior year offset by higher royalties as a result of increased partner sales within their respective territories.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licensing agreements with certain territories outside of the U.S., we are entitled to a percentage of revenue earned based on sales by our partners. Royalty payments are recognized based on revenue reported by our partners. The amount of licensing and royalty revenue is expected to vary from period to period based on timing of milestones achieved and select partner sales within respective territories. </w:t>
      </w:r>
    </w:p>
    <w:p>
      <w:pPr>
        <w:pStyle w:val="TextBody"/>
        <w:bidi w:val="0"/>
        <w:spacing w:before="27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during the three months ended June 30, 2026 and 2025 was $27.2 million and $22.4 million, respectively, an increase of $4.8 million, or 22%. This increase in cost of goods sold is due to increased product volumes.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API included in the calculation of the average cost of goods sold during the quarters ended June 30, 2026 and 2025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overall gross margin on product sales for the three months ended June 30, 2026 and 2025 was 30% and 52%, respectively. The decrease in gross margin is primarily as a result of a change in customer mix. </w:t>
      </w:r>
    </w:p>
    <w:p>
      <w:pPr>
        <w:pStyle w:val="TextBody"/>
        <w:bidi w:val="0"/>
        <w:spacing w:before="27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Selling, general and administrative expense for the three months ended June 30, 2026 and 2025 was $22.2 million and $38.7 million, respectively, a decrease of $16.5 million, or 43%. Selling, general and administrative expenses for the three months ended June 30, 2026 and 2025 are summarized in the table below:</w:t>
      </w:r>
    </w:p>
    <w:p>
      <w:pPr>
        <w:pStyle w:val="TextBody"/>
        <w:bidi w:val="0"/>
        <w:jc w:val="left"/>
        <w:rPr/>
      </w:pPr>
      <w:r>
        <w:rPr/>
        <w:t> </w:t>
      </w:r>
    </w:p>
    <w:tbl>
      <w:tblPr>
        <w:tblW w:w="6664" w:type="dxa"/>
        <w:jc w:val="left"/>
        <w:tblInd w:w="0" w:type="dxa"/>
        <w:tblLayout w:type="fixed"/>
        <w:tblCellMar>
          <w:top w:w="28" w:type="dxa"/>
          <w:left w:w="28" w:type="dxa"/>
          <w:bottom w:w="28" w:type="dxa"/>
          <w:right w:w="28" w:type="dxa"/>
        </w:tblCellMar>
      </w:tblPr>
      <w:tblGrid>
        <w:gridCol w:w="4111"/>
        <w:gridCol w:w="146"/>
        <w:gridCol w:w="226"/>
        <w:gridCol w:w="726"/>
        <w:gridCol w:w="156"/>
        <w:gridCol w:w="156"/>
        <w:gridCol w:w="226"/>
        <w:gridCol w:w="726"/>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Selling expense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expense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Non-cash stock-based compensation expense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22,186</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Selling expense for the three months ended June 30, 2026 and 2025 was $2.8 million and $14.6 million, respectively, a decrease of $11.8 million, or 81%. This decrease is primarily due to a reduction in costs associated with the Global Restructuring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General and administrative expense for the three months ended June 30, 2026 and 2025 was $17.8 million and $21.2 million, respectively, a decrease of $3.4 million, or 16%. This decrease is primarily due to a decrease in employee-related costs as a result of the reduction in force from the Global Restructuring Plan.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Non-cash stock-based compensation expense for the three months ended June 30, 2026 and 2025 was $1.6 million and $2.9 million, respectively, a decrease of $1.3 million, or 45%. Non-cash stock-based compensation expense represents the estimated costs associated with equity awards issued to internal personnel supporting our selling, general and administrative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manage our spending commitments to support our partners advancing commercialization and pricing and reimbursement efforts, as well as maintaining market leadership in the U.S.</w:t>
      </w:r>
    </w:p>
    <w:p>
      <w:pPr>
        <w:pStyle w:val="TextBody"/>
        <w:bidi w:val="0"/>
        <w:spacing w:before="27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Research and development expense for the three months ended June 30, 2026 and 2025 was $4.8 million and $4.9 million, respectively, a decrease of $0.1 million, or 3%. Research and development expenses for the three months ended June 30, 2026 and 2025 are summarized in the table below:</w:t>
      </w:r>
    </w:p>
    <w:p>
      <w:pPr>
        <w:pStyle w:val="TextBody"/>
        <w:bidi w:val="0"/>
        <w:jc w:val="left"/>
        <w:rPr/>
      </w:pPr>
      <w:r>
        <w:rPr/>
        <w:t> </w:t>
      </w:r>
    </w:p>
    <w:tbl>
      <w:tblPr>
        <w:tblW w:w="7971" w:type="dxa"/>
        <w:jc w:val="left"/>
        <w:tblInd w:w="0" w:type="dxa"/>
        <w:tblLayout w:type="fixed"/>
        <w:tblCellMar>
          <w:top w:w="28" w:type="dxa"/>
          <w:left w:w="28" w:type="dxa"/>
          <w:bottom w:w="28" w:type="dxa"/>
          <w:right w:w="28" w:type="dxa"/>
        </w:tblCellMar>
      </w:tblPr>
      <w:tblGrid>
        <w:gridCol w:w="5416"/>
        <w:gridCol w:w="146"/>
        <w:gridCol w:w="252"/>
        <w:gridCol w:w="683"/>
        <w:gridCol w:w="174"/>
        <w:gridCol w:w="174"/>
        <w:gridCol w:w="252"/>
        <w:gridCol w:w="683"/>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REDUCE-IT study and presentations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Regulatory filing fees and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Non-clinical research activities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Internal staffing, overhead and other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 excluding non-cash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Non-cash stock-based compensation expense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REDUCE-IT study and publications expenses consist primarily of costs incurred to maintain the REDUCE-IT trial data as well as support provided to present at conferences and to provide data to be published in medical journals.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Non-clinical research activities are primarily related to ongoing experiments and analyses further exploring the potential biological activities of IPE.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Non-cash stock-based compensation expense represents the estimated costs associated with equity awards issued to personnel supporting our research and development and regulatory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continuously evaluate all of our research and development investment commitments and priorities and are prepared to adjust such investment levels based on various factors, including the impact of U.S. generic competition, as well as timing of pricing reimbursements throughout the world.</w:t>
      </w:r>
    </w:p>
    <w:p>
      <w:pPr>
        <w:pStyle w:val="TextBody"/>
        <w:bidi w:val="0"/>
        <w:spacing w:before="180" w:after="283"/>
        <w:jc w:val="left"/>
        <w:rPr>
          <w:rFonts w:ascii="Times New Roman" w:hAnsi="Times New Roman"/>
          <w:sz w:val="20"/>
        </w:rPr>
      </w:pPr>
      <w:r>
        <w:rPr>
          <w:rFonts w:ascii="Times New Roman" w:hAnsi="Times New Roman"/>
          <w:i/>
          <w:color w:val="000000"/>
          <w:sz w:val="20"/>
        </w:rPr>
        <w:t>Restructuring expense</w:t>
      </w:r>
      <w:r>
        <w:rPr>
          <w:rFonts w:ascii="Times New Roman" w:hAnsi="Times New Roman"/>
          <w:color w:val="000000"/>
          <w:sz w:val="20"/>
        </w:rPr>
        <w:t xml:space="preserve">. Restructuring expense for the three months ended June 30, 2026 and 2025 was less than $0.1 million and $22.8 million, respectively. The charges in both the current and prior year are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hAnsi="Times New Roman"/>
          <w:i/>
          <w:color w:val="000000"/>
          <w:sz w:val="20"/>
        </w:rPr>
        <w:t>Note 2 Significant Accounting Policies</w:t>
      </w:r>
      <w:r>
        <w:rPr>
          <w:rFonts w:ascii="Times New Roman" w:hAnsi="Times New Roman"/>
          <w:color w:val="000000"/>
          <w:sz w:val="20"/>
        </w:rPr>
        <w:t xml:space="preserve"> for additional information. </w:t>
      </w:r>
    </w:p>
    <w:p>
      <w:pPr>
        <w:pStyle w:val="TextBody"/>
        <w:bidi w:val="0"/>
        <w:spacing w:before="27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Interest income, net, for the three months ended June 30, 2026 and 2025 was $3.1 million and $2.6 million, respectively, an increase of $0.4 million, or 16%. Interest income, net, represents income earned on cash and investment balances.</w:t>
      </w:r>
    </w:p>
    <w:p>
      <w:pPr>
        <w:pStyle w:val="TextBody"/>
        <w:bidi w:val="0"/>
        <w:spacing w:before="27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Other income (expense), net, for the three months ended June 30, 2026 and 2025 was income of $1.1 million and expense of $0.1 million, respectively, an increase of $1.2 million, or 1384%. Other income (expense), net, increased primarily due to the recognition of the Employee Retention Credit, or ERC, awarded as part of the Coronavirus Aid, Relief, and Economic Security, or CARES, Act.</w:t>
      </w:r>
    </w:p>
    <w:p>
      <w:pPr>
        <w:pStyle w:val="TextBody"/>
        <w:bidi w:val="0"/>
        <w:spacing w:before="270" w:after="283"/>
        <w:jc w:val="left"/>
        <w:rPr>
          <w:rFonts w:ascii="Times New Roman" w:hAnsi="Times New Roman"/>
          <w:sz w:val="20"/>
        </w:rPr>
      </w:pPr>
      <w:r>
        <w:rPr>
          <w:rFonts w:ascii="Times New Roman" w:hAnsi="Times New Roman"/>
          <w:i/>
          <w:color w:val="000000"/>
          <w:sz w:val="20"/>
        </w:rPr>
        <w:t>Benefit from (provision for) income taxes.</w:t>
      </w:r>
      <w:r>
        <w:rPr>
          <w:rFonts w:ascii="Times New Roman" w:hAnsi="Times New Roman"/>
          <w:color w:val="000000"/>
          <w:sz w:val="20"/>
        </w:rPr>
        <w:t xml:space="preserve"> Income tax benefit from (provision for) for the three months ended June 30, 2026 and 2025 was a benefit of $0.2 million and a provision of $0.7 million, respectively. The benefit for the three months ended June 30, 2026 is the result of changes in income generated by our U.S. and foreign operations for which tax expense has been recognized based on a full-year estimated U.S. and foreign income tax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Six Months Ended June 30, 2026 and June 30, 2025</w:t>
      </w:r>
    </w:p>
    <w:p>
      <w:pPr>
        <w:pStyle w:val="TextBody"/>
        <w:bidi w:val="0"/>
        <w:spacing w:before="270" w:after="283"/>
        <w:jc w:val="left"/>
        <w:rPr>
          <w:rFonts w:ascii="Times New Roman" w:hAnsi="Times New Roman"/>
          <w:sz w:val="20"/>
        </w:rPr>
      </w:pPr>
      <w:r>
        <w:rPr>
          <w:rFonts w:ascii="Times New Roman" w:hAnsi="Times New Roman"/>
          <w:i/>
          <w:color w:val="000000"/>
          <w:sz w:val="20"/>
        </w:rPr>
        <w:t>Total revenue, net.</w:t>
      </w:r>
      <w:r>
        <w:rPr>
          <w:rFonts w:ascii="Times New Roman" w:hAnsi="Times New Roman"/>
          <w:color w:val="000000"/>
          <w:sz w:val="20"/>
        </w:rPr>
        <w:t xml:space="preserve"> We recorded total revenue, net, of $87.3 million and $114.8 million during the six months ended June 30, 2026 and 2025, respectively, a decrease of $27.4 million, or 24%. Total revenue, net, consists primarily of revenue from the sale of VASCEPA in the U.S. In addition to the U.S., during the six months ended June 30, 2026, we also sold VASCEPA by prescription in certain countries outside of the U.S. through collaborations with third-party companies. As further discussed below, the aforementioned decrease is due primarily to a $22.2 million decrease in licensing and royalty revenue, a $4.3 million decrease in U.S. net product revenue and a $0.9 million decrease in net product revenue outside of the U.S.</w:t>
      </w:r>
    </w:p>
    <w:p>
      <w:pPr>
        <w:pStyle w:val="TextBody"/>
        <w:bidi w:val="0"/>
        <w:spacing w:before="270" w:after="283"/>
        <w:jc w:val="left"/>
        <w:rPr>
          <w:rFonts w:ascii="Times New Roman" w:hAnsi="Times New Roman"/>
          <w:sz w:val="20"/>
        </w:rPr>
      </w:pPr>
      <w:r>
        <w:rPr>
          <w:rFonts w:ascii="Times New Roman" w:hAnsi="Times New Roman"/>
          <w:i/>
          <w:color w:val="000000"/>
          <w:sz w:val="20"/>
        </w:rPr>
        <w:t xml:space="preserve">Product revenue, net. </w:t>
      </w:r>
      <w:r>
        <w:rPr>
          <w:rFonts w:ascii="Times New Roman" w:hAnsi="Times New Roman"/>
          <w:color w:val="000000"/>
          <w:sz w:val="20"/>
        </w:rPr>
        <w:t>We recorded product revenue, net, of $82.4 million and $87.7 million during the six months ended June 30, 2026 and 2025, respectively, a decrease of $5.2 million, or 6%. This decrease was due primarily to 6% and 13% decreases in VASCEPA sales in the U.S.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U.S. product revenue, net, of $67.9 million and $72.2 million during the six months ended June 30, 2026 and 2025, respectively. This decrease was primarily due to a lower net selling price associated with changes in customer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IPE market in the U.S., based on prescription levels reported by Symphony Health, increased for the six months ended June 30, 2026 by 3% as compared to the six months ended June 30, 2025. Our share of the IPE market has increased to approximately 49% in the six months ended June 30, 2026 compared to approximately 42% in the six months ended June 30, 2025. Additionally, based on prescription levels reported by Symphony Health, VASCEPA-branded prescriptions increased by 19% in the six months ended June 30, 2026 compared to the six months ended June 30, 2025.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we entered into a collaboration agreement with Recordati to commercialize VASCEPA in Europe. For the six months ended June 30, 2026, we recorded Europe product revenue, net, of $10.4 million compared to $12.0 million during the six months ended June 30, 2025, primarily due to the change in business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we recorded RoW product revenue, net, of $4.2 million from our six collaboration partners, comprising multiple distinct geographies, compared to $3.5 million during the six months ended June 30, 2025.</w:t>
      </w:r>
    </w:p>
    <w:p>
      <w:pPr>
        <w:pStyle w:val="TextBody"/>
        <w:bidi w:val="0"/>
        <w:spacing w:before="270" w:after="283"/>
        <w:jc w:val="left"/>
        <w:rPr>
          <w:rFonts w:ascii="Times New Roman" w:hAnsi="Times New Roman"/>
          <w:sz w:val="20"/>
        </w:rPr>
      </w:pPr>
      <w:r>
        <w:rPr>
          <w:rFonts w:ascii="Times New Roman" w:hAnsi="Times New Roman"/>
          <w:i/>
          <w:color w:val="000000"/>
          <w:sz w:val="20"/>
        </w:rPr>
        <w:t>Licensing and royalty revenue</w:t>
      </w:r>
      <w:r>
        <w:rPr>
          <w:rFonts w:ascii="Times New Roman" w:hAnsi="Times New Roman"/>
          <w:color w:val="000000"/>
          <w:sz w:val="20"/>
        </w:rPr>
        <w:t>. Licensing and royalty revenue during the six months ended June 30, 2026 and 2025 was $4.9 million and $27.1 million, respectively, a decrease of $22.2 million, or 82%. This decrease was primarily due to the recognition of a $25.0 million upfront payment resulting from the execution of the Recordati Licensing Agreement in the prior year offset by higher royalties as a result of an increase in partner sales within their respective territories.</w:t>
      </w:r>
    </w:p>
    <w:p>
      <w:pPr>
        <w:pStyle w:val="TextBody"/>
        <w:bidi w:val="0"/>
        <w:spacing w:before="27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during the six months ended June 30, 2026 and 2025 was $54.6 million and $39.3 million, respectively, an increase of $15.3 million, or 39%.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API included in the calculation of the average cost of goods sold during the six months ended June 30, 2026 and 2025 was sourced from multiple API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overall gross margin on product sales for the six months ended June 30, 2026 and 2025 was 34% and 55%, respectively. The decrease in gross margin is primarily as a result of a change in customer mix. </w:t>
      </w:r>
    </w:p>
    <w:p>
      <w:pPr>
        <w:pStyle w:val="TextBody"/>
        <w:bidi w:val="0"/>
        <w:spacing w:before="27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Selling, general and administrative expense for the six months ended June 30, 2026 and 2025 was $43.3 million and $75.2 million, respectively, a decrease of $31.9 million, or 42%. Selling, general and administrative expenses for the six months ended June 30, 2026 and 2025 are summarized in the table below:</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4111"/>
        <w:gridCol w:w="146"/>
        <w:gridCol w:w="211"/>
        <w:gridCol w:w="676"/>
        <w:gridCol w:w="146"/>
        <w:gridCol w:w="146"/>
        <w:gridCol w:w="211"/>
        <w:gridCol w:w="676"/>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Selling expense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expense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Non-cash stock-based compensation expense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Selling expense for the six months ended June 30, 2026 and 2025 was $6.7 million and $31.5 million, respectively, a decrease of $24.8 million, or 79%. This decrease is primarily due to a reduction in costs associated with the Global Restructuring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 for the six months ended June 30, 2026 and 2025 was $33.3 million and $37.3 million, respectively, a decrease of $4.1 million, or 11%. This decrease is primarily due to a reduction in costs associated with the Global Restructuring Plan as well as fees associated with the ADS Ratio Change and Recordati EU Licensing Agreement incurred in the prior year. The decreases are offset by costs associated with litigation-related charges in the current year.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Non-cash stock-based compensation expense for the six months ended June 30, 2026 and 2025 was $3.3 million and $6.4 million, respectively, a decrease of $3.1 million, or 48%. Non-cash stock-based compensation expense represents the estimated costs associated with equity awards issued to internal personnel supporting our selling, general and administrative functions. </w:t>
      </w:r>
    </w:p>
    <w:p>
      <w:pPr>
        <w:pStyle w:val="TextBody"/>
        <w:bidi w:val="0"/>
        <w:spacing w:before="27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Research and development expense for the six months ended June 30, 2026 and 2025 was $9.4 million and $10.2 million, respectively, a decrease of $0.8 million, or 8%. Research and development expenses for the six months ended June 30, 2026 and 2025 are summarized in the table below:</w:t>
      </w:r>
    </w:p>
    <w:p>
      <w:pPr>
        <w:pStyle w:val="TextBody"/>
        <w:bidi w:val="0"/>
        <w:jc w:val="left"/>
        <w:rPr/>
      </w:pPr>
      <w:r>
        <w:rPr/>
        <w:t> </w:t>
      </w:r>
    </w:p>
    <w:tbl>
      <w:tblPr>
        <w:tblW w:w="7774" w:type="dxa"/>
        <w:jc w:val="left"/>
        <w:tblInd w:w="0" w:type="dxa"/>
        <w:tblLayout w:type="fixed"/>
        <w:tblCellMar>
          <w:top w:w="28" w:type="dxa"/>
          <w:left w:w="28" w:type="dxa"/>
          <w:bottom w:w="28" w:type="dxa"/>
          <w:right w:w="28" w:type="dxa"/>
        </w:tblCellMar>
      </w:tblPr>
      <w:tblGrid>
        <w:gridCol w:w="5416"/>
        <w:gridCol w:w="146"/>
        <w:gridCol w:w="217"/>
        <w:gridCol w:w="589"/>
        <w:gridCol w:w="150"/>
        <w:gridCol w:w="150"/>
        <w:gridCol w:w="217"/>
        <w:gridCol w:w="698"/>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REDUCE-IT study and presentations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Regulatory filing fees and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Non-clinical research activities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Internal staffing, overhead and other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 excluding non-cash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Non-cash stock-based compensation expense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REDUCE-IT study and publications expenses consist primarily of costs incurred to maintain the REDUCE-IT trial data as well as support provided to present at conferences and to provide data to be published in medical journals.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Non-clinical research activities are primarily related to ongoing experiments and analyses further exploring the potential biological activities of IPE.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Non-cash stock-based compensation expense represents the estimated costs associated with equity awards issued to personnel supporting our research and development and regulatory functions.</w:t>
      </w:r>
    </w:p>
    <w:p>
      <w:pPr>
        <w:pStyle w:val="TextBody"/>
        <w:bidi w:val="0"/>
        <w:spacing w:before="180" w:after="283"/>
        <w:jc w:val="left"/>
        <w:rPr>
          <w:rFonts w:ascii="Times New Roman" w:hAnsi="Times New Roman"/>
          <w:sz w:val="20"/>
        </w:rPr>
      </w:pPr>
      <w:r>
        <w:rPr>
          <w:rFonts w:ascii="Times New Roman" w:hAnsi="Times New Roman"/>
          <w:i/>
          <w:color w:val="000000"/>
          <w:sz w:val="20"/>
        </w:rPr>
        <w:t>Restructuring expense</w:t>
      </w:r>
      <w:r>
        <w:rPr>
          <w:rFonts w:ascii="Times New Roman" w:hAnsi="Times New Roman"/>
          <w:color w:val="000000"/>
          <w:sz w:val="20"/>
        </w:rPr>
        <w:t xml:space="preserve">. Restructuring expense for the six months ended June 30, 2026 and 2025 was $3.4 million and $22.8 million, respectively. The charge in both the current and prior year are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hAnsi="Times New Roman"/>
          <w:i/>
          <w:color w:val="000000"/>
          <w:sz w:val="20"/>
        </w:rPr>
        <w:t>Note 2 Significant Accounting Policies</w:t>
      </w:r>
      <w:r>
        <w:rPr>
          <w:rFonts w:ascii="Times New Roman" w:hAnsi="Times New Roman"/>
          <w:color w:val="000000"/>
          <w:sz w:val="20"/>
        </w:rPr>
        <w:t xml:space="preserve"> for additional information.</w:t>
      </w:r>
    </w:p>
    <w:p>
      <w:pPr>
        <w:pStyle w:val="TextBody"/>
        <w:bidi w:val="0"/>
        <w:spacing w:before="27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Interest income, net, remained consistent at $5.5 million during the six months ended June 30, 2026, compared to $5.5 million during the six months ended June 30, 2025. Interest income, net, represents income earned on cash and investment balances. Interest income, net, represents income earned on cash and investment balances.</w:t>
      </w:r>
    </w:p>
    <w:p>
      <w:pPr>
        <w:pStyle w:val="TextBody"/>
        <w:bidi w:val="0"/>
        <w:spacing w:before="27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Other income (expense), net, for the six months ended June 30, 2026 and 2025 was income of $1.3 million and $0.2 million, respectively, an increase of $1.1 million, or 661%. Other income (expense), net, increased primarily due to the recognition of the Employee Retention Credit, or ERC, awarded as part of the Coronavirus Aid, Relief, and Economic Security, or CARES, Act.</w:t>
      </w:r>
    </w:p>
    <w:p>
      <w:pPr>
        <w:pStyle w:val="TextBody"/>
        <w:bidi w:val="0"/>
        <w:spacing w:before="180" w:after="283"/>
        <w:jc w:val="left"/>
        <w:rPr>
          <w:rFonts w:ascii="Times New Roman" w:hAnsi="Times New Roman"/>
          <w:sz w:val="20"/>
        </w:rPr>
      </w:pPr>
      <w:r>
        <w:rPr>
          <w:rFonts w:ascii="Times New Roman" w:hAnsi="Times New Roman"/>
          <w:i/>
          <w:color w:val="000000"/>
          <w:sz w:val="20"/>
        </w:rPr>
        <w:t>Benefit from (provision for) income taxes.</w:t>
      </w:r>
      <w:r>
        <w:rPr>
          <w:rFonts w:ascii="Times New Roman" w:hAnsi="Times New Roman"/>
          <w:color w:val="000000"/>
          <w:sz w:val="20"/>
        </w:rPr>
        <w:t xml:space="preserve"> Income tax benefit from (provision for) for the six months ended June 30, 2026 and 2025 were provisions of $1.6 million and $2.8 million, respectively. The provision for income taxes for the six months ended June 30, 2026 is the result of income generated by our U.S. and foreign operations for which tax expense has been recognized based on a full-year estimated U.S. and foreign income tax liability.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aggregate sources of liquidity include cash and cash equivalents and restricted cash of $143.8 million and short-term investments of $171.1 million, aggregating $314.9 million. We have no indebtedness. Our cash and cash equivalents primarily include checking accounts and money market funds with original maturities of less than 90 days. Our short-term investments consist of securities that will mature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flows from operating, investing and financing activities, as reflected in the condensed consolidated statements of cash flows, are summarized in the following table:</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681"/>
        <w:gridCol w:w="146"/>
        <w:gridCol w:w="256"/>
        <w:gridCol w:w="566"/>
        <w:gridCol w:w="201"/>
        <w:gridCol w:w="177"/>
        <w:gridCol w:w="256"/>
        <w:gridCol w:w="566"/>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increased during the six months ended June 30, 2026 as compared to the same period in 2025. This is primarily driven by the Global Restructuring Plan and the resulting cost savings, including the elimination of commercial roles in our European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provided by investing activities during the six months ended June 30, 2026 decreased due primarily to the purchases of $90.5 million in investment grade interest-bearing instruments offset by proceeds from the maturity of $88.4 million of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grade interest-bearing instruments as compared to the same period in 2025 where proceeds from the maturity of investment grade interest-bearing instruments were $105.3 million, partially offset by $80.8 million in purchases of investment-grade interest bearing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during the six months ended June 30, 2026 and the same period in 2025 was primarily as a result of taxes paid on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10, 2024, we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net accounts receivable of $92.9 million, and inventory of $164.1 million. We have incurred annual operating losses since our inception and, as a result, we had an accumulated deficit of $1.7 billion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and cash equivalents of $143.6 million and short-term investments of $171.1 million, aggregating $314.6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if we were to decide to proceed with such,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inaccurate, including as a result of the risks discussed under “Risk Factors” in this Quarterly Report and the Annual Report and we could use our capital resources sooner than we expect or fail to achieve positive cash flow.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our contractual obligations related to purchase obligations with certain supply chain contracting parties and operating leases related to real estate used as office space as set forth in Note 5 – Commitments and Contingencies and Note 9 – Leases, respectively, in our unaudited condensed consolidated financial statements included in this Quarterly Report on Form 10-Q, there have been no material changes from the contractual obligations and commitments as of December 31, 2025 previously disclosed in our Annual Report on Form 10-K filed with the SEC on March 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special purpose entities or other off-balance sheet arrangements.</w:t>
      </w:r>
    </w:p>
    <w:p>
      <w:pPr>
        <w:pStyle w:val="TextBody"/>
        <w:bidi w:val="0"/>
        <w:spacing w:before="360" w:after="283"/>
        <w:jc w:val="left"/>
        <w:rPr>
          <w:rFonts w:ascii="Times New Roman" w:hAnsi="Times New Roman"/>
          <w:sz w:val="20"/>
        </w:rPr>
      </w:pPr>
      <w:bookmarkStart w:id="9" w:name="item_3_quantitative_qualitative_disclosu"/>
      <w:bookmarkEnd w:id="9"/>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with respect to the information appearing in Part II, Item 7A “Quantitative and Qualitative Disclosures about Market Risk” of our Annual Report.</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June 30, 2026. Based on such evaluation, our principal executive officer and principal financial officer have concluded that as of June 30, 2026, our disclosure controls and procedures were effective at the reasonable assurance level.</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360" w:after="283"/>
        <w:jc w:val="left"/>
        <w:rPr>
          <w:rFonts w:ascii="Times New Roman" w:hAnsi="Times New Roman"/>
          <w:sz w:val="20"/>
        </w:rPr>
      </w:pPr>
      <w:bookmarkStart w:id="12" w:name="item_1_legal_proceedings"/>
      <w:bookmarkEnd w:id="12"/>
      <w:r>
        <w:rPr>
          <w:rFonts w:ascii="Times New Roman" w:hAnsi="Times New Roman"/>
          <w:b/>
          <w:color w:val="000000"/>
          <w:sz w:val="20"/>
        </w:rPr>
        <w:t xml:space="preserve">Item 1.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ordinary course of business, we are from time to time involved in lawsuits, claims, investigations, proceedings, and threats of litigation relating to intellectual property, commercial arrangements and other matters. Refer to Note 5 – Commitments and Contingencies in this Quarterly Report for any legal proceedings that became reportable during the three months ended June 30, 2026, and updates to any descriptions of previously reported legal proceedings in which there have been material developments during such period. The discussion of legal proceedings included within </w:t>
      </w:r>
      <w:r>
        <w:rPr>
          <w:rFonts w:ascii="Times New Roman" w:hAnsi="Times New Roman"/>
          <w:i/>
          <w:color w:val="000000"/>
          <w:sz w:val="20"/>
        </w:rPr>
        <w:t>Note 5 – Commitments and Contingencies</w:t>
      </w:r>
      <w:r>
        <w:rPr>
          <w:rFonts w:ascii="Times New Roman" w:hAnsi="Times New Roman"/>
          <w:color w:val="000000"/>
          <w:sz w:val="20"/>
        </w:rPr>
        <w:t xml:space="preserve"> is incorporated into this Item 1 by reference. </w:t>
      </w:r>
    </w:p>
    <w:p>
      <w:pPr>
        <w:pStyle w:val="TextBody"/>
        <w:bidi w:val="0"/>
        <w:spacing w:before="36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the risk factors presented under </w:t>
      </w:r>
      <w:r>
        <w:rPr>
          <w:rFonts w:ascii="Times New Roman" w:hAnsi="Times New Roman"/>
          <w:i/>
          <w:color w:val="000000"/>
          <w:sz w:val="20"/>
        </w:rPr>
        <w:t xml:space="preserve">Item 1A. Risk Factors </w:t>
      </w:r>
      <w:r>
        <w:rPr>
          <w:rFonts w:ascii="Times New Roman" w:hAnsi="Times New Roman"/>
          <w:color w:val="000000"/>
          <w:sz w:val="20"/>
        </w:rPr>
        <w:t xml:space="preserve">in our Annual Report on Form 10-K for the year ended December 31, 2025. See </w:t>
      </w:r>
      <w:r>
        <w:rPr>
          <w:rFonts w:ascii="Times New Roman" w:hAnsi="Times New Roman"/>
          <w:i/>
          <w:color w:val="000000"/>
          <w:sz w:val="20"/>
        </w:rPr>
        <w:t>Item 1A</w:t>
      </w:r>
      <w:r>
        <w:rPr>
          <w:rFonts w:ascii="Times New Roman" w:hAnsi="Times New Roman"/>
          <w:color w:val="000000"/>
          <w:sz w:val="20"/>
        </w:rPr>
        <w:t xml:space="preserve">. </w:t>
      </w:r>
      <w:r>
        <w:rPr>
          <w:rFonts w:ascii="Times New Roman" w:hAnsi="Times New Roman"/>
          <w:i/>
          <w:color w:val="000000"/>
          <w:sz w:val="20"/>
        </w:rPr>
        <w:t>Risk Factors</w:t>
      </w:r>
      <w:r>
        <w:rPr>
          <w:rFonts w:ascii="Times New Roman" w:hAnsi="Times New Roman"/>
          <w:color w:val="000000"/>
          <w:sz w:val="20"/>
        </w:rPr>
        <w:t xml:space="preserve"> in our Annual Report on Form 10-K for the year ended December 31, 2025 for a detailed discussion of risk factors affecting the Company.</w:t>
      </w:r>
    </w:p>
    <w:p>
      <w:pPr>
        <w:pStyle w:val="TextBody"/>
        <w:bidi w:val="0"/>
        <w:spacing w:before="360" w:after="283"/>
        <w:jc w:val="left"/>
        <w:rPr>
          <w:rFonts w:ascii="Times New Roman" w:hAnsi="Times New Roman"/>
          <w:b/>
          <w:color w:val="000000"/>
          <w:sz w:val="20"/>
        </w:rPr>
      </w:pPr>
      <w:bookmarkStart w:id="14" w:name="item_2_unregistered_sales_of_equity_secu"/>
      <w:bookmarkEnd w:id="14"/>
      <w:r>
        <w:rPr>
          <w:rFonts w:ascii="Times New Roman" w:hAnsi="Times New Roman"/>
          <w:b/>
          <w:color w:val="000000"/>
          <w:sz w:val="20"/>
        </w:rPr>
        <w:t>Item 2. Unregistered Sales of Equity Securities and Use of Proceeds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ADSs purchased in the second quarter of 2026 are as follows:</w:t>
      </w:r>
    </w:p>
    <w:tbl>
      <w:tblPr>
        <w:tblW w:w="4785" w:type="dxa"/>
        <w:jc w:val="left"/>
        <w:tblInd w:w="0" w:type="dxa"/>
        <w:tblLayout w:type="fixed"/>
        <w:tblCellMar>
          <w:top w:w="28" w:type="dxa"/>
          <w:left w:w="28" w:type="dxa"/>
          <w:bottom w:w="28" w:type="dxa"/>
          <w:right w:w="28" w:type="dxa"/>
        </w:tblCellMar>
      </w:tblPr>
      <w:tblGrid>
        <w:gridCol w:w="1561"/>
        <w:gridCol w:w="146"/>
        <w:gridCol w:w="258"/>
        <w:gridCol w:w="1197"/>
        <w:gridCol w:w="146"/>
        <w:gridCol w:w="146"/>
        <w:gridCol w:w="307"/>
        <w:gridCol w:w="833"/>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 xml:space="preserve">ADSs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ADS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Represents ADSs withheld to satisfy tax withholding amounts due from employees related to the receipt of ADS which resulted from the exercise or vesting of equity awards.</w:t>
      </w:r>
    </w:p>
    <w:p>
      <w:pPr>
        <w:pStyle w:val="TextBody"/>
        <w:bidi w:val="0"/>
        <w:spacing w:before="360" w:after="283"/>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officers or directors, as defined in Rule 16a-1(f), adopted, modified, or terminated a “Rule 10b5-1 trading arrangement” or a “non-Rule 10b5-1 trading arrangement,” as defined in Item 408 of Regulation S-K, during the three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incorporated by reference or filed or furnished as part of this report.</w:t>
      </w:r>
    </w:p>
    <w:tbl>
      <w:tblPr>
        <w:tblW w:w="10205" w:type="dxa"/>
        <w:jc w:val="left"/>
        <w:tblInd w:w="0" w:type="dxa"/>
        <w:tblLayout w:type="fixed"/>
        <w:tblCellMar>
          <w:top w:w="28" w:type="dxa"/>
          <w:left w:w="28" w:type="dxa"/>
          <w:bottom w:w="28" w:type="dxa"/>
          <w:right w:w="28" w:type="dxa"/>
        </w:tblCellMar>
      </w:tblPr>
      <w:tblGrid>
        <w:gridCol w:w="756"/>
        <w:gridCol w:w="146"/>
        <w:gridCol w:w="7338"/>
        <w:gridCol w:w="146"/>
        <w:gridCol w:w="1101"/>
        <w:gridCol w:w="162"/>
        <w:gridCol w:w="556"/>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75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19"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Herein</w:t>
            </w:r>
          </w:p>
        </w:tc>
      </w:tr>
      <w:tr>
        <w:trPr/>
        <w:tc>
          <w:tcPr>
            <w:tcW w:w="75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733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6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hyperlink w:anchor="amrn-ex10_1.htm">
              <w:r>
                <w:rPr>
                  <w:rStyle w:val="InternetLink"/>
                  <w:rFonts w:ascii="Times New Roman" w:hAnsi="Times New Roman"/>
                  <w:color w:val="0000FF"/>
                  <w:sz w:val="20"/>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hyperlink w:anchor="amrn-ex10_1.htm">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hyperlink w:anchor="amrn-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hyperlink w:anchor="amrn-ex31_1.htm">
              <w:r>
                <w:rPr>
                  <w:rStyle w:val="InternetLink"/>
                  <w:rFonts w:ascii="Times New Roman" w:hAnsi="Times New Roman"/>
                  <w:color w:val="0000FF"/>
                  <w:sz w:val="20"/>
                  <w:u w:val="single"/>
                </w:rPr>
                <w:t>Certification of President and Chief Executive Officer (Principal Executive Officer) pursuant to Section 302 of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hyperlink w:anchor="amrn-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hyperlink w:anchor="amrn-ex31_2.htm">
              <w:r>
                <w:rPr>
                  <w:rStyle w:val="InternetLink"/>
                  <w:rFonts w:ascii="Times New Roman" w:hAnsi="Times New Roman"/>
                  <w:color w:val="0000FF"/>
                  <w:sz w:val="20"/>
                  <w:u w:val="single"/>
                </w:rPr>
                <w:t>Certification of Senior Vice President and Chief Financial Officer (Principal Financial Officer and Principal Accounting Officer) pursuant to Section 302 of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hyperlink w:anchor="amrn-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hyperlink w:anchor="amrn-ex32_1.htm">
              <w:r>
                <w:rPr>
                  <w:rStyle w:val="InternetLink"/>
                  <w:rFonts w:ascii="Times New Roman" w:hAnsi="Times New Roman"/>
                  <w:color w:val="0000FF"/>
                  <w:sz w:val="20"/>
                  <w:u w:val="single"/>
                </w:rPr>
                <w:t>Certification of President and Chief Executive Officer (Principal Executive Officer) and Senior Vice President and Chief Financial Officer (Principal Financial Officer and Principal Accounting Officer) pursuant to Section 906 of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Cover Page Interactive Data File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(formatted as inline XBRL with applicable taxonomy extension information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7" w:name="signature"/>
      <w:bookmarkEnd w:id="17"/>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AMARIN CORPORATION PLC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Aaron Berg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Berg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29, 2026</w:t>
      </w:r>
    </w:p>
    <w:p>
      <w:pPr>
        <w:pStyle w:val="TextBody"/>
        <w:bidi w:val="0"/>
        <w:jc w:val="left"/>
        <w:rPr/>
      </w:pPr>
      <w:r>
        <w:rPr/>
        <w:t> </w:t>
      </w:r>
    </w:p>
    <w:tbl>
      <w:tblPr>
        <w:tblW w:w="4708" w:type="dxa"/>
        <w:jc w:val="left"/>
        <w:tblInd w:w="0" w:type="dxa"/>
        <w:tblLayout w:type="fixed"/>
        <w:tblCellMar>
          <w:top w:w="28" w:type="dxa"/>
          <w:left w:w="28" w:type="dxa"/>
          <w:bottom w:w="28" w:type="dxa"/>
          <w:right w:w="28" w:type="dxa"/>
        </w:tblCellMar>
      </w:tblPr>
      <w:tblGrid>
        <w:gridCol w:w="421"/>
        <w:gridCol w:w="146"/>
        <w:gridCol w:w="414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7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AMARIN CORPORATION PLC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Fishman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Fishman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29, 2026</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bookmarkStart w:id="18" w:name="amrn-ex10_1.htm"/>
      <w:bookmarkStart w:id="19" w:name="ksamrnex10_1"/>
      <w:bookmarkEnd w:id="18"/>
      <w:bookmarkEnd w:id="19"/>
      <w:r>
        <w:rPr/>
        <w:t> </w:t>
      </w:r>
      <w:r>
        <w:br w:type="page"/>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AMENDED AND RESTATED</w:t>
        <w:br/>
        <w:t>NON-EMPLOYEE DIRECTOR COMPENSATION POLICY</w:t>
      </w:r>
    </w:p>
    <w:p>
      <w:pPr>
        <w:pStyle w:val="TextBody"/>
        <w:bidi w:val="0"/>
        <w:spacing w:before="80" w:after="240"/>
        <w:jc w:val="center"/>
        <w:rPr>
          <w:rFonts w:ascii="Times New Roman" w:hAnsi="Times New Roman"/>
          <w:color w:val="000000"/>
          <w:sz w:val="24"/>
        </w:rPr>
      </w:pPr>
      <w:r>
        <w:rPr>
          <w:rFonts w:ascii="Times New Roman" w:hAnsi="Times New Roman"/>
          <w:color w:val="000000"/>
          <w:sz w:val="24"/>
        </w:rPr>
        <w:t>As Adopted on June 18, 2026</w:t>
      </w:r>
    </w:p>
    <w:tbl>
      <w:tblPr>
        <w:tblW w:w="7948" w:type="dxa"/>
        <w:jc w:val="left"/>
        <w:tblInd w:w="0" w:type="dxa"/>
        <w:tblLayout w:type="fixed"/>
        <w:tblCellMar>
          <w:top w:w="28" w:type="dxa"/>
          <w:left w:w="28" w:type="dxa"/>
          <w:bottom w:w="28" w:type="dxa"/>
          <w:right w:w="28" w:type="dxa"/>
        </w:tblCellMar>
      </w:tblPr>
      <w:tblGrid>
        <w:gridCol w:w="6271"/>
        <w:gridCol w:w="146"/>
        <w:gridCol w:w="153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Retainer</w:t>
              <w:br/>
              <w:t>(USD$)</w:t>
            </w:r>
          </w:p>
        </w:tc>
      </w:tr>
      <w:tr>
        <w:trPr/>
        <w:tc>
          <w:tcPr>
            <w:tcW w:w="6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Annual Board Retainer Fees:</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left"/>
              <w:rPr/>
            </w:pPr>
            <w:r>
              <w:rPr/>
              <w:t> </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Non-Executive Chair</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4"/>
              </w:rPr>
            </w:pPr>
            <w:r>
              <w:rPr>
                <w:rFonts w:ascii="Times New Roman" w:hAnsi="Times New Roman"/>
                <w:color w:val="000000"/>
                <w:sz w:val="24"/>
              </w:rPr>
              <w:t>95,000</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All Non-Employee Directors</w:t>
            </w:r>
          </w:p>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(Other Than Non-Executive Chair)</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62,500</w:t>
            </w:r>
          </w:p>
        </w:tc>
      </w:tr>
      <w:tr>
        <w:trPr/>
        <w:tc>
          <w:tcPr>
            <w:tcW w:w="6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Annual Chair Retainer Fees:*</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Audit Committee Chair</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4"/>
              </w:rPr>
            </w:pPr>
            <w:r>
              <w:rPr>
                <w:rFonts w:ascii="Times New Roman" w:hAnsi="Times New Roman"/>
                <w:color w:val="000000"/>
                <w:sz w:val="24"/>
              </w:rPr>
              <w:t>25,000</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Remuneration Committee Chair</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4"/>
              </w:rPr>
            </w:pPr>
            <w:r>
              <w:rPr>
                <w:rFonts w:ascii="Times New Roman" w:hAnsi="Times New Roman"/>
                <w:color w:val="000000"/>
                <w:sz w:val="24"/>
              </w:rPr>
              <w:t>20,000</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11,000</w:t>
            </w:r>
          </w:p>
        </w:tc>
      </w:tr>
      <w:tr>
        <w:trPr/>
        <w:tc>
          <w:tcPr>
            <w:tcW w:w="6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Annual Committee Member Retainer Fees:*</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Audit Committee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4"/>
              </w:rPr>
            </w:pPr>
            <w:r>
              <w:rPr>
                <w:rFonts w:ascii="Times New Roman" w:hAnsi="Times New Roman"/>
                <w:color w:val="000000"/>
                <w:sz w:val="24"/>
              </w:rPr>
              <w:t>12,000</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Remuneration Committee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4"/>
              </w:rPr>
            </w:pPr>
            <w:r>
              <w:rPr>
                <w:rFonts w:ascii="Times New Roman" w:hAnsi="Times New Roman"/>
                <w:color w:val="000000"/>
                <w:sz w:val="24"/>
              </w:rPr>
              <w:t>10,000</w:t>
            </w:r>
          </w:p>
        </w:tc>
      </w:tr>
      <w:tr>
        <w:trPr/>
        <w:tc>
          <w:tcPr>
            <w:tcW w:w="6271"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Nominating and Corporate Governance Committee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5,000</w:t>
            </w:r>
          </w:p>
        </w:tc>
      </w:tr>
    </w:tbl>
    <w:p>
      <w:pPr>
        <w:pStyle w:val="TextBody"/>
        <w:bidi w:val="0"/>
        <w:spacing w:before="0" w:after="40"/>
        <w:jc w:val="left"/>
        <w:rPr/>
      </w:pPr>
      <w:r>
        <w:rPr/>
        <w:t> </w:t>
      </w:r>
    </w:p>
    <w:tbl>
      <w:tblPr>
        <w:tblW w:w="7457" w:type="dxa"/>
        <w:jc w:val="left"/>
        <w:tblInd w:w="0" w:type="dxa"/>
        <w:tblLayout w:type="fixed"/>
        <w:tblCellMar>
          <w:top w:w="28" w:type="dxa"/>
          <w:left w:w="28" w:type="dxa"/>
          <w:bottom w:w="28" w:type="dxa"/>
          <w:right w:w="28" w:type="dxa"/>
        </w:tblCellMar>
      </w:tblPr>
      <w:tblGrid>
        <w:gridCol w:w="241"/>
        <w:gridCol w:w="7216"/>
      </w:tblGrid>
      <w:tr>
        <w:trPr/>
        <w:tc>
          <w:tcPr>
            <w:tcW w:w="241"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These fees are in addition to the Annual Board Retainer Fee, as applicable.</w:t>
            </w:r>
          </w:p>
        </w:tc>
      </w:tr>
    </w:tbl>
    <w:p>
      <w:pPr>
        <w:pStyle w:val="TextBody"/>
        <w:bidi w:val="0"/>
        <w:spacing w:before="240" w:after="283"/>
        <w:jc w:val="left"/>
        <w:rPr>
          <w:rFonts w:ascii="Times New Roman" w:hAnsi="Times New Roman"/>
          <w:sz w:val="20"/>
        </w:rPr>
      </w:pPr>
      <w:r>
        <w:rPr>
          <w:rFonts w:ascii="Times New Roman" w:hAnsi="Times New Roman"/>
          <w:color w:val="000000"/>
          <w:sz w:val="24"/>
        </w:rPr>
        <w:t>The annual retainers are paid in equal installments in arrears within 30 days of the end of each calendar quarter, or upon the earlier resignation or removal of the non-employee director. For non-employee directors who join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Amarin Corporation plc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during the calendar year, annual retainers are prorated based on the number of calendar days served by such director in the calendar year.</w:t>
      </w:r>
    </w:p>
    <w:p>
      <w:pPr>
        <w:pStyle w:val="TextBody"/>
        <w:bidi w:val="0"/>
        <w:spacing w:before="240" w:after="283"/>
        <w:jc w:val="left"/>
        <w:rPr>
          <w:rFonts w:ascii="Times New Roman" w:hAnsi="Times New Roman"/>
          <w:sz w:val="20"/>
        </w:rPr>
      </w:pPr>
      <w:r>
        <w:rPr>
          <w:rFonts w:ascii="Times New Roman" w:hAnsi="Times New Roman"/>
          <w:color w:val="000000"/>
          <w:sz w:val="24"/>
        </w:rPr>
        <w:t>Non-employee directors are given an election with respect to the annual retainer, which election is to be exercised within 10 calendar days of the end of each calendar quarter, of receiving their annual retainers in the form of either (i) cash or (ii) unregistered non-American Depositary Shares (“</w:t>
      </w:r>
      <w:r>
        <w:rPr>
          <w:rFonts w:ascii="Times New Roman" w:hAnsi="Times New Roman"/>
          <w:b/>
          <w:i/>
          <w:color w:val="000000"/>
          <w:sz w:val="24"/>
        </w:rPr>
        <w:t>ADSs</w:t>
      </w:r>
      <w:r>
        <w:rPr>
          <w:rFonts w:ascii="Times New Roman" w:hAnsi="Times New Roman"/>
          <w:color w:val="000000"/>
          <w:sz w:val="20"/>
        </w:rPr>
        <w:t>”</w:t>
      </w:r>
      <w:r>
        <w:rPr>
          <w:rFonts w:ascii="Times New Roman" w:hAnsi="Times New Roman"/>
          <w:color w:val="000000"/>
          <w:sz w:val="24"/>
        </w:rPr>
        <w:t>) representing the right to receive 20 ordinary shares par value GBP£0.50 per share of the Company (the “</w:t>
      </w:r>
      <w:r>
        <w:rPr>
          <w:rFonts w:ascii="Times New Roman" w:hAnsi="Times New Roman"/>
          <w:b/>
          <w:i/>
          <w:color w:val="000000"/>
          <w:sz w:val="24"/>
        </w:rPr>
        <w:t>Ordinary Shares</w:t>
      </w:r>
      <w:r>
        <w:rPr>
          <w:rFonts w:ascii="Times New Roman" w:hAnsi="Times New Roman"/>
          <w:color w:val="000000"/>
          <w:sz w:val="20"/>
        </w:rPr>
        <w:t>”</w:t>
      </w:r>
      <w:r>
        <w:rPr>
          <w:rFonts w:ascii="Times New Roman" w:hAnsi="Times New Roman"/>
          <w:color w:val="000000"/>
          <w:sz w:val="24"/>
        </w:rPr>
        <w:t>), with any such issuances to be priced at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greater of (a) the closing price of the Company’s ADSs on Nasdaq on the date which is 10 calendar days after the end of each quarter or (b) GBP£0.50 per share (</w:t>
      </w:r>
      <w:r>
        <w:rPr>
          <w:rFonts w:ascii="Times New Roman" w:hAnsi="Times New Roman"/>
          <w:i/>
          <w:color w:val="000000"/>
          <w:sz w:val="24"/>
        </w:rPr>
        <w:t>i.e.</w:t>
      </w:r>
      <w:r>
        <w:rPr>
          <w:rFonts w:ascii="Times New Roman" w:hAnsi="Times New Roman"/>
          <w:color w:val="000000"/>
          <w:sz w:val="24"/>
        </w:rPr>
        <w:t xml:space="preserve">, par value per Ordinary Share) </w:t>
      </w:r>
      <w:r>
        <w:rPr>
          <w:rFonts w:ascii="Times New Roman" w:hAnsi="Times New Roman"/>
          <w:i/>
          <w:color w:val="000000"/>
          <w:sz w:val="24"/>
        </w:rPr>
        <w:t xml:space="preserve">multiplied by </w:t>
      </w:r>
      <w:r>
        <w:rPr>
          <w:rFonts w:ascii="Times New Roman" w:hAnsi="Times New Roman"/>
          <w:color w:val="000000"/>
          <w:sz w:val="24"/>
        </w:rPr>
        <w:t>20.</w:t>
      </w:r>
    </w:p>
    <w:p>
      <w:pPr>
        <w:pStyle w:val="TextBody"/>
        <w:bidi w:val="0"/>
        <w:spacing w:before="240" w:after="283"/>
        <w:jc w:val="left"/>
        <w:rPr>
          <w:rFonts w:ascii="Times New Roman" w:hAnsi="Times New Roman"/>
          <w:sz w:val="20"/>
        </w:rPr>
      </w:pPr>
      <w:r>
        <w:rPr>
          <w:rFonts w:ascii="Times New Roman" w:hAnsi="Times New Roman"/>
          <w:color w:val="000000"/>
          <w:sz w:val="24"/>
        </w:rPr>
        <w:t>In addition, upon their initial appointment to the Board, non-employee directors will receive an initial equity award with a grant date fair value of USD$262,500, split in value 75% and 25% between share options and restricted share units, respectively. The initial share options will vest one-third on the first anniversary of the grant date and in equal quarterly installments for the two years thereafter, and the exercise price of any share options will be equal to the greater of (a) the closing price of the Company’s ADSs on Nasdaq on the grant date or (b) GBP£0.50 per share (</w:t>
      </w:r>
      <w:r>
        <w:rPr>
          <w:rFonts w:ascii="Times New Roman" w:hAnsi="Times New Roman"/>
          <w:i/>
          <w:color w:val="000000"/>
          <w:sz w:val="24"/>
        </w:rPr>
        <w:t>i.e.</w:t>
      </w:r>
      <w:r>
        <w:rPr>
          <w:rFonts w:ascii="Times New Roman" w:hAnsi="Times New Roman"/>
          <w:color w:val="000000"/>
          <w:sz w:val="24"/>
        </w:rPr>
        <w:t>, par value per Ordinary Share)</w:t>
      </w:r>
      <w:r>
        <w:rPr>
          <w:rFonts w:ascii="Times New Roman" w:hAnsi="Times New Roman"/>
          <w:color w:val="000000"/>
          <w:sz w:val="20"/>
        </w:rPr>
        <w:t xml:space="preserve"> </w:t>
      </w:r>
      <w:r>
        <w:rPr>
          <w:rFonts w:ascii="Times New Roman" w:hAnsi="Times New Roman"/>
          <w:i/>
          <w:color w:val="000000"/>
          <w:sz w:val="24"/>
        </w:rPr>
        <w:t xml:space="preserve">multiplied by </w:t>
      </w:r>
      <w:r>
        <w:rPr>
          <w:rFonts w:ascii="Times New Roman" w:hAnsi="Times New Roman"/>
          <w:color w:val="000000"/>
          <w:sz w:val="24"/>
        </w:rPr>
        <w:t>20. The initial restricted share unit awards vest in equal installments over three years on each anniversary of the grant date.</w:t>
      </w:r>
    </w:p>
    <w:p>
      <w:pPr>
        <w:pStyle w:val="TextBody"/>
        <w:bidi w:val="0"/>
        <w:spacing w:before="240" w:after="283"/>
        <w:jc w:val="left"/>
        <w:rPr>
          <w:rFonts w:ascii="Times New Roman" w:hAnsi="Times New Roman"/>
          <w:sz w:val="20"/>
        </w:rPr>
      </w:pPr>
      <w:r>
        <w:rPr>
          <w:rFonts w:ascii="Times New Roman" w:hAnsi="Times New Roman"/>
          <w:color w:val="000000"/>
          <w:sz w:val="24"/>
        </w:rPr>
        <w:t>In addition, upon their initial appointment to the Board and for so long as the non-employee directors remain on the Board, the new and continuing non-employee directors will receive annual equity awards with a grant date fair value of USD$175,000, split in value 75% and 25% between share options and restricted share units, respectively. The annual share options and the annual restricted share unit awards will vest in full upon the earlier of the one-year anniversary of the grant date (which will be the date of the Company’s annual general meeting of shareholders) or the annual general meeting of shareholders in such anniversary year, and the exercise price of any share options will be equal to the greater of (a) the closing price of the Company’s ADSs on Nasdaq on the grant date or (b) GBP£0.50 per share (</w:t>
      </w:r>
      <w:r>
        <w:rPr>
          <w:rFonts w:ascii="Times New Roman" w:hAnsi="Times New Roman"/>
          <w:i/>
          <w:color w:val="000000"/>
          <w:sz w:val="24"/>
        </w:rPr>
        <w:t>i.e.</w:t>
      </w:r>
      <w:r>
        <w:rPr>
          <w:rFonts w:ascii="Times New Roman" w:hAnsi="Times New Roman"/>
          <w:color w:val="000000"/>
          <w:sz w:val="24"/>
        </w:rPr>
        <w:t xml:space="preserve">, par value per Ordinary Share) </w:t>
      </w:r>
      <w:r>
        <w:rPr>
          <w:rFonts w:ascii="Times New Roman" w:hAnsi="Times New Roman"/>
          <w:i/>
          <w:color w:val="000000"/>
          <w:sz w:val="24"/>
        </w:rPr>
        <w:t xml:space="preserve">multiplied by </w:t>
      </w:r>
      <w:r>
        <w:rPr>
          <w:rFonts w:ascii="Times New Roman" w:hAnsi="Times New Roman"/>
          <w:color w:val="000000"/>
          <w:sz w:val="24"/>
        </w:rPr>
        <w:t>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All equity awards are made pursuant to the terms of the Company’s 2020 Stock Incentive Plan, as amended and in effect from time to time (the “</w:t>
      </w:r>
      <w:r>
        <w:rPr>
          <w:rFonts w:ascii="Times New Roman" w:hAnsi="Times New Roman"/>
          <w:b/>
          <w:i/>
          <w:color w:val="000000"/>
          <w:sz w:val="24"/>
        </w:rPr>
        <w:t>Stock Incentive Plan</w:t>
      </w:r>
      <w:r>
        <w:rPr>
          <w:rFonts w:ascii="Times New Roman" w:hAnsi="Times New Roman"/>
          <w:color w:val="000000"/>
          <w:sz w:val="20"/>
        </w:rPr>
        <w:t>”</w:t>
      </w:r>
      <w:r>
        <w:rPr>
          <w:rFonts w:ascii="Times New Roman" w:hAnsi="Times New Roman"/>
          <w:color w:val="000000"/>
          <w:sz w:val="24"/>
        </w:rPr>
        <w:t>). In the event of a Change of Control (as defined in the Stock Incentive Plan), all share options and restricted share unit awards held by non-employee directors shall immediately become fully vested.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Non-employee directors are also reimbursed for their reasonable out-of-pocket expenses incurred in connection with attending Board and committee meetings.</w:t>
      </w:r>
    </w:p>
    <w:p>
      <w:pPr>
        <w:pStyle w:val="TextBody"/>
        <w:bidi w:val="0"/>
        <w:spacing w:before="240" w:after="283"/>
        <w:jc w:val="left"/>
        <w:rPr>
          <w:rFonts w:ascii="Times New Roman" w:hAnsi="Times New Roman"/>
          <w:sz w:val="20"/>
        </w:rPr>
      </w:pPr>
      <w:r>
        <w:rPr>
          <w:rFonts w:ascii="Times New Roman" w:hAnsi="Times New Roman"/>
          <w:color w:val="000000"/>
          <w:sz w:val="24"/>
        </w:rPr>
        <w:t>Notwithstanding the foregoing, in lieu of the annual equity award that would have been granted on the date of the Company’s 2026 Annual General Meeting of Shareholders (the “</w:t>
      </w:r>
      <w:r>
        <w:rPr>
          <w:rFonts w:ascii="Times New Roman" w:hAnsi="Times New Roman"/>
          <w:b/>
          <w:i/>
          <w:color w:val="000000"/>
          <w:sz w:val="24"/>
        </w:rPr>
        <w:t>2026 Annual Meeting</w:t>
      </w:r>
      <w:r>
        <w:rPr>
          <w:rFonts w:ascii="Times New Roman" w:hAnsi="Times New Roman"/>
          <w:color w:val="000000"/>
          <w:sz w:val="20"/>
        </w:rPr>
        <w:t>”</w:t>
      </w:r>
      <w:r>
        <w:rPr>
          <w:rFonts w:ascii="Times New Roman" w:hAnsi="Times New Roman"/>
          <w:color w:val="000000"/>
          <w:sz w:val="24"/>
        </w:rPr>
        <w:t>) but for the Company’s shareholders’ failure to approve a pre-emption waiver that would have allowed for such grants to occur in the ordinary course, each new and continuing non-employee director will receive an annual restricted cash award of USD$175,000, vesting and payable on the date of the Company’s 2027 Annual Meeting of Shareholders, subject to the continued service of such director until such date.</w:t>
      </w:r>
    </w:p>
    <w:p>
      <w:pPr>
        <w:pStyle w:val="TextBody"/>
        <w:bidi w:val="0"/>
        <w:spacing w:before="240" w:after="283"/>
        <w:jc w:val="left"/>
        <w:rPr>
          <w:rFonts w:ascii="Times New Roman" w:hAnsi="Times New Roman"/>
          <w:sz w:val="20"/>
        </w:rPr>
      </w:pPr>
      <w:r>
        <w:rPr>
          <w:rFonts w:ascii="Times New Roman" w:hAnsi="Times New Roman"/>
          <w:color w:val="000000"/>
          <w:sz w:val="24"/>
        </w:rPr>
        <w:t>Further, notwithstanding the foregoing, in lieu of the initial equity award that would have been granted on the date of the 2026 Annual Meeting but for the Company’s shareholders’ failure to approve a pre-emption waiver that would have allowed for such grants to occur in the ordinary course,the non-employee director appointed in April 2025 will receive an initial restricted cash award of USD$262,500, vesting in equal installments over three years on each anniversary of the date of initial appointment of such director, subject to the continued service of such director until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such dates, and with the first installment payable at this point in time and subsequent installments payable when vested.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20" w:name="amrn-ex31_1.htm"/>
      <w:bookmarkStart w:id="21" w:name="ksamrn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Aaron Berg,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Amarin Corporation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113" w:type="dxa"/>
        <w:jc w:val="left"/>
        <w:tblInd w:w="0" w:type="dxa"/>
        <w:tblLayout w:type="fixed"/>
        <w:tblCellMar>
          <w:top w:w="28" w:type="dxa"/>
          <w:left w:w="28" w:type="dxa"/>
          <w:bottom w:w="28" w:type="dxa"/>
          <w:right w:w="28" w:type="dxa"/>
        </w:tblCellMar>
      </w:tblPr>
      <w:tblGrid>
        <w:gridCol w:w="1756"/>
        <w:gridCol w:w="146"/>
        <w:gridCol w:w="3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July 29,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Aaron Berg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Aaron Berg</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amrn-ex31_2.htm"/>
      <w:bookmarkStart w:id="23" w:name="ksamrn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Fishman,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Amarin Corporation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7003" w:type="dxa"/>
        <w:jc w:val="left"/>
        <w:tblInd w:w="0" w:type="dxa"/>
        <w:tblLayout w:type="fixed"/>
        <w:tblCellMar>
          <w:top w:w="28" w:type="dxa"/>
          <w:left w:w="28" w:type="dxa"/>
          <w:bottom w:w="28" w:type="dxa"/>
          <w:right w:w="28" w:type="dxa"/>
        </w:tblCellMar>
      </w:tblPr>
      <w:tblGrid>
        <w:gridCol w:w="1711"/>
        <w:gridCol w:w="146"/>
        <w:gridCol w:w="514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Fishman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Fishman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mrn-ex32_1.htm"/>
      <w:bookmarkStart w:id="25" w:name="ksamrnex32_1"/>
      <w:bookmarkEnd w:id="24"/>
      <w:bookmarkEnd w:id="25"/>
      <w:r>
        <w:rPr/>
        <w:t> </w:t>
      </w:r>
      <w:r>
        <w:br w:type="page"/>
      </w:r>
    </w:p>
    <w:p>
      <w:pPr>
        <w:pStyle w:val="TextBody"/>
        <w:bidi w:val="0"/>
        <w:spacing w:before="240" w:after="283"/>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STATEMENT PURSUANT TO 18 U.S.C. §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Company’s Quarterly Report on Form 10-Q for the period ended June 30, 2026, to which this Certification is attached as Exhibit 32.1 (the “Quarterly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Quarterly Report fairly presents, in all material respects, the financial condition and results of operations of the Company.</w:t>
      </w:r>
    </w:p>
    <w:p>
      <w:pPr>
        <w:pStyle w:val="TextBody"/>
        <w:bidi w:val="0"/>
        <w:jc w:val="left"/>
        <w:rPr/>
      </w:pPr>
      <w:r>
        <w:rPr/>
        <w:t> </w:t>
      </w:r>
    </w:p>
    <w:tbl>
      <w:tblPr>
        <w:tblW w:w="7003" w:type="dxa"/>
        <w:jc w:val="left"/>
        <w:tblInd w:w="0" w:type="dxa"/>
        <w:tblLayout w:type="fixed"/>
        <w:tblCellMar>
          <w:top w:w="28" w:type="dxa"/>
          <w:left w:w="28" w:type="dxa"/>
          <w:bottom w:w="28" w:type="dxa"/>
          <w:right w:w="28" w:type="dxa"/>
        </w:tblCellMar>
      </w:tblPr>
      <w:tblGrid>
        <w:gridCol w:w="1711"/>
        <w:gridCol w:w="146"/>
        <w:gridCol w:w="514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Aaron 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Peter Fishman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Fishman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27370</Words>
  <Characters>152517</Characters>
  <CharactersWithSpaces>180438</CharactersWithSpaces>
  <Paragraphs>5319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