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120650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3" w:lineRule="exact"/>
        <w:rPr>
          <w:sz w:val="24"/>
          <w:szCs w:val="24"/>
          <w:color w:val="auto"/>
        </w:rPr>
      </w:pPr>
    </w:p>
    <w:p>
      <w:pPr>
        <w:ind w:left="3880" w:right="1820" w:hanging="3872"/>
        <w:spacing w:after="0" w:line="290" w:lineRule="auto"/>
        <w:tabs>
          <w:tab w:leader="none" w:pos="246"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7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78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England and Wales</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0"/>
              </w:rPr>
              <w:t>Not applicable</w:t>
            </w:r>
          </w:p>
        </w:tc>
      </w:tr>
      <w:tr>
        <w:trPr>
          <w:trHeight w:val="193"/>
        </w:trPr>
        <w:tc>
          <w:tcPr>
            <w:tcW w:w="4780" w:type="dxa"/>
            <w:vAlign w:val="bottom"/>
          </w:tcPr>
          <w:p>
            <w:pPr>
              <w:jc w:val="center"/>
              <w:ind w:right="1679"/>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780" w:type="dxa"/>
            <w:vAlign w:val="bottom"/>
          </w:tcPr>
          <w:p>
            <w:pPr>
              <w:jc w:val="center"/>
              <w:ind w:right="169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780" w:type="dxa"/>
            <w:vAlign w:val="bottom"/>
          </w:tcPr>
          <w:p>
            <w:pPr>
              <w:jc w:val="center"/>
              <w:ind w:right="1699"/>
              <w:spacing w:after="0"/>
              <w:rPr>
                <w:sz w:val="20"/>
                <w:szCs w:val="20"/>
                <w:color w:val="auto"/>
              </w:rPr>
            </w:pPr>
            <w:r>
              <w:rPr>
                <w:rFonts w:ascii="Arial" w:cs="Arial" w:eastAsia="Arial" w:hAnsi="Arial"/>
                <w:sz w:val="18"/>
                <w:szCs w:val="18"/>
                <w:b w:val="1"/>
                <w:bCs w:val="1"/>
                <w:color w:val="auto"/>
                <w:w w:val="90"/>
              </w:rPr>
              <w:t>77 Sir John Rogerson’s Quay, Block C,</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4"/>
              </w:rPr>
              <w:t>Dublin 2, Ireland</w:t>
            </w:r>
          </w:p>
        </w:tc>
      </w:tr>
      <w:tr>
        <w:trPr>
          <w:trHeight w:val="234"/>
        </w:trPr>
        <w:tc>
          <w:tcPr>
            <w:tcW w:w="4780" w:type="dxa"/>
            <w:vAlign w:val="bottom"/>
          </w:tcPr>
          <w:p>
            <w:pPr>
              <w:jc w:val="center"/>
              <w:ind w:right="1699"/>
              <w:spacing w:after="0"/>
              <w:rPr>
                <w:sz w:val="20"/>
                <w:szCs w:val="20"/>
                <w:color w:val="auto"/>
              </w:rPr>
            </w:pPr>
            <w:r>
              <w:rPr>
                <w:rFonts w:ascii="Arial" w:cs="Arial" w:eastAsia="Arial" w:hAnsi="Arial"/>
                <w:sz w:val="18"/>
                <w:szCs w:val="18"/>
                <w:b w:val="1"/>
                <w:bCs w:val="1"/>
                <w:color w:val="auto"/>
                <w:w w:val="92"/>
              </w:rPr>
              <w:t>Grand Canal Docklands</w:t>
            </w:r>
          </w:p>
        </w:tc>
        <w:tc>
          <w:tcPr>
            <w:tcW w:w="3120" w:type="dxa"/>
            <w:vAlign w:val="bottom"/>
          </w:tcPr>
          <w:p>
            <w:pPr>
              <w:spacing w:after="0"/>
              <w:rPr>
                <w:sz w:val="20"/>
                <w:szCs w:val="20"/>
                <w:color w:val="auto"/>
              </w:rPr>
            </w:pPr>
          </w:p>
        </w:tc>
      </w:tr>
      <w:tr>
        <w:trPr>
          <w:trHeight w:val="204"/>
        </w:trPr>
        <w:tc>
          <w:tcPr>
            <w:tcW w:w="4780" w:type="dxa"/>
            <w:vAlign w:val="bottom"/>
          </w:tcPr>
          <w:p>
            <w:pPr>
              <w:jc w:val="center"/>
              <w:ind w:right="1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224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189"/>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2240" w:type="dxa"/>
            <w:vAlign w:val="bottom"/>
            <w:tcBorders>
              <w:right w:val="single" w:sz="8" w:color="auto"/>
            </w:tcBorders>
          </w:tcPr>
          <w:p>
            <w:pPr>
              <w:spacing w:after="0"/>
              <w:rPr>
                <w:sz w:val="16"/>
                <w:szCs w:val="16"/>
                <w:color w:val="auto"/>
              </w:rPr>
            </w:pPr>
          </w:p>
        </w:tc>
        <w:tc>
          <w:tcPr>
            <w:tcW w:w="4460" w:type="dxa"/>
            <w:vAlign w:val="bottom"/>
            <w:tcBorders>
              <w:right w:val="single" w:sz="8" w:color="auto"/>
            </w:tcBorders>
          </w:tcPr>
          <w:p>
            <w:pPr>
              <w:spacing w:after="0"/>
              <w:rPr>
                <w:sz w:val="16"/>
                <w:szCs w:val="16"/>
                <w:color w:val="auto"/>
              </w:rPr>
            </w:pPr>
          </w:p>
        </w:tc>
      </w:tr>
      <w:tr>
        <w:trPr>
          <w:trHeight w:val="219"/>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bl>
    <w:p>
      <w:pPr>
        <w:spacing w:after="0" w:line="107" w:lineRule="exact"/>
        <w:rPr>
          <w:sz w:val="24"/>
          <w:szCs w:val="24"/>
          <w:color w:val="auto"/>
        </w:rPr>
      </w:pPr>
    </w:p>
    <w:p>
      <w:pPr>
        <w:ind w:right="30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36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34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8"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ind w:right="580"/>
        <w:spacing w:after="0" w:line="293" w:lineRule="auto"/>
        <w:rPr>
          <w:sz w:val="20"/>
          <w:szCs w:val="20"/>
          <w:color w:val="auto"/>
        </w:rPr>
      </w:pPr>
      <w:r>
        <w:rPr>
          <w:rFonts w:ascii="Arial" w:cs="Arial" w:eastAsia="Arial" w:hAnsi="Arial"/>
          <w:sz w:val="18"/>
          <w:szCs w:val="18"/>
          <w:color w:val="auto"/>
        </w:rPr>
        <w:t>395,302,404 common shares were outstanding as of July 30, 2021, including 395,105,527 shares held as American Depositary Shares (ADSs), each representing one Ordinary Share, 50 pence par value per share and 196,877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6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80" w:type="dxa"/>
            <w:vAlign w:val="bottom"/>
            <w:gridSpan w:val="12"/>
          </w:tcPr>
          <w:p>
            <w:pPr>
              <w:jc w:val="center"/>
              <w:ind w:right="322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 Financial Information</w:t>
              </w:r>
            </w:hyperlink>
          </w:p>
        </w:tc>
        <w:tc>
          <w:tcPr>
            <w:tcW w:w="1020" w:type="dxa"/>
            <w:vAlign w:val="bottom"/>
          </w:tcPr>
          <w:p>
            <w:pPr>
              <w:spacing w:after="0"/>
              <w:rPr>
                <w:sz w:val="24"/>
                <w:szCs w:val="24"/>
                <w:color w:val="auto"/>
              </w:rPr>
            </w:pPr>
          </w:p>
        </w:tc>
      </w:tr>
      <w:tr>
        <w:trPr>
          <w:trHeight w:val="439"/>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180" w:type="dxa"/>
            <w:vAlign w:val="bottom"/>
            <w:gridSpan w:val="5"/>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and December 31,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7"/>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Operations for the three and six months ended June 30, 2021 and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7"/>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 of Changes in Stockholders’ Equity for the six months ended June 30, 2021 and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June 30, 2021 and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86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86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5680" w:type="dxa"/>
            <w:vAlign w:val="bottom"/>
            <w:gridSpan w:val="12"/>
          </w:tcPr>
          <w:p>
            <w:pPr>
              <w:jc w:val="center"/>
              <w:ind w:right="3200"/>
              <w:spacing w:after="0"/>
              <w:rPr>
                <w:rFonts w:ascii="Arial" w:cs="Arial" w:eastAsia="Arial" w:hAnsi="Arial"/>
                <w:sz w:val="18"/>
                <w:szCs w:val="18"/>
                <w:b w:val="1"/>
                <w:bCs w:val="1"/>
                <w:color w:val="0000FF"/>
                <w:w w:val="96"/>
              </w:rPr>
            </w:pPr>
            <w:hyperlink w:anchor="page40">
              <w:r>
                <w:rPr>
                  <w:rFonts w:ascii="Arial" w:cs="Arial" w:eastAsia="Arial" w:hAnsi="Arial"/>
                  <w:sz w:val="18"/>
                  <w:szCs w:val="18"/>
                  <w:b w:val="1"/>
                  <w:bCs w:val="1"/>
                  <w:color w:val="0000FF"/>
                  <w:w w:val="96"/>
                </w:rPr>
                <w:t>PART II – Other Information</w:t>
              </w:r>
            </w:hyperlink>
          </w:p>
        </w:tc>
        <w:tc>
          <w:tcPr>
            <w:tcW w:w="1020" w:type="dxa"/>
            <w:vAlign w:val="bottom"/>
          </w:tcPr>
          <w:p>
            <w:pPr>
              <w:spacing w:after="0"/>
              <w:rPr>
                <w:sz w:val="24"/>
                <w:szCs w:val="24"/>
                <w:color w:val="auto"/>
              </w:rPr>
            </w:pPr>
          </w:p>
        </w:tc>
      </w:tr>
      <w:tr>
        <w:trPr>
          <w:trHeight w:val="398"/>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280" w:type="dxa"/>
            <w:vAlign w:val="bottom"/>
            <w:gridSpan w:val="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2280" w:type="dxa"/>
            <w:vAlign w:val="bottom"/>
            <w:tcBorders>
              <w:top w:val="single" w:sz="8" w:color="0000FF"/>
            </w:tcBorders>
            <w:gridSpan w:val="4"/>
          </w:tcPr>
          <w:p>
            <w:pPr>
              <w:spacing w:after="0"/>
              <w:rPr>
                <w:sz w:val="24"/>
                <w:szCs w:val="24"/>
                <w:color w:val="auto"/>
              </w:rPr>
            </w:pPr>
          </w:p>
        </w:tc>
        <w:tc>
          <w:tcPr>
            <w:tcW w:w="330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86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7"/>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860" w:type="dxa"/>
            <w:vAlign w:val="bottom"/>
            <w:gridSpan w:val="17"/>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860" w:type="dxa"/>
            <w:vAlign w:val="bottom"/>
            <w:gridSpan w:val="1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98"/>
        </w:trPr>
        <w:tc>
          <w:tcPr>
            <w:tcW w:w="1360" w:type="dxa"/>
            <w:vAlign w:val="bottom"/>
            <w:gridSpan w:val="3"/>
          </w:tcPr>
          <w:p>
            <w:pPr>
              <w:ind w:left="20"/>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723"/>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9"/>
          </w:tcPr>
          <w:p>
            <w:pPr>
              <w:jc w:val="right"/>
              <w:ind w:right="4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June 30, 2021</w:t>
            </w:r>
          </w:p>
        </w:tc>
        <w:tc>
          <w:tcPr>
            <w:tcW w:w="16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56"/>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327,016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186,964</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313,969</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182,259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154,574</w:t>
            </w: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272,455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188,864</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28,426</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30,947</w:t>
            </w:r>
          </w:p>
        </w:tc>
        <w:tc>
          <w:tcPr>
            <w:tcW w:w="100" w:type="dxa"/>
            <w:vAlign w:val="bottom"/>
          </w:tcPr>
          <w:p>
            <w:pPr>
              <w:spacing w:after="0"/>
              <w:rPr>
                <w:sz w:val="21"/>
                <w:szCs w:val="21"/>
                <w:color w:val="auto"/>
              </w:rPr>
            </w:pPr>
          </w:p>
        </w:tc>
      </w:tr>
      <w:tr>
        <w:trPr>
          <w:trHeight w:val="250"/>
        </w:trPr>
        <w:tc>
          <w:tcPr>
            <w:tcW w:w="676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995,983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Intangible asset, net</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r>
      <w:tr>
        <w:trPr>
          <w:trHeight w:val="290"/>
        </w:trPr>
        <w:tc>
          <w:tcPr>
            <w:tcW w:w="67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1,044,991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141,251</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226,545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198,641</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Current deferred revenue</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1"/>
                <w:szCs w:val="21"/>
                <w:color w:val="auto"/>
              </w:rPr>
            </w:pPr>
          </w:p>
        </w:tc>
      </w:tr>
      <w:tr>
        <w:trPr>
          <w:trHeight w:val="250"/>
        </w:trPr>
        <w:tc>
          <w:tcPr>
            <w:tcW w:w="676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370,439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76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Long-term deferred revenue</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Long-term operating lease liability</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21"/>
                <w:szCs w:val="21"/>
                <w:color w:val="auto"/>
              </w:rPr>
            </w:pPr>
          </w:p>
        </w:tc>
      </w:tr>
      <w:tr>
        <w:trPr>
          <w:trHeight w:val="257"/>
        </w:trPr>
        <w:tc>
          <w:tcPr>
            <w:tcW w:w="6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760" w:type="dxa"/>
            <w:vAlign w:val="bottom"/>
          </w:tcPr>
          <w:p>
            <w:pPr>
              <w:ind w:left="10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399,667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338,516</w:t>
            </w:r>
          </w:p>
        </w:tc>
        <w:tc>
          <w:tcPr>
            <w:tcW w:w="100" w:type="dxa"/>
            <w:vAlign w:val="bottom"/>
          </w:tcPr>
          <w:p>
            <w:pPr>
              <w:spacing w:after="0"/>
              <w:rPr>
                <w:sz w:val="21"/>
                <w:szCs w:val="21"/>
                <w:color w:val="auto"/>
              </w:rPr>
            </w:pPr>
          </w:p>
        </w:tc>
      </w:tr>
      <w:tr>
        <w:trPr>
          <w:trHeight w:val="25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760" w:type="dxa"/>
            <w:vAlign w:val="bottom"/>
          </w:tcPr>
          <w:p>
            <w:pPr>
              <w:ind w:left="26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 £0.50 par, unlimited authorized; 402,255,276 shares issued,</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5"/>
              </w:rPr>
              <w:t>395,222,188 shares outstanding as of June 30, 2021; 398,425,000 shares issued,</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392,538,081 shares outstanding as of December 31, 2020</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292,782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290,115</w:t>
            </w:r>
          </w:p>
        </w:tc>
        <w:tc>
          <w:tcPr>
            <w:tcW w:w="100" w:type="dxa"/>
            <w:vAlign w:val="bottom"/>
            <w:shd w:val="clear" w:color="auto" w:fill="CFF0FC"/>
          </w:tcPr>
          <w:p>
            <w:pPr>
              <w:spacing w:after="0"/>
              <w:rPr>
                <w:sz w:val="21"/>
                <w:szCs w:val="21"/>
                <w:color w:val="auto"/>
              </w:rPr>
            </w:pP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1,834,548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1,817,649</w:t>
            </w:r>
          </w:p>
        </w:tc>
        <w:tc>
          <w:tcPr>
            <w:tcW w:w="100" w:type="dxa"/>
            <w:vAlign w:val="bottom"/>
          </w:tcPr>
          <w:p>
            <w:pPr>
              <w:spacing w:after="0"/>
              <w:rPr>
                <w:sz w:val="21"/>
                <w:szCs w:val="21"/>
                <w:color w:val="auto"/>
              </w:rPr>
            </w:pPr>
          </w:p>
        </w:tc>
      </w:tr>
      <w:tr>
        <w:trPr>
          <w:trHeight w:val="249"/>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Treasury stock; 7,033,088 shares as of June 30, 2021; 5,886,919 shares as of</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6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(59,011 )</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(51,082 )</w:t>
            </w:r>
          </w:p>
        </w:tc>
      </w:tr>
      <w:tr>
        <w:trPr>
          <w:trHeight w:val="250"/>
        </w:trPr>
        <w:tc>
          <w:tcPr>
            <w:tcW w:w="6760" w:type="dxa"/>
            <w:vAlign w:val="bottom"/>
          </w:tcPr>
          <w:p>
            <w:pPr>
              <w:ind w:left="5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(1,422,995 )</w:t>
            </w:r>
          </w:p>
        </w:tc>
        <w:tc>
          <w:tcPr>
            <w:tcW w:w="16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(1,429,177 )</w:t>
            </w:r>
          </w:p>
        </w:tc>
      </w:tr>
      <w:tr>
        <w:trPr>
          <w:trHeight w:val="250"/>
        </w:trPr>
        <w:tc>
          <w:tcPr>
            <w:tcW w:w="676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645,324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760" w:type="dxa"/>
            <w:vAlign w:val="bottom"/>
          </w:tcPr>
          <w:p>
            <w:pPr>
              <w:ind w:left="7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1,044,991</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-4625340</wp:posOffset>
            </wp:positionV>
            <wp:extent cx="1631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-4625340</wp:posOffset>
            </wp:positionV>
            <wp:extent cx="603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-3634105</wp:posOffset>
            </wp:positionV>
            <wp:extent cx="163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-3616960</wp:posOffset>
            </wp:positionV>
            <wp:extent cx="163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-3634105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-3616960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-2619375</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-2619375</wp:posOffset>
            </wp:positionV>
            <wp:extent cx="603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-1959610</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-1959610</wp:posOffset>
            </wp:positionV>
            <wp:extent cx="60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-193675</wp:posOffset>
            </wp:positionV>
            <wp:extent cx="1631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-193675</wp:posOffset>
            </wp:positionV>
            <wp:extent cx="60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6"/>
        </w:trPr>
        <w:tc>
          <w:tcPr>
            <w:tcW w:w="5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133,724</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295,156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285,928</w:t>
            </w: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r>
      <w:tr>
        <w:trPr>
          <w:trHeight w:val="257"/>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154,488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135,317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296,658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290,310</w:t>
            </w: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63,604</w:t>
            </w:r>
          </w:p>
        </w:tc>
        <w:tc>
          <w:tcPr>
            <w:tcW w:w="100" w:type="dxa"/>
            <w:vAlign w:val="bottom"/>
          </w:tcPr>
          <w:p>
            <w:pPr>
              <w:spacing w:after="0"/>
              <w:rPr>
                <w:sz w:val="21"/>
                <w:szCs w:val="21"/>
                <w:color w:val="auto"/>
              </w:rPr>
            </w:pPr>
          </w:p>
        </w:tc>
      </w:tr>
      <w:tr>
        <w:trPr>
          <w:trHeight w:val="25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122,333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106,520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236,177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107,203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213,001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226,332</w:t>
            </w: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20,247</w:t>
            </w:r>
          </w:p>
        </w:tc>
        <w:tc>
          <w:tcPr>
            <w:tcW w:w="100" w:type="dxa"/>
            <w:vAlign w:val="bottom"/>
          </w:tcPr>
          <w:p>
            <w:pPr>
              <w:spacing w:after="0"/>
              <w:rPr>
                <w:sz w:val="21"/>
                <w:szCs w:val="21"/>
                <w:color w:val="auto"/>
              </w:rPr>
            </w:pPr>
          </w:p>
        </w:tc>
      </w:tr>
      <w:tr>
        <w:trPr>
          <w:trHeight w:val="250"/>
        </w:trPr>
        <w:tc>
          <w:tcPr>
            <w:tcW w:w="5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113,560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102,364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228,735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(19,873 )</w:t>
            </w:r>
          </w:p>
        </w:tc>
      </w:tr>
      <w:tr>
        <w:trPr>
          <w:trHeight w:val="26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(191 )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 before taxes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(18,497 )</w:t>
            </w: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(1,059 )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(1,683 )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(16,138 )</w:t>
            </w:r>
          </w:p>
        </w:tc>
      </w:tr>
      <w:tr>
        <w:trPr>
          <w:trHeight w:val="237"/>
        </w:trPr>
        <w:tc>
          <w:tcPr>
            <w:tcW w:w="57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(0.04 )</w:t>
            </w:r>
          </w:p>
        </w:tc>
      </w:tr>
      <w:tr>
        <w:trPr>
          <w:trHeight w:val="250"/>
        </w:trPr>
        <w:tc>
          <w:tcPr>
            <w:tcW w:w="5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(0.04 )</w:t>
            </w:r>
          </w:p>
        </w:tc>
      </w:tr>
      <w:tr>
        <w:trPr>
          <w:trHeight w:val="26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395,899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384,663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395,272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373,300</w:t>
            </w: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401,767</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399,664</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402,778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373,300</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-2670810</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-2670810</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-2670810</wp:posOffset>
            </wp:positionV>
            <wp:extent cx="146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-2670810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-2002155</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-2002155</wp:posOffset>
            </wp:positionV>
            <wp:extent cx="1460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-2002155</wp:posOffset>
            </wp:positionV>
            <wp:extent cx="1460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-2002155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-1002030</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-985520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-1002030</wp:posOffset>
            </wp:positionV>
            <wp:extent cx="1460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-985520</wp:posOffset>
            </wp:positionV>
            <wp:extent cx="1460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-1002030</wp:posOffset>
            </wp:positionV>
            <wp:extent cx="146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-985520</wp:posOffset>
            </wp:positionV>
            <wp:extent cx="146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-1002030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-985520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64"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Preferred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4"/>
                <w:szCs w:val="14"/>
                <w:color w:val="auto"/>
              </w:rPr>
            </w:pPr>
          </w:p>
        </w:tc>
        <w:tc>
          <w:tcPr>
            <w:tcW w:w="62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Common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4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Deficit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398,425,000</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(5,886,919 )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290,115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1,817,649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(51,082 )</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w w:val="94"/>
              </w:rPr>
              <w:t>$ (1,429,177 )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627,505</w:t>
            </w:r>
          </w:p>
        </w:tc>
        <w:tc>
          <w:tcPr>
            <w:tcW w:w="100" w:type="dxa"/>
            <w:vAlign w:val="bottom"/>
            <w:shd w:val="clear" w:color="auto" w:fill="CFF0FC"/>
          </w:tcPr>
          <w:p>
            <w:pPr>
              <w:spacing w:after="0"/>
              <w:rPr>
                <w:sz w:val="17"/>
                <w:szCs w:val="17"/>
                <w:color w:val="auto"/>
              </w:rPr>
            </w:pPr>
          </w:p>
        </w:tc>
      </w:tr>
      <w:tr>
        <w:trPr>
          <w:trHeight w:val="197"/>
        </w:trPr>
        <w:tc>
          <w:tcPr>
            <w:tcW w:w="24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783,320</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7"/>
                <w:szCs w:val="17"/>
                <w:color w:val="auto"/>
              </w:rPr>
            </w:pPr>
          </w:p>
        </w:tc>
      </w:tr>
      <w:tr>
        <w:trPr>
          <w:trHeight w:val="208"/>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2,447,405</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(1,003,965 )</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(1,709 )</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(7,252 )</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(7,252 )</w:t>
            </w:r>
          </w:p>
        </w:tc>
      </w:tr>
      <w:tr>
        <w:trPr>
          <w:trHeight w:val="197"/>
        </w:trPr>
        <w:tc>
          <w:tcPr>
            <w:tcW w:w="2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13,925</w:t>
            </w:r>
          </w:p>
        </w:tc>
        <w:tc>
          <w:tcPr>
            <w:tcW w:w="100" w:type="dxa"/>
            <w:vAlign w:val="bottom"/>
          </w:tcPr>
          <w:p>
            <w:pPr>
              <w:spacing w:after="0"/>
              <w:rPr>
                <w:sz w:val="17"/>
                <w:szCs w:val="17"/>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(1,626 )</w:t>
            </w: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(1,626 )</w:t>
            </w:r>
          </w:p>
        </w:tc>
      </w:tr>
      <w:tr>
        <w:trPr>
          <w:trHeight w:val="20"/>
        </w:trPr>
        <w:tc>
          <w:tcPr>
            <w:tcW w:w="2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401,655,725</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(6,890,884 )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292,360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1,831,388</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(58,334 )</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 (1,430,803 )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634,611</w:t>
            </w:r>
          </w:p>
        </w:tc>
        <w:tc>
          <w:tcPr>
            <w:tcW w:w="10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4"/>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226,402</w:t>
            </w:r>
          </w:p>
        </w:tc>
        <w:tc>
          <w:tcPr>
            <w:tcW w:w="220" w:type="dxa"/>
            <w:vAlign w:val="bottom"/>
            <w:tcBorders>
              <w:right w:val="single" w:sz="8" w:color="CFF0FC"/>
            </w:tcBorders>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FF0FC"/>
          </w:tcPr>
          <w:p>
            <w:pPr>
              <w:spacing w:after="0"/>
              <w:rPr>
                <w:sz w:val="16"/>
                <w:szCs w:val="16"/>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27,139</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r>
      <w:tr>
        <w:trPr>
          <w:trHeight w:val="209"/>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346,010</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(142,204 )</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(242 )</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(677 )</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(677 )</w:t>
            </w: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7"/>
                <w:szCs w:val="17"/>
                <w:color w:val="auto"/>
              </w:rPr>
            </w:pPr>
          </w:p>
        </w:tc>
      </w:tr>
      <w:tr>
        <w:trPr>
          <w:trHeight w:val="203"/>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for the period</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7,808</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402,255,276</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(7,033,088 )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292,782</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1,834,548</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(59,011 )</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 (1,422,995 )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645,324</w:t>
            </w:r>
          </w:p>
        </w:tc>
        <w:tc>
          <w:tcPr>
            <w:tcW w:w="10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6"/>
        </w:trPr>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4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Preferred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4"/>
                <w:szCs w:val="14"/>
                <w:color w:val="auto"/>
              </w:rPr>
            </w:pPr>
          </w:p>
        </w:tc>
        <w:tc>
          <w:tcPr>
            <w:tcW w:w="62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Common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4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Deficit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289,317,460</w:t>
            </w: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365,014,893</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(4,910,992 )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21,850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269,173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1,764,317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(35,900 )</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w w:val="94"/>
              </w:rPr>
              <w:t>$ (1,411,177 )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608,263</w:t>
            </w:r>
          </w:p>
        </w:tc>
        <w:tc>
          <w:tcPr>
            <w:tcW w:w="100" w:type="dxa"/>
            <w:vAlign w:val="bottom"/>
            <w:shd w:val="clear" w:color="auto" w:fill="CFF0FC"/>
          </w:tcPr>
          <w:p>
            <w:pPr>
              <w:spacing w:after="0"/>
              <w:rPr>
                <w:sz w:val="17"/>
                <w:szCs w:val="17"/>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412,465</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7"/>
                <w:szCs w:val="17"/>
                <w:color w:val="auto"/>
              </w:rPr>
            </w:pPr>
          </w:p>
        </w:tc>
      </w:tr>
      <w:tr>
        <w:trPr>
          <w:trHeight w:val="209"/>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1,951,448</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(759,832 )</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(1,274 )</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(13,831 )</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(13,831 )</w:t>
            </w: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10,591</w:t>
            </w:r>
          </w:p>
        </w:tc>
        <w:tc>
          <w:tcPr>
            <w:tcW w:w="100" w:type="dxa"/>
            <w:vAlign w:val="bottom"/>
          </w:tcPr>
          <w:p>
            <w:pPr>
              <w:spacing w:after="0"/>
              <w:rPr>
                <w:sz w:val="17"/>
                <w:szCs w:val="17"/>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(20,553 )</w:t>
            </w: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(20,553 )</w:t>
            </w:r>
          </w:p>
        </w:tc>
      </w:tr>
      <w:tr>
        <w:trPr>
          <w:trHeight w:val="20"/>
        </w:trPr>
        <w:tc>
          <w:tcPr>
            <w:tcW w:w="2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March 31, 2020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289,317,460</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367,378,806</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(5,670,824 )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21,850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270,716</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1,774,671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(49,731 )</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 (1,431,730 )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585,776</w:t>
            </w:r>
          </w:p>
        </w:tc>
        <w:tc>
          <w:tcPr>
            <w:tcW w:w="10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4"/>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123,608</w:t>
            </w:r>
          </w:p>
        </w:tc>
        <w:tc>
          <w:tcPr>
            <w:tcW w:w="220" w:type="dxa"/>
            <w:vAlign w:val="bottom"/>
            <w:tcBorders>
              <w:right w:val="single" w:sz="8" w:color="CFF0FC"/>
            </w:tcBorders>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FF0FC"/>
          </w:tcPr>
          <w:p>
            <w:pPr>
              <w:spacing w:after="0"/>
              <w:rPr>
                <w:sz w:val="16"/>
                <w:szCs w:val="16"/>
                <w:color w:val="auto"/>
              </w:rPr>
            </w:pPr>
          </w:p>
        </w:tc>
      </w:tr>
      <w:tr>
        <w:trPr>
          <w:trHeight w:val="184"/>
        </w:trPr>
        <w:tc>
          <w:tcPr>
            <w:tcW w:w="2400" w:type="dxa"/>
            <w:vAlign w:val="bottom"/>
          </w:tcPr>
          <w:p>
            <w:pPr>
              <w:ind w:left="20"/>
              <w:spacing w:after="0"/>
              <w:rPr>
                <w:sz w:val="20"/>
                <w:szCs w:val="20"/>
                <w:color w:val="auto"/>
              </w:rPr>
            </w:pPr>
            <w:r>
              <w:rPr>
                <w:rFonts w:ascii="Arial" w:cs="Arial" w:eastAsia="Arial" w:hAnsi="Arial"/>
                <w:sz w:val="14"/>
                <w:szCs w:val="14"/>
                <w:color w:val="auto"/>
              </w:rPr>
              <w:t>Conversion of Series A Convertible</w:t>
            </w:r>
          </w:p>
        </w:tc>
        <w:tc>
          <w:tcPr>
            <w:tcW w:w="900" w:type="dxa"/>
            <w:vAlign w:val="bottom"/>
          </w:tcPr>
          <w:p>
            <w:pPr>
              <w:jc w:val="right"/>
              <w:spacing w:after="0"/>
              <w:rPr>
                <w:sz w:val="20"/>
                <w:szCs w:val="20"/>
                <w:color w:val="auto"/>
              </w:rPr>
            </w:pPr>
            <w:r>
              <w:rPr>
                <w:rFonts w:ascii="Arial" w:cs="Arial" w:eastAsia="Arial" w:hAnsi="Arial"/>
                <w:sz w:val="14"/>
                <w:szCs w:val="14"/>
                <w:color w:val="auto"/>
              </w:rPr>
              <w:t>(237,713,68</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Stock, net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0 )</w:t>
            </w:r>
          </w:p>
        </w:tc>
        <w:tc>
          <w:tcPr>
            <w:tcW w:w="920" w:type="dxa"/>
            <w:vAlign w:val="bottom"/>
          </w:tcPr>
          <w:p>
            <w:pPr>
              <w:jc w:val="right"/>
              <w:spacing w:after="0"/>
              <w:rPr>
                <w:sz w:val="20"/>
                <w:szCs w:val="20"/>
                <w:color w:val="auto"/>
              </w:rPr>
            </w:pPr>
            <w:r>
              <w:rPr>
                <w:rFonts w:ascii="Arial" w:cs="Arial" w:eastAsia="Arial" w:hAnsi="Arial"/>
                <w:sz w:val="14"/>
                <w:szCs w:val="14"/>
                <w:color w:val="auto"/>
              </w:rPr>
              <w:t>23,771,368</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(14,684 )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14,684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(238 )</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(238 )</w:t>
            </w:r>
          </w:p>
        </w:tc>
      </w:tr>
      <w:tr>
        <w:trPr>
          <w:trHeight w:val="208"/>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148,290</w:t>
            </w:r>
          </w:p>
        </w:tc>
        <w:tc>
          <w:tcPr>
            <w:tcW w:w="220" w:type="dxa"/>
            <w:vAlign w:val="bottom"/>
            <w:tcBorders>
              <w:right w:val="single" w:sz="8" w:color="CFF0FC"/>
            </w:tcBorders>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FF0FC"/>
          </w:tcPr>
          <w:p>
            <w:pPr>
              <w:spacing w:after="0"/>
              <w:rPr>
                <w:sz w:val="18"/>
                <w:szCs w:val="18"/>
                <w:color w:val="auto"/>
              </w:rPr>
            </w:pPr>
          </w:p>
        </w:tc>
      </w:tr>
      <w:tr>
        <w:trPr>
          <w:trHeight w:val="197"/>
        </w:trPr>
        <w:tc>
          <w:tcPr>
            <w:tcW w:w="24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167,240</w:t>
            </w: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(70,971 )</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(521 )</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(521 )</w:t>
            </w:r>
          </w:p>
        </w:tc>
      </w:tr>
      <w:tr>
        <w:trPr>
          <w:trHeight w:val="208"/>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12,131</w:t>
            </w:r>
          </w:p>
        </w:tc>
        <w:tc>
          <w:tcPr>
            <w:tcW w:w="100" w:type="dxa"/>
            <w:vAlign w:val="bottom"/>
            <w:shd w:val="clear" w:color="auto" w:fill="CFF0FC"/>
          </w:tcPr>
          <w:p>
            <w:pPr>
              <w:spacing w:after="0"/>
              <w:rPr>
                <w:sz w:val="18"/>
                <w:szCs w:val="18"/>
                <w:color w:val="auto"/>
              </w:rPr>
            </w:pPr>
          </w:p>
        </w:tc>
      </w:tr>
      <w:tr>
        <w:trPr>
          <w:trHeight w:val="197"/>
        </w:trPr>
        <w:tc>
          <w:tcPr>
            <w:tcW w:w="2400" w:type="dxa"/>
            <w:vAlign w:val="bottom"/>
          </w:tcPr>
          <w:p>
            <w:pPr>
              <w:ind w:left="20"/>
              <w:spacing w:after="0"/>
              <w:rPr>
                <w:sz w:val="20"/>
                <w:szCs w:val="20"/>
                <w:color w:val="auto"/>
              </w:rPr>
            </w:pPr>
            <w:r>
              <w:rPr>
                <w:rFonts w:ascii="Arial" w:cs="Arial" w:eastAsia="Arial" w:hAnsi="Arial"/>
                <w:sz w:val="14"/>
                <w:szCs w:val="14"/>
                <w:color w:val="auto"/>
              </w:rPr>
              <w:t>Income for the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4,415</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4,415</w:t>
            </w:r>
          </w:p>
        </w:tc>
        <w:tc>
          <w:tcPr>
            <w:tcW w:w="100" w:type="dxa"/>
            <w:vAlign w:val="bottom"/>
          </w:tcPr>
          <w:p>
            <w:pPr>
              <w:spacing w:after="0"/>
              <w:rPr>
                <w:sz w:val="17"/>
                <w:szCs w:val="17"/>
                <w:color w:val="auto"/>
              </w:rPr>
            </w:pPr>
          </w:p>
        </w:tc>
      </w:tr>
      <w:tr>
        <w:trPr>
          <w:trHeight w:val="216"/>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2020</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51,603,780</w:t>
            </w: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391,589,312</w:t>
            </w:r>
          </w:p>
        </w:tc>
        <w:tc>
          <w:tcPr>
            <w:tcW w:w="220" w:type="dxa"/>
            <w:vAlign w:val="bottom"/>
            <w:tcBorders>
              <w:right w:val="single" w:sz="8" w:color="CFF0FC"/>
            </w:tcBorders>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(5,741,795 )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7,166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285,672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1,787,492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(50,252 )</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w w:val="94"/>
              </w:rPr>
              <w:t>$ (1,427,315 )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602,763</w:t>
            </w:r>
          </w:p>
        </w:tc>
        <w:tc>
          <w:tcPr>
            <w:tcW w:w="100" w:type="dxa"/>
            <w:vAlign w:val="bottom"/>
            <w:shd w:val="clear" w:color="auto" w:fill="CFF0FC"/>
          </w:tcPr>
          <w:p>
            <w:pPr>
              <w:spacing w:after="0"/>
              <w:rPr>
                <w:sz w:val="18"/>
                <w:szCs w:val="18"/>
                <w:color w:val="auto"/>
              </w:rPr>
            </w:pP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-3665220</wp:posOffset>
            </wp:positionV>
            <wp:extent cx="13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-3665220</wp:posOffset>
            </wp:positionV>
            <wp:extent cx="13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-3665220</wp:posOffset>
            </wp:positionV>
            <wp:extent cx="1200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-3665220</wp:posOffset>
            </wp:positionV>
            <wp:extent cx="1454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-3665220</wp:posOffset>
            </wp:positionV>
            <wp:extent cx="1200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-3665220</wp:posOffset>
            </wp:positionV>
            <wp:extent cx="1200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-3665220</wp:posOffset>
            </wp:positionV>
            <wp:extent cx="1200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-3665220</wp:posOffset>
            </wp:positionV>
            <wp:extent cx="1200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-3665220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-2748280</wp:posOffset>
            </wp:positionV>
            <wp:extent cx="1371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-2748280</wp:posOffset>
            </wp:positionV>
            <wp:extent cx="1371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-2748280</wp:posOffset>
            </wp:positionV>
            <wp:extent cx="1200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-2748280</wp:posOffset>
            </wp:positionV>
            <wp:extent cx="1454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-2748280</wp:posOffset>
            </wp:positionV>
            <wp:extent cx="1200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-2748280</wp:posOffset>
            </wp:positionV>
            <wp:extent cx="1200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-2748280</wp:posOffset>
            </wp:positionV>
            <wp:extent cx="1200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-2748280</wp:posOffset>
            </wp:positionV>
            <wp:extent cx="1200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-2748280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-1316355</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-1316355</wp:posOffset>
            </wp:positionV>
            <wp:extent cx="1371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-1316355</wp:posOffset>
            </wp:positionV>
            <wp:extent cx="1289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-1316355</wp:posOffset>
            </wp:positionV>
            <wp:extent cx="1454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-1316355</wp:posOffset>
            </wp:positionV>
            <wp:extent cx="1200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-1316355</wp:posOffset>
            </wp:positionV>
            <wp:extent cx="1200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-1316355</wp:posOffset>
            </wp:positionV>
            <wp:extent cx="1200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-1316355</wp:posOffset>
            </wp:positionV>
            <wp:extent cx="1200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-1316355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128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128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145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1454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0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6,182</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(16,138 )</w:t>
            </w:r>
          </w:p>
        </w:tc>
      </w:tr>
      <w:tr>
        <w:trPr>
          <w:trHeight w:val="26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w w:val="95"/>
              </w:rPr>
              <w:t>Adjustments to reconcile income (loss) to net cash (used in) provided by operating activities: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investments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22,722</w:t>
            </w:r>
          </w:p>
        </w:tc>
        <w:tc>
          <w:tcPr>
            <w:tcW w:w="120" w:type="dxa"/>
            <w:vAlign w:val="bottom"/>
          </w:tcPr>
          <w:p>
            <w:pPr>
              <w:spacing w:after="0"/>
              <w:rPr>
                <w:sz w:val="21"/>
                <w:szCs w:val="21"/>
                <w:color w:val="auto"/>
              </w:rPr>
            </w:pP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Amortization of intangible asset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r>
      <w:tr>
        <w:trPr>
          <w:trHeight w:val="26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(27,685 )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(8,555 )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(83,591 )</w:t>
            </w: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(48,075 )</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(10,273 )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(24 )</w:t>
            </w: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(1,312 )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(240 )</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(1,164 )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(633 )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65,530</w:t>
            </w: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(773 )</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(33,757 )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FF0FC"/>
          </w:tcPr>
          <w:p>
            <w:pPr>
              <w:spacing w:after="0"/>
              <w:rPr>
                <w:sz w:val="21"/>
                <w:szCs w:val="21"/>
                <w:color w:val="auto"/>
              </w:rPr>
            </w:pPr>
          </w:p>
        </w:tc>
      </w:tr>
      <w:tr>
        <w:trPr>
          <w:trHeight w:val="250"/>
        </w:trPr>
        <w:tc>
          <w:tcPr>
            <w:tcW w:w="70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and maturities of securities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253,084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131,440</w:t>
            </w: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Purchases of securities</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(74,510 )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(527,479 )</w:t>
            </w:r>
          </w:p>
        </w:tc>
      </w:tr>
      <w:tr>
        <w:trPr>
          <w:trHeight w:val="257"/>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 (purchase) of furniture, fixtures and equipment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(251 )</w:t>
            </w:r>
          </w:p>
        </w:tc>
      </w:tr>
      <w:tr>
        <w:trPr>
          <w:trHeight w:val="20"/>
        </w:trPr>
        <w:tc>
          <w:tcPr>
            <w:tcW w:w="7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50"/>
        </w:trPr>
        <w:tc>
          <w:tcPr>
            <w:tcW w:w="7060" w:type="dxa"/>
            <w:vAlign w:val="bottom"/>
          </w:tcPr>
          <w:p>
            <w:pPr>
              <w:ind w:left="7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178,578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(396,290 )</w:t>
            </w:r>
          </w:p>
        </w:tc>
      </w:tr>
      <w:tr>
        <w:trPr>
          <w:trHeight w:val="257"/>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transaction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Payment of transaction costs for conversion of preferred stock</w:t>
            </w:r>
          </w:p>
        </w:tc>
        <w:tc>
          <w:tcPr>
            <w:tcW w:w="3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on debt from royalty-bearing instrument</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(27,925 )</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Taxes paid related to stock-based awards</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(7,929 )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(14,352 )</w:t>
            </w:r>
          </w:p>
        </w:tc>
      </w:tr>
      <w:tr>
        <w:trPr>
          <w:trHeight w:val="20"/>
        </w:trPr>
        <w:tc>
          <w:tcPr>
            <w:tcW w:w="7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(4,767 )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(40,009 )</w:t>
            </w:r>
          </w:p>
        </w:tc>
      </w:tr>
      <w:tr>
        <w:trPr>
          <w:trHeight w:val="242"/>
        </w:trPr>
        <w:tc>
          <w:tcPr>
            <w:tcW w:w="70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INCREASE (DECREASE) IN CASH AND CASH EQUIVALENTS AND</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237"/>
        </w:trPr>
        <w:tc>
          <w:tcPr>
            <w:tcW w:w="70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140,054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(430,575 )</w:t>
            </w:r>
          </w:p>
        </w:tc>
      </w:tr>
      <w:tr>
        <w:trPr>
          <w:trHeight w:val="257"/>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CASH AND CASH EQUIVALENTS AND RESTRICTED CASH, BEGINNING OF PERIOD</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190,879</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648,495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330,933</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217,920</w:t>
            </w:r>
          </w:p>
        </w:tc>
        <w:tc>
          <w:tcPr>
            <w:tcW w:w="120" w:type="dxa"/>
            <w:vAlign w:val="bottom"/>
          </w:tcPr>
          <w:p>
            <w:pPr>
              <w:spacing w:after="0"/>
              <w:rPr>
                <w:sz w:val="21"/>
                <w:szCs w:val="2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Cash received (paid) during the year for: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7"/>
        </w:trPr>
        <w:tc>
          <w:tcPr>
            <w:tcW w:w="70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(1,193 )</w:t>
            </w: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706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3,711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r>
      <w:tr>
        <w:trPr>
          <w:trHeight w:val="20"/>
        </w:trPr>
        <w:tc>
          <w:tcPr>
            <w:tcW w:w="7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transactions: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7060" w:type="dxa"/>
            <w:vAlign w:val="bottom"/>
          </w:tcPr>
          <w:p>
            <w:pPr>
              <w:ind w:left="520"/>
              <w:spacing w:after="0"/>
              <w:rPr>
                <w:sz w:val="20"/>
                <w:szCs w:val="20"/>
                <w:color w:val="auto"/>
              </w:rPr>
            </w:pPr>
            <w:r>
              <w:rPr>
                <w:rFonts w:ascii="Arial" w:cs="Arial" w:eastAsia="Arial" w:hAnsi="Arial"/>
                <w:sz w:val="18"/>
                <w:szCs w:val="18"/>
                <w:color w:val="auto"/>
              </w:rPr>
              <w:t>Laxdale Milestone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-3716655</wp:posOffset>
            </wp:positionV>
            <wp:extent cx="15430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-3716655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-3056890</wp:posOffset>
            </wp:positionV>
            <wp:extent cx="1543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-3056890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-1727835</wp:posOffset>
            </wp:positionV>
            <wp:extent cx="1543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-1727835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-1247775</wp:posOffset>
            </wp:positionV>
            <wp:extent cx="15430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-1247775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-565150</wp:posOffset>
            </wp:positionV>
            <wp:extent cx="154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-548005</wp:posOffset>
            </wp:positionV>
            <wp:extent cx="1543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-565150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-548005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440" w:right="7560" w:hanging="432"/>
        <w:spacing w:after="0" w:line="393" w:lineRule="auto"/>
        <w:tabs>
          <w:tab w:leader="none" w:pos="25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1"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Amarin Corporation plc, or Amarin, or the Company, is a pharmaceutical company focused on the commercialization and development of therapeutics to improve cardiovascular health and reduce cardiovascular risk. Most of the Company’s historical revenue and sales, marketing and administrative activities and costs have been associated with commercial operations in the United States, or U.S. In 2021 the Company began to increase pre-launch commercial activities in Europe.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4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U.S. Food and Drug Administration, or U.S.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In January 2013, the Company launched 1-gram size VASCEPA in the U.S. and in October 2016, introduced a smaller 0.5-gram capsule size. On December 13, 2019, the U.S. FDA approved an indication and label expansion for VASCEPA based on the results of the Company’s long-term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approved by the U.S. FDA as an adjunct to maximally tolerated statin therapy for reducing persistent cardiovascular risk in select high risk patients. VASCEPA is also available for sale by prescription only in Canada, Lebanon and the United Arab Emirates through collaborations and is also in development in other jurisdictions.</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or DRL, and Hikma Pharmaceuticals USA Inc., or Hikma, and certain of their affiliates, or, collectively, the Defendants, that declared as invalid several of the Company's patents covering the first FDA-approved use of its drug, for use to reduce severely high triglyceride levels, which is known as the MARINE indication. The Company sought appeals of the Nevada Court judgment up to the United States Supreme Court, but the Company was unsuccessful. Most recently, on June 18, 2021, the Company was notified that its petition for writ of certiorari to the United States Supreme Court was denied.</w:t>
      </w:r>
    </w:p>
    <w:p>
      <w:pPr>
        <w:spacing w:after="0" w:line="176"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On May 22, 2020, Hikma received U.S. FDA approval to market its generic version of VASCEPA for the original indication of VASCEPA. In November 2020, Hikma launched their generic version of VASCEPA on a limited scale. On August 10, 2020, Dr. Reddy's received U.S. FDA approval to market its generic version for the original indication of VASCEPA. In June 2021, Dr. Reddy’s launched its generic version of VASCEPA with labeling that is substantially similar to labeling of the Hikma generic product. On September 11, 2020, Teva Pharmaceuticals USA, Inc’s., or Teva’s, abbreviated new drug application, or ANDA, was approved by the U.S. FDA and on June 30, 2021, Apotex, Inc.'s, or Apotex's, ANDA was approved by the U.S. FDA.</w:t>
      </w:r>
    </w:p>
    <w:p>
      <w:pPr>
        <w:spacing w:after="0" w:line="13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August 2020, the Company announced plans to launch icosapent ethyl under the brand name VAZKEPA, hereinafter along with the U.S. brand name VASCEPA, collectively referred to as VASCEPA, in major markets in Europe through the Company’s new European sales and marketing teams. On January 29, 2021, the Committee for Medicinal Products for Human Use, or CHMP, of the European Medicines Agency, or EMA, adopted a positive opinion, recommending that a marketing authorization be granted to icosapent ethyl in the European Union, or EU, for the reduction of risk of cardiovascular events in patients at high cardiovascular risk. On March 26, 2021, the European Commission, or EC, approved the marketing authorization application for VAZKEPA in the EU to reduce the risk of cardiovascular events in high-risk, statin-treated adult patients who have elevated triglycerides (</w:t>
      </w:r>
      <w:r>
        <w:rPr>
          <w:rFonts w:ascii="Arial" w:cs="Arial" w:eastAsia="Arial" w:hAnsi="Arial"/>
          <w:sz w:val="17"/>
          <w:szCs w:val="17"/>
          <w:u w:val="single" w:color="auto"/>
          <w:color w:val="auto"/>
        </w:rPr>
        <w:t>&gt;</w:t>
      </w:r>
      <w:r>
        <w:rPr>
          <w:rFonts w:ascii="Arial" w:cs="Arial" w:eastAsia="Arial" w:hAnsi="Arial"/>
          <w:sz w:val="17"/>
          <w:szCs w:val="17"/>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through MHRA’s new ‘reliance’ route following the end of the BREXIT transition period. Collectively CHMP, EMA, EC and MHRA are referred to herein as the European Regulatory Authorities.</w:t>
      </w:r>
    </w:p>
    <w:p>
      <w:pPr>
        <w:spacing w:after="0" w:line="16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 for review the new drug application for VASCEPA based on the results from the Phase 3 clinical trial and the results from the Company’s prior studies of VASCEPA. The Hong Kong Department of Health is evaluating VASCEPA based on current approvals in the United States and Canada.</w:t>
      </w:r>
    </w:p>
    <w:p>
      <w:pPr>
        <w:spacing w:after="0" w:line="191"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in Canada, Lebanon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the United Arab Emirates where the drug is promoted and sold via collaboration with third-party companies that compensate Amarin for such supply.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Amarin is not responsible for providing any generic company with drug product. The Company operates in one business segment.</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condensed consolidated financial statements included herein have been prepared by the Company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or the Form 10-K, filed with the SEC. The balance sheet amounts in this report were derived from the Company’s audited consolidated financial statements included in the Form 10-K.</w:t>
      </w:r>
    </w:p>
    <w:p>
      <w:pPr>
        <w:spacing w:after="0" w:line="127"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2021 and 2020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78"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8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At June 30, 2021, the Company had Total assets of $1,045.0 million, of which $523.1 million consisted of cash and liquid short-term and long-term investments. More specifically, the Company had Current assets of $996.0 million, including Cash and cash equivalents of $327.0 million, Short-term investments of $181.9 million, Accounts receivable, net, of $182.3 million and Inventory of $272.5 million. In addition, as of June 30, 2021, the Company had Long-term investments of $14.2 million. As of June 30, 2021, the Company had no debt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98"/>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7"/>
                <w:szCs w:val="17"/>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240,747</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203,875</w:t>
            </w:r>
          </w:p>
        </w:tc>
        <w:tc>
          <w:tcPr>
            <w:tcW w:w="80" w:type="dxa"/>
            <w:vAlign w:val="bottom"/>
            <w:shd w:val="clear" w:color="auto" w:fill="CFF0FC"/>
          </w:tcPr>
          <w:p>
            <w:pPr>
              <w:spacing w:after="0"/>
              <w:rPr>
                <w:sz w:val="21"/>
                <w:szCs w:val="2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Trade allowances</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(42,344 )</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(36,242 )</w:t>
            </w:r>
          </w:p>
        </w:tc>
      </w:tr>
      <w:tr>
        <w:trPr>
          <w:trHeight w:val="26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(15,199 )</w:t>
            </w: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(12,114 )</w:t>
            </w: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(945 )</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(945 )</w:t>
            </w:r>
          </w:p>
        </w:tc>
      </w:tr>
      <w:tr>
        <w:trPr>
          <w:trHeight w:val="29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182,259</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154,574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31"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6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31"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9"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9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ind w:left="180"/>
        <w:spacing w:after="0"/>
        <w:rPr>
          <w:sz w:val="20"/>
          <w:szCs w:val="20"/>
          <w:color w:val="auto"/>
        </w:rPr>
      </w:pPr>
      <w:r>
        <w:rPr>
          <w:rFonts w:ascii="Arial" w:cs="Arial" w:eastAsia="Arial" w:hAnsi="Arial"/>
          <w:sz w:val="18"/>
          <w:szCs w:val="18"/>
          <w:b w:val="1"/>
          <w:bCs w:val="1"/>
          <w:i w:val="1"/>
          <w:iCs w:val="1"/>
          <w:u w:val="single" w:color="auto"/>
          <w:color w:val="auto"/>
        </w:rPr>
        <w:t>Earnings (Loss) per Share</w:t>
      </w:r>
    </w:p>
    <w:p>
      <w:pPr>
        <w:spacing w:after="0" w:line="13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Basic net earnings (loss) per share is determined by dividing net income (loss) by the weighted average shares of common stock outstanding during the period. Diluted net earnings (loss) per share is determined by dividing net income (loss) by diluted weighted average shares outstanding. Diluted weighted average shares reflects the dilutive effect, if any, of potentially dilutive common shares, such as common stock options calculated using the treasury stock method and preferred stock using the “if-converted” method. In periods with reported net operating losses, all common stock options and preferred stock outstanding are deemed anti-dilutive such that basic net loss per share and diluted net loss per share are equal.</w:t>
      </w:r>
    </w:p>
    <w:p>
      <w:pPr>
        <w:spacing w:after="0" w:line="174"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The Company’s preferred stock, of which none is outstanding as of June 30, 2021 and December 31, 2020, was entitled to receive dividends on an as-if-converted basis in the same form as dividends actually paid on common shares. Accordingly, the preferred stock was considered a participating security and the Company was required to apply the two-class method to consider the impact of the preferred stock on the calculation of basic and diluted earnings per share. The Company is currently in a net income position for the three months ended June 30, 2021 and 2020 and the six months ended June 30, 2021 and therefore the two-class method must be applied for these periods by allocating earnings during the period to common shares and preferred stock based on their contractual entitlements assuming all earnings were distributed. The Company is in a net loss position for the six months ended June 30, 2020 and is therefore not required to present the two-class method.</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calculation of net income (loss) and the number of shares used to compute basic and diluted net earnings (loss) per share for the three and six months ended June 30, 2021 and 2020 are as follows: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4"/>
              </w:rPr>
              <w:t>For the Three Months Ended June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02"/>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(16,138 )</w:t>
            </w: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395,899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384,663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395,272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373,300</w:t>
            </w:r>
          </w:p>
        </w:tc>
        <w:tc>
          <w:tcPr>
            <w:tcW w:w="100" w:type="dxa"/>
            <w:vAlign w:val="bottom"/>
          </w:tcPr>
          <w:p>
            <w:pPr>
              <w:spacing w:after="0"/>
              <w:rPr>
                <w:sz w:val="21"/>
                <w:szCs w:val="21"/>
                <w:color w:val="auto"/>
              </w:rPr>
            </w:pP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restricted stock units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12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401,767</w:t>
            </w:r>
          </w:p>
        </w:tc>
        <w:tc>
          <w:tcPr>
            <w:tcW w:w="28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399,664</w:t>
            </w:r>
          </w:p>
        </w:tc>
        <w:tc>
          <w:tcPr>
            <w:tcW w:w="2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402,778</w:t>
            </w:r>
          </w:p>
        </w:tc>
        <w:tc>
          <w:tcPr>
            <w:tcW w:w="24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373,300</w:t>
            </w: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Net earnings (loss) per share—basic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(0.04 )</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 per share—diluted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(0.04 )</w:t>
            </w:r>
          </w:p>
        </w:tc>
      </w:tr>
    </w:tbl>
    <w:p>
      <w:pPr>
        <w:spacing w:after="0" w:line="229" w:lineRule="exact"/>
        <w:rPr>
          <w:sz w:val="20"/>
          <w:szCs w:val="20"/>
          <w:color w:val="auto"/>
        </w:rPr>
      </w:pPr>
    </w:p>
    <w:p>
      <w:pPr>
        <w:jc w:val="both"/>
        <w:ind w:right="560"/>
        <w:spacing w:after="0" w:line="279" w:lineRule="auto"/>
        <w:rPr>
          <w:sz w:val="20"/>
          <w:szCs w:val="20"/>
          <w:color w:val="auto"/>
        </w:rPr>
      </w:pPr>
      <w:r>
        <w:rPr>
          <w:rFonts w:ascii="Arial" w:cs="Arial" w:eastAsia="Arial" w:hAnsi="Arial"/>
          <w:sz w:val="18"/>
          <w:szCs w:val="18"/>
          <w:color w:val="auto"/>
        </w:rPr>
        <w:t>For the three and six months ended June 30, 2021 and 2020, the following potentially dilutive securities were not included in the computation of net earnings (loss) per share because the effect would be anti-dilutive or because performance criteria were not yet met for awards contingent upon such measures: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80" w:type="dxa"/>
            <w:vAlign w:val="bottom"/>
          </w:tcPr>
          <w:p>
            <w:pPr>
              <w:spacing w:after="0"/>
              <w:rPr>
                <w:sz w:val="15"/>
                <w:szCs w:val="15"/>
                <w:color w:val="auto"/>
              </w:rPr>
            </w:pPr>
          </w:p>
        </w:tc>
      </w:tr>
      <w:tr>
        <w:trPr>
          <w:trHeight w:val="192"/>
        </w:trPr>
        <w:tc>
          <w:tcPr>
            <w:tcW w:w="348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4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10,711</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17,178</w:t>
            </w:r>
          </w:p>
        </w:tc>
        <w:tc>
          <w:tcPr>
            <w:tcW w:w="80" w:type="dxa"/>
            <w:vAlign w:val="bottom"/>
            <w:shd w:val="clear" w:color="auto" w:fill="CFF0FC"/>
          </w:tcPr>
          <w:p>
            <w:pPr>
              <w:spacing w:after="0"/>
              <w:rPr>
                <w:sz w:val="22"/>
                <w:szCs w:val="22"/>
                <w:color w:val="auto"/>
              </w:rPr>
            </w:pPr>
          </w:p>
        </w:tc>
      </w:tr>
      <w:tr>
        <w:trPr>
          <w:trHeight w:val="250"/>
        </w:trPr>
        <w:tc>
          <w:tcPr>
            <w:tcW w:w="34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5,772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5,242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7,572</w:t>
            </w:r>
          </w:p>
        </w:tc>
        <w:tc>
          <w:tcPr>
            <w:tcW w:w="80" w:type="dxa"/>
            <w:vAlign w:val="bottom"/>
          </w:tcPr>
          <w:p>
            <w:pPr>
              <w:spacing w:after="0"/>
              <w:rPr>
                <w:sz w:val="21"/>
                <w:szCs w:val="21"/>
                <w:color w:val="auto"/>
              </w:rPr>
            </w:pPr>
          </w:p>
        </w:tc>
      </w:tr>
      <w:tr>
        <w:trPr>
          <w:trHeight w:val="26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3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4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80" w:type="dxa"/>
            <w:vAlign w:val="bottom"/>
            <w:shd w:val="clear" w:color="auto" w:fill="CFF0FC"/>
          </w:tcPr>
          <w:p>
            <w:pPr>
              <w:spacing w:after="0"/>
              <w:rPr>
                <w:sz w:val="22"/>
                <w:szCs w:val="22"/>
                <w:color w:val="auto"/>
              </w:rPr>
            </w:pPr>
          </w:p>
        </w:tc>
      </w:tr>
    </w:tbl>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27%, 36%, and 30%, respectively, of gross product sales for the six months ended June 30, 2021, and represented 40%, 34%, and 21%, respectively, of the gross accounts receivable balance as of June 30, 2021. Customers A, B, and C accounted for 25%, 37%, and 29%, respectively, of gross product sales for the six months ended June 30,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t>2020 and represented 32%, 38%, and 23%, respectively, of the gross accounts receivable balance as of June 30, 2020.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8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70"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for the European Regulatory Authorities for the VAZKEPA manufacturing in Europe, with plans to expand such qualification in Europe to others of these suppliers. These suppliers are also used by the Company to source supply to meet the clinical trial and commercial demands of its partners in other countries. Each of these companies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31"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0" w:lineRule="exact"/>
        <w:rPr>
          <w:sz w:val="20"/>
          <w:szCs w:val="20"/>
          <w:color w:val="auto"/>
        </w:rPr>
      </w:pPr>
    </w:p>
    <w:p>
      <w:pPr>
        <w:ind w:right="880"/>
        <w:spacing w:after="0" w:line="293"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6" w:lineRule="exact"/>
        <w:rPr>
          <w:sz w:val="20"/>
          <w:szCs w:val="20"/>
          <w:color w:val="auto"/>
        </w:rPr>
      </w:pPr>
    </w:p>
    <w:p>
      <w:pPr>
        <w:ind w:right="840"/>
        <w:spacing w:after="0" w:line="293"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June 30, 2021 and December 31, 2020 and indicate the fair value hierarchy of the valuation techniques the Company utilized to determine such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Money Market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176,345</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176,345</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22,986</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22,986</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87,225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87,225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Agency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15,772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2,867</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Non-US Government</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419,883</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199,331</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220,552</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-561975</wp:posOffset>
            </wp:positionV>
            <wp:extent cx="1797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-561975</wp:posOffset>
            </wp:positionV>
            <wp:extent cx="1797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-561975</wp:posOffset>
            </wp:positionV>
            <wp:extent cx="16256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-561975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3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r>
      <w:tr>
        <w:trPr>
          <w:trHeight w:val="250"/>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Money Market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88,266</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88,266</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48,356</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48,356</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179,864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179,864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Agency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20,782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Non-US Government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r>
      <w:tr>
        <w:trPr>
          <w:trHeight w:val="290"/>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473,882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136,622</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337,260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-25400</wp:posOffset>
            </wp:positionV>
            <wp:extent cx="1797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179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179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179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162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162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twelve months are included in short-term investments on its condensed consolidated balance sheet. Those with remaining maturities in excess of twelve months are included in long-term investments on its condensed consolidated balance sheet.</w:t>
      </w:r>
    </w:p>
    <w:p>
      <w:pPr>
        <w:spacing w:after="0" w:line="23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six months ended June 30, 2021 and 2020 was a gain of $0.1 million and $1.3 million, respectively. Interest on investments is reported in interest income.</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3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97"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Company adopted this standard effective January 1, 2021, which did not have an impact on the Company’s condensed consolidated financial statements.</w:t>
      </w:r>
    </w:p>
    <w:p>
      <w:pPr>
        <w:spacing w:after="0" w:line="191" w:lineRule="exact"/>
        <w:rPr>
          <w:sz w:val="20"/>
          <w:szCs w:val="20"/>
          <w:color w:val="auto"/>
        </w:rPr>
      </w:pPr>
    </w:p>
    <w:p>
      <w:pPr>
        <w:ind w:right="460"/>
        <w:spacing w:after="0" w:line="359" w:lineRule="auto"/>
        <w:rPr>
          <w:sz w:val="20"/>
          <w:szCs w:val="20"/>
          <w:color w:val="auto"/>
        </w:rPr>
      </w:pPr>
      <w:r>
        <w:rPr>
          <w:rFonts w:ascii="Arial" w:cs="Arial" w:eastAsia="Arial" w:hAnsi="Arial"/>
          <w:sz w:val="16"/>
          <w:szCs w:val="16"/>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w:t>
      </w:r>
    </w:p>
    <w:p>
      <w:pPr>
        <w:spacing w:after="0" w:line="13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5 – Commitments and Contingencies for further details. In accordance with ASC 350, the Company evaluates the remaining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ind w:right="260"/>
        <w:spacing w:after="0" w:line="279" w:lineRule="auto"/>
        <w:rPr>
          <w:sz w:val="20"/>
          <w:szCs w:val="20"/>
          <w:color w:val="auto"/>
        </w:rPr>
      </w:pPr>
      <w:r>
        <w:rPr>
          <w:rFonts w:ascii="Arial" w:cs="Arial" w:eastAsia="Arial" w:hAnsi="Arial"/>
          <w:sz w:val="18"/>
          <w:szCs w:val="18"/>
          <w:color w:val="auto"/>
        </w:rPr>
        <w:t>useful life of the intangible asset at each reporting period to determine if any events or circumstances warrant a revision to the remaining period of amortization. As of June 30, 2021, the intangible asset has an estimated weighted-average remaining life of 9.8 years. The carrying value as of June 30, 2021 and December 31, 2020 is as follows: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98"/>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7"/>
                <w:szCs w:val="17"/>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32,081</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80" w:type="dxa"/>
            <w:vAlign w:val="bottom"/>
            <w:shd w:val="clear" w:color="auto" w:fill="CFF0FC"/>
          </w:tcPr>
          <w:p>
            <w:pPr>
              <w:spacing w:after="0"/>
              <w:rPr>
                <w:sz w:val="21"/>
                <w:szCs w:val="2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(7,261 )</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(6,264 )</w:t>
            </w:r>
          </w:p>
        </w:tc>
      </w:tr>
      <w:tr>
        <w:trPr>
          <w:trHeight w:val="29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24,820</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capitalizes its purchases of saleable inventory of VASCEPA from suppliers that have been qualified by the U.S. FDA. Inventories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 consist of the following:</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r>
      <w:tr>
        <w:trPr>
          <w:trHeight w:val="198"/>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66,842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50,657</w:t>
            </w:r>
          </w:p>
        </w:tc>
        <w:tc>
          <w:tcPr>
            <w:tcW w:w="80" w:type="dxa"/>
            <w:vAlign w:val="bottom"/>
            <w:shd w:val="clear" w:color="auto" w:fill="CFF0FC"/>
          </w:tcPr>
          <w:p>
            <w:pPr>
              <w:spacing w:after="0"/>
              <w:rPr>
                <w:sz w:val="21"/>
                <w:szCs w:val="2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48,529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30,388</w:t>
            </w:r>
          </w:p>
        </w:tc>
        <w:tc>
          <w:tcPr>
            <w:tcW w:w="80" w:type="dxa"/>
            <w:vAlign w:val="bottom"/>
          </w:tcPr>
          <w:p>
            <w:pPr>
              <w:spacing w:after="0"/>
              <w:rPr>
                <w:sz w:val="21"/>
                <w:szCs w:val="21"/>
                <w:color w:val="auto"/>
              </w:rPr>
            </w:pPr>
          </w:p>
        </w:tc>
      </w:tr>
      <w:tr>
        <w:trPr>
          <w:trHeight w:val="257"/>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157,084</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107,819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272,455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188,864</w:t>
            </w:r>
          </w:p>
        </w:tc>
        <w:tc>
          <w:tcPr>
            <w:tcW w:w="8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-193675</wp:posOffset>
            </wp:positionV>
            <wp:extent cx="13716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right="8360" w:hanging="432"/>
        <w:spacing w:after="0" w:line="451" w:lineRule="auto"/>
        <w:tabs>
          <w:tab w:leader="none" w:pos="25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u w:val="single" w:color="auto"/>
          <w:color w:val="auto"/>
        </w:rPr>
        <w:t>Litigation – U.S. ANDAs</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On March 30, 2020, the United States District Court for the District of Nevada, or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(&gt;500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priced and launched its generic version of icosapent ethyl. In June 2021, following the denial to hear the Company’s appeal by the U.S. Supreme Court, Dr. Reddy’s announced the price of its generic version of icosapent ethyl and launched its generic version of icosapent ethyl. The generic versions of icosapent ethyl as approved by the U.S. FDA for both Hikma and Dr. Reddy’s pertains to the original indication of VASCEPA, lowering of TG levels in patients with very high TG (</w:t>
      </w:r>
      <w:r>
        <w:rPr>
          <w:rFonts w:ascii="Arial" w:cs="Arial" w:eastAsia="Arial" w:hAnsi="Arial"/>
          <w:sz w:val="17"/>
          <w:szCs w:val="17"/>
          <w:u w:val="single" w:color="auto"/>
          <w:color w:val="auto"/>
        </w:rPr>
        <w:t>&gt;</w:t>
      </w:r>
      <w:r>
        <w:rPr>
          <w:rFonts w:ascii="Arial" w:cs="Arial" w:eastAsia="Arial" w:hAnsi="Arial"/>
          <w:sz w:val="17"/>
          <w:szCs w:val="17"/>
          <w:color w:val="auto"/>
        </w:rPr>
        <w:t>500 mg/dL), which is known as the MARINE indication. As of June 30, 2021, neither Teva or Apotex had announced pricing or launched a generic version of icosapent ethyl. Current generic competition, together with past and on-going litigation related to such generic versions of icosapent ethyl are applicable to the U.S. only. The Company did not seek, nor is VAZKEPA approved in Europe for lowering of TG levels in patients with very high TG (</w:t>
      </w:r>
      <w:r>
        <w:rPr>
          <w:rFonts w:ascii="Arial" w:cs="Arial" w:eastAsia="Arial" w:hAnsi="Arial"/>
          <w:sz w:val="17"/>
          <w:szCs w:val="17"/>
          <w:u w:val="single" w:color="auto"/>
          <w:color w:val="auto"/>
        </w:rPr>
        <w:t>&gt;</w:t>
      </w:r>
      <w:r>
        <w:rPr>
          <w:rFonts w:ascii="Arial" w:cs="Arial" w:eastAsia="Arial" w:hAnsi="Arial"/>
          <w:sz w:val="17"/>
          <w:szCs w:val="17"/>
          <w:color w:val="auto"/>
        </w:rPr>
        <w:t>500 mg/dL).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 Based on statements made by generic competitors, Hikma and Dr. Reddy’s, the active pharmaceutical ingredient of VASCEPA needed to manufacture their generic versions of VASCEPA is in limited supply to them. The Company believes all icosapent ethyl generic manufacturers are similarly situated. The Company believes the limited supply of generic icosapent ethyl may be due to such companies’ lack of adequate planning, investment, knowhow and expertise regarding this fragile active ingredient.</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 November 2020, the Company filed a patent infringement lawsuit against Hikma in the United States District Court in Delaware. The complaint alleges that Hikma induced the infringement of VASCEPA-related cardiovascular risk reduction U.S. Patent Nos.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3" w:name="page14"/>
    <w:bookmarkEnd w:id="13"/>
    <w:p>
      <w:pPr>
        <w:spacing w:after="0" w:line="272" w:lineRule="auto"/>
        <w:rPr>
          <w:sz w:val="20"/>
          <w:szCs w:val="20"/>
          <w:color w:val="auto"/>
        </w:rPr>
      </w:pPr>
      <w:r>
        <w:rPr>
          <w:rFonts w:ascii="Arial" w:cs="Arial" w:eastAsia="Arial" w:hAnsi="Arial"/>
          <w:sz w:val="18"/>
          <w:szCs w:val="18"/>
          <w:color w:val="auto"/>
        </w:rPr>
        <w:t>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 The Company is seeking remedies including a permanent injunction against Hikma’s unlawful inducement of infringing uses of its generic product to reduce cardiovascular risk and monetary damages in an amount sufficient to compensate the Company for such infringement.</w:t>
      </w:r>
    </w:p>
    <w:p>
      <w:pPr>
        <w:spacing w:after="0" w:line="12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January 2021, the Company expanded the scope of the VASCEPA CV risk reduction patent infringement lawsuit against Hikma to include a health care insurance provider in the United States, Health Net, LLC or Health Net. Through insurance coverage and economic incentives the Company alleges that Health Net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The Company is considering its legal options against parties similarly situated to Health Net and Hikma and acting in concert with either by making or selling any drug product or component thereof covered by the subject patents, or inducing others to do the same.</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123"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Amarin received a civil investigative demand from the U.S. Federal Trade Commission and a subpoena from the New York Attorney General with respect to information on the same antitrust topic covered in the Dr. Reddy's litigation. The Company believes such contact from the governments may have been prompted by a generic competitor. Amarin is cooperating with the government agencies.</w:t>
      </w:r>
    </w:p>
    <w:p>
      <w:pPr>
        <w:spacing w:after="0" w:line="11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107"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11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Company intends to vigorously enforce its intellectual property rights relating to VASCEPA, but cannot predict the outcome of these lawsuits or any subsequently filed lawsuits.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Litigation – Other</w:t>
      </w:r>
    </w:p>
    <w:p>
      <w:pPr>
        <w:spacing w:after="0" w:line="158"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spacing w:after="0" w:line="288" w:lineRule="auto"/>
        <w:rPr>
          <w:sz w:val="20"/>
          <w:szCs w:val="20"/>
          <w:color w:val="auto"/>
        </w:rPr>
      </w:pPr>
      <w:r>
        <w:rPr>
          <w:rFonts w:ascii="Arial" w:cs="Arial" w:eastAsia="Arial" w:hAnsi="Arial"/>
          <w:sz w:val="17"/>
          <w:szCs w:val="17"/>
          <w:color w:val="auto"/>
        </w:rPr>
        <w:t>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11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Arial" w:cs="Arial" w:eastAsia="Arial" w:hAnsi="Arial"/>
          <w:sz w:val="17"/>
          <w:szCs w:val="17"/>
          <w:i w:val="1"/>
          <w:iCs w:val="1"/>
          <w:color w:val="auto"/>
        </w:rPr>
        <w:t>In re: Amarin Corp. PLC</w:t>
      </w:r>
      <w:r>
        <w:rPr>
          <w:rFonts w:ascii="Arial" w:cs="Arial" w:eastAsia="Arial" w:hAnsi="Arial"/>
          <w:sz w:val="17"/>
          <w:szCs w:val="17"/>
          <w:color w:val="auto"/>
        </w:rPr>
        <w:t>, case number 21-2071 (3d Cir.). The Company intends to vigorously defend against any future complaint in this matter.</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The Company entered into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183" w:lineRule="exact"/>
        <w:rPr>
          <w:sz w:val="20"/>
          <w:szCs w:val="20"/>
          <w:color w:val="auto"/>
        </w:rPr>
      </w:pPr>
    </w:p>
    <w:p>
      <w:pPr>
        <w:jc w:val="both"/>
        <w:ind w:right="340"/>
        <w:spacing w:after="0" w:line="279"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83"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Pursuant to the supply agreements, there is a total of approximately $213.0 million that is potentially payable over the term of such agreements based on minimum purchase obligations. The Company continues to meet its contractual purchase obligations.</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On March 26, 2021, the EC approved the marketing authorization application for VAZKEPA. Under the 2004 share repurchase agreement with Laxdale, upon receipt of marketing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the sellers) of £7.5 million. The Company recorded a liability of $12.0 million in Accrued expenses and other current liabilities on the condensed consolidated balance sheet as of June 30, 2021.</w:t>
      </w:r>
    </w:p>
    <w:p>
      <w:pPr>
        <w:spacing w:after="0" w:line="19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the sellers) of £5 million (approximately $6.9 million as of June 30, 2021) for the potential market approval.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these obligations, except as noted above, since the amounts are either not paid or payable as of June 30, 2021.</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i w:val="1"/>
          <w:iCs w:val="1"/>
          <w:u w:val="single" w:color="auto"/>
          <w:color w:val="auto"/>
        </w:rPr>
        <w:t>Marketing Obligations</w:t>
      </w:r>
    </w:p>
    <w:p>
      <w:pPr>
        <w:spacing w:after="0" w:line="13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As of June 30, 2021, the Company had certain marketing commitments, consisting of communication costs related to the direct-to-consumer activities, totaling approximately $7.9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the Company entered into subscription agreements with both existing and new investors, or the Purchasers, for the private placement of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of 391,017,970 restricted American Depositary Shares, or ADSs, each representing one share of Amarin’s Series A Convertible Preference Shares, par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value £0.05 per share, in the capital of the Company, or Series A Preference Shares. For each restricted ADS, the Purchasers paid a negotiated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$0.15 (equating to $1.50 on an as-if-converted-to-ordinary-shares basis), resulting in gross proceeds to the Company of approximately $58.6 million before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deducting estimated offering expenses of approximately $0.7 million. At the request of the holders and provided certain conditions were met, each ten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Preference Shares were able to be consolidated and redesignated as one ordinary share, par value £0.50 per share, in the capital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each ordinary share to be represented by ADSs. During the years ended December 31, 2020, 2018, and 2015, the Company issued 28,931,746, 3,886,718,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6,283,333 ADSs, respectively, upon consolidation and redesignation of Series A Preference Shares at the request of the holders, such that no Series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remained outstanding as of June 30, 2021 and December 31, 2020. Refer to the Company’s Annual Report on Form 10-K for the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 for a more complete background.</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31"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 xml:space="preserve">During the six months ended June 30, 2021 and 2020, in addition to ordinary shares issued as described in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above and in </w:t>
      </w:r>
      <w:r>
        <w:rPr>
          <w:rFonts w:ascii="Arial" w:cs="Arial" w:eastAsia="Arial" w:hAnsi="Arial"/>
          <w:sz w:val="18"/>
          <w:szCs w:val="18"/>
          <w:i w:val="1"/>
          <w:iCs w:val="1"/>
          <w:color w:val="auto"/>
        </w:rPr>
        <w:t>Incentive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Awards </w:t>
      </w:r>
      <w:r>
        <w:rPr>
          <w:rFonts w:ascii="Arial" w:cs="Arial" w:eastAsia="Arial" w:hAnsi="Arial"/>
          <w:sz w:val="18"/>
          <w:szCs w:val="18"/>
          <w:color w:val="auto"/>
        </w:rPr>
        <w:t>below, the Company issued 226,402 and 123,608 ordinary shares, respectively, under the Amarin Corporation plc 2017 Employee Stock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31"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As of June 30, 2021, there were an aggregate of 19,666,637 stock options and 10,413,802 restricted stock units, or RSUs, outstanding, representing approximately 5% and 2%, respectively, of outstanding shares on a fully diluted basis.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During the six months ended June 30, 2021 and 2020, the Company issued 810,459 and 560,755 common shares, respectively, as a result of the exercise of stock options, resulting in gross and net proceeds of $2.1 million during the six months ended June 30, 2021 and $1.7 million during the six months ended June 30, 2020. During the six months ended June 30, 2021 and 2020, the Company issued 1,031,171 and 1,143,934 common shares, respectively, related to the vesting of RSUs, of which 398,214 and 418,847 shares, respectively, were retained as treasury shares as settlement of employee tax obligations. During the six months ended June 30, 2021 and 2020, in connection with the achievement of certain regulatory and sales performance conditions associated with the REDUCE-IT clinical trial and subsequent revenue growth, the Company issued 1,762,244 and 974,754 common shares, respectively, upon vesting of performance-based RSUs granted in 2017 and 2018, of which 747,955 and 411,956 shares, respectively, were retained as treasury shares as settlement of employee tax obligations. These performance-based RSUs will continue to vest ratably monthly through the end of August 2021.</w:t>
      </w:r>
    </w:p>
    <w:p>
      <w:pPr>
        <w:spacing w:after="0" w:line="10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On June 14, 2021, the Company granted a total of 218,000 RSUs and 278,271 stock options to members of the Company’s Board of Directors under the Amarin Corporation plc 2020 Stock Incentive Plan, or the 2020 Plan.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On January 4, 2021, the Company granted a total of 3,265,700 RSUs and 3,100,200 stock options to employees under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operational performance conditions.</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On June 1, 2020, the Company granted a total of 782,520 RSUs to employees under the Amarin Corporation plc 2011 Stock Incentive Plan, or the 2011 Plan. The RSUs vest quarterly over a three-year period.</w:t>
      </w:r>
    </w:p>
    <w:p>
      <w:pPr>
        <w:spacing w:after="0" w:line="11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On March 2, 2020 and February 3, 2020, the Company granted a total of 821,950 RSUs and 1,875,000 stock options, respectively, to employees under the 2011 Plan. The RSUs vest annually over a three-year period and the stock options vest quarterly over a four-year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6" w:name="page17"/>
    <w:bookmarkEnd w:id="16"/>
    <w:p>
      <w:pPr>
        <w:ind w:right="320"/>
        <w:spacing w:after="0" w:line="308" w:lineRule="auto"/>
        <w:rPr>
          <w:sz w:val="20"/>
          <w:szCs w:val="20"/>
          <w:color w:val="auto"/>
        </w:rPr>
      </w:pPr>
      <w:r>
        <w:rPr>
          <w:rFonts w:ascii="Arial" w:cs="Arial" w:eastAsia="Arial" w:hAnsi="Arial"/>
          <w:sz w:val="18"/>
          <w:szCs w:val="18"/>
          <w:color w:val="auto"/>
        </w:rPr>
        <w:t>period. Also on February 3, 2020, the Company granted a total of 1,253,400 RSUs to employees under the 2011 Plan that vest upon the achievement of specified sales performance conditions.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Co-Promotion Agreement</w:t>
      </w:r>
    </w:p>
    <w:p>
      <w:pPr>
        <w:spacing w:after="0" w:line="135"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183"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156"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color w:val="auto"/>
        </w:rPr>
        <w:t>As of June 30, 2021, a net payable to Kowa Pharmaceuticals America, Inc. of $1.9 million was classified as current on the condensed consolidated balance sheet, representing the remaining accrued co-promotion tail payments. As of December 31, 2020, a net payable to Kowa Pharmaceuticals America, Inc. of $3.8 million, of which $3.2 million was classified as current on the condensed consolidated balance sheet, represents the remaining accrued co-promotion tail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135"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1" w:lineRule="exact"/>
        <w:rPr>
          <w:sz w:val="20"/>
          <w:szCs w:val="20"/>
          <w:color w:val="auto"/>
        </w:rPr>
      </w:pPr>
    </w:p>
    <w:p>
      <w:pPr>
        <w:ind w:left="440" w:right="160" w:firstLine="441"/>
        <w:spacing w:after="0" w:line="299"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440" w:right="60" w:firstLine="441"/>
        <w:spacing w:after="0" w:line="299"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Medicare, other government agencies and various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w:t>
      </w:r>
    </w:p>
    <w:p>
      <w:pPr>
        <w:spacing w:after="0" w:line="4" w:lineRule="exact"/>
        <w:rPr>
          <w:sz w:val="20"/>
          <w:szCs w:val="20"/>
          <w:color w:val="auto"/>
        </w:rPr>
      </w:pPr>
    </w:p>
    <w:p>
      <w:pPr>
        <w:ind w:left="440" w:right="40" w:firstLine="9"/>
        <w:spacing w:after="0" w:line="274" w:lineRule="auto"/>
        <w:tabs>
          <w:tab w:leader="none" w:pos="74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0" w:lineRule="exact"/>
        <w:rPr>
          <w:sz w:val="20"/>
          <w:szCs w:val="20"/>
          <w:color w:val="auto"/>
        </w:rPr>
      </w:pPr>
    </w:p>
    <w:p>
      <w:pPr>
        <w:ind w:left="440" w:right="20" w:firstLine="441"/>
        <w:spacing w:after="0" w:line="304"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5" w:lineRule="exact"/>
        <w:rPr>
          <w:sz w:val="20"/>
          <w:szCs w:val="20"/>
          <w:color w:val="auto"/>
        </w:rPr>
      </w:pPr>
    </w:p>
    <w:p>
      <w:pPr>
        <w:ind w:left="440" w:right="40" w:firstLine="441"/>
        <w:spacing w:after="0" w:line="30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Rebates,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Trade</w:t>
            </w:r>
          </w:p>
        </w:tc>
        <w:tc>
          <w:tcPr>
            <w:tcW w:w="1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Chargebacks</w:t>
            </w:r>
          </w:p>
        </w:tc>
        <w:tc>
          <w:tcPr>
            <w:tcW w:w="16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Allowances</w:t>
            </w: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and Discounts</w:t>
            </w:r>
          </w:p>
        </w:tc>
        <w:tc>
          <w:tcPr>
            <w:tcW w:w="16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Incentives</w:t>
            </w:r>
          </w:p>
        </w:tc>
        <w:tc>
          <w:tcPr>
            <w:tcW w:w="18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36,242</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141,201</w:t>
            </w: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7,797</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5,587</w:t>
            </w:r>
          </w:p>
        </w:tc>
        <w:tc>
          <w:tcPr>
            <w:tcW w:w="2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190,827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60,487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321,400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26,129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409,766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(854 )</w:t>
            </w: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(19,874 )</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(170,389 )</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(22,544 )</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(212,807 )</w:t>
            </w: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(34,511 )</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(127,379 )</w:t>
            </w: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(763 )</w:t>
            </w:r>
          </w:p>
        </w:tc>
        <w:tc>
          <w:tcPr>
            <w:tcW w:w="1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(5,589 )</w:t>
            </w:r>
          </w:p>
        </w:tc>
        <w:tc>
          <w:tcPr>
            <w:tcW w:w="1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(168,242 )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42,344</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163,979</w:t>
            </w: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8,784</w:t>
            </w: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3,583</w:t>
            </w:r>
          </w:p>
        </w:tc>
        <w:tc>
          <w:tcPr>
            <w:tcW w:w="2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218,690</w:t>
            </w: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46"/>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-561975</wp:posOffset>
            </wp:positionV>
            <wp:extent cx="1454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-561975</wp:posOffset>
            </wp:positionV>
            <wp:extent cx="1460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-561975</wp:posOffset>
            </wp:positionV>
            <wp:extent cx="1289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-561975</wp:posOffset>
            </wp:positionV>
            <wp:extent cx="1289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-561975</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Trade</w:t>
            </w: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Allowances</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Incentives</w:t>
            </w:r>
          </w:p>
        </w:tc>
        <w:tc>
          <w:tcPr>
            <w:tcW w:w="16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50"/>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90,997</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4,579</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128,557</w:t>
            </w:r>
          </w:p>
        </w:tc>
        <w:tc>
          <w:tcPr>
            <w:tcW w:w="100" w:type="dxa"/>
            <w:vAlign w:val="bottom"/>
            <w:shd w:val="clear" w:color="auto" w:fill="CFF0FC"/>
          </w:tcPr>
          <w:p>
            <w:pPr>
              <w:spacing w:after="0"/>
              <w:rPr>
                <w:sz w:val="21"/>
                <w:szCs w:val="21"/>
                <w:color w:val="auto"/>
              </w:rPr>
            </w:pPr>
          </w:p>
        </w:tc>
      </w:tr>
      <w:tr>
        <w:trPr>
          <w:trHeight w:val="250"/>
        </w:trPr>
        <w:tc>
          <w:tcPr>
            <w:tcW w:w="440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59,829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266,823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361,984</w:t>
            </w: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(3,872 )</w:t>
            </w: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(3,872 )</w:t>
            </w:r>
          </w:p>
        </w:tc>
      </w:tr>
      <w:tr>
        <w:trPr>
          <w:trHeight w:val="250"/>
        </w:trPr>
        <w:tc>
          <w:tcPr>
            <w:tcW w:w="440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(23,197 )</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(152,965 )</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(29,897 )</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(206,059 )</w:t>
            </w:r>
          </w:p>
        </w:tc>
      </w:tr>
      <w:tr>
        <w:trPr>
          <w:trHeight w:val="257"/>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(29,067 )</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(85,622 )</w:t>
            </w: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(191 )</w:t>
            </w:r>
          </w:p>
        </w:tc>
        <w:tc>
          <w:tcPr>
            <w:tcW w:w="1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(3,721 )</w:t>
            </w:r>
          </w:p>
        </w:tc>
        <w:tc>
          <w:tcPr>
            <w:tcW w:w="1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(118,601 )</w:t>
            </w:r>
          </w:p>
        </w:tc>
      </w:tr>
      <w:tr>
        <w:trPr>
          <w:trHeight w:val="250"/>
        </w:trPr>
        <w:tc>
          <w:tcPr>
            <w:tcW w:w="44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June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36,826</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115,361</w:t>
            </w:r>
          </w:p>
        </w:tc>
        <w:tc>
          <w:tcPr>
            <w:tcW w:w="24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5,977</w:t>
            </w: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162,009</w:t>
            </w:r>
          </w:p>
        </w:tc>
        <w:tc>
          <w:tcPr>
            <w:tcW w:w="100" w:type="dxa"/>
            <w:vAlign w:val="bottom"/>
            <w:tcBorders>
              <w:top w:val="single" w:sz="8" w:color="CFF0FC"/>
            </w:tcBorders>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-193675</wp:posOffset>
            </wp:positionV>
            <wp:extent cx="1460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-193675</wp:posOffset>
            </wp:positionV>
            <wp:extent cx="1460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-193675</wp:posOffset>
            </wp:positionV>
            <wp:extent cx="1289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12890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Licensing Revenue</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204"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0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9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19" w:name="page20"/>
    <w:bookmarkEnd w:id="19"/>
    <w:p>
      <w:pPr>
        <w:ind w:right="480"/>
        <w:spacing w:after="0" w:line="293" w:lineRule="auto"/>
        <w:rPr>
          <w:sz w:val="20"/>
          <w:szCs w:val="20"/>
          <w:color w:val="auto"/>
        </w:rPr>
      </w:pPr>
      <w:r>
        <w:rPr>
          <w:rFonts w:ascii="Arial" w:cs="Arial" w:eastAsia="Arial" w:hAnsi="Arial"/>
          <w:sz w:val="18"/>
          <w:szCs w:val="18"/>
          <w:color w:val="auto"/>
        </w:rPr>
        <w:t>component if the expectation at contract inception is such that the period between payment by the customer and the transfer of the promised goods or services to the customer will be one year or less.</w:t>
      </w:r>
    </w:p>
    <w:p>
      <w:pPr>
        <w:spacing w:after="0" w:line="274" w:lineRule="exact"/>
        <w:rPr>
          <w:sz w:val="20"/>
          <w:szCs w:val="20"/>
          <w:color w:val="auto"/>
        </w:rPr>
      </w:pPr>
    </w:p>
    <w:p>
      <w:pPr>
        <w:ind w:left="260" w:right="6540" w:hanging="252"/>
        <w:spacing w:after="0" w:line="362" w:lineRule="auto"/>
        <w:tabs>
          <w:tab w:leader="none" w:pos="2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Commercialization and Supply Agreements </w:t>
      </w:r>
      <w:r>
        <w:rPr>
          <w:rFonts w:ascii="Arial" w:cs="Arial" w:eastAsia="Arial" w:hAnsi="Arial"/>
          <w:sz w:val="18"/>
          <w:szCs w:val="18"/>
          <w:i w:val="1"/>
          <w:iCs w:val="1"/>
          <w:u w:val="single" w:color="auto"/>
          <w:color w:val="auto"/>
        </w:rPr>
        <w:t>In-licenses</w:t>
      </w: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Mochida Pharmaceutical Co., Ltd.</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91"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8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In January 2021, the Company exercised certain rights under the agreement, resulting in a payment of $1.0 million to Mochida, which was recorded as Research and development expense in the condensed consolidated statement of operations. In January 2020 and December 2020, the Company exercised certain rights under the agreement, resulting in payments of $1.0 million, respectively, to Mochida, which were recorded as Research and development expense in the condensed consolidated statement of operations.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3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74"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76"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40"/>
        <w:spacing w:after="0" w:line="292" w:lineRule="auto"/>
        <w:rPr>
          <w:sz w:val="20"/>
          <w:szCs w:val="20"/>
          <w:color w:val="auto"/>
        </w:rPr>
      </w:pPr>
      <w:r>
        <w:rPr>
          <w:rFonts w:ascii="Arial" w:cs="Arial" w:eastAsia="Arial" w:hAnsi="Arial"/>
          <w:sz w:val="17"/>
          <w:szCs w:val="17"/>
          <w:color w:val="auto"/>
        </w:rPr>
        <w:t>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Edding is also seeking regulatory approval of VASCEPA in Hong Kong.</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7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9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During the six months ended June 30, 2021 and 2020, the Company recognized $0.6 million and $1.6 million, respectively, as licensing revenue related to the up-front and milestone payments received in connection with the Edding agreement. From contract inception through June 30, 2021 and December 31, 2020, the Company recognized $6.7 million and $6.1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$10.2 million and $10.8 million is recorded in deferred revenue as of June 30, 2021 and December 31, 2020, respectively, on the condensed consolidated balance sheets and will be recognized as revenue over the remaining period of 13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3"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The Company received approval of VASCEPA as a prescription medication for use in Lebanon in March 2018, in United Arab Emirates in July 2018, in Qatar in January 2020 and in Bahrain in December 2020 as an adjunct to diet to reduce triglyceride levels in adult patients with severe hypertriglyceridemia. VASCEPA was launched in Lebanon in June 2018 and in United Arab Emirates in February 2019.</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Company recognized net product revenue of approximately nil and $0.5 million for the three and six months ended June 30, 2021, respectively, related to sales to Biologix (nil in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31"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56"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8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5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91"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During the six months ended June 30, 2021 and 2020, the Company recognized $0.6 million and $2.7 million, respectively, as licensing revenue related to up-front and milestone payments received in connection with the HLS agreement. From the contract’s inception through June 30, 2021 and December 31, 2020, the Company has recognized $7.2 million and $6.6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$6.5 million and $7.1 million is recorded in deferred revenue as of June 30, 2021 and December 31, 2020, respectively, on the condensed consolidated balance sheets and will be recognized as revenue over the remaining period of 9 years.</w:t>
      </w:r>
    </w:p>
    <w:p>
      <w:pPr>
        <w:spacing w:after="0" w:line="181"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Company recognized net product revenue of nil and $1.8 million for the three months ended June 30, 2021 and 2020, respectively and nil and $8.5 million for the six months ended June 30, 2021 and 2020, respectively, related to HLS.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following table presents changes in the balances of the Company’s contract assets and liabilities during the three and six months ended June 30,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5"/>
                <w:szCs w:val="15"/>
                <w:color w:val="auto"/>
              </w:rPr>
            </w:pPr>
          </w:p>
        </w:tc>
      </w:tr>
      <w:tr>
        <w:trPr>
          <w:trHeight w:val="198"/>
        </w:trPr>
        <w:tc>
          <w:tcPr>
            <w:tcW w:w="4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7"/>
                <w:szCs w:val="17"/>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End of Period</w:t>
            </w:r>
          </w:p>
        </w:tc>
        <w:tc>
          <w:tcPr>
            <w:tcW w:w="100" w:type="dxa"/>
            <w:vAlign w:val="bottom"/>
          </w:tcPr>
          <w:p>
            <w:pPr>
              <w:spacing w:after="0"/>
              <w:rPr>
                <w:sz w:val="17"/>
                <w:szCs w:val="17"/>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45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18,632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(1,225 )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tcPr>
          <w:p>
            <w:pPr>
              <w:spacing w:after="0"/>
              <w:rPr>
                <w:sz w:val="21"/>
                <w:szCs w:val="21"/>
                <w:color w:val="auto"/>
              </w:rPr>
            </w:pPr>
          </w:p>
        </w:tc>
      </w:tr>
      <w:tr>
        <w:trPr>
          <w:trHeight w:val="290"/>
        </w:trPr>
        <w:tc>
          <w:tcPr>
            <w:tcW w:w="4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6"/>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(4,382 )</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shd w:val="clear" w:color="auto" w:fill="CCEEFF"/>
          </w:tcPr>
          <w:p>
            <w:pPr>
              <w:spacing w:after="0"/>
              <w:rPr>
                <w:sz w:val="22"/>
                <w:szCs w:val="22"/>
                <w:color w:val="auto"/>
              </w:rPr>
            </w:pPr>
          </w:p>
        </w:tc>
      </w:tr>
    </w:tbl>
    <w:p>
      <w:pPr>
        <w:spacing w:after="0" w:line="215"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During the six months ended June 30, 2021 and 2020, the Company recognized the following revenues as a result of changes in the contract asset and contract liability balances in the respective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8"/>
        </w:trPr>
        <w:tc>
          <w:tcPr>
            <w:tcW w:w="7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Six months ended 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0"/>
                <w:szCs w:val="20"/>
                <w:color w:val="auto"/>
              </w:rPr>
            </w:pPr>
          </w:p>
        </w:tc>
      </w:tr>
      <w:tr>
        <w:trPr>
          <w:trHeight w:val="25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21"/>
                <w:szCs w:val="2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9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3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$10.5 million and $10.6 million and the operating lease right-of-use asset is $7.9 million and $8.1 million, as of June 30, 2021 and December 31, 2020, respectively.</w:t>
      </w:r>
    </w:p>
    <w:p>
      <w:pPr>
        <w:spacing w:after="0" w:line="12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lease expense for the three and six months ended June 30, 2021 is approximately $0.5 million and $1.0 million, respectively. The lease expense for the three and six months ended June 30, 2020 is approximately $0.4 million and $0.8 million, respectively.</w:t>
      </w:r>
    </w:p>
    <w:p>
      <w:pPr>
        <w:spacing w:after="0" w:line="116"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Undiscounted</w:t>
            </w:r>
          </w:p>
        </w:tc>
      </w:tr>
      <w:tr>
        <w:trPr>
          <w:trHeight w:val="175"/>
        </w:trPr>
        <w:tc>
          <w:tcPr>
            <w:tcW w:w="40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lease</w:t>
            </w:r>
          </w:p>
        </w:tc>
      </w:tr>
      <w:tr>
        <w:trPr>
          <w:trHeight w:val="175"/>
        </w:trPr>
        <w:tc>
          <w:tcPr>
            <w:tcW w:w="40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payments</w:t>
            </w:r>
          </w:p>
        </w:tc>
      </w:tr>
      <w:tr>
        <w:trPr>
          <w:trHeight w:val="192"/>
        </w:trPr>
        <w:tc>
          <w:tcPr>
            <w:tcW w:w="402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1"/>
              </w:rPr>
              <w:t>($000s)</w:t>
            </w:r>
          </w:p>
        </w:tc>
        <w:tc>
          <w:tcPr>
            <w:tcW w:w="100" w:type="dxa"/>
            <w:vAlign w:val="bottom"/>
          </w:tcPr>
          <w:p>
            <w:pPr>
              <w:spacing w:after="0"/>
              <w:rPr>
                <w:sz w:val="16"/>
                <w:szCs w:val="16"/>
                <w:color w:val="auto"/>
              </w:rPr>
            </w:pPr>
          </w:p>
        </w:tc>
      </w:tr>
      <w:tr>
        <w:trPr>
          <w:trHeight w:val="25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5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2022</w:t>
            </w:r>
          </w:p>
        </w:tc>
        <w:tc>
          <w:tcPr>
            <w:tcW w:w="5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2024</w:t>
            </w:r>
          </w:p>
        </w:tc>
        <w:tc>
          <w:tcPr>
            <w:tcW w:w="5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FF0FC"/>
          </w:tcPr>
          <w:p>
            <w:pPr>
              <w:spacing w:after="0"/>
              <w:rPr>
                <w:sz w:val="22"/>
                <w:szCs w:val="22"/>
                <w:color w:val="auto"/>
              </w:rPr>
            </w:pPr>
          </w:p>
        </w:tc>
      </w:tr>
      <w:tr>
        <w:trPr>
          <w:trHeight w:val="256"/>
        </w:trPr>
        <w:tc>
          <w:tcPr>
            <w:tcW w:w="40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5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22"/>
                <w:szCs w:val="22"/>
                <w:color w:val="auto"/>
              </w:rPr>
            </w:pPr>
          </w:p>
        </w:tc>
      </w:tr>
      <w:tr>
        <w:trPr>
          <w:trHeight w:val="250"/>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undiscounted payments</w:t>
            </w:r>
          </w:p>
        </w:tc>
        <w:tc>
          <w:tcPr>
            <w:tcW w:w="524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Discount Adjustments</w:t>
            </w:r>
          </w:p>
        </w:tc>
        <w:tc>
          <w:tcPr>
            <w:tcW w:w="5240" w:type="dxa"/>
            <w:vAlign w:val="bottom"/>
            <w:gridSpan w:val="2"/>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(6,656 )</w:t>
            </w:r>
          </w:p>
        </w:tc>
      </w:tr>
      <w:tr>
        <w:trPr>
          <w:trHeight w:val="25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operating lease liability</w:t>
            </w:r>
          </w:p>
        </w:tc>
        <w:tc>
          <w:tcPr>
            <w:tcW w:w="5240" w:type="dxa"/>
            <w:vAlign w:val="bottom"/>
            <w:gridSpan w:val="2"/>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21"/>
                <w:szCs w:val="2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5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21"/>
                <w:szCs w:val="21"/>
                <w:color w:val="auto"/>
              </w:rPr>
            </w:pPr>
          </w:p>
        </w:tc>
      </w:tr>
      <w:tr>
        <w:trPr>
          <w:trHeight w:val="473"/>
        </w:trPr>
        <w:tc>
          <w:tcPr>
            <w:tcW w:w="4020" w:type="dxa"/>
            <w:vAlign w:val="bottom"/>
          </w:tcPr>
          <w:p>
            <w:pPr>
              <w:spacing w:after="0"/>
              <w:rPr>
                <w:sz w:val="24"/>
                <w:szCs w:val="24"/>
                <w:color w:val="auto"/>
              </w:rPr>
            </w:pPr>
          </w:p>
        </w:tc>
        <w:tc>
          <w:tcPr>
            <w:tcW w:w="5000" w:type="dxa"/>
            <w:vAlign w:val="bottom"/>
          </w:tcPr>
          <w:p>
            <w:pPr>
              <w:jc w:val="right"/>
              <w:ind w:right="32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2020 and below under Part II, Item IA, “Risk Factors”.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This Management’s Discussion and Analysis of Financial Condition and Results of Operations, or MD&amp;A, should be read in conjunction with the Part I, Item 1, Business and Part II, Item 7, MD&amp;A included in our Annual Report on Form 10-K for the fiscal year ended December 31, 2020 for additional information on our business.</w:t>
      </w:r>
    </w:p>
    <w:p>
      <w:pPr>
        <w:spacing w:after="0" w:line="76" w:lineRule="exact"/>
        <w:rPr>
          <w:sz w:val="20"/>
          <w:szCs w:val="20"/>
          <w:color w:val="auto"/>
        </w:rPr>
      </w:pPr>
    </w:p>
    <w:p>
      <w:pPr>
        <w:ind w:right="120" w:firstLine="509"/>
        <w:spacing w:after="0" w:line="230" w:lineRule="auto"/>
        <w:rPr>
          <w:sz w:val="20"/>
          <w:szCs w:val="20"/>
          <w:color w:val="auto"/>
        </w:rPr>
      </w:pPr>
      <w:r>
        <w:rPr>
          <w:rFonts w:ascii="Arial" w:cs="Arial" w:eastAsia="Arial" w:hAnsi="Arial"/>
          <w:sz w:val="18"/>
          <w:szCs w:val="18"/>
          <w:color w:val="auto"/>
        </w:rPr>
        <w:t>We are a pharmaceutical company focused on the commercialization and development of therapeutics to improve cardiovascular, or CV, health and reduce CV risk. Our lead product, VASCEPA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We launched VASCEPA in the United States, or U.S., in January 2013. On December 13, 2019 the U.S. FDA approved an indication and label expansion for VASCEPA based on the landmark results of our cardiovascular outcomes trial, REDUCE-IT</w:t>
      </w:r>
      <w:r>
        <w:rPr>
          <w:rFonts w:ascii="Arial" w:cs="Arial" w:eastAsia="Arial" w:hAnsi="Arial"/>
          <w:sz w:val="24"/>
          <w:szCs w:val="24"/>
          <w:color w:val="auto"/>
          <w:vertAlign w:val="superscript"/>
        </w:rPr>
        <w:t>®</w:t>
      </w:r>
      <w:r>
        <w:rPr>
          <w:rFonts w:ascii="Arial" w:cs="Arial" w:eastAsia="Arial" w:hAnsi="Arial"/>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w:t>
      </w:r>
    </w:p>
    <w:p>
      <w:pPr>
        <w:spacing w:after="0" w:line="153" w:lineRule="exact"/>
        <w:rPr>
          <w:sz w:val="20"/>
          <w:szCs w:val="20"/>
          <w:color w:val="auto"/>
        </w:rPr>
      </w:pPr>
    </w:p>
    <w:p>
      <w:pPr>
        <w:ind w:right="40" w:firstLine="544"/>
        <w:spacing w:after="0" w:line="286" w:lineRule="auto"/>
        <w:rPr>
          <w:sz w:val="20"/>
          <w:szCs w:val="20"/>
          <w:color w:val="auto"/>
        </w:rPr>
      </w:pPr>
      <w:r>
        <w:rPr>
          <w:rFonts w:ascii="Arial" w:cs="Arial" w:eastAsia="Arial" w:hAnsi="Arial"/>
          <w:sz w:val="17"/>
          <w:szCs w:val="17"/>
          <w:color w:val="auto"/>
        </w:rPr>
        <w:t>In August 2020, we announced our plans to launch icosapent ethyl under the brand name VAZKEPA, hereinafter along with the U.S. brand name VASCEPA, collectively referred to as VASCEPA, in major markets in Europe through our own new European sales and marketing teams. On January 28, 2021, the Committee for Medicinal Products for Human Use, or CHMP, of the European Medicines Agency, or EMA, adopted a positive opinion, recommending that a marketing authorization be granted to our drug, icosapent ethyl, in the European Union, or EU, for the reduction of risk of cardiovascular events in patients with high cardiovascular risk. On March 26, 2021, the European Commission, or EC, granted approval of the marketing authorization application in the EU for VAZKEPA which is the first and only EC approved therapy to reduce cardiovascular risk in high-risk statin-treated patients with elevated TG levels. The EC approval provides ten years of market protection in the EU, and we have been issued a patent that expires in 2033 with additional pending applications that could extend exclusivity into 2039.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114" w:lineRule="exact"/>
        <w:rPr>
          <w:sz w:val="20"/>
          <w:szCs w:val="20"/>
          <w:color w:val="auto"/>
        </w:rPr>
      </w:pPr>
    </w:p>
    <w:p>
      <w:pPr>
        <w:ind w:firstLine="544"/>
        <w:spacing w:after="0" w:line="287" w:lineRule="auto"/>
        <w:rPr>
          <w:sz w:val="20"/>
          <w:szCs w:val="20"/>
          <w:color w:val="auto"/>
        </w:rPr>
      </w:pPr>
      <w:r>
        <w:rPr>
          <w:rFonts w:ascii="Arial" w:cs="Arial" w:eastAsia="Arial" w:hAnsi="Arial"/>
          <w:sz w:val="17"/>
          <w:szCs w:val="17"/>
          <w:color w:val="auto"/>
        </w:rPr>
        <w:t>In Europe, launch of VAZKEPA in individual countries is gated by timing of achieving product reimbursement on a country-by-country basis as is typical for new drugs. In seeking market access, we have filed four dossiers in European countries, including in some of the largest countries in Europe, and expect to file additional dossiers in Europe and select other parts of the world in the coming months. Similar to our approach in launching VASCEPA in the United States, in Europe we have been building a core team of experienced professionals and a highly capable commercial team, who are involved with pre-launch planning and other commercial preparation activities and plan to leverage third-party relationships for various support activities. We also have commenced training sales representatives to advance pre-launch disease and brand awareness initiatives in preparation for the planned commercial launch of VAZKEPA in Germany near the end of the third quarter 2021. We have approximately 150 sales representatives deployed for pre-launch product and disease state awareness programs as of June 30, 2021. Additionally, we are continuing to grow our European staff by hiring Market access and Medical affairs teams, among others, across Europe.</w:t>
      </w:r>
    </w:p>
    <w:p>
      <w:pPr>
        <w:spacing w:after="0" w:line="97" w:lineRule="exact"/>
        <w:rPr>
          <w:sz w:val="20"/>
          <w:szCs w:val="20"/>
          <w:color w:val="auto"/>
        </w:rPr>
      </w:pPr>
    </w:p>
    <w:p>
      <w:pPr>
        <w:ind w:right="80" w:firstLine="544"/>
        <w:spacing w:after="0" w:line="266" w:lineRule="auto"/>
        <w:rPr>
          <w:sz w:val="20"/>
          <w:szCs w:val="20"/>
          <w:color w:val="auto"/>
        </w:rPr>
      </w:pPr>
      <w:r>
        <w:rPr>
          <w:rFonts w:ascii="Arial" w:cs="Arial" w:eastAsia="Arial" w:hAnsi="Arial"/>
          <w:sz w:val="18"/>
          <w:szCs w:val="18"/>
          <w:color w:val="auto"/>
        </w:rPr>
        <w:t>In November 2020, we announced statistically significant topline results from the Phase 3 clinical trial of VASCEPA conducted by our partner in China. On February 9, 2021, we announced that our partner in China commenced the regulatory review processes in Mainland China and Hong Kong. The Chinese National Medical Products Administration, or NMPA, has accepted for review the new drug application for VASCEPA based on the results from the Phase 3 clinical trial and the results from our prior studies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ind w:right="140"/>
        <w:spacing w:after="0" w:line="279" w:lineRule="auto"/>
        <w:rPr>
          <w:sz w:val="20"/>
          <w:szCs w:val="20"/>
          <w:color w:val="auto"/>
        </w:rPr>
      </w:pPr>
      <w:r>
        <w:rPr>
          <w:rFonts w:ascii="Arial" w:cs="Arial" w:eastAsia="Arial" w:hAnsi="Arial"/>
          <w:sz w:val="18"/>
          <w:szCs w:val="18"/>
          <w:color w:val="auto"/>
        </w:rPr>
        <w:t>VASCEPA. We expect to receive a decision from the NMPA in Mainland China near the end of 2021. The Hong Kong Department of Health is evaluating VASCEPA based initially on current approvals in the United States and Canada with subsequent notification of the EC approval. The review process in Hong Kong is expected to conclude near the end of 2021.</w:t>
      </w:r>
    </w:p>
    <w:p>
      <w:pPr>
        <w:spacing w:after="0" w:line="115" w:lineRule="exact"/>
        <w:rPr>
          <w:sz w:val="20"/>
          <w:szCs w:val="20"/>
          <w:color w:val="auto"/>
        </w:rPr>
      </w:pPr>
    </w:p>
    <w:p>
      <w:pPr>
        <w:ind w:right="160" w:firstLine="544"/>
        <w:spacing w:after="0" w:line="275" w:lineRule="auto"/>
        <w:rPr>
          <w:sz w:val="20"/>
          <w:szCs w:val="20"/>
          <w:color w:val="auto"/>
        </w:rPr>
      </w:pPr>
      <w:r>
        <w:rPr>
          <w:rFonts w:ascii="Arial" w:cs="Arial" w:eastAsia="Arial" w:hAnsi="Arial"/>
          <w:sz w:val="18"/>
          <w:szCs w:val="18"/>
          <w:color w:val="auto"/>
        </w:rPr>
        <w:t>In addition to the U.S.,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commercialization of VASCEPA with commercial partners.</w:t>
      </w:r>
    </w:p>
    <w:p>
      <w:pPr>
        <w:spacing w:after="0" w:line="131"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Based on REDUCE-IT results, to-date 19 clinical treatment guidelines or position statements from medical societies have been updated recommending the use of icosapent ethyl in at-risk patients, including those newly received during the second quarter through the date of this report as listed below:</w:t>
      </w:r>
    </w:p>
    <w:p>
      <w:pPr>
        <w:spacing w:after="0" w:line="48" w:lineRule="exact"/>
        <w:rPr>
          <w:sz w:val="20"/>
          <w:szCs w:val="20"/>
          <w:color w:val="auto"/>
        </w:rPr>
      </w:pPr>
    </w:p>
    <w:p>
      <w:pPr>
        <w:ind w:left="820" w:right="680"/>
        <w:spacing w:after="0" w:line="324" w:lineRule="auto"/>
        <w:rPr>
          <w:sz w:val="20"/>
          <w:szCs w:val="20"/>
          <w:color w:val="auto"/>
        </w:rPr>
      </w:pPr>
      <w:r>
        <w:rPr>
          <w:rFonts w:ascii="Arial" w:cs="Arial" w:eastAsia="Arial" w:hAnsi="Arial"/>
          <w:sz w:val="17"/>
          <w:szCs w:val="17"/>
          <w:color w:val="auto"/>
        </w:rPr>
        <w:t>In May 2021, the Chinese Journal of Internal Medicine published expert consensus on diagnosis and treatment of diabetic patients with cardiovascular disease through 2 grams of icosapent ethyl twice a day to reduce the risk of cardiovascular disease.</w:t>
      </w:r>
    </w:p>
    <w:p>
      <w:pPr>
        <w:spacing w:after="0" w:line="12" w:lineRule="exact"/>
        <w:rPr>
          <w:sz w:val="20"/>
          <w:szCs w:val="20"/>
          <w:color w:val="auto"/>
        </w:rPr>
      </w:pPr>
    </w:p>
    <w:p>
      <w:pPr>
        <w:ind w:left="820" w:right="20"/>
        <w:spacing w:after="0" w:line="303" w:lineRule="auto"/>
        <w:rPr>
          <w:sz w:val="20"/>
          <w:szCs w:val="20"/>
          <w:color w:val="auto"/>
        </w:rPr>
      </w:pPr>
      <w:r>
        <w:rPr>
          <w:rFonts w:ascii="Arial" w:cs="Arial" w:eastAsia="Arial" w:hAnsi="Arial"/>
          <w:sz w:val="17"/>
          <w:szCs w:val="17"/>
          <w:color w:val="auto"/>
        </w:rPr>
        <w:t>In May 2021, the American Heart Association/American Stroke Association published the 2021 Guideline for the Prevention of Stroke in Patients With Stroke and Transient Ischemic Attack. The publication issued two separate guidelines referencing icosapent ethyl, one for reduced risk of recurrent strokes and the other recognizing cardiovascular risk reduction using icosapent ethyl.</w:t>
      </w:r>
    </w:p>
    <w:p>
      <w:pPr>
        <w:spacing w:after="0" w:line="29" w:lineRule="exact"/>
        <w:rPr>
          <w:sz w:val="20"/>
          <w:szCs w:val="20"/>
          <w:color w:val="auto"/>
        </w:rPr>
      </w:pPr>
    </w:p>
    <w:p>
      <w:pPr>
        <w:ind w:left="820" w:right="40"/>
        <w:spacing w:after="0" w:line="329" w:lineRule="auto"/>
        <w:rPr>
          <w:sz w:val="20"/>
          <w:szCs w:val="20"/>
          <w:color w:val="auto"/>
        </w:rPr>
      </w:pPr>
      <w:r>
        <w:rPr>
          <w:rFonts w:ascii="Arial" w:cs="Arial" w:eastAsia="Arial" w:hAnsi="Arial"/>
          <w:sz w:val="16"/>
          <w:szCs w:val="16"/>
          <w:color w:val="auto"/>
        </w:rPr>
        <w:t>In June 2021, the Canadian Stroke Best Practice Recommendations Advisory Committee, in collaboration with the Canadian Stroke Consortium, published the Canadian Stroke Best Practice Recommendations: Secondary Prevention of Stroke Update 2020 in the Canadian Journal of Neurological Sciences. The paper indicated that 2 grams of icosapent ethyl may be considered to decrease the risk of vascular events.</w:t>
      </w:r>
    </w:p>
    <w:p>
      <w:pPr>
        <w:spacing w:after="0" w:line="13" w:lineRule="exact"/>
        <w:rPr>
          <w:sz w:val="20"/>
          <w:szCs w:val="20"/>
          <w:color w:val="auto"/>
        </w:rPr>
      </w:pPr>
    </w:p>
    <w:p>
      <w:pPr>
        <w:ind w:left="820" w:right="40"/>
        <w:spacing w:after="0" w:line="230" w:lineRule="exact"/>
        <w:rPr>
          <w:sz w:val="20"/>
          <w:szCs w:val="20"/>
          <w:color w:val="auto"/>
        </w:rPr>
      </w:pPr>
      <w:r>
        <w:rPr>
          <w:rFonts w:ascii="Arial" w:cs="Arial" w:eastAsia="Arial" w:hAnsi="Arial"/>
          <w:sz w:val="18"/>
          <w:szCs w:val="18"/>
          <w:color w:val="auto"/>
        </w:rPr>
        <w:t>In July 2021, the American College of Cardiology, or ACC, published the 2021 ACC Expert Consensus Decision Pathway on the Management of ASCVD Risk Reduction in Patients with Persistent Hypertriglyceridemia in the Journal of the American College of Cardiology. The publication notes that non-prescription fish oil products are classified as dietary supplements and not interchangeable with prescription omega-3 products. This publication also reports that the only triglyceride risk</w:t>
      </w:r>
      <w:r>
        <w:rPr>
          <w:rFonts w:ascii="MS PGothic" w:cs="MS PGothic" w:eastAsia="MS PGothic" w:hAnsi="MS PGothic"/>
          <w:sz w:val="18"/>
          <w:szCs w:val="18"/>
          <w:color w:val="auto"/>
        </w:rPr>
        <w:t>‐</w:t>
      </w:r>
      <w:r>
        <w:rPr>
          <w:rFonts w:ascii="Arial" w:cs="Arial" w:eastAsia="Arial" w:hAnsi="Arial"/>
          <w:sz w:val="18"/>
          <w:szCs w:val="18"/>
          <w:color w:val="auto"/>
        </w:rPr>
        <w:t>based non</w:t>
      </w:r>
      <w:r>
        <w:rPr>
          <w:rFonts w:ascii="MS PGothic" w:cs="MS PGothic" w:eastAsia="MS PGothic" w:hAnsi="MS PGothic"/>
          <w:sz w:val="18"/>
          <w:szCs w:val="18"/>
          <w:color w:val="auto"/>
        </w:rPr>
        <w:t>‐</w:t>
      </w:r>
      <w:r>
        <w:rPr>
          <w:rFonts w:ascii="Arial" w:cs="Arial" w:eastAsia="Arial" w:hAnsi="Arial"/>
          <w:sz w:val="18"/>
          <w:szCs w:val="18"/>
          <w:color w:val="auto"/>
        </w:rPr>
        <w:t>statin therapy approved for reduction in atherosclerotic cardiovascular disease risk by the U.S. FDA is icosapent ethyl.</w:t>
      </w:r>
    </w:p>
    <w:p>
      <w:pPr>
        <w:spacing w:after="0" w:line="162"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Based on our analysis of branded cardiovascular drugs in the United States which have positive cardiovascular outcomes studies, we believe the wholesale acquisition cost of VASCEPA is the lowest. In addition, while none of these other cardiovascular drugs compete directly with VASCEPA and no head-to-head studies have been done between VASCEPA and these other drugs and the length and construct of the respective outcomes studies of these drugs vary, analysis of published clinical results from the cardiovascular outcomes studies of these drugs indicates that the number needed to treat, or NNT, for VASCEPA is as low or lower than for these other branded cardiovascular drugs. NNT is a measure of how many patients need to be treated before one patient benefits from the therapy. For VASCEPA, in this analysis, the NNT was based on the 25% relative risk reduction demonstrated for the primary endpoint of the study, the NNT for which is 21, relative to one fewer MACE on average per six patients treated over the five-year study period based on total events. The original pricing for VASCEPA in the United States was established prior to results of the REDUCE-IT cardiovascular outcomes study during a timeframe when VASCEPA was only approved for the original indication as an adjunct to diet to reduce TG levels in adult patients with severe (TG ≥500 mg/dL) hypertriglyceridemia. We believe that this relatively low price for VASCEPA in the United States, together with the demonstrated efficacy and safety of VASCEPA, will help lead to many at-risk patients being treated by VASCEPA.</w:t>
      </w:r>
    </w:p>
    <w:p>
      <w:pPr>
        <w:spacing w:after="0" w:line="115"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or DRL, and Hikma Pharmaceuticals USA Inc., or Hikma, (formerly known as West-Ward), and certain of their affiliates, or, collectively, the Defendants, that declared as invalid several of our patents covering the first FDA-approved use of our drug, for use to reduce severely high triglyceride levels, which is known as the MARINE indication. We sought appeals of the Nevada Court judgment up to the United States Supreme Court, but we were unsuccessful. Most recently, on June 18, 2021, we were notified that our petition for writ of certiorari to the United States Supreme Court was denied.</w:t>
      </w:r>
    </w:p>
    <w:p>
      <w:pPr>
        <w:spacing w:after="0" w:line="122" w:lineRule="exact"/>
        <w:rPr>
          <w:sz w:val="20"/>
          <w:szCs w:val="20"/>
          <w:color w:val="auto"/>
        </w:rPr>
      </w:pPr>
    </w:p>
    <w:p>
      <w:pPr>
        <w:ind w:firstLine="544"/>
        <w:spacing w:after="0" w:line="299" w:lineRule="auto"/>
        <w:rPr>
          <w:sz w:val="20"/>
          <w:szCs w:val="20"/>
          <w:color w:val="auto"/>
        </w:rPr>
      </w:pPr>
      <w:r>
        <w:rPr>
          <w:rFonts w:ascii="Arial" w:cs="Arial" w:eastAsia="Arial" w:hAnsi="Arial"/>
          <w:sz w:val="16"/>
          <w:szCs w:val="16"/>
          <w:color w:val="auto"/>
        </w:rPr>
        <w:t>On May 22, 2020, Hikma received U.S. FDA approval to market its generic versions of VASCEPA for the original indication of VASCEPA as an adjunct to diet to reduce TG levels in adult patients with severe (≥500 mg/dL) hypertriglyceridemia. 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 We intend to vigorously pursue these ongoing litigation matters, but cannot predict the outcomes or the impact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120" w:firstLine="544"/>
        <w:spacing w:after="0" w:line="275" w:lineRule="auto"/>
        <w:rPr>
          <w:sz w:val="20"/>
          <w:szCs w:val="20"/>
          <w:color w:val="auto"/>
        </w:rPr>
      </w:pPr>
      <w:r>
        <w:rPr>
          <w:rFonts w:ascii="Arial" w:cs="Arial" w:eastAsia="Arial" w:hAnsi="Arial"/>
          <w:sz w:val="18"/>
          <w:szCs w:val="18"/>
          <w:color w:val="auto"/>
        </w:rPr>
        <w:t>On August 10, 2020, Dr. Reddy's received U.S. FDA approval to market its generic version for the original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w:t>
      </w:r>
    </w:p>
    <w:p>
      <w:pPr>
        <w:spacing w:after="0" w:line="131" w:lineRule="exact"/>
        <w:rPr>
          <w:sz w:val="20"/>
          <w:szCs w:val="20"/>
          <w:color w:val="auto"/>
        </w:rPr>
      </w:pPr>
    </w:p>
    <w:p>
      <w:pPr>
        <w:ind w:right="140" w:firstLine="544"/>
        <w:spacing w:after="0" w:line="314" w:lineRule="auto"/>
        <w:rPr>
          <w:sz w:val="20"/>
          <w:szCs w:val="20"/>
          <w:color w:val="auto"/>
        </w:rPr>
      </w:pPr>
      <w:r>
        <w:rPr>
          <w:rFonts w:ascii="Arial" w:cs="Arial" w:eastAsia="Arial" w:hAnsi="Arial"/>
          <w:sz w:val="16"/>
          <w:szCs w:val="16"/>
          <w:color w:val="auto"/>
        </w:rPr>
        <w:t>We are responsible for supplying VASCEPA to all markets in which the branded product is sold, including Canada, Lebanon and the United Arab Emirates where the drug is promoted and sold via collaborations with third-party companies that compensate us for such supply. Subject to commercial launch in Europe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this U.S. patent litigation and judgment. No similar litigation involving potential generic version of VASCEPA is pending outside the United States.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90" w:lineRule="exact"/>
        <w:rPr>
          <w:sz w:val="20"/>
          <w:szCs w:val="20"/>
          <w:color w:val="auto"/>
        </w:rPr>
      </w:pPr>
    </w:p>
    <w:p>
      <w:pPr>
        <w:ind w:right="460" w:firstLine="509"/>
        <w:spacing w:after="0" w:line="273" w:lineRule="auto"/>
        <w:rPr>
          <w:sz w:val="20"/>
          <w:szCs w:val="20"/>
          <w:color w:val="auto"/>
        </w:rPr>
      </w:pPr>
      <w:r>
        <w:rPr>
          <w:rFonts w:ascii="Arial" w:cs="Arial" w:eastAsia="Arial" w:hAnsi="Arial"/>
          <w:sz w:val="17"/>
          <w:szCs w:val="17"/>
          <w:color w:val="auto"/>
        </w:rPr>
        <w:t>We commenced the commercial launch of VASCEPA in the United States in January 2013 based on the original indication for VASCEPA. In October 2016, in addition to the original 1-gram capsule size for VASCEPA, we introduced a smaller 0.5-gram capsule size. The U.S.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37"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some level of face-to-face customer interactions in a manner consistent with guidelines from local, state and government health officials in the United States. In the fourth quarter of 2020 and continuing into 2021, the impact of COVID-19 worsened in much of the United States, with some physicians again limiting access to face-to-face interactions with our field force personnel. Although some of these restrictions have been lifted in light of the decrease in cases and the prevalence of the vaccines, such access remains variable and challenging due to COVID-19. In addition, while public reports from IQVIA showed patient visits in the three months ended June 30, 2021 have increased by 38% as compared to the same period in 2020, these same sources report that patient visits in the three months ended June 30, 2021, as well as the level of patient lab tests, remain below pre-pandemic levels.</w:t>
      </w:r>
    </w:p>
    <w:p>
      <w:pPr>
        <w:spacing w:after="0" w:line="124"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for the three months ended June 30, 2021 and 2020 was approximately 1,086,000 and 1,089,000, respectively, whereas the estimated number of normalized total prescriptions for icosapent ethyl were 1,230,000 and 1,089,000 for the same periods, respectively. According to data from another third party, IQVIA, the estimated number of normalized total VASCEPA prescriptions for the three months ended June 30, 2021 and 2020 was approximately 1,015,000 and 998,000, respectively, whereas the estimated number of normalized total prescriptions for icosapent ethyl were 1,149,000 and 998,000 for the same periods,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 Such third-party sources also report that the number of patients visiting physicians remains well below pre-pandemic levels, with such reported decline being particularly pronounced in some areas of the country where there is greater awareness of VASCEPA, such as southern California.</w:t>
      </w:r>
    </w:p>
    <w:p>
      <w:pPr>
        <w:spacing w:after="0" w:line="11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11"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6" w:name="page27"/>
    <w:bookmarkEnd w:id="26"/>
    <w:p>
      <w:pPr>
        <w:ind w:right="60"/>
        <w:spacing w:after="0" w:line="287" w:lineRule="auto"/>
        <w:rPr>
          <w:sz w:val="20"/>
          <w:szCs w:val="20"/>
          <w:color w:val="auto"/>
        </w:rPr>
      </w:pPr>
      <w:r>
        <w:rPr>
          <w:rFonts w:ascii="Arial" w:cs="Arial" w:eastAsia="Arial" w:hAnsi="Arial"/>
          <w:sz w:val="17"/>
          <w:szCs w:val="17"/>
          <w:color w:val="auto"/>
        </w:rPr>
        <w:t>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 In Europe, privacy laws and other factors impact the availability of data to inform European commercial operations at an individual physician level. Generally, less data is available and at reduced frequencies as compared to the United States.</w:t>
      </w:r>
    </w:p>
    <w:p>
      <w:pPr>
        <w:spacing w:after="0" w:line="128"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 xml:space="preserve">We began 2020 by taking steps to further expand promotion of VASCEPA in the United States, including direct to consumer advertising, based on the new indication and label expansion of VASCEPA.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Arial" w:cs="Arial" w:eastAsia="Arial" w:hAnsi="Arial"/>
          <w:sz w:val="16"/>
          <w:szCs w:val="16"/>
          <w:i w:val="1"/>
          <w:iCs w:val="1"/>
          <w:color w:val="auto"/>
        </w:rPr>
        <w:t>True To Your Heart</w:t>
      </w:r>
      <w:r>
        <w:rPr>
          <w:rFonts w:ascii="Arial" w:cs="Arial" w:eastAsia="Arial" w:hAnsi="Arial"/>
          <w:sz w:val="16"/>
          <w:szCs w:val="16"/>
          <w:color w:val="auto"/>
        </w:rPr>
        <w:t xml:space="preserve">, to help people learn more about cardiovascular disease and how to better protect against persistent cardiovascular risk. In the United States, in July 2020 we launched our first television-based promotion of VASCEPA emphasizing that it is the first and only U.S. FDA approved drug for its indication. In September 2020, we launched a new, nationwide television advertisement campaign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We resumed on a very limited basis, direct-to-consumer campaign in January 2021, including television-based promotion, digital and social media promotion to continue to grow consumer awareness of VASCEPA. In June 2021, we launched an educational campaign, </w:t>
      </w:r>
      <w:r>
        <w:rPr>
          <w:rFonts w:ascii="Arial" w:cs="Arial" w:eastAsia="Arial" w:hAnsi="Arial"/>
          <w:sz w:val="16"/>
          <w:szCs w:val="16"/>
          <w:i w:val="1"/>
          <w:iCs w:val="1"/>
          <w:color w:val="auto"/>
        </w:rPr>
        <w:t>It's Clear to Me Now</w:t>
      </w:r>
      <w:r>
        <w:rPr>
          <w:rFonts w:ascii="Arial" w:cs="Arial" w:eastAsia="Arial" w:hAnsi="Arial"/>
          <w:sz w:val="16"/>
          <w:szCs w:val="16"/>
          <w:color w:val="auto"/>
        </w:rPr>
        <w:t>, to help physicians and patients learn more about the differentiation between VASCEPA and fenofibrates for CV risk reduction. The differentiation is important for physicians and patients as the U.S. FDA removed use with statins for CV risk reduction from the fenofibrates' label based on a failed CV risk outcomes trial. We have continued to monitor the effect of COVID-19 and its impact on patient visits to doctors. Our level and type of promotion has varied during the pandemic based on the determination of whether the cost was justified in light of COVID-19's impact at a given time. We anticipate that at-risk patients will increasingly resume visiting their doctors for non-urgent medical care after they are vaccinated for COVID-19, however, we cannot accurately predict when this resumption in visits to doctors will occur and, because many patients have multiple medical issues, we cannot predict the degree to which healthcare professionals will be proactive in seeking to reduce cardiovascular risk in at-risk patients when these patients resume visiting their doctors. The timing is likely to vary by geography. As COVID-19 protocols ease and ordinary course activities continue to resume, we will seek to adjust our promotional initiatives accordingly, including pursuing increased face-to-face interactions with healthcare professionals and expanding various forms of direct-to-consumer promotion.</w:t>
      </w:r>
    </w:p>
    <w:p>
      <w:pPr>
        <w:spacing w:after="0" w:line="108" w:lineRule="exact"/>
        <w:rPr>
          <w:sz w:val="20"/>
          <w:szCs w:val="20"/>
          <w:color w:val="auto"/>
        </w:rPr>
      </w:pPr>
    </w:p>
    <w:p>
      <w:pPr>
        <w:ind w:right="40" w:firstLine="544"/>
        <w:spacing w:after="0" w:line="286" w:lineRule="auto"/>
        <w:rPr>
          <w:sz w:val="20"/>
          <w:szCs w:val="20"/>
          <w:color w:val="auto"/>
        </w:rPr>
      </w:pPr>
      <w:r>
        <w:rPr>
          <w:rFonts w:ascii="Arial" w:cs="Arial" w:eastAsia="Arial" w:hAnsi="Arial"/>
          <w:sz w:val="17"/>
          <w:szCs w:val="17"/>
          <w:color w:val="auto"/>
        </w:rPr>
        <w:t>Similar to our approach in launching VASCEPA in the United States, in Europe we are building a core team of experienced professionals and a highly capable commercial team involved with pre-launch planning and other commercial preparation activities and are leveraging third-party relationships for various support activities. In Europe, patients at high risk for cardiovascular disease tend, in comparison to the United States, to be treated more often by specialists, such as cardiologists rather than by physicians who are general practitioners. This greater concentration of at-risk patients being treated by specialists in Europe should allow for more efficient promotion in Europe than in the United States. We have been active in preparing for reimbursement negotiations and have filed four dossiers in European countries, including in some of the largest countries in Europe, and expect to file additional dossiers in Europe and other select parts of the world in the coming months. In most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realize the commercial opportunity of VAZKEPA in Europe.</w:t>
      </w:r>
    </w:p>
    <w:p>
      <w:pPr>
        <w:spacing w:after="0" w:line="124" w:lineRule="exact"/>
        <w:rPr>
          <w:sz w:val="20"/>
          <w:szCs w:val="20"/>
          <w:color w:val="auto"/>
        </w:rPr>
      </w:pPr>
    </w:p>
    <w:p>
      <w:pPr>
        <w:ind w:right="300" w:firstLine="509"/>
        <w:spacing w:after="0" w:line="324" w:lineRule="auto"/>
        <w:rPr>
          <w:sz w:val="20"/>
          <w:szCs w:val="20"/>
          <w:color w:val="auto"/>
        </w:rPr>
      </w:pPr>
      <w:r>
        <w:rPr>
          <w:rFonts w:ascii="Arial" w:cs="Arial" w:eastAsia="Arial" w:hAnsi="Arial"/>
          <w:sz w:val="17"/>
          <w:szCs w:val="17"/>
          <w:color w:val="auto"/>
        </w:rPr>
        <w:t>We plan to assess other potential partnership opportunities for VASCEPA with partners in other parts of the world. While we believe that there is medical need and opportunity for VASCEPA elsewhere in the world, our current priorities are the geographies described above.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results of the REDUCE-IT STROKE subgroup analyses were presented at the International Stroke Conference 2021 from March 17 - 19, 2021. The REDUCE-IT STROKE analyses examined stroke rates across the enrolled patient population (n=8179). Enrolled patients were required to be treated with statins and other conventional therapies, and all patients had either established cardiovascular disease or diabetes and had other cardiovascular risk factors such as elevated triglyceride levels. Event rates for time to first fatal or nonfatal stroke were 2.4% for VASCEPA vs. 3.3% for placebo for a relative risk reduction of 28% (p=0.01). Ischemic stroke time to first event rates were 2.0% for VASCEPA vs. 3.0% for placebo for a relative risk reduction of 36% (p=0.002). Hemorrhagic stroke occurred at low rates with no significant difference for VASCEPA vs. placebo (0.3% vs 0.2%; p=0.55).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7" w:name="page28"/>
    <w:bookmarkEnd w:id="27"/>
    <w:p>
      <w:pPr>
        <w:ind w:right="140" w:firstLine="509"/>
        <w:spacing w:after="0" w:line="286" w:lineRule="auto"/>
        <w:rPr>
          <w:sz w:val="20"/>
          <w:szCs w:val="20"/>
          <w:color w:val="auto"/>
        </w:rPr>
      </w:pPr>
      <w:r>
        <w:rPr>
          <w:rFonts w:ascii="Arial" w:cs="Arial" w:eastAsia="Arial" w:hAnsi="Arial"/>
          <w:sz w:val="17"/>
          <w:szCs w:val="17"/>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supporting investigator initiated studies by providing study drug product and limited financial support to investigators in multiple pilot studies designed to better understand the potential of VASCEPA and its potentially beneficial role. On December 12, 2020, we announced at the National Lipid Association Scientific Sessions 2020 positive clinical results from the first study of VASCEPA in COVID-19 infected outpatients, CardioLink-9. If the results of the other pilot studies are positive, we will evaluate whether additional studies will be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04"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In Europe, while certain of our suppliers are approved, after the impact of COVID-19 subsides and more readily allows for regulatory inspections, we will seek to expand the number of our suppliers approved for use in further product sales in Europe.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As of June 30, 2021, according to CDC data, approximately 46% of the U.S. population has been fully vaccinated and approximately 54% of the U.S. population has received at least one dose of a vaccine. While according to CDC data, the populations vaccination rate has increased and the number of new cases has decreased since the beginning of 2021, we continue to monitor and evaluate the pandemic’s effect on patients, distributors, customers and our employees, as well as on our operations and the operations of our business partners and communities. Given the uncertainties regarding the scope, duration and impact of COVID-19 on our sales, supply, research and development efforts and operations, and on the operations of our customers, suppliers, distributors, other partners and patients, the impact of COVID-19 could impact our current performance and continues to represent a risk to our future performance.</w:t>
      </w:r>
    </w:p>
    <w:p>
      <w:pPr>
        <w:spacing w:after="0" w:line="13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choosing to not get blood tests which the results of these tests provide useful information to the treatment of cardiovascular risk. These limitations have had a significant impact on slowing VASCEPA prescription and revenue growth. While COVID-19 continues to impact our promotion of VASCEPA, we have seen signs of improvement.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continuing into 2021, the impact of COVID-19 worsened in much of the United States with some physicians again limiting access to face-to-face interactions with our field force personnel. Although some of these restrictions have been lifted in light of the decrease in cases and the prevalence of the vaccines, such access remains variable and challenging due to COVID-19.</w:t>
      </w:r>
    </w:p>
    <w:p>
      <w:pPr>
        <w:spacing w:after="0" w:line="124"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In the United States, in July 2020 we launched our first television-based promotion of VASCEPA emphasizing that it is the first and only U.S. FDA approved drug for the cardiovascular risk reduction indication. In September 2020, we launched a new, nationwide television advertisement campaign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judging that the cost was not sufficiently justified. We resumed a limited direct-to-consumer campaign in January 2021, including television-based promotion, digital and social media promotion to continue to grow consumer awareness of VASCEPA. We anticipate that at-risk patients will increasingly resume visiting their doctors for non-urgent medical care after they are vaccinated for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right="60"/>
        <w:spacing w:after="0" w:line="279" w:lineRule="auto"/>
        <w:rPr>
          <w:sz w:val="20"/>
          <w:szCs w:val="20"/>
          <w:color w:val="auto"/>
        </w:rPr>
      </w:pPr>
      <w:r>
        <w:rPr>
          <w:rFonts w:ascii="Arial" w:cs="Arial" w:eastAsia="Arial" w:hAnsi="Arial"/>
          <w:sz w:val="18"/>
          <w:szCs w:val="18"/>
          <w:color w:val="auto"/>
        </w:rPr>
        <w:t>COVID-19. As more of the population is vaccinated, COVID-19 protocols have eased and ordinary course activities have begun to resume, and as such we will seek to adjust our promotional initiatives accordingly, including pursuing increased face-to-face interactions with health care professionals and expanding various forms of direct-to-consumer promotion.</w:t>
      </w:r>
    </w:p>
    <w:p>
      <w:pPr>
        <w:spacing w:after="0" w:line="12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Thus far, 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12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ultimate impacts of COVID-19 on our business are unknown; however, we are actively monitoring the situation and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overall morale of our employees is good despite the challenges associated with COVID-19.</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Succession Plans</w:t>
      </w:r>
    </w:p>
    <w:p>
      <w:pPr>
        <w:spacing w:after="0" w:line="185" w:lineRule="exact"/>
        <w:rPr>
          <w:sz w:val="20"/>
          <w:szCs w:val="20"/>
          <w:color w:val="auto"/>
        </w:rPr>
      </w:pPr>
    </w:p>
    <w:p>
      <w:pPr>
        <w:ind w:right="60" w:firstLine="544"/>
        <w:spacing w:after="0" w:line="288" w:lineRule="auto"/>
        <w:rPr>
          <w:sz w:val="20"/>
          <w:szCs w:val="20"/>
          <w:color w:val="auto"/>
        </w:rPr>
      </w:pPr>
      <w:r>
        <w:rPr>
          <w:rFonts w:ascii="Arial" w:cs="Arial" w:eastAsia="Arial" w:hAnsi="Arial"/>
          <w:sz w:val="17"/>
          <w:szCs w:val="17"/>
          <w:color w:val="auto"/>
        </w:rPr>
        <w:t>As announced in April 2021, effective August 1, 2021, John Thero retired from his positions as President and Chief Executive Officer and member of the Board of Directors and is now providing phased transitional and consulting services to us. Effective August 1, 2021, the Board of Directors appointed Karim Mikhail, previously our Senior Vice President, Commercial Head Europe, to succeed Mr. Thero as our President and Chief Executive Officer, as well as, a member of the Board of Directors. In addition, we have announced the appointment of Laurent Abuaf as our new Senior Vice President, and President of Europe to fill the opening left by Mr. Mikhail's promotion. Effective August 1, 2021, Joseph Kennedy has retired from his position of Executive Vice President and General Counsel. Our search to hire a new General Counsel has been completed with Mr. Kennedy also intending to support this transition and to provide consulting support on certain legal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Revenues from product sales are recognized when the distributor obtains control of our product, which occurs at a point in time, typically upon delivery to the distributor. Timing of shipments to wholesalers, as used for revenue recognition, and timing of prescriptions as estimated by third-party sources such as Symphony Health and IQVIA may differ from period to period. During the quarters ended June 30, 2021 and 2020, our Product revenue, net included adjustment for co-pay mitigation rebates provided by us to commercially insured patients. Such support is intended for offset for a portion of the out-of-pocket expense that patients are required to pay for VASCEPA based upon the benefit design of their prescription drug coverage. Our cost for these co-payment support payments in both of the quarters ended June 30, 2021 and 2020 was up to $150 per 30-day prescription filled and up to $450 per 90-day prescription filled.</w:t>
      </w:r>
    </w:p>
    <w:p>
      <w:pPr>
        <w:spacing w:after="0" w:line="30"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Outside of the United States, currently all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 revenue is derived from direct sales of VASCEPA in the United States.</w:t>
      </w:r>
    </w:p>
    <w:p>
      <w:pPr>
        <w:spacing w:after="0" w:line="142" w:lineRule="exact"/>
        <w:rPr>
          <w:sz w:val="20"/>
          <w:szCs w:val="20"/>
          <w:color w:val="auto"/>
        </w:rPr>
      </w:pPr>
    </w:p>
    <w:p>
      <w:pPr>
        <w:jc w:val="both"/>
        <w:ind w:right="560" w:firstLine="509"/>
        <w:spacing w:after="0" w:line="303"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0" w:lineRule="exact"/>
        <w:rPr>
          <w:sz w:val="20"/>
          <w:szCs w:val="20"/>
          <w:color w:val="auto"/>
        </w:rPr>
      </w:pPr>
    </w:p>
    <w:p>
      <w:pPr>
        <w:ind w:right="120" w:firstLine="509"/>
        <w:spacing w:after="0" w:line="281"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includes the cost of API for VASCEPA on which revenue was recognized during the period,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ind w:right="140" w:firstLine="509"/>
        <w:spacing w:after="0" w:line="303"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10"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costs associated with supporting investigator initiated studies,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10"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expense consists of interest incurred under our December 2012 royalty-bearing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arrangement, which was calculated based on an estimated repayment schedule and was paid in full in 2020. Interest income consists of interest earned on our cash and cash equivalents, as well as our short-term and long-term investments. Other (expense) income, net, consists primarily of foreign exchange losses and gains.</w:t>
      </w:r>
    </w:p>
    <w:p>
      <w:pPr>
        <w:spacing w:after="0" w:line="11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deferred tax assets and liabilities, and reserves for unrecognized tax benefits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second quarters of 2021 and 2020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2020. There were no material changes to our critical accounting policies, significant judgments and estimates during the three and six months ended June 30, 2021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and June 30, 2020</w:t>
      </w:r>
    </w:p>
    <w:p>
      <w:pPr>
        <w:spacing w:after="0" w:line="13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We recorded total revenue, net, of $154.5 million and $135.3 million during the three months ended June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$19.2 million, or 14%. Total revenue, net consists primarily of revenue from the sale of VASCEPA in the United States. In addition to the United States, VASCEPA is currently available by prescription in Canada, Lebanon and the United Arab Emirates through collaborations with third-party companies. As further discussed below, this increase consists of a $21.6 million increase in U.S. net product revenue, partially offset by a $1.5 million decrease from net product revenue from sales of VASCEPA outside of the United States and a $0.9 million decrease in licensing and royalty revenue.</w:t>
      </w:r>
    </w:p>
    <w:p>
      <w:pPr>
        <w:spacing w:after="0" w:line="137" w:lineRule="exact"/>
        <w:rPr>
          <w:sz w:val="20"/>
          <w:szCs w:val="20"/>
          <w:color w:val="auto"/>
        </w:rPr>
      </w:pPr>
    </w:p>
    <w:p>
      <w:pPr>
        <w:ind w:right="340" w:firstLine="544"/>
        <w:spacing w:after="0" w:line="266"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product revenue, net, of $153.8 million and $133.7 million during the three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 an increase of $20.0 million, or 15%. This increase was driven primarily by volume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0" w:name="page31"/>
    <w:bookmarkEnd w:id="30"/>
    <w:p>
      <w:pPr>
        <w:ind w:right="60"/>
        <w:spacing w:after="0" w:line="308" w:lineRule="auto"/>
        <w:rPr>
          <w:sz w:val="20"/>
          <w:szCs w:val="20"/>
          <w:color w:val="auto"/>
        </w:rPr>
      </w:pPr>
      <w:r>
        <w:rPr>
          <w:rFonts w:ascii="Arial" w:cs="Arial" w:eastAsia="Arial" w:hAnsi="Arial"/>
          <w:sz w:val="16"/>
          <w:szCs w:val="16"/>
          <w:color w:val="auto"/>
        </w:rPr>
        <w:t>VASCEPA sales to our customers in the United States. There has been an increase in vaccination in the United States as 2021 has progressed, as well as an increase in patient visits as compared to the same period in 2020 when the United States was in the early stages of the pandemic with much of the country in lockdown and at the height of social distancing. With 54% of the total U.S. population having received at least one dose of the vaccine as of June 30, 2021 according to CDC data and the country continuing to reopen, public reports from IQVIA showed patient visits in the three months ended June 30, 2021 have increased by 38% as compared to the same period in 2020 but these same sources report that patient visits in the three months ended June 30, 2021, as well as the level of patient lab tests, remain below pre-pandemic levels. In response to the increase in patient visits, we have seen increases in volume of prescriptions for icosapent ethyl, both generic and branded VASCEPA combined and branded VASCEPA alone, and shipment of VASCEPA to our customers in the United States and we expect that as patient visits and lab tests continue to increase, these volumes will also continue to grow.</w:t>
      </w:r>
    </w:p>
    <w:p>
      <w:pPr>
        <w:spacing w:after="0" w:line="109" w:lineRule="exact"/>
        <w:rPr>
          <w:sz w:val="20"/>
          <w:szCs w:val="20"/>
          <w:color w:val="auto"/>
        </w:rPr>
      </w:pPr>
    </w:p>
    <w:p>
      <w:pPr>
        <w:ind w:right="20" w:firstLine="544"/>
        <w:spacing w:after="0" w:line="306" w:lineRule="auto"/>
        <w:rPr>
          <w:sz w:val="20"/>
          <w:szCs w:val="20"/>
          <w:color w:val="auto"/>
        </w:rPr>
      </w:pPr>
      <w:r>
        <w:rPr>
          <w:rFonts w:ascii="Arial" w:cs="Arial" w:eastAsia="Arial" w:hAnsi="Arial"/>
          <w:sz w:val="16"/>
          <w:szCs w:val="16"/>
          <w:color w:val="auto"/>
        </w:rPr>
        <w:t>Prior to the onset of the severe impact of the COVID-19 pandemic late in March 2020, VASCEPA usage was growing rapidly. After the impact of COVID-19 became pronounced, beginning in late March 2020 and throughout the second quarter of 2020, new prescriptions of VASCEPA slowed considerably as many patients reduced their doctors' visits for non-urgent care, routine blood tests with lipid panels declined and access of our sales professionals to healthcare providers for face-to-face interactions became more limited. Such limitations were particularly pronounced in certain areas of the United States where historical prescription levels of VASCEPA were robust such as South California. For a U.S. FDA-approved drug like VASCEPA to be prescribed, historically physicians need to have met with their patients for an examination and have received blood tests results prior to prescribing the drug to the patient. Despite the increase in patient visits period to period, patient visits on average during the three months ended June 30, 2021 were down to approximately 82% of the first quarter 2020 pre-COVID-19 levels. In addition, the degree of access available for our sales professionals to healthcare providers for face-to-face interactions continues to vary by market, including in markets where historical prescription levels were high. We cannot predict the duration or scope of this pandemic and we cannot quantify the impact of COVID-19 on our business beyond June 30, 2021.</w:t>
      </w:r>
    </w:p>
    <w:p>
      <w:pPr>
        <w:spacing w:after="0" w:line="111" w:lineRule="exact"/>
        <w:rPr>
          <w:sz w:val="20"/>
          <w:szCs w:val="20"/>
          <w:color w:val="auto"/>
        </w:rPr>
      </w:pPr>
    </w:p>
    <w:p>
      <w:pPr>
        <w:ind w:right="440" w:firstLine="544"/>
        <w:spacing w:after="0" w:line="293" w:lineRule="auto"/>
        <w:rPr>
          <w:sz w:val="20"/>
          <w:szCs w:val="20"/>
          <w:color w:val="auto"/>
        </w:rPr>
      </w:pPr>
      <w:r>
        <w:rPr>
          <w:rFonts w:ascii="Arial" w:cs="Arial" w:eastAsia="Arial" w:hAnsi="Arial"/>
          <w:sz w:val="18"/>
          <w:szCs w:val="18"/>
          <w:color w:val="auto"/>
        </w:rPr>
        <w:t>As further described below, in addition to the ongoing impact from COVID-19, this increase in VASCEPA growth was adversely impacted by generic availability in the U.S. and the timing of sales outside of the U.S.</w:t>
      </w:r>
    </w:p>
    <w:p>
      <w:pPr>
        <w:spacing w:after="0" w:line="35" w:lineRule="exact"/>
        <w:rPr>
          <w:sz w:val="20"/>
          <w:szCs w:val="20"/>
          <w:color w:val="auto"/>
        </w:rPr>
      </w:pPr>
    </w:p>
    <w:p>
      <w:pPr>
        <w:ind w:left="820" w:right="20"/>
        <w:spacing w:after="0" w:line="306" w:lineRule="auto"/>
        <w:rPr>
          <w:sz w:val="20"/>
          <w:szCs w:val="20"/>
          <w:color w:val="auto"/>
        </w:rPr>
      </w:pPr>
      <w:r>
        <w:rPr>
          <w:rFonts w:ascii="Arial" w:cs="Arial" w:eastAsia="Arial" w:hAnsi="Arial"/>
          <w:sz w:val="16"/>
          <w:szCs w:val="16"/>
          <w:color w:val="auto"/>
        </w:rPr>
        <w:t>Generics – Inclusive of generic icosapent ethyl, and excluding the impact of the other effects listed herein, based on prescription levels reported by Symphony Health the icosapent ethyl market increased for the three months ended June 30, 2021 by 13% as compared to the three months ended June 30, 2020. Based on available data from Symphony Health, generic prescriptions of icosapent ethyl in the three months ended June 30, 2021 were approximately 12% of total icosapent ethyl prescriptions with branded VASCEPA prescriptions representing the other icosapent ethyl prescriptions. In addition, based on available information we believe that a significant number of icosapent ethyl prescriptions have gone unfilled in the three months ended June 30,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30" w:lineRule="exact"/>
        <w:rPr>
          <w:sz w:val="20"/>
          <w:szCs w:val="20"/>
          <w:color w:val="auto"/>
        </w:rPr>
      </w:pPr>
    </w:p>
    <w:p>
      <w:pPr>
        <w:ind w:left="840"/>
        <w:spacing w:after="0" w:line="319" w:lineRule="auto"/>
        <w:rPr>
          <w:sz w:val="20"/>
          <w:szCs w:val="20"/>
          <w:color w:val="auto"/>
        </w:rPr>
      </w:pPr>
      <w:r>
        <w:rPr>
          <w:rFonts w:ascii="Arial" w:cs="Arial" w:eastAsia="Arial" w:hAnsi="Arial"/>
          <w:sz w:val="16"/>
          <w:szCs w:val="16"/>
          <w:color w:val="auto"/>
        </w:rPr>
        <w:t>International sales – Further offsetting the increase in net product revenue during the three months ended June 30, 2021 was a decline in net product revenue recognized from VASCEPA sales outside of the United States, which does not include Europe. We recognized net product revenue of $0.3 million during the three months ended June 30, 2021 as compared to $1.8 million during the three months ended June 30, 2020. VASCEPA promotion and use outside of the United States has also been limited by the impact of the COVID-19 pandemic.</w:t>
      </w:r>
    </w:p>
    <w:p>
      <w:pPr>
        <w:spacing w:after="0" w:line="102" w:lineRule="exact"/>
        <w:rPr>
          <w:sz w:val="20"/>
          <w:szCs w:val="20"/>
          <w:color w:val="auto"/>
        </w:rPr>
      </w:pPr>
    </w:p>
    <w:p>
      <w:pPr>
        <w:ind w:firstLine="544"/>
        <w:spacing w:after="0" w:line="269" w:lineRule="auto"/>
        <w:rPr>
          <w:sz w:val="20"/>
          <w:szCs w:val="20"/>
          <w:color w:val="auto"/>
        </w:rPr>
      </w:pPr>
      <w:r>
        <w:rPr>
          <w:rFonts w:ascii="Arial" w:cs="Arial" w:eastAsia="Arial" w:hAnsi="Arial"/>
          <w:sz w:val="18"/>
          <w:szCs w:val="18"/>
          <w:color w:val="auto"/>
        </w:rPr>
        <w:t>We remain confident that the patient need for VASCEPA is high and that a significant portion of the slowing of VASCEPA growth in the U.S. is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 In addition, as patients, pharmacies and payers adjust to the availability, pricing and label of generic competition variability is expected. As a result of the uncertainty of the extent of COVID-19, the impact of generic competition and challenges for most drugs seeking market access in Europe, a process we were only able to formally commence following product approval in March 2021, we are not providing quantified revenue guidance at this time. We will consider resuming revenue guidance when there is greater clarity on the impact of these issues.</w:t>
      </w:r>
    </w:p>
    <w:p>
      <w:pPr>
        <w:spacing w:after="0" w:line="180"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three months ended June 30, 2021 and 2020 was $0.7 million and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 decrease of $0.9 million, or 55%. Licensing and royalty revenue relates to the recognition of amounts received in connection with the following VASCEPA licensing agreements:</w:t>
      </w:r>
    </w:p>
    <w:p>
      <w:pPr>
        <w:spacing w:after="0" w:line="49" w:lineRule="exact"/>
        <w:rPr>
          <w:sz w:val="20"/>
          <w:szCs w:val="20"/>
          <w:color w:val="auto"/>
        </w:rPr>
      </w:pPr>
    </w:p>
    <w:p>
      <w:pPr>
        <w:jc w:val="center"/>
        <w:ind w:left="440" w:right="720"/>
        <w:spacing w:after="0" w:line="293" w:lineRule="auto"/>
        <w:rPr>
          <w:sz w:val="20"/>
          <w:szCs w:val="20"/>
          <w:color w:val="auto"/>
        </w:rPr>
      </w:pPr>
      <w:r>
        <w:rPr>
          <w:rFonts w:ascii="Arial" w:cs="Arial" w:eastAsia="Arial" w:hAnsi="Arial"/>
          <w:sz w:val="18"/>
          <w:szCs w:val="18"/>
          <w:color w:val="auto"/>
        </w:rPr>
        <w:t>Edding – a $15.0 million up-front payment received in February 2015 and a $1.0 million milestone payment achieved in March 2016.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31" w:name="page32"/>
    <w:bookmarkEnd w:id="31"/>
    <w:p>
      <w:pPr>
        <w:ind w:left="840" w:right="460"/>
        <w:spacing w:after="0" w:line="301" w:lineRule="auto"/>
        <w:rPr>
          <w:sz w:val="20"/>
          <w:szCs w:val="20"/>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29" w:lineRule="exact"/>
        <w:rPr>
          <w:sz w:val="20"/>
          <w:szCs w:val="20"/>
          <w:color w:val="auto"/>
        </w:rPr>
      </w:pPr>
    </w:p>
    <w:p>
      <w:pPr>
        <w:ind w:right="180" w:firstLine="509"/>
        <w:spacing w:after="0" w:line="324"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93"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2021 and 2020 was $32.2 million and $28.8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 million, or 12%.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API included in the calculation of the average cost of goods sold during the quarters ended June 30,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overall gross margin on product sales for each of the three months ended June 30, 2021 and 2020 was 79% and 78%, respectively.</w:t>
      </w:r>
    </w:p>
    <w:p>
      <w:pPr>
        <w:spacing w:after="0" w:line="23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June 30, 2021 and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$107.2 million and $92.4 million, respectively, an increase of $14.8 million, or 16%. Selling, general and administrative expenses for the three months ended June 30, 2021 and 2020 are summarized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r>
      <w:tr>
        <w:trPr>
          <w:trHeight w:val="202"/>
        </w:trPr>
        <w:tc>
          <w:tcPr>
            <w:tcW w:w="114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6140" w:type="dxa"/>
            <w:vAlign w:val="bottom"/>
            <w:gridSpan w:val="2"/>
            <w:shd w:val="clear" w:color="auto" w:fill="CFF0FC"/>
          </w:tcPr>
          <w:p>
            <w:pPr>
              <w:spacing w:after="0" w:line="250"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72,956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64,601</w:t>
            </w:r>
          </w:p>
        </w:tc>
        <w:tc>
          <w:tcPr>
            <w:tcW w:w="80" w:type="dxa"/>
            <w:vAlign w:val="bottom"/>
            <w:shd w:val="clear" w:color="auto" w:fill="CFF0FC"/>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6140" w:type="dxa"/>
            <w:vAlign w:val="bottom"/>
            <w:gridSpan w:val="2"/>
          </w:tcPr>
          <w:p>
            <w:pPr>
              <w:spacing w:after="0" w:line="257"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31,594</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17,434</w:t>
            </w:r>
          </w:p>
        </w:tc>
        <w:tc>
          <w:tcPr>
            <w:tcW w:w="8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6140" w:type="dxa"/>
            <w:vAlign w:val="bottom"/>
            <w:tcBorders>
              <w:bottom w:val="single" w:sz="8" w:color="CFF0FC"/>
            </w:tcBorders>
            <w:gridSpan w:val="2"/>
            <w:shd w:val="clear" w:color="auto" w:fill="CFF0FC"/>
          </w:tcPr>
          <w:p>
            <w:pPr>
              <w:spacing w:after="0" w:line="257"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 expense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107,203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92,395</w:t>
            </w:r>
          </w:p>
        </w:tc>
        <w:tc>
          <w:tcPr>
            <w:tcW w:w="8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6"/>
        </w:trPr>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6319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-296545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420" w:right="60" w:hanging="318"/>
        <w:spacing w:after="0" w:line="27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Selling expense for the three months ended June 30, 2021 and 2020 was $73.0 million and $64.6 million, respectively, an increase of $8.4 million, or 13%. This increase is primarily due to an increase in marketing and direct-to-consumer promotions in the three months ended June 30, 2021, as a result of the resumption of certain promotional activities, including an educational campaign, </w:t>
      </w:r>
      <w:r>
        <w:rPr>
          <w:rFonts w:ascii="Arial" w:cs="Arial" w:eastAsia="Arial" w:hAnsi="Arial"/>
          <w:sz w:val="18"/>
          <w:szCs w:val="18"/>
          <w:i w:val="1"/>
          <w:iCs w:val="1"/>
          <w:color w:val="auto"/>
        </w:rPr>
        <w:t>It's Clear to Me Now</w:t>
      </w:r>
      <w:r>
        <w:rPr>
          <w:rFonts w:ascii="Arial" w:cs="Arial" w:eastAsia="Arial" w:hAnsi="Arial"/>
          <w:sz w:val="18"/>
          <w:szCs w:val="18"/>
          <w:color w:val="auto"/>
        </w:rPr>
        <w:t>, due to the expanded reopening of the United States as vaccination rates continue to rise.</w:t>
      </w:r>
    </w:p>
    <w:p>
      <w:pPr>
        <w:spacing w:after="0" w:line="3" w:lineRule="exact"/>
        <w:rPr>
          <w:rFonts w:ascii="Arial" w:cs="Arial" w:eastAsia="Arial" w:hAnsi="Arial"/>
          <w:sz w:val="18"/>
          <w:szCs w:val="18"/>
          <w:color w:val="auto"/>
        </w:rPr>
      </w:pPr>
    </w:p>
    <w:p>
      <w:pPr>
        <w:jc w:val="both"/>
        <w:ind w:left="420" w:hanging="318"/>
        <w:spacing w:after="0" w:line="299"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and administrative expense for the three months ended June 30, 2021 and 2020 was $31.6 million and $17.4 million, respectively, an increase of $14.2 million, or 81%. This increase is primarily due to increased personnel costs related to preparing for expansion into Europe, partially offset by a decrease in legal fees related to the ANDA patent litigation in the United States during the three months ended June 30, 2020.</w:t>
      </w:r>
    </w:p>
    <w:p>
      <w:pPr>
        <w:spacing w:after="0" w:line="1" w:lineRule="exact"/>
        <w:rPr>
          <w:rFonts w:ascii="Arial" w:cs="Arial" w:eastAsia="Arial" w:hAnsi="Arial"/>
          <w:sz w:val="16"/>
          <w:szCs w:val="16"/>
          <w:color w:val="auto"/>
        </w:rPr>
      </w:pPr>
    </w:p>
    <w:p>
      <w:pPr>
        <w:ind w:left="420" w:right="60" w:hanging="318"/>
        <w:spacing w:after="0" w:line="272"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June 30, 2021 and 2020 was $2.7 million and $10.4 million, respectively, a decrease of $7.7 million, or 74%. Non-cash stock-based compensation expense represents the estimated costs associated with equity awards issued to internal personnel supporting our selling, general and administrative functions. The decrease is due to the reversal of expense associated with certain performance-based awards as it was no longer deemed probable that the performance criteria for vesting would be achieved within the required timeframe.</w:t>
      </w:r>
    </w:p>
    <w:p>
      <w:pPr>
        <w:spacing w:after="0" w:line="203" w:lineRule="exact"/>
        <w:rPr>
          <w:sz w:val="20"/>
          <w:szCs w:val="20"/>
          <w:color w:val="auto"/>
        </w:rPr>
      </w:pPr>
    </w:p>
    <w:p>
      <w:pPr>
        <w:ind w:right="40" w:firstLine="469"/>
        <w:spacing w:after="0" w:line="266" w:lineRule="auto"/>
        <w:rPr>
          <w:sz w:val="20"/>
          <w:szCs w:val="20"/>
          <w:color w:val="auto"/>
        </w:rPr>
      </w:pPr>
      <w:r>
        <w:rPr>
          <w:rFonts w:ascii="Arial" w:cs="Arial" w:eastAsia="Arial" w:hAnsi="Arial"/>
          <w:sz w:val="18"/>
          <w:szCs w:val="18"/>
          <w:color w:val="auto"/>
        </w:rPr>
        <w:t>We anticipate our selling, general and administrative expenses to increase throughout 2021 primarily due to the costs associated with preparing VAZKEPA for commercial launch in Europe and subject to market access, launching VAZKEPA in one or more countries in Europe during 2021. We are continuing to grow our European staff by hiring Market access and Medical affairs teams, among others, across Europe as deemed appropriate on a country by country basis. As we work to increase revenue from VASCEPA,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160"/>
        <w:spacing w:after="0" w:line="293" w:lineRule="auto"/>
        <w:rPr>
          <w:sz w:val="20"/>
          <w:szCs w:val="20"/>
          <w:color w:val="auto"/>
        </w:rPr>
      </w:pPr>
      <w:r>
        <w:rPr>
          <w:rFonts w:ascii="Arial" w:cs="Arial" w:eastAsia="Arial" w:hAnsi="Arial"/>
          <w:sz w:val="18"/>
          <w:szCs w:val="18"/>
          <w:color w:val="auto"/>
        </w:rPr>
        <w:t>we continuously evaluate all of our spending commitments and priorities and we plan to adjust our level of education and promotional activities based on various factors, including the impact of COVID-19 and generic competition.</w:t>
      </w:r>
    </w:p>
    <w:p>
      <w:pPr>
        <w:spacing w:after="0" w:line="39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for the three months ended June 30, 2021 and 2020 was $6.4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 million, respectively, a decrease of $3.6 million, or 36%. Research and development expenses for the three months ended June 30, 2021 and 2020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summarized in the table below:</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r>
      <w:tr>
        <w:trPr>
          <w:trHeight w:val="202"/>
        </w:trPr>
        <w:tc>
          <w:tcPr>
            <w:tcW w:w="6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14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80" w:type="dxa"/>
            <w:vAlign w:val="bottom"/>
            <w:shd w:val="clear" w:color="auto" w:fill="CFF0FC"/>
          </w:tcPr>
          <w:p>
            <w:pPr>
              <w:spacing w:after="0"/>
              <w:rPr>
                <w:sz w:val="21"/>
                <w:szCs w:val="21"/>
                <w:color w:val="auto"/>
              </w:rPr>
            </w:pPr>
          </w:p>
        </w:tc>
      </w:tr>
      <w:tr>
        <w:trPr>
          <w:trHeight w:val="257"/>
        </w:trPr>
        <w:tc>
          <w:tcPr>
            <w:tcW w:w="6140" w:type="dxa"/>
            <w:vAlign w:val="bottom"/>
          </w:tcPr>
          <w:p>
            <w:pPr>
              <w:spacing w:after="0" w:line="257"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22"/>
                <w:szCs w:val="22"/>
                <w:color w:val="auto"/>
              </w:rPr>
            </w:pPr>
          </w:p>
        </w:tc>
      </w:tr>
      <w:tr>
        <w:trPr>
          <w:trHeight w:val="257"/>
        </w:trPr>
        <w:tc>
          <w:tcPr>
            <w:tcW w:w="614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8,198</w:t>
            </w:r>
          </w:p>
        </w:tc>
        <w:tc>
          <w:tcPr>
            <w:tcW w:w="80" w:type="dxa"/>
            <w:vAlign w:val="bottom"/>
          </w:tcPr>
          <w:p>
            <w:pPr>
              <w:spacing w:after="0"/>
              <w:rPr>
                <w:sz w:val="21"/>
                <w:szCs w:val="21"/>
                <w:color w:val="auto"/>
              </w:rPr>
            </w:pPr>
          </w:p>
        </w:tc>
      </w:tr>
      <w:tr>
        <w:trPr>
          <w:trHeight w:val="263"/>
        </w:trPr>
        <w:tc>
          <w:tcPr>
            <w:tcW w:w="6140" w:type="dxa"/>
            <w:vAlign w:val="bottom"/>
            <w:shd w:val="clear" w:color="auto" w:fill="CFF0FC"/>
          </w:tcPr>
          <w:p>
            <w:pPr>
              <w:spacing w:after="0" w:line="26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(4)</w:t>
            </w:r>
          </w:p>
        </w:tc>
        <w:tc>
          <w:tcPr>
            <w:tcW w:w="2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(174 )</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FF0FC"/>
          </w:tcPr>
          <w:p>
            <w:pPr>
              <w:spacing w:after="0"/>
              <w:rPr>
                <w:sz w:val="22"/>
                <w:szCs w:val="22"/>
                <w:color w:val="auto"/>
              </w:rPr>
            </w:pPr>
          </w:p>
        </w:tc>
      </w:tr>
      <w:tr>
        <w:trPr>
          <w:trHeight w:val="243"/>
        </w:trPr>
        <w:tc>
          <w:tcPr>
            <w:tcW w:w="6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research and development expense</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26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80" w:type="dxa"/>
            <w:vAlign w:val="bottom"/>
            <w:tcBorders>
              <w:top w:val="single" w:sz="8" w:color="CFF0FC"/>
            </w:tcBorders>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-527685</wp:posOffset>
            </wp:positionV>
            <wp:extent cx="16319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-193675</wp:posOffset>
            </wp:positionV>
            <wp:extent cx="16319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ind w:left="440" w:right="180" w:hanging="432"/>
        <w:spacing w:after="0" w:line="28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ind w:left="440" w:right="100" w:hanging="432"/>
        <w:spacing w:after="0" w:line="299"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June 30,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ind w:left="440" w:hanging="432"/>
        <w:spacing w:after="0" w:line="266"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and costs associated with various other investigations, including other costs in collaboration with Mochida and pilot studies regarding VASCEPA.</w:t>
      </w:r>
    </w:p>
    <w:p>
      <w:pPr>
        <w:ind w:left="440" w:right="40" w:hanging="432"/>
        <w:spacing w:after="0" w:line="30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166"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170" w:lineRule="exact"/>
        <w:rPr>
          <w:sz w:val="20"/>
          <w:szCs w:val="20"/>
          <w:color w:val="auto"/>
        </w:rPr>
      </w:pPr>
    </w:p>
    <w:p>
      <w:pPr>
        <w:ind w:right="360" w:firstLine="509"/>
        <w:spacing w:after="0" w:line="359" w:lineRule="auto"/>
        <w:rPr>
          <w:sz w:val="20"/>
          <w:szCs w:val="20"/>
          <w:color w:val="auto"/>
        </w:rPr>
      </w:pPr>
      <w:r>
        <w:rPr>
          <w:rFonts w:ascii="Arial" w:cs="Arial" w:eastAsia="Arial" w:hAnsi="Arial"/>
          <w:sz w:val="16"/>
          <w:szCs w:val="16"/>
          <w:i w:val="1"/>
          <w:iCs w:val="1"/>
          <w:color w:val="auto"/>
        </w:rPr>
        <w:t>Interest income, net</w:t>
      </w:r>
      <w:r>
        <w:rPr>
          <w:rFonts w:ascii="Arial" w:cs="Arial" w:eastAsia="Arial" w:hAnsi="Arial"/>
          <w:sz w:val="16"/>
          <w:szCs w:val="16"/>
          <w:color w:val="auto"/>
        </w:rPr>
        <w:t>. Net interest income for the three months ended June 30, 2021 and 2020 was $0.3 million and $0.2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$0.1 million, or 89%. Net interest income for the three months ended June 30, 2021 and 2020 is summarized in the table below:</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7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r>
      <w:tr>
        <w:trPr>
          <w:trHeight w:val="203"/>
        </w:trPr>
        <w:tc>
          <w:tcPr>
            <w:tcW w:w="6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0</wp:posOffset>
            </wp:positionV>
            <wp:extent cx="17570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 xml:space="preserve">Debt from royalty-bearing instrument </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-168910</wp:posOffset>
            </wp:positionV>
            <wp:extent cx="570039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28"/>
        </w:trPr>
        <w:tc>
          <w:tcPr>
            <w:tcW w:w="6140" w:type="dxa"/>
            <w:vAlign w:val="bottom"/>
          </w:tcPr>
          <w:p>
            <w:pPr>
              <w:ind w:left="260"/>
              <w:spacing w:after="0"/>
              <w:rPr>
                <w:sz w:val="20"/>
                <w:szCs w:val="20"/>
                <w:color w:val="auto"/>
              </w:rPr>
            </w:pPr>
            <w:r>
              <w:rPr>
                <w:rFonts w:ascii="Arial" w:cs="Arial" w:eastAsia="Arial" w:hAnsi="Arial"/>
                <w:sz w:val="18"/>
                <w:szCs w:val="18"/>
                <w:color w:val="auto"/>
              </w:rPr>
              <w:t>Cash interest</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(496 )</w:t>
            </w:r>
          </w:p>
        </w:tc>
      </w:tr>
      <w:tr>
        <w:trPr>
          <w:trHeight w:val="25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(201 )</w:t>
            </w:r>
          </w:p>
        </w:tc>
      </w:tr>
      <w:tr>
        <w:trPr>
          <w:trHeight w:val="20"/>
        </w:trPr>
        <w:tc>
          <w:tcPr>
            <w:tcW w:w="6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(697 )</w:t>
            </w: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(30 )</w:t>
            </w:r>
          </w:p>
        </w:tc>
        <w:tc>
          <w:tcPr>
            <w:tcW w:w="50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(93 )</w:t>
            </w:r>
          </w:p>
        </w:tc>
      </w:tr>
      <w:tr>
        <w:trPr>
          <w:trHeight w:val="20"/>
        </w:trPr>
        <w:tc>
          <w:tcPr>
            <w:tcW w:w="6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5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(30 )</w:t>
            </w:r>
          </w:p>
        </w:tc>
        <w:tc>
          <w:tcPr>
            <w:tcW w:w="5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(790 )</w:t>
            </w:r>
          </w:p>
        </w:tc>
      </w:tr>
      <w:tr>
        <w:trPr>
          <w:trHeight w:val="263"/>
        </w:trPr>
        <w:tc>
          <w:tcPr>
            <w:tcW w:w="614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4"/>
                <w:szCs w:val="24"/>
                <w:color w:val="auto"/>
                <w:vertAlign w:val="superscript"/>
              </w:rPr>
              <w:t>(2)</w:t>
            </w:r>
          </w:p>
        </w:tc>
        <w:tc>
          <w:tcPr>
            <w:tcW w:w="5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Total interest income, net</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-862330</wp:posOffset>
            </wp:positionV>
            <wp:extent cx="16319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-862330</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-527685</wp:posOffset>
            </wp:positionV>
            <wp:extent cx="16319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-193675</wp:posOffset>
            </wp:positionV>
            <wp:extent cx="16319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440" w:right="20" w:hanging="432"/>
        <w:spacing w:after="0" w:line="266"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June 30, 2021 and 2020 was nil and $0.7 million, respectively. In November 2020, the Company made the final payment on its royalty-bearing instrument and, as a result, no interest from this instrument was recorded in 2021.</w:t>
      </w:r>
    </w:p>
    <w:p>
      <w:pPr>
        <w:spacing w:after="0" w:line="1" w:lineRule="exact"/>
        <w:rPr>
          <w:rFonts w:ascii="Arial" w:cs="Arial" w:eastAsia="Arial" w:hAnsi="Arial"/>
          <w:sz w:val="18"/>
          <w:szCs w:val="18"/>
          <w:color w:val="auto"/>
        </w:rPr>
      </w:pPr>
    </w:p>
    <w:p>
      <w:pPr>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2021 and 2020 was $0.3 million and $0.9 million, respectively. Interest income represents income earned on cash and investment balances. The decrease is primarily due to a decrease in the Company's cash and short-term and long-term investments.</w:t>
      </w:r>
    </w:p>
    <w:p>
      <w:pPr>
        <w:spacing w:after="0" w:line="182" w:lineRule="exact"/>
        <w:rPr>
          <w:sz w:val="20"/>
          <w:szCs w:val="20"/>
          <w:color w:val="auto"/>
        </w:rPr>
      </w:pPr>
    </w:p>
    <w:p>
      <w:pPr>
        <w:ind w:right="420" w:firstLine="509"/>
        <w:spacing w:after="0" w:line="282" w:lineRule="auto"/>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net, for the three months ended June 30, 2021 and 2020 was expense of $191 thousand and income of $108</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 respectively. Other expense, net, primarily consists of gains and losses on foreign exchange transactions.</w:t>
      </w: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3" w:name="page34"/>
    <w:bookmarkEnd w:id="33"/>
    <w:p>
      <w:pPr>
        <w:ind w:right="240" w:firstLine="509"/>
        <w:spacing w:after="0" w:line="279"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Income tax (provision) benefit for the three months ended June 30, 2021 and 2020 was a provision of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nil, respectively. The provision for the three months ended June 30, 2021 is the result of income generated by our U.S. operations for which tax expense has been recognized based on a full year estimated U.S. income tax liability.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June 30, 2020</w:t>
      </w:r>
    </w:p>
    <w:p>
      <w:pPr>
        <w:spacing w:after="0" w:line="13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We recorded total revenue, net, of $296.7 million and $290.3 million during the six months ended June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$6.3 million, or 2%. Total revenue, net consists primarily of revenue from the sale of VASCEPA in the United States. In addition to the United States, VASCEPA is currently available by prescription in Canada, Lebanon and the United Arab Emirates through collaborations with third-party companies. As further discussed below, this increase consists of a $16.9 million increase in U.S. net product revenue, partially offset by a $7.7 million decrease from net product revenue from sales of VASCEPA outside of the United States and a $2.9 million decrease in licensing and royalty revenue.</w:t>
      </w:r>
    </w:p>
    <w:p>
      <w:pPr>
        <w:spacing w:after="0" w:line="137" w:lineRule="exact"/>
        <w:rPr>
          <w:sz w:val="20"/>
          <w:szCs w:val="20"/>
          <w:color w:val="auto"/>
        </w:rPr>
      </w:pPr>
    </w:p>
    <w:p>
      <w:pPr>
        <w:ind w:right="20" w:firstLine="544"/>
        <w:spacing w:after="0" w:line="306"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net, of $295.2 million and $285.9 million during the six months ended June 30, 2021 and 2020,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$9.2 million, or 3%. This increase was driven primarily by volume of VASCEPA sales to our customers in the United States. There has been an increase in vaccinations in the United States as 2021 has progressed and availability has increased, as well as an increase in patient visits as compared to the same period in 2020 when the United States was in the early stages of the pandemic with much of the country in lockdown and at the height of social distancing. With 54% of the total U.S. population having received at least one dose of the vaccine as of June 30, 2021 according to CDC data and the country continuing to reopen, public reports from IQVIA showed patient visits in the six months ended June 30, 2021 have increased by 9% as compared to the same period in 2020 but these same sources report that patient visits in the six months ended June 30, 2021, as well as the level of patient lab tests, remain below pre-pandemic levels. In response to the increase in patient visits, we have seen increases in volume of prescriptions for icosapent ethyl, both generic and branded VASCEPA combined and branded VASCEPA alone, and shipment of VASCEPA to our customers in the United States and we expect that as patient visits and lab tests continue to increase, these volumes will also continue to grow.</w:t>
      </w:r>
    </w:p>
    <w:p>
      <w:pPr>
        <w:spacing w:after="0" w:line="111" w:lineRule="exact"/>
        <w:rPr>
          <w:sz w:val="20"/>
          <w:szCs w:val="20"/>
          <w:color w:val="auto"/>
        </w:rPr>
      </w:pPr>
    </w:p>
    <w:p>
      <w:pPr>
        <w:ind w:right="120" w:firstLine="544"/>
        <w:spacing w:after="0" w:line="286" w:lineRule="auto"/>
        <w:rPr>
          <w:sz w:val="20"/>
          <w:szCs w:val="20"/>
          <w:color w:val="auto"/>
        </w:rPr>
      </w:pPr>
      <w:r>
        <w:rPr>
          <w:rFonts w:ascii="Arial" w:cs="Arial" w:eastAsia="Arial" w:hAnsi="Arial"/>
          <w:sz w:val="17"/>
          <w:szCs w:val="17"/>
          <w:color w:val="auto"/>
        </w:rPr>
        <w:t>Prior to the onset of the severe impact of the COVID-19 pandemic late in March 2020, VASCEPA usage was growing rapidly. After the impact of COVID-19 became pronounced, new prescriptions of VACEPA slowed considerably as many patients reduced their doctors' visits for non-urgent care, routine blood tests with lipid panels declined and access of our sales professionals to healthcare providers for face-to-face interactions became more limited. Such limitations were particularly pronounced in certain areas of the United States where historical prescription levels of VACEPA were robust such as Southern California. For a U.S. FDA-approved drug like VASCEPA to be prescribed, historically physicians need to have met with their patients for an examination and have received blood test results prior to prescribing the drug to the patient. Despite the increase in patient visits, on average patient visits during the six months ended June 30, 2021 were down to approximately 83% of the first quarter 2020 pre-COVID 19 levels. In addition, the degree of access for our sales professionals to healthcare providers for face-to-face interaction continues to vary by market, including in areas that historical prescription levels were high. We cannot predict the duration or scope of this pandemic and we cannot quantify the impact of COVID-19 on our business beyond June 30, 2021.</w:t>
      </w:r>
    </w:p>
    <w:p>
      <w:pPr>
        <w:spacing w:after="0" w:line="128" w:lineRule="exact"/>
        <w:rPr>
          <w:sz w:val="20"/>
          <w:szCs w:val="20"/>
          <w:color w:val="auto"/>
        </w:rPr>
      </w:pPr>
    </w:p>
    <w:p>
      <w:pPr>
        <w:ind w:right="40" w:firstLine="544"/>
        <w:spacing w:after="0" w:line="279" w:lineRule="auto"/>
        <w:rPr>
          <w:sz w:val="20"/>
          <w:szCs w:val="20"/>
          <w:color w:val="auto"/>
        </w:rPr>
      </w:pPr>
      <w:r>
        <w:rPr>
          <w:rFonts w:ascii="Arial" w:cs="Arial" w:eastAsia="Arial" w:hAnsi="Arial"/>
          <w:sz w:val="18"/>
          <w:szCs w:val="18"/>
          <w:color w:val="auto"/>
        </w:rPr>
        <w:t>As further described below, in addition to the ongoing impact from COVID-19, the increase in VASCEPA growth was adversely impacted by effectively one fewer week of shipments in the six months ended 2021 as compare to the same period in 2020, generic availability in the U.S. and timing of sales outside the U.S.</w:t>
      </w:r>
    </w:p>
    <w:p>
      <w:pPr>
        <w:spacing w:after="0" w:line="48" w:lineRule="exact"/>
        <w:rPr>
          <w:sz w:val="20"/>
          <w:szCs w:val="20"/>
          <w:color w:val="auto"/>
        </w:rPr>
      </w:pPr>
    </w:p>
    <w:p>
      <w:pPr>
        <w:ind w:left="840" w:right="120"/>
        <w:spacing w:after="0" w:line="271" w:lineRule="auto"/>
        <w:rPr>
          <w:sz w:val="20"/>
          <w:szCs w:val="20"/>
          <w:color w:val="auto"/>
        </w:rPr>
      </w:pPr>
      <w:r>
        <w:rPr>
          <w:rFonts w:ascii="Arial" w:cs="Arial" w:eastAsia="Arial" w:hAnsi="Arial"/>
          <w:sz w:val="18"/>
          <w:szCs w:val="18"/>
          <w:color w:val="auto"/>
        </w:rPr>
        <w:t>Fewer weeks – Due to the timing of orders placed by customers and related receipts, there was effectively one fewer week of product shipments, 13 weeks, in the first quarter of 2021 compared to 14 weeks in the first quarter of 2020, with the additional week of revenue in the first quarter of 2020 representing approximately $10.8 million. Excluding the additional week of revenue, U.S. net product revenue during the six months ended June 30, 2021 increased by 10.2% as compared to during the six months ended June 30, 2020 primarily due to increased volume of VASCEPA sales to customers in the United States. Additionally, in the United States, net pricing of VASCEPA remained consistent, with increased coverage from payers in 2021.</w:t>
      </w:r>
    </w:p>
    <w:p>
      <w:pPr>
        <w:spacing w:after="0" w:line="56" w:lineRule="exact"/>
        <w:rPr>
          <w:sz w:val="20"/>
          <w:szCs w:val="20"/>
          <w:color w:val="auto"/>
        </w:rPr>
      </w:pPr>
    </w:p>
    <w:p>
      <w:pPr>
        <w:ind w:left="820"/>
        <w:spacing w:after="0" w:line="299" w:lineRule="auto"/>
        <w:rPr>
          <w:sz w:val="20"/>
          <w:szCs w:val="20"/>
          <w:color w:val="auto"/>
        </w:rPr>
      </w:pPr>
      <w:r>
        <w:rPr>
          <w:rFonts w:ascii="Arial" w:cs="Arial" w:eastAsia="Arial" w:hAnsi="Arial"/>
          <w:sz w:val="16"/>
          <w:szCs w:val="16"/>
          <w:color w:val="auto"/>
        </w:rPr>
        <w:t>Generics – Inclusive of generic icosapent ethyl, and excluding the impact of the other effects listed herein, based on prescription levels reported by Symphony Health the icosapent ethyl market increased for the six months ended June 30, 2021 by 12% as compared to the six months ended June 30, 2020. Based on available data from Symphony Health, generic prescriptions of icosapent ethyl in the six months ended June 30, 2021 were approximately 11% of total icosapent ethyl prescriptions with branded VASCEPA prescriptions representing the other icosapent ethyl prescriptions. In addition, based on available information we believe that a significant number of icosapent ethyl prescriptions have gone unfilled in the six months ended June 30,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p>
      <w:pPr>
        <w:jc w:val="both"/>
        <w:ind w:left="840" w:right="340"/>
        <w:spacing w:after="0" w:line="314" w:lineRule="auto"/>
        <w:rPr>
          <w:sz w:val="20"/>
          <w:szCs w:val="20"/>
          <w:color w:val="auto"/>
        </w:rPr>
      </w:pPr>
      <w:r>
        <w:rPr>
          <w:rFonts w:ascii="Arial" w:cs="Arial" w:eastAsia="Arial" w:hAnsi="Arial"/>
          <w:sz w:val="16"/>
          <w:szCs w:val="16"/>
          <w:color w:val="auto"/>
        </w:rPr>
        <w:t>International sales – Further offsetting the increase in net product revenue during the six months ended June 30, 2021 was a decline in net product revenue recognized from VASCEPA sales outside of the United States, which does not include Europe. We recognized net product revenue of $0.8 million during the six months ended June 30, 2021 as compared to $8.5 million during the six months ended June 30, 2020, primarily as a result of an initial order to ensure availability of adequate product supply for the launch of VASCEPA in Canada. VASCEPA promotion and use outside of the United States has also been limited by the impact of the COVID-19 pandemic.</w:t>
      </w:r>
    </w:p>
    <w:p>
      <w:pPr>
        <w:spacing w:after="0" w:line="106" w:lineRule="exact"/>
        <w:rPr>
          <w:sz w:val="20"/>
          <w:szCs w:val="20"/>
          <w:color w:val="auto"/>
        </w:rPr>
      </w:pPr>
    </w:p>
    <w:p>
      <w:pPr>
        <w:ind w:right="40" w:firstLine="544"/>
        <w:spacing w:after="0" w:line="269" w:lineRule="auto"/>
        <w:rPr>
          <w:sz w:val="20"/>
          <w:szCs w:val="20"/>
          <w:color w:val="auto"/>
        </w:rPr>
      </w:pPr>
      <w:r>
        <w:rPr>
          <w:rFonts w:ascii="Arial" w:cs="Arial" w:eastAsia="Arial" w:hAnsi="Arial"/>
          <w:sz w:val="18"/>
          <w:szCs w:val="18"/>
          <w:color w:val="auto"/>
        </w:rPr>
        <w:t>We remain confident that the patient need for VASCEPA is high and that a significant portion of the slowing of VASCEPA growth in the U.S. is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 In addition, as patients, pharmacies and payers adjust to the availability, pricing and label of generic competition, variability is expected. As a result of the uncertainty of the extent of COVID-19, the impact of generic competition and challenges for most drugs seeking market access in Europe, a process we were only able to formally commence following product approval in March 2021, we are not providing quantified revenue guidance at this time. We will consider resuming revenue guidance when there is greater clarity on the impact of these issues.</w:t>
      </w:r>
    </w:p>
    <w:p>
      <w:pPr>
        <w:spacing w:after="0" w:line="180"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six months ended June 30, 2021 and 2020 was $1.5 million and $4.4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 decrease of $2.9 million, or 66%. Licensing and royalty revenue relates to the recognition of amounts received in connection with the following VASCEPA licensing agreements:</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Edding – a $15.0 million up-front payment received in February 2015 and a $1.0 million milestone payment achieved in March 2016.</w:t>
      </w:r>
    </w:p>
    <w:p>
      <w:pPr>
        <w:spacing w:after="0" w:line="102" w:lineRule="exact"/>
        <w:rPr>
          <w:sz w:val="20"/>
          <w:szCs w:val="20"/>
          <w:color w:val="auto"/>
        </w:rPr>
      </w:pPr>
    </w:p>
    <w:p>
      <w:pPr>
        <w:ind w:left="840" w:right="460"/>
        <w:spacing w:after="0" w:line="301" w:lineRule="auto"/>
        <w:rPr>
          <w:sz w:val="20"/>
          <w:szCs w:val="20"/>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29" w:lineRule="exact"/>
        <w:rPr>
          <w:sz w:val="20"/>
          <w:szCs w:val="20"/>
          <w:color w:val="auto"/>
        </w:rPr>
      </w:pPr>
    </w:p>
    <w:p>
      <w:pPr>
        <w:ind w:right="180" w:firstLine="509"/>
        <w:spacing w:after="0" w:line="324"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93"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2021 and 2020 was $60.5 million and $63.6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$3.1 million, or 5%.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API included in the calculation of the average cost of goods sold during the quarters ended June 30,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137" w:lineRule="exact"/>
        <w:rPr>
          <w:sz w:val="20"/>
          <w:szCs w:val="20"/>
          <w:color w:val="auto"/>
        </w:rPr>
      </w:pPr>
    </w:p>
    <w:p>
      <w:pPr>
        <w:ind w:left="5540" w:right="1180" w:hanging="5016"/>
        <w:spacing w:after="0" w:line="293" w:lineRule="auto"/>
        <w:rPr>
          <w:sz w:val="20"/>
          <w:szCs w:val="20"/>
          <w:color w:val="auto"/>
        </w:rPr>
      </w:pPr>
      <w:r>
        <w:rPr>
          <w:rFonts w:ascii="Arial" w:cs="Arial" w:eastAsia="Arial" w:hAnsi="Arial"/>
          <w:sz w:val="18"/>
          <w:szCs w:val="18"/>
          <w:color w:val="auto"/>
        </w:rPr>
        <w:t>Our overall gross margin on product sales for each of the six months ended June 30, 2021 and 2020 was 80% and 78%, respectively.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 for the six months ended June 30, 2021 and 2020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$213.0 million and $226.3 million, respectively, a decrease of $13.3 million, or 6%. Selling, general and administrative expenses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are summarized in the table below:</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202"/>
        </w:trPr>
        <w:tc>
          <w:tcPr>
            <w:tcW w:w="6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14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80" w:type="dxa"/>
            <w:vAlign w:val="bottom"/>
            <w:shd w:val="clear" w:color="auto" w:fill="CFF0FC"/>
          </w:tcPr>
          <w:p>
            <w:pPr>
              <w:spacing w:after="0"/>
              <w:rPr>
                <w:sz w:val="21"/>
                <w:szCs w:val="21"/>
                <w:color w:val="auto"/>
              </w:rPr>
            </w:pPr>
          </w:p>
        </w:tc>
      </w:tr>
      <w:tr>
        <w:trPr>
          <w:trHeight w:val="256"/>
        </w:trPr>
        <w:tc>
          <w:tcPr>
            <w:tcW w:w="6140" w:type="dxa"/>
            <w:vAlign w:val="bottom"/>
          </w:tcPr>
          <w:p>
            <w:pPr>
              <w:spacing w:after="0" w:line="257"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58,755</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39,894</w:t>
            </w:r>
          </w:p>
        </w:tc>
        <w:tc>
          <w:tcPr>
            <w:tcW w:w="80" w:type="dxa"/>
            <w:vAlign w:val="bottom"/>
          </w:tcPr>
          <w:p>
            <w:pPr>
              <w:spacing w:after="0"/>
              <w:rPr>
                <w:sz w:val="22"/>
                <w:szCs w:val="22"/>
                <w:color w:val="auto"/>
              </w:rPr>
            </w:pPr>
          </w:p>
        </w:tc>
      </w:tr>
      <w:tr>
        <w:trPr>
          <w:trHeight w:val="257"/>
        </w:trPr>
        <w:tc>
          <w:tcPr>
            <w:tcW w:w="614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19,378</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213,001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226,332</w:t>
            </w:r>
          </w:p>
        </w:tc>
        <w:tc>
          <w:tcPr>
            <w:tcW w:w="80" w:type="dxa"/>
            <w:vAlign w:val="bottom"/>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-193675</wp:posOffset>
            </wp:positionV>
            <wp:extent cx="1631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98" w:lineRule="exact"/>
        <w:rPr>
          <w:sz w:val="20"/>
          <w:szCs w:val="20"/>
          <w:color w:val="auto"/>
        </w:rPr>
      </w:pPr>
    </w:p>
    <w:p>
      <w:pPr>
        <w:ind w:left="420" w:hanging="318"/>
        <w:spacing w:after="0" w:line="308"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Selling expense for the six months ended June 30, 2021 and 2020 was $139.5 million and $167.1 million, respectively, a decrease of $27.5 million, or 16%. This decrease is primarily due to a decrease in marketing and direct-to-consumer promotions in the early part of 2021, as a result of the impact of COVID-19 and our focus on improving the profitability of our operations in the United States. The decrease includes reduced promotional initiatives, reduced travel and intentionally slowing the hiring of replacements for our open positions which resulted from ordinary turnover.</w:t>
      </w:r>
    </w:p>
    <w:p>
      <w:pPr>
        <w:ind w:left="420" w:right="140" w:hanging="318"/>
        <w:spacing w:after="0" w:line="282"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and administrative expense for the six months ended June 30, 2021 and 2020 was $58.8 million and $39.9 million, respectively, an increase of $18.9 million, or 47%. This increase is primarily due to increased personnel costs related to preparing for expansion into Europe, offset by a decrease in legal fees related to the ANDA patent litigation in the United States during the six months ended June 30, 2020.</w:t>
      </w:r>
    </w:p>
    <w:p>
      <w:pPr>
        <w:ind w:left="420" w:right="40" w:hanging="318"/>
        <w:spacing w:after="0" w:line="272"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Non-cash stock-based compensation expense for the six months ended June 30, 2021 and 2020 was $14.7 million and $19.4 million, respectively, a decrease of $4.7 million, or 24%. Non-cash stock-based compensation expense represents the estimated costs associated with equity awards issued to internal personnel supporting our selling, general and administrative functions. The decrease is due to the reversal of expense associated with certain performance-based awards as it was no longer deemed probable that the performance criteria for vesting would be achieved within the required timeframe.</w:t>
      </w:r>
    </w:p>
    <w:p>
      <w:pPr>
        <w:spacing w:after="0" w:line="203" w:lineRule="exact"/>
        <w:rPr>
          <w:sz w:val="20"/>
          <w:szCs w:val="20"/>
          <w:color w:val="auto"/>
        </w:rPr>
      </w:pPr>
    </w:p>
    <w:p>
      <w:pPr>
        <w:ind w:right="20" w:firstLine="469"/>
        <w:spacing w:after="0" w:line="314" w:lineRule="auto"/>
        <w:rPr>
          <w:sz w:val="20"/>
          <w:szCs w:val="20"/>
          <w:color w:val="auto"/>
        </w:rPr>
      </w:pPr>
      <w:r>
        <w:rPr>
          <w:rFonts w:ascii="Arial" w:cs="Arial" w:eastAsia="Arial" w:hAnsi="Arial"/>
          <w:sz w:val="16"/>
          <w:szCs w:val="16"/>
          <w:color w:val="auto"/>
        </w:rPr>
        <w:t>We anticipate our selling, general and administrative expenses to increase throughout 2021 primarily due to the costs associated with preparing VAZKEPA for commercial launch in Europe and subject to market access, launching VAZKEPA in one or more countries in Europe during 2021. We are continuing to grow our European staff by hiring Market access and Medical affairs teams, among others, across Europe as deemed appropriate on a country by country basis. As we work to increase revenue from VASCEPA, we continuously evaluate all of our spending commitments and priorities and we plan to adjust our level of education and promotional activities based on various factors, including the impact of COVID-19 and generic competition.</w:t>
      </w:r>
    </w:p>
    <w:p>
      <w:pPr>
        <w:spacing w:after="0" w:line="16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six months ended June 30, 2021 and 2020 was $15.7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$20.2 million, respectively, a decrease of $4.5 million, or 22%. Research and development expenses for the six months ended June 30, 2021 and 2020 are summarized in the table below:</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202"/>
        </w:trPr>
        <w:tc>
          <w:tcPr>
            <w:tcW w:w="6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14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w:t>
            </w:r>
          </w:p>
        </w:tc>
        <w:tc>
          <w:tcPr>
            <w:tcW w:w="80" w:type="dxa"/>
            <w:vAlign w:val="bottom"/>
            <w:shd w:val="clear" w:color="auto" w:fill="CFF0FC"/>
          </w:tcPr>
          <w:p>
            <w:pPr>
              <w:spacing w:after="0"/>
              <w:rPr>
                <w:sz w:val="21"/>
                <w:szCs w:val="21"/>
                <w:color w:val="auto"/>
              </w:rPr>
            </w:pPr>
          </w:p>
        </w:tc>
      </w:tr>
      <w:tr>
        <w:trPr>
          <w:trHeight w:val="256"/>
        </w:trPr>
        <w:tc>
          <w:tcPr>
            <w:tcW w:w="6140" w:type="dxa"/>
            <w:vAlign w:val="bottom"/>
          </w:tcPr>
          <w:p>
            <w:pPr>
              <w:spacing w:after="0" w:line="257"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2"/>
                <w:szCs w:val="22"/>
                <w:color w:val="auto"/>
              </w:rPr>
            </w:pPr>
          </w:p>
        </w:tc>
      </w:tr>
      <w:tr>
        <w:trPr>
          <w:trHeight w:val="257"/>
        </w:trPr>
        <w:tc>
          <w:tcPr>
            <w:tcW w:w="614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11,360</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16,903</w:t>
            </w:r>
          </w:p>
        </w:tc>
        <w:tc>
          <w:tcPr>
            <w:tcW w:w="80" w:type="dxa"/>
            <w:vAlign w:val="bottom"/>
          </w:tcPr>
          <w:p>
            <w:pPr>
              <w:spacing w:after="0"/>
              <w:rPr>
                <w:sz w:val="21"/>
                <w:szCs w:val="21"/>
                <w:color w:val="auto"/>
              </w:rPr>
            </w:pPr>
          </w:p>
        </w:tc>
      </w:tr>
      <w:tr>
        <w:trPr>
          <w:trHeight w:val="263"/>
        </w:trPr>
        <w:tc>
          <w:tcPr>
            <w:tcW w:w="614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(4)</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15,734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20,247</w:t>
            </w:r>
          </w:p>
        </w:tc>
        <w:tc>
          <w:tcPr>
            <w:tcW w:w="80" w:type="dxa"/>
            <w:vAlign w:val="bottom"/>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-527685</wp:posOffset>
            </wp:positionV>
            <wp:extent cx="16319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-193675</wp:posOffset>
            </wp:positionV>
            <wp:extent cx="16319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7" w:lineRule="exact"/>
        <w:rPr>
          <w:sz w:val="20"/>
          <w:szCs w:val="20"/>
          <w:color w:val="auto"/>
        </w:rPr>
      </w:pPr>
    </w:p>
    <w:p>
      <w:pPr>
        <w:ind w:left="440" w:right="180" w:hanging="432"/>
        <w:spacing w:after="0" w:line="282"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ind w:left="440" w:right="100" w:hanging="432"/>
        <w:spacing w:after="0" w:line="299"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June 30,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ind w:left="440" w:hanging="432"/>
        <w:spacing w:after="0" w:line="299"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w:t>
      </w:r>
    </w:p>
    <w:p>
      <w:pPr>
        <w:spacing w:after="0" w:line="1" w:lineRule="exact"/>
        <w:rPr>
          <w:sz w:val="20"/>
          <w:szCs w:val="20"/>
          <w:color w:val="auto"/>
        </w:rPr>
      </w:pPr>
    </w:p>
    <w:p>
      <w:pPr>
        <w:ind w:left="440" w:right="180"/>
        <w:spacing w:after="0" w:line="266" w:lineRule="auto"/>
        <w:rPr>
          <w:sz w:val="20"/>
          <w:szCs w:val="20"/>
          <w:color w:val="auto"/>
        </w:rPr>
      </w:pPr>
      <w:r>
        <w:rPr>
          <w:rFonts w:ascii="Arial" w:cs="Arial" w:eastAsia="Arial" w:hAnsi="Arial"/>
          <w:sz w:val="18"/>
          <w:szCs w:val="18"/>
          <w:color w:val="auto"/>
        </w:rPr>
        <w:t>related to qualifying suppliers. We also exercised certain rights under our strategic collaboration agreement with Mochida, resulting in payments of $1.0 million in each of January 2020,</w:t>
      </w: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ind w:left="440" w:right="460"/>
        <w:spacing w:after="0" w:line="266" w:lineRule="auto"/>
        <w:rPr>
          <w:sz w:val="20"/>
          <w:szCs w:val="20"/>
          <w:color w:val="auto"/>
        </w:rPr>
      </w:pPr>
      <w:r>
        <w:rPr>
          <w:rFonts w:ascii="Arial" w:cs="Arial" w:eastAsia="Arial" w:hAnsi="Arial"/>
          <w:sz w:val="18"/>
          <w:szCs w:val="18"/>
          <w:color w:val="auto"/>
        </w:rPr>
        <w:t>and January 2021, respectively. Also included are costs associated with various other investigations, including other costs in collaboration with Mochida and pilot studies regarding VASCEPA.</w:t>
      </w:r>
    </w:p>
    <w:p>
      <w:pPr>
        <w:spacing w:after="0" w:line="1" w:lineRule="exact"/>
        <w:rPr>
          <w:sz w:val="20"/>
          <w:szCs w:val="20"/>
          <w:color w:val="auto"/>
        </w:rPr>
      </w:pPr>
    </w:p>
    <w:p>
      <w:pPr>
        <w:ind w:left="440" w:right="20" w:hanging="432"/>
        <w:spacing w:after="0" w:line="302"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166"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We anticipate our research and development expenses to remain consistent in 2021 with the prior year. We continuously evaluate all of our spending commitments and priorities and we plan to adjust our level of research and development activities based on the impact of COVID-19 and generic competition.</w:t>
      </w:r>
    </w:p>
    <w:p>
      <w:pPr>
        <w:spacing w:after="0" w:line="183" w:lineRule="exact"/>
        <w:rPr>
          <w:sz w:val="20"/>
          <w:szCs w:val="20"/>
          <w:color w:val="auto"/>
        </w:rPr>
      </w:pPr>
    </w:p>
    <w:p>
      <w:pPr>
        <w:ind w:right="580" w:firstLine="509"/>
        <w:spacing w:after="0" w:line="359" w:lineRule="auto"/>
        <w:rPr>
          <w:sz w:val="20"/>
          <w:szCs w:val="20"/>
          <w:color w:val="auto"/>
        </w:rPr>
      </w:pPr>
      <w:r>
        <w:rPr>
          <w:rFonts w:ascii="Arial" w:cs="Arial" w:eastAsia="Arial" w:hAnsi="Arial"/>
          <w:sz w:val="16"/>
          <w:szCs w:val="16"/>
          <w:i w:val="1"/>
          <w:iCs w:val="1"/>
          <w:color w:val="auto"/>
        </w:rPr>
        <w:t>Interest income, net</w:t>
      </w:r>
      <w:r>
        <w:rPr>
          <w:rFonts w:ascii="Arial" w:cs="Arial" w:eastAsia="Arial" w:hAnsi="Arial"/>
          <w:sz w:val="16"/>
          <w:szCs w:val="16"/>
          <w:color w:val="auto"/>
        </w:rPr>
        <w:t>. Net interest income for the six months ended June 30, 2021 and 2020 was $0.8 million and $1.4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$0.6 million, or 44%. Net interest income for the six months ended June 30, 2021 and 2020 is summarized in the table below:</w:t>
      </w:r>
    </w:p>
    <w:p>
      <w:pPr>
        <w:spacing w:after="0" w:line="143"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23495</wp:posOffset>
            </wp:positionV>
            <wp:extent cx="17570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5"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3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-635</wp:posOffset>
            </wp:positionV>
            <wp:extent cx="17570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 xml:space="preserve">Debt from royalty-bearing instrument </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-168910</wp:posOffset>
            </wp:positionV>
            <wp:extent cx="5700395"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28"/>
        </w:trPr>
        <w:tc>
          <w:tcPr>
            <w:tcW w:w="6140" w:type="dxa"/>
            <w:vAlign w:val="bottom"/>
          </w:tcPr>
          <w:p>
            <w:pPr>
              <w:ind w:left="260"/>
              <w:spacing w:after="0"/>
              <w:rPr>
                <w:sz w:val="20"/>
                <w:szCs w:val="20"/>
                <w:color w:val="auto"/>
              </w:rPr>
            </w:pPr>
            <w:r>
              <w:rPr>
                <w:rFonts w:ascii="Arial" w:cs="Arial" w:eastAsia="Arial" w:hAnsi="Arial"/>
                <w:sz w:val="18"/>
                <w:szCs w:val="18"/>
                <w:color w:val="auto"/>
              </w:rPr>
              <w:t>Cash interest</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(1,260 )</w:t>
            </w:r>
          </w:p>
        </w:tc>
      </w:tr>
      <w:tr>
        <w:trPr>
          <w:trHeight w:val="25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(490 )</w:t>
            </w:r>
          </w:p>
        </w:tc>
      </w:tr>
      <w:tr>
        <w:trPr>
          <w:trHeight w:val="20"/>
        </w:trPr>
        <w:tc>
          <w:tcPr>
            <w:tcW w:w="6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(1,750 )</w:t>
            </w:r>
          </w:p>
        </w:tc>
      </w:tr>
      <w:tr>
        <w:trPr>
          <w:trHeight w:val="25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(84 )</w:t>
            </w:r>
          </w:p>
        </w:tc>
        <w:tc>
          <w:tcPr>
            <w:tcW w:w="4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(231 )</w:t>
            </w:r>
          </w:p>
        </w:tc>
      </w:tr>
      <w:tr>
        <w:trPr>
          <w:trHeight w:val="20"/>
        </w:trPr>
        <w:tc>
          <w:tcPr>
            <w:tcW w:w="6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5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(84 )</w:t>
            </w: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(1,981 )</w:t>
            </w:r>
          </w:p>
        </w:tc>
      </w:tr>
      <w:tr>
        <w:trPr>
          <w:trHeight w:val="263"/>
        </w:trPr>
        <w:tc>
          <w:tcPr>
            <w:tcW w:w="614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4"/>
                <w:szCs w:val="24"/>
                <w:color w:val="auto"/>
                <w:vertAlign w:val="superscript"/>
              </w:rPr>
              <w:t>(2)</w:t>
            </w:r>
          </w:p>
        </w:tc>
        <w:tc>
          <w:tcPr>
            <w:tcW w:w="5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6140" w:type="dxa"/>
            <w:vAlign w:val="bottom"/>
          </w:tcPr>
          <w:p>
            <w:pPr>
              <w:spacing w:after="0"/>
              <w:rPr>
                <w:sz w:val="20"/>
                <w:szCs w:val="20"/>
                <w:color w:val="auto"/>
              </w:rPr>
            </w:pPr>
            <w:r>
              <w:rPr>
                <w:rFonts w:ascii="Arial" w:cs="Arial" w:eastAsia="Arial" w:hAnsi="Arial"/>
                <w:sz w:val="18"/>
                <w:szCs w:val="18"/>
                <w:color w:val="auto"/>
              </w:rPr>
              <w:t>Total interest income, net</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-862330</wp:posOffset>
            </wp:positionV>
            <wp:extent cx="16319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-862330</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-527685</wp:posOffset>
            </wp:positionV>
            <wp:extent cx="16319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-193675</wp:posOffset>
            </wp:positionV>
            <wp:extent cx="16319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1" w:lineRule="exact"/>
        <w:rPr>
          <w:sz w:val="20"/>
          <w:szCs w:val="20"/>
          <w:color w:val="auto"/>
        </w:rPr>
      </w:pPr>
    </w:p>
    <w:p>
      <w:pPr>
        <w:ind w:left="440" w:hanging="432"/>
        <w:spacing w:after="0" w:line="266"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six months ended June 30, 2021 and 2020 was nil million and $1.8 million, respectively. In November 2020, the Company made the final payment on its royalty-bearing instrument and, as a result, no interest from this instrument was recorded in 2021.</w:t>
      </w:r>
    </w:p>
    <w:p>
      <w:pPr>
        <w:spacing w:after="0" w:line="1" w:lineRule="exact"/>
        <w:rPr>
          <w:rFonts w:ascii="Arial" w:cs="Arial" w:eastAsia="Arial" w:hAnsi="Arial"/>
          <w:sz w:val="18"/>
          <w:szCs w:val="18"/>
          <w:color w:val="auto"/>
        </w:rPr>
      </w:pPr>
    </w:p>
    <w:p>
      <w:pPr>
        <w:ind w:left="440" w:right="40" w:hanging="432"/>
        <w:spacing w:after="0" w:line="27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2021 and 2020 was $0.8 million and $3.3 million, respectively. Interest income represents income earned on cash and investment balances. As a result of COVID-19 and the related economic conditions, interest rates have decreased as compared to the prior year, resulting in a decrease in interest income, as well as a decrease in the Company's cash and short-term and long-term investment balance.</w:t>
      </w:r>
    </w:p>
    <w:p>
      <w:pPr>
        <w:spacing w:after="0" w:line="188" w:lineRule="exact"/>
        <w:rPr>
          <w:sz w:val="20"/>
          <w:szCs w:val="20"/>
          <w:color w:val="auto"/>
        </w:rPr>
      </w:pPr>
    </w:p>
    <w:p>
      <w:pPr>
        <w:ind w:right="640" w:firstLine="509"/>
        <w:spacing w:after="0" w:line="324" w:lineRule="auto"/>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net, for the six months ended June 30, 2021 and 2020 was expense of $333 thousand and income of $17</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 respectively. Other expense, net, primarily consists of gains and losses on foreign exchange transactions.</w:t>
      </w:r>
    </w:p>
    <w:p>
      <w:pPr>
        <w:spacing w:after="0" w:line="9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Income tax (provision) benefit for the six months ended June 30, 2021 and 2020 was a provision of $1.7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$2.4 million, respectively. The provision for the six months ended June 30, 2021 is the result of income generated by our U.S. operations for which tax expense has been recognized based on a full year estimated U.S. income tax liability. The income tax benefit recorded for the six months ended June 30, 2020 related to carrybacks of net operating losses as allowed under the CARES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7" w:name="page38"/>
    <w:bookmarkEnd w:id="37"/>
    <w:p>
      <w:pPr>
        <w:ind w:right="20" w:firstLine="509"/>
        <w:spacing w:after="0" w:line="288" w:lineRule="auto"/>
        <w:rPr>
          <w:sz w:val="20"/>
          <w:szCs w:val="20"/>
          <w:color w:val="auto"/>
        </w:rPr>
      </w:pPr>
      <w:r>
        <w:rPr>
          <w:rFonts w:ascii="Arial" w:cs="Arial" w:eastAsia="Arial" w:hAnsi="Arial"/>
          <w:sz w:val="17"/>
          <w:szCs w:val="17"/>
          <w:color w:val="auto"/>
        </w:rPr>
        <w:t>Our aggregate sources of liquidity as of June 30, 2021 are in excess of $500.0 million, with no debt. Our aggregate sources of liquidity include cash and cash equivalents and restricted cash of $330.9 million, short-term investments of $181.9 million and long-term investments of $14.2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3"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202"/>
        </w:trPr>
        <w:tc>
          <w:tcPr>
            <w:tcW w:w="69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9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(33.8 )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(396.3 )</w:t>
            </w:r>
          </w:p>
        </w:tc>
      </w:tr>
      <w:tr>
        <w:trPr>
          <w:trHeight w:val="250"/>
        </w:trPr>
        <w:tc>
          <w:tcPr>
            <w:tcW w:w="69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(4.8 )</w:t>
            </w:r>
          </w:p>
        </w:tc>
        <w:tc>
          <w:tcPr>
            <w:tcW w:w="3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(40.0 )</w:t>
            </w:r>
          </w:p>
        </w:tc>
      </w:tr>
      <w:tr>
        <w:trPr>
          <w:trHeight w:val="20"/>
        </w:trPr>
        <w:tc>
          <w:tcPr>
            <w:tcW w:w="6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 and restricted cash</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(430.6 )</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1797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1797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Net cash used in operating activities during the six months ended June 30, 2021 as compared to the net cash provided by operating activities during the same period in 2020 is primarily as a result of an increase in inventory purchases during 2021 as well as costs associated with planning for commercial launch in Europe.</w:t>
      </w:r>
    </w:p>
    <w:p>
      <w:pPr>
        <w:spacing w:after="0" w:line="129"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Net cash provided by investing activities during the six months ended June 30, 2021 is primarily due to the proceeds from the maturity of $253.1 million in investment-grade interest bearing instruments, partially offset by $74.5 million in purchases of investment-grade interest bearing instruments as compared to the same period in 2020 where approximately $527.5 million investment-grade interest bearing instruments were purchased, partially offset by the proceeds from the maturity and sale of securities of $131.4 million.</w:t>
      </w:r>
    </w:p>
    <w:p>
      <w:pPr>
        <w:spacing w:after="0" w:line="131" w:lineRule="exact"/>
        <w:rPr>
          <w:sz w:val="20"/>
          <w:szCs w:val="20"/>
          <w:color w:val="auto"/>
        </w:rPr>
      </w:pPr>
    </w:p>
    <w:p>
      <w:pPr>
        <w:ind w:right="300" w:firstLine="509"/>
        <w:spacing w:after="0" w:line="314" w:lineRule="auto"/>
        <w:rPr>
          <w:sz w:val="20"/>
          <w:szCs w:val="20"/>
          <w:color w:val="auto"/>
        </w:rPr>
      </w:pPr>
      <w:r>
        <w:rPr>
          <w:rFonts w:ascii="Arial" w:cs="Arial" w:eastAsia="Arial" w:hAnsi="Arial"/>
          <w:sz w:val="16"/>
          <w:szCs w:val="16"/>
          <w:color w:val="auto"/>
        </w:rPr>
        <w:t>Net cash used in financing activities during the six months ended June 30, 2020 primarily reflects the payments made on our royalty-bearing instrument with CPPIB, with the final payment made in the fourth quarter of 2020. In December 2012, we entered into a financing agreement with BioPharma. Under this agreement, we granted to BioPharma a security interest in future receivables and all related rights to VASCEPA, in exchange for $100.0 million received at the closing of the agreement which occurred in December 2012. In December 2017, BioPharma assigned all rights under this agreement to CPPIB. In the fourth quarter of 2020, we have repaid the remaining amounts outstanding of the agreed upon $150.0 million.</w:t>
      </w:r>
    </w:p>
    <w:p>
      <w:pPr>
        <w:spacing w:after="0" w:line="106"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As of June 30, 2021, we had net accounts receivable $182.3 million and inventory of $272.5 million. We have incurred annual operating losses since our inception and, as a result, we had an accumulated deficit of $1.4 billion as of June 30, 2021. We anticipate that quarterly net cash outflows in future periods will continue to be variable as a result of the timing of certain items, including our purchases of API, the impact from COVID-19 on our operations, the generic competition in the United States as a result of our ANDA litigation and commercialization of VAZKEPA in Europe. For Europe,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12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believe that our cash and cash equivalents of $327.0 million as of June 30, 2021 together with our short-term investments of $181.9 million as of June 30, 2021, will be sufficient to fund our projected operations for at least 12 months and is adequate to achieve positive cash flow from VASCEPA, including our launch in Europe,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20" w:firstLine="509"/>
        <w:spacing w:after="0" w:line="303" w:lineRule="auto"/>
        <w:rPr>
          <w:sz w:val="20"/>
          <w:szCs w:val="20"/>
          <w:color w:val="auto"/>
        </w:rPr>
      </w:pPr>
      <w:r>
        <w:rPr>
          <w:rFonts w:ascii="Arial" w:cs="Arial" w:eastAsia="Arial" w:hAnsi="Arial"/>
          <w:sz w:val="17"/>
          <w:szCs w:val="17"/>
          <w:color w:val="auto"/>
        </w:rPr>
        <w:t>Our contractual obligations consist mainly of payments related to purchase obligations with certain supply chain contracting parties and operating leases related to real estate used as office space. There have been no material changes during the six months ended June 30, 2021 to our contractual obligations as presented in Part II, Item 7 of our Annual Report on Form 10-K for the year ended December 31, 2020.</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0"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As of June 30, 2021,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2021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During the quarter ended June 30, 2021, there were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2020 includes a discussion of our current legal proceedings. Refer to Note 5 – Commitments and Contingencies in the accompanying Notes to the Condensed Consolidated Financial Statements in this Form 10-Q for further details on our legal proceedings during the six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63" w:lineRule="exact"/>
        <w:rPr>
          <w:sz w:val="20"/>
          <w:szCs w:val="20"/>
          <w:color w:val="auto"/>
        </w:rPr>
      </w:pPr>
    </w:p>
    <w:p>
      <w:pPr>
        <w:ind w:right="860"/>
        <w:spacing w:after="0" w:line="293"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2020 filed with the SEC on February 25, 2021, or our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35" w:lineRule="exact"/>
        <w:rPr>
          <w:sz w:val="20"/>
          <w:szCs w:val="20"/>
          <w:color w:val="auto"/>
        </w:rPr>
      </w:pPr>
    </w:p>
    <w:p>
      <w:pPr>
        <w:ind w:left="840" w:right="20"/>
        <w:spacing w:after="0" w:line="292" w:lineRule="auto"/>
        <w:rPr>
          <w:sz w:val="20"/>
          <w:szCs w:val="20"/>
          <w:color w:val="auto"/>
        </w:rPr>
      </w:pPr>
      <w:r>
        <w:rPr>
          <w:rFonts w:ascii="Arial" w:cs="Arial" w:eastAsia="Arial" w:hAnsi="Arial"/>
          <w:sz w:val="17"/>
          <w:szCs w:val="17"/>
          <w:color w:val="auto"/>
        </w:rPr>
        <w:t>We are substantially dependent upon VASCEPA® (icosapent ethyl), its commercialization in the United States and its development and commercialization in Europe and other major markets. In the United States, VASCEPA is facing increasing competition from generic versions of the drug. In Europe, VAZKEPA was recently granted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39" w:lineRule="exact"/>
        <w:rPr>
          <w:sz w:val="20"/>
          <w:szCs w:val="20"/>
          <w:color w:val="auto"/>
        </w:rPr>
      </w:pPr>
    </w:p>
    <w:p>
      <w:pPr>
        <w:ind w:left="840" w:right="220"/>
        <w:spacing w:after="0" w:line="293" w:lineRule="auto"/>
        <w:rPr>
          <w:sz w:val="20"/>
          <w:szCs w:val="20"/>
          <w:color w:val="auto"/>
        </w:rPr>
      </w:pPr>
      <w:r>
        <w:rPr>
          <w:rFonts w:ascii="Arial" w:cs="Arial" w:eastAsia="Arial" w:hAnsi="Arial"/>
          <w:sz w:val="18"/>
          <w:szCs w:val="18"/>
          <w:color w:val="auto"/>
        </w:rPr>
        <w:t>In the United States, we face increasing competition from generic drug companies in the near term and our revenues and results of operations could be materially and adversely affected.</w:t>
      </w:r>
    </w:p>
    <w:p>
      <w:pPr>
        <w:spacing w:after="0" w:line="35"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35" w:lineRule="exact"/>
        <w:rPr>
          <w:sz w:val="20"/>
          <w:szCs w:val="20"/>
          <w:color w:val="auto"/>
        </w:rPr>
      </w:pPr>
    </w:p>
    <w:p>
      <w:pPr>
        <w:ind w:left="840" w:right="300"/>
        <w:spacing w:after="0" w:line="293" w:lineRule="auto"/>
        <w:rPr>
          <w:sz w:val="20"/>
          <w:szCs w:val="20"/>
          <w:color w:val="auto"/>
        </w:rPr>
      </w:pPr>
      <w:r>
        <w:rPr>
          <w:rFonts w:ascii="Arial" w:cs="Arial" w:eastAsia="Arial" w:hAnsi="Arial"/>
          <w:sz w:val="18"/>
          <w:szCs w:val="18"/>
          <w:color w:val="auto"/>
        </w:rPr>
        <w:t>The continued scale and scope of business interruptions caused by the COVID-19 pandemic and related recovery efforts are uncertain as the impact of the pandemic continues to cause negative effects on our business.</w:t>
      </w:r>
    </w:p>
    <w:p>
      <w:pPr>
        <w:spacing w:after="0" w:line="35" w:lineRule="exact"/>
        <w:rPr>
          <w:sz w:val="20"/>
          <w:szCs w:val="20"/>
          <w:color w:val="auto"/>
        </w:rPr>
      </w:pPr>
    </w:p>
    <w:p>
      <w:pPr>
        <w:ind w:left="840" w:right="120"/>
        <w:spacing w:after="0" w:line="293" w:lineRule="auto"/>
        <w:rPr>
          <w:sz w:val="20"/>
          <w:szCs w:val="20"/>
          <w:color w:val="auto"/>
        </w:rPr>
      </w:pPr>
      <w:r>
        <w:rPr>
          <w:rFonts w:ascii="Arial" w:cs="Arial" w:eastAsia="Arial" w:hAnsi="Arial"/>
          <w:sz w:val="18"/>
          <w:szCs w:val="18"/>
          <w:color w:val="auto"/>
        </w:rPr>
        <w:t>Our current and planned commercialization efforts may not be successful in increasing sales of VASCEPA in the United States and developing sales internationally.</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promotion and supply of VASCEPA is subject to regulatory scrutiny and associated risk.</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may not be able to compete effectively against our competitors’ pharmaceutical products.</w:t>
      </w:r>
    </w:p>
    <w:p>
      <w:pPr>
        <w:spacing w:after="0" w:line="104" w:lineRule="exact"/>
        <w:rPr>
          <w:sz w:val="20"/>
          <w:szCs w:val="20"/>
          <w:color w:val="auto"/>
        </w:rPr>
      </w:pPr>
    </w:p>
    <w:p>
      <w:pPr>
        <w:ind w:left="840" w:right="320"/>
        <w:spacing w:after="0" w:line="324" w:lineRule="auto"/>
        <w:rPr>
          <w:sz w:val="20"/>
          <w:szCs w:val="20"/>
          <w:color w:val="auto"/>
        </w:rPr>
      </w:pPr>
      <w:r>
        <w:rPr>
          <w:rFonts w:ascii="Arial" w:cs="Arial" w:eastAsia="Arial" w:hAnsi="Arial"/>
          <w:sz w:val="17"/>
          <w:szCs w:val="17"/>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2"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The commercial value to us of sales of VASCEPA outside the United States may be smaller than we anticipate, including adequacy of product reimbursement which can vary from country to country resulting in potential patient access restrictions.</w:t>
      </w:r>
    </w:p>
    <w:p>
      <w:pPr>
        <w:spacing w:after="0" w:line="35" w:lineRule="exact"/>
        <w:rPr>
          <w:sz w:val="20"/>
          <w:szCs w:val="20"/>
          <w:color w:val="auto"/>
        </w:rPr>
      </w:pPr>
    </w:p>
    <w:p>
      <w:pPr>
        <w:ind w:left="840" w:right="680"/>
        <w:spacing w:after="0" w:line="293" w:lineRule="auto"/>
        <w:rPr>
          <w:sz w:val="20"/>
          <w:szCs w:val="20"/>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w:t>
      </w:r>
    </w:p>
    <w:p>
      <w:pPr>
        <w:spacing w:after="0" w:line="35" w:lineRule="exact"/>
        <w:rPr>
          <w:sz w:val="20"/>
          <w:szCs w:val="20"/>
          <w:color w:val="auto"/>
        </w:rPr>
      </w:pPr>
    </w:p>
    <w:p>
      <w:pPr>
        <w:ind w:left="840" w:right="100"/>
        <w:spacing w:after="0" w:line="293" w:lineRule="auto"/>
        <w:rPr>
          <w:sz w:val="20"/>
          <w:szCs w:val="20"/>
          <w:color w:val="auto"/>
        </w:rPr>
      </w:pPr>
      <w:r>
        <w:rPr>
          <w:rFonts w:ascii="Arial" w:cs="Arial" w:eastAsia="Arial" w:hAnsi="Arial"/>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35" w:lineRule="exact"/>
        <w:rPr>
          <w:sz w:val="20"/>
          <w:szCs w:val="20"/>
          <w:color w:val="auto"/>
        </w:rPr>
      </w:pPr>
    </w:p>
    <w:p>
      <w:pPr>
        <w:ind w:left="840" w:right="200"/>
        <w:spacing w:after="0" w:line="266" w:lineRule="auto"/>
        <w:rPr>
          <w:sz w:val="20"/>
          <w:szCs w:val="20"/>
          <w:color w:val="auto"/>
        </w:rPr>
      </w:pPr>
      <w:r>
        <w:rPr>
          <w:rFonts w:ascii="Arial" w:cs="Arial" w:eastAsia="Arial" w:hAnsi="Arial"/>
          <w:sz w:val="18"/>
          <w:szCs w:val="18"/>
          <w:color w:val="auto"/>
        </w:rPr>
        <w:t>Our commercialization of VASCEPA outside the United States is substantially dependent on third parties and other circumstances outside our control.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ind w:left="840"/>
        <w:spacing w:after="0"/>
        <w:rPr>
          <w:sz w:val="20"/>
          <w:szCs w:val="20"/>
          <w:color w:val="auto"/>
        </w:rPr>
      </w:pPr>
      <w:r>
        <w:rPr>
          <w:rFonts w:ascii="Arial" w:cs="Arial" w:eastAsia="Arial" w:hAnsi="Arial"/>
          <w:sz w:val="18"/>
          <w:szCs w:val="18"/>
          <w:color w:val="auto"/>
        </w:rPr>
        <w:t>We are dependent on patents, proprietary rights and confidentiality to protect the commercial potential of VASCEPA.</w:t>
      </w:r>
    </w:p>
    <w:p>
      <w:pPr>
        <w:spacing w:after="0" w:line="104"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Our issued patents may not prevent competitors from competing with VASCEPA, even if we are successful in our current efforts to enforce our patent rights.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can be no assurance that any of our pending patent applications relating to VASCEPA or its use will issue as patents.</w:t>
      </w:r>
    </w:p>
    <w:p>
      <w:pPr>
        <w:spacing w:after="0" w:line="18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27" w:lineRule="exact"/>
        <w:rPr>
          <w:sz w:val="20"/>
          <w:szCs w:val="20"/>
          <w:color w:val="auto"/>
        </w:rPr>
      </w:pPr>
    </w:p>
    <w:p>
      <w:pPr>
        <w:ind w:firstLine="517"/>
        <w:spacing w:after="0" w:line="292" w:lineRule="auto"/>
        <w:tabs>
          <w:tab w:leader="none" w:pos="644"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are substantially dependent upon VASCEPA (icosapent ethyl), its commercialization in the United States and its development and commercialization in Europe and other major markets. In the United States, VASCEPA is facing increasing competition from generic versions of the drug. In Europe, VAZKEPA was recently granted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120"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One generic version of VASCEPA launched in the United States in November 2020 and another launched in June 2021.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w:t>
      </w:r>
    </w:p>
    <w:p>
      <w:pPr>
        <w:spacing w:after="0" w:line="122" w:lineRule="exact"/>
        <w:rPr>
          <w:sz w:val="20"/>
          <w:szCs w:val="20"/>
          <w:color w:val="auto"/>
        </w:rPr>
      </w:pPr>
    </w:p>
    <w:p>
      <w:pPr>
        <w:ind w:right="140" w:firstLine="509"/>
        <w:spacing w:after="0" w:line="288" w:lineRule="auto"/>
        <w:rPr>
          <w:sz w:val="20"/>
          <w:szCs w:val="20"/>
          <w:color w:val="auto"/>
        </w:rPr>
      </w:pPr>
      <w:r>
        <w:rPr>
          <w:rFonts w:ascii="Arial" w:cs="Arial" w:eastAsia="Arial" w:hAnsi="Arial"/>
          <w:sz w:val="17"/>
          <w:szCs w:val="17"/>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We are in the process of obtaining pricing and reimbursement approvals for VAZKEPA in relevant jurisdictions in Europe. This process is conducted on a country-by-country basis and is time-consuming and complex. And we may not be successful in obtaining such approvals in a timely manner with acceptable terms, or at all.</w:t>
      </w:r>
    </w:p>
    <w:p>
      <w:pPr>
        <w:spacing w:after="0" w:line="127" w:lineRule="exact"/>
        <w:rPr>
          <w:sz w:val="20"/>
          <w:szCs w:val="20"/>
          <w:color w:val="auto"/>
        </w:rPr>
      </w:pPr>
    </w:p>
    <w:p>
      <w:pPr>
        <w:jc w:val="both"/>
        <w:ind w:right="300" w:firstLine="509"/>
        <w:spacing w:after="0" w:line="329" w:lineRule="auto"/>
        <w:rPr>
          <w:sz w:val="20"/>
          <w:szCs w:val="20"/>
          <w:color w:val="auto"/>
        </w:rPr>
      </w:pPr>
      <w:r>
        <w:rPr>
          <w:rFonts w:ascii="Arial" w:cs="Arial" w:eastAsia="Arial" w:hAnsi="Arial"/>
          <w:sz w:val="16"/>
          <w:szCs w:val="16"/>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That second indication, which we believe has significantly more value potential, is for use of the drug in the reduction of cardiovascular risk in select high-risk patients.</w:t>
      </w:r>
    </w:p>
    <w:p>
      <w:pPr>
        <w:spacing w:after="0" w:line="94" w:lineRule="exact"/>
        <w:rPr>
          <w:sz w:val="20"/>
          <w:szCs w:val="20"/>
          <w:color w:val="auto"/>
        </w:rPr>
      </w:pPr>
    </w:p>
    <w:p>
      <w:pPr>
        <w:ind w:right="120" w:firstLine="509"/>
        <w:spacing w:after="0" w:line="288" w:lineRule="auto"/>
        <w:rPr>
          <w:sz w:val="20"/>
          <w:szCs w:val="20"/>
          <w:color w:val="auto"/>
        </w:rPr>
      </w:pPr>
      <w:r>
        <w:rPr>
          <w:rFonts w:ascii="Arial" w:cs="Arial" w:eastAsia="Arial" w:hAnsi="Arial"/>
          <w:sz w:val="17"/>
          <w:szCs w:val="17"/>
          <w:color w:val="auto"/>
        </w:rPr>
        <w:t>We have been developing VASCEPA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intend to consider both self-launch and potential additional partners to 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and if commercialization plans for VASCEPA do not meet expectations in major markets such as the United States and Europe, our business and prospects could be materially and adversely affected.</w:t>
      </w:r>
    </w:p>
    <w:p>
      <w:pPr>
        <w:spacing w:after="0" w:line="127"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129"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620"/>
        <w:spacing w:after="0" w:line="293" w:lineRule="auto"/>
        <w:rPr>
          <w:sz w:val="20"/>
          <w:szCs w:val="20"/>
          <w:color w:val="auto"/>
        </w:rPr>
      </w:pPr>
      <w:r>
        <w:rPr>
          <w:rFonts w:ascii="Arial" w:cs="Arial" w:eastAsia="Arial" w:hAnsi="Arial"/>
          <w:sz w:val="18"/>
          <w:szCs w:val="18"/>
          <w:color w:val="auto"/>
        </w:rPr>
        <w:t>material adverse effects on our business. As a result, the lack of alternative markets and products we develop could constrain our ability to generate revenues and achieve profitability.</w:t>
      </w:r>
    </w:p>
    <w:p>
      <w:pPr>
        <w:spacing w:after="0" w:line="10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b w:val="1"/>
          <w:bCs w:val="1"/>
          <w:i w:val="1"/>
          <w:iCs w:val="1"/>
          <w:color w:val="auto"/>
        </w:rPr>
        <w:t>*In the United States, we face increasing competition from generic drug companies in the near term and our revenues and results of operations could be materially and adversely affected.</w:t>
      </w:r>
    </w:p>
    <w:p>
      <w:pPr>
        <w:spacing w:after="0" w:line="130" w:lineRule="exact"/>
        <w:rPr>
          <w:sz w:val="20"/>
          <w:szCs w:val="20"/>
          <w:color w:val="auto"/>
        </w:rPr>
      </w:pPr>
    </w:p>
    <w:p>
      <w:pPr>
        <w:ind w:right="220" w:firstLine="509"/>
        <w:spacing w:after="0" w:line="292"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or DRL, and Hikma Pharmaceuticals USA Inc., or Hikma, (formerly known as West-Ward), and certain of their affiliates, or, collectively, the Defendants, that declared as invalid several patents of ours protecting the first FDA-approved use of our drug, for use to reduce severely high triglyceride levels, which is known as the MARINE indication. We sought appeals of the Nevada Court judgment up to the United States Supreme Court, but, we were unsuccessful.</w:t>
      </w:r>
    </w:p>
    <w:p>
      <w:pPr>
        <w:spacing w:after="0" w:line="120"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In November 2020, Hikma launched its generic version of VASCEPA on a limited scale and with a label that reflects the first VASCEPA FDA-approved indication, for the MARINE indication, and revised labeling based on the results of the REDUCE-IT trial. On November 30, 2020, we filed a patent infringement lawsuit against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This litigation is ongoing. We intend to vigorously pursue this ongoing litigation matter, but cannot predict the outcome or the impact on our business.</w:t>
      </w:r>
    </w:p>
    <w:p>
      <w:pPr>
        <w:spacing w:after="0" w:line="122"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In June 2021, Dr. Reddy's launched its generic version of VASCEPA with labeling that is substantially similar to labeling of the Hikma generic product. In addition to ANDAs approved for Hikma and Dr. Reddy’s, on September 11, 2020, Teva Pharmaceuticals USA, Inc’s., or Teva’s, ANDA was approved by the U.S. Food and Drug Administration, or U.S. FDA. On June 30, 2021, Apotex Inc.'s, or Apotex's, ANDA was approved by the U.S. FDA.</w:t>
      </w:r>
    </w:p>
    <w:p>
      <w:pPr>
        <w:spacing w:after="0" w:line="9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The rulings of the Nevada Court and related appeal loses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137" w:lineRule="exact"/>
        <w:rPr>
          <w:sz w:val="20"/>
          <w:szCs w:val="20"/>
          <w:color w:val="auto"/>
        </w:rPr>
      </w:pPr>
    </w:p>
    <w:p>
      <w:pPr>
        <w:ind w:right="20" w:firstLine="494"/>
        <w:spacing w:after="0" w:line="288" w:lineRule="auto"/>
        <w:rPr>
          <w:sz w:val="20"/>
          <w:szCs w:val="20"/>
          <w:color w:val="auto"/>
        </w:rPr>
      </w:pPr>
      <w:r>
        <w:rPr>
          <w:rFonts w:ascii="Arial" w:cs="Arial" w:eastAsia="Arial" w:hAnsi="Arial"/>
          <w:sz w:val="17"/>
          <w:szCs w:val="17"/>
          <w:color w:val="auto"/>
        </w:rPr>
        <w:t>Once a generic version of VASCEPA is available in the market, whether based on a generic product with primarily a MARINE indication label or REDUCE-IT indication label it is typically used in many U.S. states to fill a prescription for any use of the drug, subject, in certain circumstances, to state reimbursement law, the potential for patent infringement under certain case law and subject to certain Teva and Apotex settlement agreement terms. We currently face generic competition from Hikma's and Dr. Reddy’s generic version of VASCEPA in the United States, and could face increased competition from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127" w:lineRule="exact"/>
        <w:rPr>
          <w:sz w:val="20"/>
          <w:szCs w:val="20"/>
          <w:color w:val="auto"/>
        </w:rPr>
      </w:pPr>
    </w:p>
    <w:p>
      <w:pPr>
        <w:ind w:firstLine="255"/>
        <w:spacing w:after="0" w:line="286" w:lineRule="auto"/>
        <w:rPr>
          <w:sz w:val="20"/>
          <w:szCs w:val="20"/>
          <w:color w:val="auto"/>
        </w:rPr>
      </w:pPr>
      <w:r>
        <w:rPr>
          <w:rFonts w:ascii="Arial" w:cs="Arial" w:eastAsia="Arial" w:hAnsi="Arial"/>
          <w:sz w:val="17"/>
          <w:szCs w:val="17"/>
          <w:color w:val="auto"/>
        </w:rPr>
        <w:t>We believe that VASCEPA is difficult to manufacture and that building capacity to manufacture VASCEPA is time-consuming and expensive. These factors may limit the amount of VASCEPA supply available to generic companies, as we believe to be experienced by Hikma and Dr. Reddy. We do not have direct visibility into the supply levels of any of the generic companies and we rely on our own experience together with information from third parties, which information may not be reliable. The generic companies could potentially find or develop sources of qualified VASCEPA supply that are not known to us and that are more efficient or less 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manufacturing and supply with respect to VASCEPA will suffer and consequentially VASCEPA prescriptions will likely decrease. In addition, we may need to litigate with such suppliers to protect our rights,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124" w:lineRule="exact"/>
        <w:rPr>
          <w:sz w:val="20"/>
          <w:szCs w:val="20"/>
          <w:color w:val="auto"/>
        </w:rPr>
      </w:pPr>
    </w:p>
    <w:p>
      <w:pPr>
        <w:ind w:right="200" w:firstLine="517"/>
        <w:spacing w:after="0" w:line="293" w:lineRule="auto"/>
        <w:tabs>
          <w:tab w:leader="none" w:pos="644"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116"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While we have been working internally and with partners to support efforts toward approvals and commercialization outside the United States in light of the REDUCE-IT results and the recent EC approval of VAZKEPA, we may be unsuccessful in expanding our global footprint. For example, we plan to launch VAZKEPA on our own in the most commercially significant markets in Europe. The commercial launch of a new pharmaceutical product is a complex and resource heavy undertaking for a company to manage, and we have no prior experience as a company operating a commercial-stage pharmaceutical business in Europe. Given the amount of time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2" w:name="page43"/>
    <w:bookmarkEnd w:id="42"/>
    <w:p>
      <w:pPr>
        <w:spacing w:after="0" w:line="293" w:lineRule="auto"/>
        <w:rPr>
          <w:sz w:val="20"/>
          <w:szCs w:val="20"/>
          <w:color w:val="auto"/>
        </w:rPr>
      </w:pPr>
      <w:r>
        <w:rPr>
          <w:rFonts w:ascii="Arial" w:cs="Arial" w:eastAsia="Arial" w:hAnsi="Arial"/>
          <w:sz w:val="18"/>
          <w:szCs w:val="18"/>
          <w:color w:val="auto"/>
        </w:rPr>
        <w:t>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104" w:lineRule="exact"/>
        <w:rPr>
          <w:sz w:val="20"/>
          <w:szCs w:val="20"/>
          <w:color w:val="auto"/>
        </w:rPr>
      </w:pPr>
    </w:p>
    <w:p>
      <w:pPr>
        <w:ind w:left="840" w:right="1540" w:firstLine="6"/>
        <w:spacing w:after="0" w:line="360" w:lineRule="auto"/>
        <w:rPr>
          <w:sz w:val="20"/>
          <w:szCs w:val="20"/>
          <w:color w:val="auto"/>
        </w:rPr>
      </w:pPr>
      <w:r>
        <w:rPr>
          <w:rFonts w:ascii="Arial" w:cs="Arial" w:eastAsia="Arial" w:hAnsi="Arial"/>
          <w:sz w:val="18"/>
          <w:szCs w:val="18"/>
          <w:color w:val="auto"/>
        </w:rPr>
        <w:t>the impact the expiration of regulatory exclusivities and entry into the market of additional generic versions of VASCEPA; our inability to attract and retain adequate numbers of effective sales and marketing personnel;</w:t>
      </w:r>
    </w:p>
    <w:p>
      <w:pPr>
        <w:ind w:left="840" w:right="40"/>
        <w:spacing w:after="0" w:line="405" w:lineRule="auto"/>
        <w:rPr>
          <w:sz w:val="20"/>
          <w:szCs w:val="20"/>
          <w:color w:val="auto"/>
        </w:rPr>
      </w:pPr>
      <w:r>
        <w:rPr>
          <w:rFonts w:ascii="Arial" w:cs="Arial" w:eastAsia="Arial" w:hAnsi="Arial"/>
          <w:sz w:val="16"/>
          <w:szCs w:val="16"/>
          <w:color w:val="auto"/>
        </w:rPr>
        <w:t>our inability to adequately train our sales and marketing personnel and our inability to adequately monitor compliance with these requirements; the inability of our new sales personnel, to obtain access to or persuade adequate numbers of physicians to prescribe VASCEPA;</w:t>
      </w:r>
    </w:p>
    <w:p>
      <w:pPr>
        <w:ind w:left="840" w:right="360"/>
        <w:spacing w:after="0" w:line="352" w:lineRule="auto"/>
        <w:rPr>
          <w:sz w:val="20"/>
          <w:szCs w:val="20"/>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ind w:left="840" w:right="160"/>
        <w:spacing w:after="0" w:line="352" w:lineRule="auto"/>
        <w:rPr>
          <w:sz w:val="20"/>
          <w:szCs w:val="20"/>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ind w:left="840" w:right="80"/>
        <w:spacing w:after="0" w:line="293" w:lineRule="auto"/>
        <w:rPr>
          <w:sz w:val="20"/>
          <w:szCs w:val="20"/>
          <w:color w:val="auto"/>
        </w:rPr>
      </w:pPr>
      <w:r>
        <w:rPr>
          <w:rFonts w:ascii="Arial" w:cs="Arial" w:eastAsia="Arial" w:hAnsi="Arial"/>
          <w:sz w:val="18"/>
          <w:szCs w:val="18"/>
          <w:color w:val="auto"/>
        </w:rPr>
        <w:t>if we have overestimated the addressable market or are unable to convince healthcare providers to prescribe, or if patients are unwilling to use, VASCEPA;</w:t>
      </w:r>
    </w:p>
    <w:p>
      <w:pPr>
        <w:spacing w:after="0" w:line="35" w:lineRule="exact"/>
        <w:rPr>
          <w:sz w:val="20"/>
          <w:szCs w:val="20"/>
          <w:color w:val="auto"/>
        </w:rPr>
      </w:pPr>
    </w:p>
    <w:p>
      <w:pPr>
        <w:ind w:left="840" w:right="320"/>
        <w:spacing w:after="0" w:line="293"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35" w:lineRule="exact"/>
        <w:rPr>
          <w:sz w:val="20"/>
          <w:szCs w:val="20"/>
          <w:color w:val="auto"/>
        </w:rPr>
      </w:pPr>
    </w:p>
    <w:p>
      <w:pPr>
        <w:ind w:left="840" w:right="740"/>
        <w:spacing w:after="0" w:line="405" w:lineRule="auto"/>
        <w:rPr>
          <w:sz w:val="20"/>
          <w:szCs w:val="20"/>
          <w:color w:val="auto"/>
        </w:rPr>
      </w:pPr>
      <w:r>
        <w:rPr>
          <w:rFonts w:ascii="Arial" w:cs="Arial" w:eastAsia="Arial" w:hAnsi="Arial"/>
          <w:sz w:val="16"/>
          <w:szCs w:val="16"/>
          <w:color w:val="auto"/>
        </w:rPr>
        <w:t>an inability by us or our partners to obtain regulatory and marketing approval or establish marketing channels in foreign jurisdictions; unforeseen costs and expenses associated with operating a new independent sales and marketing organization; and</w:t>
      </w:r>
    </w:p>
    <w:p>
      <w:pPr>
        <w:ind w:left="840" w:right="440"/>
        <w:spacing w:after="0" w:line="279" w:lineRule="auto"/>
        <w:rPr>
          <w:sz w:val="20"/>
          <w:szCs w:val="20"/>
          <w:color w:val="auto"/>
        </w:rPr>
      </w:pPr>
      <w:r>
        <w:rPr>
          <w:rFonts w:ascii="Arial" w:cs="Arial" w:eastAsia="Arial" w:hAnsi="Arial"/>
          <w:sz w:val="18"/>
          <w:szCs w:val="18"/>
          <w:color w:val="auto"/>
        </w:rPr>
        <w:t>the continued impact from COVID-19 on healthcare providers, patients and personnel which may vary considerably from jurisdiction to jurisdiction, as well as on local restrictions and practices, including the complexities of having to understand and navigate multiple sets of protocols and the accessibility and rates of vaccinations in various geographies.</w:t>
      </w:r>
    </w:p>
    <w:p>
      <w:pPr>
        <w:spacing w:after="0" w:line="4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16" w:lineRule="exact"/>
        <w:rPr>
          <w:sz w:val="20"/>
          <w:szCs w:val="20"/>
          <w:color w:val="auto"/>
        </w:rPr>
      </w:pPr>
    </w:p>
    <w:p>
      <w:pPr>
        <w:ind w:right="700" w:firstLine="517"/>
        <w:spacing w:after="0" w:line="293" w:lineRule="auto"/>
        <w:tabs>
          <w:tab w:leader="none" w:pos="644"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116"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Our ability to generate meaningful revenues of VASCEPA outside of the United States is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payers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138"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payers for drugs. With increasing budgetary constraints and differing views on or challenges in valuing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124"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The dynamics and developments discussed above serve to create pressure on the pricing and potential usage of our products and the industry. Given the diverse interests in play among payers,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43" w:name="page44"/>
    <w:bookmarkEnd w:id="43"/>
    <w:p>
      <w:pPr>
        <w:ind w:right="320"/>
        <w:spacing w:after="0" w:line="324" w:lineRule="auto"/>
        <w:rPr>
          <w:sz w:val="20"/>
          <w:szCs w:val="20"/>
          <w:color w:val="auto"/>
        </w:rPr>
      </w:pPr>
      <w:r>
        <w:rPr>
          <w:rFonts w:ascii="Arial" w:cs="Arial" w:eastAsia="Arial" w:hAnsi="Arial"/>
          <w:sz w:val="17"/>
          <w:szCs w:val="17"/>
          <w:color w:val="auto"/>
        </w:rPr>
        <w:t>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161" w:lineRule="exact"/>
        <w:rPr>
          <w:sz w:val="20"/>
          <w:szCs w:val="20"/>
          <w:color w:val="auto"/>
        </w:rPr>
      </w:pPr>
    </w:p>
    <w:p>
      <w:pPr>
        <w:ind w:left="660" w:hanging="143"/>
        <w:spacing w:after="0"/>
        <w:tabs>
          <w:tab w:leader="none" w:pos="66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Government and commercial payer actions outside the United States have affected and will continue to affect access to and sales of our</w:t>
      </w:r>
    </w:p>
    <w:p>
      <w:pPr>
        <w:spacing w:after="0" w:line="34"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products</w:t>
      </w:r>
    </w:p>
    <w:p>
      <w:pPr>
        <w:spacing w:after="0" w:line="15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payers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which are varied and complex, outside of the United States, which might hinder our effectiveness in establishing satisfactory pricing, coverage and reimbursement levels in a timely manner or at all.</w:t>
      </w:r>
    </w:p>
    <w:p>
      <w:pPr>
        <w:spacing w:after="0" w:line="18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130"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112" w:lineRule="exact"/>
        <w:rPr>
          <w:sz w:val="20"/>
          <w:szCs w:val="20"/>
          <w:color w:val="auto"/>
        </w:rPr>
      </w:pPr>
    </w:p>
    <w:p>
      <w:pPr>
        <w:ind w:right="40" w:firstLine="509"/>
        <w:spacing w:after="0" w:line="277" w:lineRule="auto"/>
        <w:rPr>
          <w:sz w:val="20"/>
          <w:szCs w:val="20"/>
          <w:color w:val="auto"/>
        </w:rPr>
      </w:pPr>
      <w:r>
        <w:rPr>
          <w:rFonts w:ascii="Arial" w:cs="Arial" w:eastAsia="Arial" w:hAnsi="Arial"/>
          <w:sz w:val="17"/>
          <w:szCs w:val="17"/>
          <w:color w:val="auto"/>
        </w:rPr>
        <w:t>In September 2018, we announced topline results from the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U.S. FDA-approved labeling.</w:t>
      </w:r>
    </w:p>
    <w:p>
      <w:pPr>
        <w:spacing w:after="0" w:line="13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29" w:lineRule="exact"/>
        <w:rPr>
          <w:sz w:val="20"/>
          <w:szCs w:val="20"/>
          <w:color w:val="auto"/>
        </w:rPr>
      </w:pPr>
    </w:p>
    <w:p>
      <w:pPr>
        <w:ind w:right="80" w:firstLine="509"/>
        <w:spacing w:after="0" w:line="319" w:lineRule="auto"/>
        <w:rPr>
          <w:sz w:val="20"/>
          <w:szCs w:val="20"/>
          <w:color w:val="auto"/>
        </w:rPr>
      </w:pPr>
      <w:r>
        <w:rPr>
          <w:rFonts w:ascii="Arial" w:cs="Arial" w:eastAsia="Arial" w:hAnsi="Arial"/>
          <w:sz w:val="16"/>
          <w:szCs w:val="16"/>
          <w:color w:val="auto"/>
        </w:rPr>
        <w:t>Despite U.S. FDA approval for this new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and outcome of pending patent litigation;</w:t>
      </w:r>
    </w:p>
    <w:p>
      <w:pPr>
        <w:spacing w:after="0" w:line="104" w:lineRule="exact"/>
        <w:rPr>
          <w:sz w:val="20"/>
          <w:szCs w:val="20"/>
          <w:color w:val="auto"/>
        </w:rPr>
      </w:pPr>
    </w:p>
    <w:p>
      <w:pPr>
        <w:ind w:left="5540" w:right="3720" w:hanging="4692"/>
        <w:spacing w:after="0" w:line="293" w:lineRule="auto"/>
        <w:rPr>
          <w:sz w:val="20"/>
          <w:szCs w:val="20"/>
          <w:color w:val="auto"/>
        </w:rPr>
      </w:pPr>
      <w:r>
        <w:rPr>
          <w:rFonts w:ascii="Arial" w:cs="Arial" w:eastAsia="Arial" w:hAnsi="Arial"/>
          <w:sz w:val="18"/>
          <w:szCs w:val="18"/>
          <w:color w:val="auto"/>
        </w:rPr>
        <w:t>the commercialization and pricing of any current or potential generic versions of VASCEPA;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4" w:name="page45"/>
    <w:bookmarkEnd w:id="44"/>
    <w:p>
      <w:pPr>
        <w:ind w:left="840" w:right="620"/>
        <w:spacing w:after="0" w:line="293" w:lineRule="auto"/>
        <w:rPr>
          <w:sz w:val="20"/>
          <w:szCs w:val="20"/>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peer review of different elements of REDUCE-IT results over time;</w:t>
      </w:r>
    </w:p>
    <w:p>
      <w:pPr>
        <w:spacing w:after="0" w:line="104" w:lineRule="exact"/>
        <w:rPr>
          <w:sz w:val="20"/>
          <w:szCs w:val="20"/>
          <w:color w:val="auto"/>
        </w:rPr>
      </w:pPr>
    </w:p>
    <w:p>
      <w:pPr>
        <w:ind w:left="840" w:right="3100"/>
        <w:spacing w:after="0" w:line="360" w:lineRule="auto"/>
        <w:rPr>
          <w:sz w:val="20"/>
          <w:szCs w:val="20"/>
          <w:color w:val="auto"/>
        </w:rPr>
      </w:pPr>
      <w:r>
        <w:rPr>
          <w:rFonts w:ascii="Arial" w:cs="Arial" w:eastAsia="Arial" w:hAnsi="Arial"/>
          <w:sz w:val="18"/>
          <w:szCs w:val="18"/>
          <w:color w:val="auto"/>
        </w:rPr>
        <w:t>continued review and analysis of the results of REDUCE-IT by regulatory authorities internationally; our ability to offer VASCEPA for sale at competitive prices;</w:t>
      </w:r>
    </w:p>
    <w:p>
      <w:pPr>
        <w:ind w:left="840"/>
        <w:spacing w:after="0"/>
        <w:rPr>
          <w:sz w:val="20"/>
          <w:szCs w:val="20"/>
          <w:color w:val="auto"/>
        </w:rPr>
      </w:pPr>
      <w:r>
        <w:rPr>
          <w:rFonts w:ascii="Arial" w:cs="Arial" w:eastAsia="Arial" w:hAnsi="Arial"/>
          <w:sz w:val="18"/>
          <w:szCs w:val="18"/>
          <w:color w:val="auto"/>
        </w:rPr>
        <w:t>convenience and ease of administration compared to alternative treatments;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4" w:lineRule="exact"/>
        <w:rPr>
          <w:sz w:val="20"/>
          <w:szCs w:val="20"/>
          <w:color w:val="auto"/>
        </w:rPr>
      </w:pPr>
    </w:p>
    <w:p>
      <w:pPr>
        <w:ind w:left="840" w:right="680"/>
        <w:spacing w:after="0" w:line="360" w:lineRule="auto"/>
        <w:rPr>
          <w:sz w:val="20"/>
          <w:szCs w:val="20"/>
          <w:color w:val="auto"/>
        </w:rPr>
      </w:pPr>
      <w:r>
        <w:rPr>
          <w:rFonts w:ascii="Arial" w:cs="Arial" w:eastAsia="Arial" w:hAnsi="Arial"/>
          <w:sz w:val="18"/>
          <w:szCs w:val="18"/>
          <w:color w:val="auto"/>
        </w:rPr>
        <w:t>the scope, effectiveness and strength of product education, marketing and distribution support, including our sales and marketing team; publicity concerning VASCEPA or competing products;</w:t>
      </w:r>
    </w:p>
    <w:p>
      <w:pPr>
        <w:ind w:left="840" w:right="260"/>
        <w:spacing w:after="0" w:line="293" w:lineRule="auto"/>
        <w:rPr>
          <w:sz w:val="20"/>
          <w:szCs w:val="20"/>
          <w:color w:val="auto"/>
        </w:rPr>
      </w:pPr>
      <w:r>
        <w:rPr>
          <w:rFonts w:ascii="Arial" w:cs="Arial" w:eastAsia="Arial" w:hAnsi="Arial"/>
          <w:sz w:val="18"/>
          <w:szCs w:val="18"/>
          <w:color w:val="auto"/>
        </w:rPr>
        <w:t>our ability to continually promote VASCEPA in the United States consistent with and outside of U.S. FDA-approved labeling and the related perception thereof;</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sufficient third-party coverage or reimbursement for VASCEPA and its prescribed uses, on-label and off-label;</w:t>
      </w:r>
    </w:p>
    <w:p>
      <w:pPr>
        <w:spacing w:after="0" w:line="104" w:lineRule="exact"/>
        <w:rPr>
          <w:sz w:val="20"/>
          <w:szCs w:val="20"/>
          <w:color w:val="auto"/>
        </w:rPr>
      </w:pPr>
    </w:p>
    <w:p>
      <w:pPr>
        <w:ind w:left="840" w:right="300"/>
        <w:spacing w:after="0" w:line="324" w:lineRule="auto"/>
        <w:rPr>
          <w:sz w:val="20"/>
          <w:szCs w:val="20"/>
          <w:color w:val="auto"/>
        </w:rPr>
      </w:pPr>
      <w:r>
        <w:rPr>
          <w:rFonts w:ascii="Arial" w:cs="Arial" w:eastAsia="Arial" w:hAnsi="Arial"/>
          <w:sz w:val="17"/>
          <w:szCs w:val="17"/>
          <w:color w:val="auto"/>
        </w:rPr>
        <w:t>natural disasters, including pandemics such as COVID-19 and political unrest that could inhibit our ability to promote VASCEPA regionally and can negatively affect product demand by creating obstacles for patients to seek treatment and fill prescriptions;</w:t>
      </w:r>
    </w:p>
    <w:p>
      <w:pPr>
        <w:spacing w:after="0" w:line="12" w:lineRule="exact"/>
        <w:rPr>
          <w:sz w:val="20"/>
          <w:szCs w:val="20"/>
          <w:color w:val="auto"/>
        </w:rPr>
      </w:pPr>
    </w:p>
    <w:p>
      <w:pPr>
        <w:ind w:left="840" w:right="640"/>
        <w:spacing w:after="0" w:line="293" w:lineRule="auto"/>
        <w:rPr>
          <w:sz w:val="20"/>
          <w:szCs w:val="20"/>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35" w:lineRule="exact"/>
        <w:rPr>
          <w:sz w:val="20"/>
          <w:szCs w:val="20"/>
          <w:color w:val="auto"/>
        </w:rPr>
      </w:pPr>
    </w:p>
    <w:p>
      <w:pPr>
        <w:ind w:left="840" w:right="480"/>
        <w:spacing w:after="0" w:line="293" w:lineRule="auto"/>
        <w:rPr>
          <w:sz w:val="20"/>
          <w:szCs w:val="20"/>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16"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by making reimbursement more difficult.</w:t>
      </w:r>
    </w:p>
    <w:p>
      <w:pPr>
        <w:spacing w:after="0" w:line="183"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b w:val="1"/>
          <w:bCs w:val="1"/>
          <w:i w:val="1"/>
          <w:iCs w:val="1"/>
          <w:color w:val="auto"/>
        </w:rPr>
        <w:t>The continued scale and scope of business interruptions caused by the COVID-19, pandemic are uncertain as the impact of the pandemic continues to cause negative effects on our business.</w:t>
      </w:r>
    </w:p>
    <w:p>
      <w:pPr>
        <w:spacing w:after="0" w:line="130"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The global spread of COVID-19, has created significant volatility, uncertainty and disruption in healthcare, social, supply and economic infrastructures. The extent to which the coronavirus pandemic impacts our business, operations and financial results will depend on numerous evolving factors that we may not be able to accurately predict or plan around, including:</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duration, volatility and scope of the pandemic and the efficacy of recovery efforts;</w:t>
      </w:r>
    </w:p>
    <w:p>
      <w:pPr>
        <w:spacing w:after="0" w:line="104" w:lineRule="exact"/>
        <w:rPr>
          <w:sz w:val="20"/>
          <w:szCs w:val="20"/>
          <w:color w:val="auto"/>
        </w:rPr>
      </w:pPr>
    </w:p>
    <w:p>
      <w:pPr>
        <w:ind w:left="840" w:right="1940"/>
        <w:spacing w:after="0" w:line="381" w:lineRule="auto"/>
        <w:rPr>
          <w:sz w:val="20"/>
          <w:szCs w:val="20"/>
          <w:color w:val="auto"/>
        </w:rPr>
      </w:pPr>
      <w:r>
        <w:rPr>
          <w:rFonts w:ascii="Arial" w:cs="Arial" w:eastAsia="Arial" w:hAnsi="Arial"/>
          <w:sz w:val="17"/>
          <w:szCs w:val="17"/>
          <w:color w:val="auto"/>
        </w:rPr>
        <w:t>governmental, business and individuals’ actions that have been and continue to be taken in response to the pandemic; the impact of the pandemic on economic and political activity and actions taken in response;</w:t>
      </w:r>
    </w:p>
    <w:p>
      <w:pPr>
        <w:ind w:left="840" w:right="40"/>
        <w:spacing w:after="0" w:line="352" w:lineRule="auto"/>
        <w:rPr>
          <w:sz w:val="20"/>
          <w:szCs w:val="20"/>
          <w:color w:val="auto"/>
        </w:rPr>
      </w:pPr>
      <w:r>
        <w:rPr>
          <w:rFonts w:ascii="Arial" w:cs="Arial" w:eastAsia="Arial" w:hAnsi="Arial"/>
          <w:sz w:val="16"/>
          <w:szCs w:val="16"/>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jc w:val="center"/>
        <w:ind w:left="360" w:right="800"/>
        <w:spacing w:after="0" w:line="293" w:lineRule="auto"/>
        <w:rPr>
          <w:sz w:val="20"/>
          <w:szCs w:val="20"/>
          <w:color w:val="auto"/>
        </w:rPr>
      </w:pPr>
      <w:r>
        <w:rPr>
          <w:rFonts w:ascii="Arial" w:cs="Arial" w:eastAsia="Arial" w:hAnsi="Arial"/>
          <w:sz w:val="18"/>
          <w:szCs w:val="18"/>
          <w:color w:val="auto"/>
        </w:rPr>
        <w:t>our ability to commercialize VASCEPA, including as a result of travel restrictions, social distancing and other containment measures;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840" w:right="820"/>
        <w:spacing w:after="0" w:line="293" w:lineRule="auto"/>
        <w:rPr>
          <w:sz w:val="20"/>
          <w:szCs w:val="20"/>
          <w:color w:val="auto"/>
        </w:rPr>
      </w:pPr>
      <w:r>
        <w:rPr>
          <w:rFonts w:ascii="Arial" w:cs="Arial" w:eastAsia="Arial" w:hAnsi="Arial"/>
          <w:sz w:val="18"/>
          <w:szCs w:val="18"/>
          <w:color w:val="auto"/>
        </w:rPr>
        <w:t>the enrolment or monitoring of patients in clinical trials, particularly at clinical trial sites located in highly impacted jurisdictions and jurisdictions where vaccination rates are low;</w:t>
      </w:r>
    </w:p>
    <w:p>
      <w:pPr>
        <w:spacing w:after="0" w:line="35" w:lineRule="exact"/>
        <w:rPr>
          <w:sz w:val="20"/>
          <w:szCs w:val="20"/>
          <w:color w:val="auto"/>
        </w:rPr>
      </w:pPr>
    </w:p>
    <w:p>
      <w:pPr>
        <w:ind w:left="840" w:right="600"/>
        <w:spacing w:after="0" w:line="293" w:lineRule="auto"/>
        <w:rPr>
          <w:sz w:val="20"/>
          <w:szCs w:val="20"/>
          <w:color w:val="auto"/>
        </w:rPr>
      </w:pPr>
      <w:r>
        <w:rPr>
          <w:rFonts w:ascii="Arial" w:cs="Arial" w:eastAsia="Arial" w:hAnsi="Arial"/>
          <w:sz w:val="18"/>
          <w:szCs w:val="18"/>
          <w:color w:val="auto"/>
        </w:rPr>
        <w:t>the ability to access, secure and otherwise obtain and deliver sufficient and timely commercial or clinical supplies of VASCEPA to meet demand if the production capabilities of suppliers is disrupted;</w:t>
      </w:r>
    </w:p>
    <w:p>
      <w:pPr>
        <w:spacing w:after="0" w:line="35" w:lineRule="exact"/>
        <w:rPr>
          <w:sz w:val="20"/>
          <w:szCs w:val="20"/>
          <w:color w:val="auto"/>
        </w:rPr>
      </w:pPr>
    </w:p>
    <w:p>
      <w:pPr>
        <w:ind w:left="840" w:right="440"/>
        <w:spacing w:after="0" w:line="293" w:lineRule="auto"/>
        <w:rPr>
          <w:sz w:val="20"/>
          <w:szCs w:val="20"/>
          <w:color w:val="auto"/>
        </w:rPr>
      </w:pPr>
      <w:r>
        <w:rPr>
          <w:rFonts w:ascii="Arial" w:cs="Arial" w:eastAsia="Arial" w:hAnsi="Arial"/>
          <w:sz w:val="18"/>
          <w:szCs w:val="18"/>
          <w:color w:val="auto"/>
        </w:rPr>
        <w:t>disruptions in regulatory oversight and actions if regulators and industry professionals are expending significant and unexpected resources addressing COVID-19;</w:t>
      </w:r>
    </w:p>
    <w:p>
      <w:pPr>
        <w:spacing w:after="0" w:line="35"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becomes overly strained;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ability of regulators to complete inspections and reviews of operations and applications, respectively, in a timely manner; and</w:t>
      </w:r>
    </w:p>
    <w:p>
      <w:pPr>
        <w:spacing w:after="0" w:line="104" w:lineRule="exact"/>
        <w:rPr>
          <w:sz w:val="20"/>
          <w:szCs w:val="20"/>
          <w:color w:val="auto"/>
        </w:rPr>
      </w:pPr>
    </w:p>
    <w:p>
      <w:pPr>
        <w:ind w:left="840" w:right="120"/>
        <w:spacing w:after="0" w:line="293" w:lineRule="auto"/>
        <w:rPr>
          <w:sz w:val="20"/>
          <w:szCs w:val="20"/>
          <w:color w:val="auto"/>
        </w:rPr>
      </w:pPr>
      <w:r>
        <w:rPr>
          <w:rFonts w:ascii="Arial" w:cs="Arial" w:eastAsia="Arial" w:hAnsi="Arial"/>
          <w:sz w:val="18"/>
          <w:szCs w:val="18"/>
          <w:color w:val="auto"/>
        </w:rPr>
        <w:t>any further or prolonged closures of our and our partners’ offices, operations and facilities impeding our ability to work together as a company and with our business and healthcare partners.</w:t>
      </w:r>
    </w:p>
    <w:p>
      <w:pPr>
        <w:spacing w:after="0" w:line="116"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To comply with travel restrictions, social distancing, quarantines and other containment measures implemented in various geographies, in March 2020, we suspended field based face-to-face interactions. We resumed on a limited basis field-based, face-to-face interactions with healthcare providers beginning in June 2020. During the late part of the summer of 2020, substantially all of our field force personnel had the ability to resume face-to-face customer interactions, in a manner consistent with state and local guidance. In the fourth quarter of 2020 and in early 2021, the impact of COVID-19 worsened in some parts of the United States, with some healthcare professionals again limiting access to face-to-face interactions. Additionally although we have started to see signs of recovery in light of the availability of vaccines during the second quarter, the number of patient visits to doctors’ offices and patients undergoing blood testing remains down considerably from pre-COVID-19 levels. These circumstances vary geographically and vary over time, with continued risk of resurgences in COVID-19 cases, and reinstitution of protocols, in various geographies and as the efficacy of the vaccine on various strains remains uncertain. We hope to be able to maintain our substantial resumption of our business efforts, however, given the dynamics related to COVID-19, there can be no assurance that this will be the case. While we have supplemented these face-to-face interactions with virtual outreach, these efforts may not be as impactful as traditional, in-person interactions. Specifically, access to healthcare professionals through the internet or other channels, may not be as productive as in-person interactions.</w:t>
      </w:r>
    </w:p>
    <w:p>
      <w:pPr>
        <w:spacing w:after="0" w:line="13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including limiting the ability of new suppliers to be inspected, which would have a material and adverse effect on our business.</w:t>
      </w:r>
    </w:p>
    <w:p>
      <w:pPr>
        <w:spacing w:after="0" w:line="102"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including plans to hire additional employees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social distancing considerations may reduce the frequency at which at-risk patients seek non-urgent preventative medical care.</w:t>
      </w:r>
    </w:p>
    <w:p>
      <w:pPr>
        <w:spacing w:after="0" w:line="127" w:lineRule="exact"/>
        <w:rPr>
          <w:sz w:val="20"/>
          <w:szCs w:val="20"/>
          <w:color w:val="auto"/>
        </w:rPr>
      </w:pPr>
    </w:p>
    <w:p>
      <w:pPr>
        <w:jc w:val="both"/>
        <w:ind w:right="140" w:firstLine="509"/>
        <w:spacing w:after="0" w:line="359" w:lineRule="auto"/>
        <w:rPr>
          <w:sz w:val="20"/>
          <w:szCs w:val="20"/>
          <w:color w:val="auto"/>
        </w:rPr>
      </w:pPr>
      <w:r>
        <w:rPr>
          <w:rFonts w:ascii="Arial" w:cs="Arial" w:eastAsia="Arial" w:hAnsi="Arial"/>
          <w:sz w:val="15"/>
          <w:szCs w:val="15"/>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76"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09" w:lineRule="exact"/>
        <w:rPr>
          <w:sz w:val="20"/>
          <w:szCs w:val="20"/>
          <w:color w:val="auto"/>
        </w:rPr>
      </w:pPr>
    </w:p>
    <w:p>
      <w:pPr>
        <w:ind w:right="280" w:firstLine="509"/>
        <w:spacing w:after="0" w:line="266" w:lineRule="auto"/>
        <w:rPr>
          <w:sz w:val="20"/>
          <w:szCs w:val="20"/>
          <w:color w:val="auto"/>
        </w:rPr>
      </w:pPr>
      <w:r>
        <w:rPr>
          <w:rFonts w:ascii="Arial" w:cs="Arial" w:eastAsia="Arial" w:hAnsi="Arial"/>
          <w:sz w:val="18"/>
          <w:szCs w:val="18"/>
          <w:color w:val="auto"/>
        </w:rPr>
        <w:t>In addition, the same set of data can sometimes be interpreted to reach different conclusions. This was the case when Health Canada approved an indication based on REDUCE-IT data that was different in certain respects than that approved by U.S. FDA and by the EC in Europe. It is possible the scope of subsequent regulatory approvals, if any, could likewise differ based on the same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140"/>
        <w:spacing w:after="0" w:line="293" w:lineRule="auto"/>
        <w:rPr>
          <w:sz w:val="20"/>
          <w:szCs w:val="20"/>
          <w:color w:val="auto"/>
        </w:rPr>
      </w:pPr>
      <w:r>
        <w:rPr>
          <w:rFonts w:ascii="Arial" w:cs="Arial" w:eastAsia="Arial" w:hAnsi="Arial"/>
          <w:sz w:val="18"/>
          <w:szCs w:val="18"/>
          <w:color w:val="auto"/>
        </w:rPr>
        <w:t>Conflicting interpretations of data, or new data, could impact public and medical community perception of the totality of the efficacy and safety data from REDUCE-IT.</w:t>
      </w:r>
    </w:p>
    <w:p>
      <w:pPr>
        <w:spacing w:after="0" w:line="116" w:lineRule="exact"/>
        <w:rPr>
          <w:sz w:val="20"/>
          <w:szCs w:val="20"/>
          <w:color w:val="auto"/>
        </w:rPr>
      </w:pPr>
    </w:p>
    <w:p>
      <w:pPr>
        <w:ind w:right="340" w:firstLine="509"/>
        <w:spacing w:after="0" w:line="352" w:lineRule="auto"/>
        <w:rPr>
          <w:sz w:val="20"/>
          <w:szCs w:val="20"/>
          <w:color w:val="auto"/>
        </w:rPr>
      </w:pPr>
      <w:r>
        <w:rPr>
          <w:rFonts w:ascii="Arial" w:cs="Arial" w:eastAsia="Arial" w:hAnsi="Arial"/>
          <w:sz w:val="16"/>
          <w:szCs w:val="16"/>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ind w:left="840" w:right="540"/>
        <w:spacing w:after="0" w:line="293" w:lineRule="auto"/>
        <w:rPr>
          <w:sz w:val="20"/>
          <w:szCs w:val="20"/>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35" w:lineRule="exact"/>
        <w:rPr>
          <w:sz w:val="20"/>
          <w:szCs w:val="20"/>
          <w:color w:val="auto"/>
        </w:rPr>
      </w:pPr>
    </w:p>
    <w:p>
      <w:pPr>
        <w:ind w:left="840" w:right="2280"/>
        <w:spacing w:after="0" w:line="360" w:lineRule="auto"/>
        <w:rPr>
          <w:sz w:val="20"/>
          <w:szCs w:val="20"/>
          <w:color w:val="auto"/>
        </w:rPr>
      </w:pPr>
      <w:r>
        <w:rPr>
          <w:rFonts w:ascii="Arial" w:cs="Arial" w:eastAsia="Arial" w:hAnsi="Arial"/>
          <w:sz w:val="18"/>
          <w:szCs w:val="18"/>
          <w:color w:val="auto"/>
        </w:rPr>
        <w:t>consideration of which components of the composite or secondary endpoints have the most clinical significance; the consistency of the primary and secondary outcomes;</w:t>
      </w:r>
    </w:p>
    <w:p>
      <w:pPr>
        <w:ind w:left="840"/>
        <w:spacing w:after="0"/>
        <w:rPr>
          <w:sz w:val="20"/>
          <w:szCs w:val="20"/>
          <w:color w:val="auto"/>
        </w:rPr>
      </w:pPr>
      <w:r>
        <w:rPr>
          <w:rFonts w:ascii="Arial" w:cs="Arial" w:eastAsia="Arial" w:hAnsi="Arial"/>
          <w:sz w:val="18"/>
          <w:szCs w:val="18"/>
          <w:color w:val="auto"/>
        </w:rPr>
        <w:t>the consistency of findings across cohorts and important subgroups;</w:t>
      </w:r>
    </w:p>
    <w:p>
      <w:pPr>
        <w:spacing w:after="0" w:line="104"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safety considerations and risk/benefit considerations (such as related to adverse events such as bleeding and atrial fibrillation generally and in different sub-populations);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consideration of REDUCE-IT results in the context of other 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consideration of the cumulative effect of VASCEPA in studied patients; and</w:t>
      </w:r>
    </w:p>
    <w:p>
      <w:pPr>
        <w:spacing w:after="0" w:line="104" w:lineRule="exact"/>
        <w:rPr>
          <w:sz w:val="20"/>
          <w:szCs w:val="20"/>
          <w:color w:val="auto"/>
        </w:rPr>
      </w:pPr>
    </w:p>
    <w:p>
      <w:pPr>
        <w:ind w:left="840" w:right="300"/>
        <w:spacing w:after="0" w:line="293" w:lineRule="auto"/>
        <w:rPr>
          <w:sz w:val="20"/>
          <w:szCs w:val="20"/>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116"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97" w:lineRule="exact"/>
        <w:rPr>
          <w:sz w:val="20"/>
          <w:szCs w:val="20"/>
          <w:color w:val="auto"/>
        </w:rPr>
      </w:pPr>
    </w:p>
    <w:p>
      <w:pPr>
        <w:ind w:right="100" w:firstLine="509"/>
        <w:spacing w:after="0" w:line="359"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7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116"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though results could be delayed as a result of COVID-19 impacts.</w:t>
      </w:r>
    </w:p>
    <w:p>
      <w:pPr>
        <w:spacing w:after="0" w:line="12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137"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initiated study in Argentina called PREPARE-IT-1 is expected to be presented by the lead trial investigator at the European Society of Cardiology on August 29, 2021. Results from the other investigational studies are expected over the next year.</w:t>
      </w:r>
    </w:p>
    <w:p>
      <w:pPr>
        <w:spacing w:after="0" w:line="102"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7" w:name="page48"/>
    <w:bookmarkEnd w:id="47"/>
    <w:p>
      <w:pPr>
        <w:ind w:left="520"/>
        <w:spacing w:after="0"/>
        <w:rPr>
          <w:sz w:val="20"/>
          <w:szCs w:val="20"/>
          <w:color w:val="auto"/>
        </w:rPr>
      </w:pPr>
      <w:r>
        <w:rPr>
          <w:rFonts w:ascii="Arial" w:cs="Arial" w:eastAsia="Arial" w:hAnsi="Arial"/>
          <w:sz w:val="17"/>
          <w:szCs w:val="17"/>
          <w:b w:val="1"/>
          <w:bCs w:val="1"/>
          <w:i w:val="1"/>
          <w:iCs w:val="1"/>
          <w:color w:val="auto"/>
        </w:rPr>
        <w:t>Our current and planned commercialization efforts may not be successful in increasing sales of VASCEPA in the United States.</w:t>
      </w:r>
    </w:p>
    <w:p>
      <w:pPr>
        <w:spacing w:after="0" w:line="196"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(≥500mg/dL) triglyceride levels, the MARINE patient population. There are approximately five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early 2021, the impact of COVID-19 worsened in much of the United States, with some physicians again limiting access to face-to-face interactions with our field force personnel. Thus, despite the size of our sales team, it is not large enough to call upon all physicians and we may not have sufficient sales personnel and resources to maximize the sales potential of VASCEPA.</w:t>
      </w:r>
    </w:p>
    <w:p>
      <w:pPr>
        <w:spacing w:after="0" w:line="11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If we are not successful in maintaining a sales force that is rightsized for our efforts to market and sell VASCEPA in the United States,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3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 xml:space="preserve">Although substantially all of our sales force personnel have the ability to resume face-to-face customer interactions in a manner consistent with state and local guidance, given the dynamics related to COVID-19, there can be no assurance that/as to when we will be able to substantially resume and sustain our business efforts. While we have supplemented these face-to-face interactions with virtual outreach, these efforts may not be as successful as traditional, in-person interactions. Specifically, access to healthcare professionals through digital or other channels, may not be as productive as in-person interactions. In the United States, in July 2020 we launched our first ever direct-to-consumer promotional campaign regarding VASCEPA demonstrating results in lowering cardiovascular risk in patients with persistent cardiovascular risk in high risk patients. In September 2020, we launched a new, nationwide television advertisement campaign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as we determined that the cost was not sufficiently justified in light of the COVID-19 pandemic on patient visits to doctors. We resumed a limited direct-to-consumer campaign in January 2021, including television-based promotion, digital and social media promotion to continue to grow consumer awareness of VASCEPA. In June 2021, we launched an educational campaign, </w:t>
      </w:r>
      <w:r>
        <w:rPr>
          <w:rFonts w:ascii="Arial" w:cs="Arial" w:eastAsia="Arial" w:hAnsi="Arial"/>
          <w:sz w:val="16"/>
          <w:szCs w:val="16"/>
          <w:i w:val="1"/>
          <w:iCs w:val="1"/>
          <w:color w:val="auto"/>
        </w:rPr>
        <w:t>It's Clear to Me Now</w:t>
      </w:r>
      <w:r>
        <w:rPr>
          <w:rFonts w:ascii="Arial" w:cs="Arial" w:eastAsia="Arial" w:hAnsi="Arial"/>
          <w:sz w:val="16"/>
          <w:szCs w:val="16"/>
          <w:color w:val="auto"/>
        </w:rPr>
        <w:t>, to help physicians and patients learn more about the differentiation between VASCEPA and fenofibrates for CV risk reduction. There can be no assurance that such promotion will have the intended positive increase in patients asking their healthcare providers regarding VASCEPA or that prescription rates for VASCEPA will increase in the near future or at all from such promotion. Data on increased product usage from similar promotion of other products suggests that the impact of television-based promotion can be positive and sustained but is rarely immediate in its effect. After assessing the scope, timing and pricing of generic competition, we may also decide to contract our VASCEPA promotional efforts.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Our promotion and supply of VASCEPA is subject to regulatory scrutiny and associated risk.</w:t>
      </w:r>
    </w:p>
    <w:p>
      <w:pPr>
        <w:spacing w:after="0" w:line="185" w:lineRule="exact"/>
        <w:rPr>
          <w:sz w:val="20"/>
          <w:szCs w:val="20"/>
          <w:color w:val="auto"/>
        </w:rPr>
      </w:pPr>
    </w:p>
    <w:p>
      <w:pPr>
        <w:ind w:right="240" w:firstLine="509"/>
        <w:spacing w:after="0" w:line="314"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106"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 xml:space="preserve">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 and was thus not covered by then U.S. FDA-approved labeling for the drug. Promotion of an off-label use has generally been considered by the U.S. FDA to be illegal under the FDCA. The lawsuit,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Food &amp; Drug Administration, et al.</w:t>
      </w:r>
      <w:r>
        <w:rPr>
          <w:rFonts w:ascii="Arial" w:cs="Arial" w:eastAsia="Arial" w:hAnsi="Arial"/>
          <w:sz w:val="17"/>
          <w:szCs w:val="17"/>
          <w:color w:val="auto"/>
        </w:rPr>
        <w:t>, 119 F. Supp. 3d 196 (S.D.N.Y. 2015), was filed in the United States District Court for the Southern District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8" w:name="page49"/>
    <w:bookmarkEnd w:id="48"/>
    <w:p>
      <w:pPr>
        <w:spacing w:after="0" w:line="296" w:lineRule="auto"/>
        <w:rPr>
          <w:sz w:val="20"/>
          <w:szCs w:val="20"/>
          <w:color w:val="auto"/>
        </w:rPr>
      </w:pPr>
      <w:r>
        <w:rPr>
          <w:rFonts w:ascii="Arial" w:cs="Arial" w:eastAsia="Arial" w:hAnsi="Arial"/>
          <w:sz w:val="17"/>
          <w:szCs w:val="17"/>
          <w:color w:val="auto"/>
        </w:rPr>
        <w:t>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116"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24"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06"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2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124" w:lineRule="exact"/>
        <w:rPr>
          <w:sz w:val="20"/>
          <w:szCs w:val="20"/>
          <w:color w:val="auto"/>
        </w:rPr>
      </w:pPr>
    </w:p>
    <w:p>
      <w:pPr>
        <w:ind w:right="360" w:firstLine="509"/>
        <w:spacing w:after="0" w:line="314"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7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may have substantially greater financial, technical and human resources than we do and may be better equipped to develop, manufacture and market products. These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9" w:name="page50"/>
    <w:bookmarkEnd w:id="49"/>
    <w:p>
      <w:pPr>
        <w:jc w:val="both"/>
        <w:ind w:right="140"/>
        <w:spacing w:after="0" w:line="279" w:lineRule="auto"/>
        <w:rPr>
          <w:sz w:val="20"/>
          <w:szCs w:val="20"/>
          <w:color w:val="auto"/>
        </w:rPr>
      </w:pPr>
      <w:r>
        <w:rPr>
          <w:rFonts w:ascii="Arial" w:cs="Arial" w:eastAsia="Arial" w:hAnsi="Arial"/>
          <w:sz w:val="18"/>
          <w:szCs w:val="18"/>
          <w:color w:val="auto"/>
        </w:rPr>
        <w:t>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29"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Our competitors both in the United States and abroad include large, well-established pharmaceutical and generic companies, specialty and generic pharmaceutical sales and marketing companies, and specialized cardiovascular treatment companies. With a generic version of VASCEPA launched by Hikma in November 2020 and by Dr. Reddy in June 2021 and with further generic competition anticipated, it may not be viable for us to invest in market education to grow the United States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97"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GlaxoSmithKline plc currently sells Lovaza</w:t>
      </w:r>
      <w:r>
        <w:rPr>
          <w:rFonts w:ascii="Arial" w:cs="Arial" w:eastAsia="Arial" w:hAnsi="Arial"/>
          <w:sz w:val="24"/>
          <w:szCs w:val="24"/>
          <w:color w:val="auto"/>
          <w:vertAlign w:val="superscript"/>
        </w:rPr>
        <w:t>®</w:t>
      </w:r>
      <w:r>
        <w:rPr>
          <w:rFonts w:ascii="Arial" w:cs="Arial" w:eastAsia="Arial" w:hAnsi="Arial"/>
          <w:sz w:val="18"/>
          <w:szCs w:val="18"/>
          <w:color w:val="auto"/>
        </w:rPr>
        <w:t>, a prescription-only omega-3 fatty acid indicated for patients with severe hypertriglyceridemia, which was approved by U.S.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Trilipix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severe hypertriglyceridemia and Niaspan</w:t>
      </w:r>
      <w:r>
        <w:rPr>
          <w:rFonts w:ascii="Arial" w:cs="Arial" w:eastAsia="Arial" w:hAnsi="Arial"/>
          <w:sz w:val="24"/>
          <w:szCs w:val="24"/>
          <w:color w:val="auto"/>
          <w:vertAlign w:val="superscript"/>
        </w:rPr>
        <w:t>®</w:t>
      </w:r>
      <w:r>
        <w:rPr>
          <w:rFonts w:ascii="Arial" w:cs="Arial" w:eastAsia="Arial" w:hAnsi="Arial"/>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4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In addition, in May 2014, Epanova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(omega-3-carboxylic acids) capsules, a free fatty acid form of omega-3 (comprised of 55% EPA and 20% DHA), was approved by the U.S. FDA for patients with severe hypertriglyceridemia and is currently commercialized by AstraZeneca Pharmaceuticals LP, or AstraZeneca. Also, in April 2014, Omtryg, another omega-3-acid fatty acid composition developed by Trygg Pharma AS, received U.S.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37"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AstraZeneca conducted a long-term outcomes study to assess Statin Residual Risk Reduction With EpaNova in HiGh Cardiovascular Risk PatienTs With Hypertriglyceridemia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American Heart Association’s, or the AHA's, Scientific Sessions in November 2020, confirming that Epanova failed to meet the primary endpoint of CV risk reduction.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11"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During 2018, two outcomes studies, the VITamin D and OmegA-3 TriaL (VITAL) and A Study of Cardiovascular Events iN Diabetes (ASCEND) trial were completed of omega-3 mixtures which both failed to achieve their primary endpoints of cardiovascular risk reduction and two meta-analyses were published showing that omega-3 mixtures of both EPA and DHA are not effective in lowering cardiovascular risk. Results of these failed outcomes studies and analysis, while not done with VASCEPA, may negatively affect sales of VASCEPA. For example,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 and its results were announced immediately before the presentation of REDUCE-IT results at the 2018 Scientific Sessions of the AHA on November 10, 2018, which may have caused concerns about the effectiveness of omega-3 mixtures generally, including VASCEPA.</w:t>
      </w:r>
    </w:p>
    <w:p>
      <w:pPr>
        <w:spacing w:after="0" w:line="109" w:lineRule="exact"/>
        <w:rPr>
          <w:sz w:val="20"/>
          <w:szCs w:val="20"/>
          <w:color w:val="auto"/>
        </w:rPr>
      </w:pPr>
    </w:p>
    <w:p>
      <w:pPr>
        <w:ind w:right="340" w:firstLine="509"/>
        <w:spacing w:after="0" w:line="275" w:lineRule="auto"/>
        <w:rPr>
          <w:sz w:val="20"/>
          <w:szCs w:val="20"/>
          <w:color w:val="auto"/>
        </w:rPr>
      </w:pPr>
      <w:r>
        <w:rPr>
          <w:rFonts w:ascii="Arial" w:cs="Arial" w:eastAsia="Arial" w:hAnsi="Arial"/>
          <w:sz w:val="18"/>
          <w:szCs w:val="18"/>
          <w:color w:val="auto"/>
        </w:rPr>
        <w:t>Likewise, in 2018, results from the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131" w:lineRule="exact"/>
        <w:rPr>
          <w:sz w:val="20"/>
          <w:szCs w:val="20"/>
          <w:color w:val="auto"/>
        </w:rPr>
      </w:pPr>
    </w:p>
    <w:p>
      <w:pPr>
        <w:ind w:right="240" w:firstLine="509"/>
        <w:spacing w:after="0" w:line="266" w:lineRule="auto"/>
        <w:rPr>
          <w:sz w:val="20"/>
          <w:szCs w:val="20"/>
          <w:color w:val="auto"/>
        </w:rPr>
      </w:pPr>
      <w:r>
        <w:rPr>
          <w:rFonts w:ascii="Arial" w:cs="Arial" w:eastAsia="Arial" w:hAnsi="Arial"/>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(ages 70-82) with recent myocardial infarction. Patients received 1.8 g omega-3 fatty acids (930 mg EPA and 660 mg DHA) or placebo (corn oil) daily added to standard of care. Results presented in November 2020 at the American Heart Association’s Scientific Sessions showed no significant differences in cardiovascular events between the treatment groups for the composite primary endpoint (non-fatal MI,</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ind w:right="160"/>
        <w:spacing w:after="0" w:line="293" w:lineRule="auto"/>
        <w:rPr>
          <w:sz w:val="20"/>
          <w:szCs w:val="20"/>
          <w:color w:val="auto"/>
        </w:rPr>
      </w:pPr>
      <w:r>
        <w:rPr>
          <w:rFonts w:ascii="Arial" w:cs="Arial" w:eastAsia="Arial" w:hAnsi="Arial"/>
          <w:sz w:val="18"/>
          <w:szCs w:val="18"/>
          <w:color w:val="auto"/>
        </w:rPr>
        <w:t>unscheduled revascularization, stroke, hospitalization for heart failure or all-cause mortality), nor for the individual components of this endpoint after two years.</w:t>
      </w:r>
    </w:p>
    <w:p>
      <w:pPr>
        <w:spacing w:after="0" w:line="116"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8"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37"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or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vs. VASCEPA (46% relative percent increase in the change from baseline EPA level vs VASCEPA). Matinas stated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hypertriglyceridemia, instead focusing on the broader cardiovascular risk reduction indication.</w:t>
      </w:r>
    </w:p>
    <w:p>
      <w:pPr>
        <w:spacing w:after="0" w:line="128" w:lineRule="exact"/>
        <w:rPr>
          <w:sz w:val="20"/>
          <w:szCs w:val="20"/>
          <w:color w:val="auto"/>
        </w:rPr>
      </w:pPr>
    </w:p>
    <w:p>
      <w:pPr>
        <w:ind w:right="220" w:firstLine="509"/>
        <w:spacing w:after="0" w:line="287" w:lineRule="auto"/>
        <w:rPr>
          <w:sz w:val="20"/>
          <w:szCs w:val="20"/>
          <w:color w:val="auto"/>
        </w:rPr>
      </w:pPr>
      <w:r>
        <w:rPr>
          <w:rFonts w:ascii="Arial" w:cs="Arial" w:eastAsia="Arial" w:hAnsi="Arial"/>
          <w:sz w:val="17"/>
          <w:szCs w:val="17"/>
          <w:color w:val="auto"/>
        </w:rPr>
        <w:t>In June 2018, NeuroBo Pharmaceuticals, Inc. (then-named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a partial clinical hold. In March 2020 NeuroBo announced the completion of the requested studies, and in May 2020 the company announced that it received written communication from the U.S.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 emia (HoFH), heterozygous familial hypercholesterolemia (HeFH) and non-familial hypercholesterolemia in ASCVD patients are planned.</w:t>
      </w:r>
    </w:p>
    <w:p>
      <w:pPr>
        <w:spacing w:after="0" w:line="124" w:lineRule="exact"/>
        <w:rPr>
          <w:sz w:val="20"/>
          <w:szCs w:val="20"/>
          <w:color w:val="auto"/>
        </w:rPr>
      </w:pPr>
    </w:p>
    <w:p>
      <w:pPr>
        <w:ind w:right="220" w:firstLine="509"/>
        <w:spacing w:after="0" w:line="299" w:lineRule="auto"/>
        <w:rPr>
          <w:sz w:val="20"/>
          <w:szCs w:val="20"/>
          <w:color w:val="auto"/>
        </w:rPr>
      </w:pPr>
      <w:r>
        <w:rPr>
          <w:rFonts w:ascii="Arial" w:cs="Arial" w:eastAsia="Arial" w:hAnsi="Arial"/>
          <w:sz w:val="16"/>
          <w:szCs w:val="16"/>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Phase 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1" w:name="page52"/>
    <w:bookmarkEnd w:id="51"/>
    <w:p>
      <w:pPr>
        <w:ind w:right="540"/>
        <w:spacing w:after="0" w:line="359" w:lineRule="auto"/>
        <w:rPr>
          <w:sz w:val="20"/>
          <w:szCs w:val="20"/>
          <w:color w:val="auto"/>
        </w:rPr>
      </w:pPr>
      <w:r>
        <w:rPr>
          <w:rFonts w:ascii="Arial" w:cs="Arial" w:eastAsia="Arial" w:hAnsi="Arial"/>
          <w:sz w:val="16"/>
          <w:szCs w:val="16"/>
          <w:color w:val="auto"/>
        </w:rPr>
        <w:t>Phase IIb study of epeleuton in patients with high triglycerides and type 2 diabetes to assess the safety and efficacy of orally administered epeleuton capsules vs placebo in the treatment of hypertriglyceridemia and type 2 diabetes. Results are expected in the fourth quarter of 2021.</w:t>
      </w:r>
    </w:p>
    <w:p>
      <w:pPr>
        <w:spacing w:after="0" w:line="7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would likely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extending beyond triglyceride reduction. If the U.S. FDA were to take a different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2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in the United States. Still,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 A similar competitive dynamic for VASCEPA exists in the jurisdictions outside the United States, including Europe, Canada and the greater China region.</w:t>
      </w:r>
    </w:p>
    <w:p>
      <w:pPr>
        <w:spacing w:after="0" w:line="124"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In March 2021, we announced that the EC has approved the marketing authorization application for VAZKEPA to reduce the risk of cardiovascular events in certain high-risk, statin treated adult patients. With the approval by the EC of VAZKEPA, there is currently no other drug that is approved for cardiovascular risk reduction in Europe in the at-risk patient population studied in REDUCE-IT. In addition, there is currently no other direct competition for Canada and the Middle East. However,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122" w:lineRule="exact"/>
        <w:rPr>
          <w:sz w:val="20"/>
          <w:szCs w:val="20"/>
          <w:color w:val="auto"/>
        </w:rPr>
      </w:pPr>
    </w:p>
    <w:p>
      <w:pPr>
        <w:ind w:right="20" w:firstLine="509"/>
        <w:spacing w:after="0" w:line="251"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36"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116" w:lineRule="exact"/>
        <w:rPr>
          <w:sz w:val="20"/>
          <w:szCs w:val="20"/>
          <w:color w:val="auto"/>
        </w:rPr>
      </w:pPr>
    </w:p>
    <w:p>
      <w:pPr>
        <w:jc w:val="both"/>
        <w:ind w:right="20" w:firstLine="509"/>
        <w:spacing w:after="0" w:line="290"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0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52" w:name="page53"/>
    <w:bookmarkEnd w:id="52"/>
    <w:p>
      <w:pPr>
        <w:ind w:right="40" w:firstLine="509"/>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65" w:lineRule="exact"/>
        <w:rPr>
          <w:sz w:val="20"/>
          <w:szCs w:val="20"/>
          <w:color w:val="auto"/>
        </w:rPr>
      </w:pPr>
    </w:p>
    <w:p>
      <w:pPr>
        <w:ind w:left="960" w:hanging="44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04" w:lineRule="exact"/>
        <w:rPr>
          <w:sz w:val="20"/>
          <w:szCs w:val="20"/>
          <w:color w:val="auto"/>
        </w:rPr>
      </w:pPr>
    </w:p>
    <w:p>
      <w:pPr>
        <w:ind w:left="960" w:hanging="44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0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04" w:lineRule="exact"/>
        <w:rPr>
          <w:sz w:val="20"/>
          <w:szCs w:val="20"/>
          <w:color w:val="auto"/>
        </w:rPr>
      </w:pPr>
    </w:p>
    <w:p>
      <w:pPr>
        <w:ind w:left="960" w:right="360" w:hanging="439"/>
        <w:spacing w:after="0" w:line="293" w:lineRule="auto"/>
        <w:tabs>
          <w:tab w:leader="none" w:pos="94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16"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137"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13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116"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ind w:right="220" w:firstLine="509"/>
        <w:spacing w:after="0" w:line="293"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116"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3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Generic versions of VASCEPA made available in the market, even if based on a MARINE indication only are often used to fill a prescription for any intended use of the drug. If any approved ANDA filers are able to supply the product in significant commercial quantities, generic companies could introduce generic versions of VASCEPA in the market, as Hikma and Dr. Reddy's did in November 2020 and June 2021, respectively, although each on a limited scale.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37"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w:t>
      </w:r>
    </w:p>
    <w:p>
      <w:pPr>
        <w:spacing w:after="0" w:line="125" w:lineRule="exact"/>
        <w:rPr>
          <w:sz w:val="20"/>
          <w:szCs w:val="20"/>
          <w:color w:val="auto"/>
        </w:rPr>
      </w:pPr>
    </w:p>
    <w:p>
      <w:pPr>
        <w:ind w:right="160" w:firstLine="517"/>
        <w:spacing w:after="0" w:line="311" w:lineRule="auto"/>
        <w:tabs>
          <w:tab w:leader="none" w:pos="644"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and, perhaps not surprisingly, is reportedly in limited supply to our generic competitors, one of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Consumer lawsuits with similar allegations have also been filed. This dynamic could interfere with our business plans.</w:t>
      </w:r>
    </w:p>
    <w:p>
      <w:pPr>
        <w:spacing w:after="0" w:line="109"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to develop with individual members of our third-party, active pharmaceutical ingredient supply chain the technical knowhow, manufacturing processes and related regulatory approvals that have helped enable our suppliers to supply our clinical and commercial needs globally. Based on statements made by Hikma and Dr. Reddy’s, the active pharmaceutical ingredient of VASCEPA needed to manufacture their generic versions of VASCEPA is in limited supply to them. We believe this may be due to their lack of adequate planning, knowhow and expertise regarding this fragile active ingredient.</w:t>
      </w:r>
    </w:p>
    <w:p>
      <w:pPr>
        <w:spacing w:after="0" w:line="109"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138" w:lineRule="exact"/>
        <w:rPr>
          <w:sz w:val="20"/>
          <w:szCs w:val="20"/>
          <w:color w:val="auto"/>
        </w:rPr>
      </w:pPr>
    </w:p>
    <w:p>
      <w:pPr>
        <w:ind w:right="640" w:firstLine="509"/>
        <w:spacing w:after="0" w:line="266" w:lineRule="auto"/>
        <w:rPr>
          <w:sz w:val="20"/>
          <w:szCs w:val="20"/>
          <w:color w:val="auto"/>
        </w:rPr>
      </w:pPr>
      <w:r>
        <w:rPr>
          <w:rFonts w:ascii="Arial" w:cs="Arial" w:eastAsia="Arial" w:hAnsi="Arial"/>
          <w:sz w:val="18"/>
          <w:szCs w:val="18"/>
          <w:color w:val="auto"/>
        </w:rPr>
        <w:t>We have also received a civil investigative demand from the U.S. FTC and a subpoena from the New York Attorney General with respect to practices relating to our supply of the active pharmaceutical ingredient in VASCEPA. We believe such contact from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4" w:name="page55"/>
    <w:bookmarkEnd w:id="54"/>
    <w:p>
      <w:pPr>
        <w:ind w:right="120"/>
        <w:spacing w:after="0" w:line="296" w:lineRule="auto"/>
        <w:rPr>
          <w:sz w:val="20"/>
          <w:szCs w:val="20"/>
          <w:color w:val="auto"/>
        </w:rPr>
      </w:pPr>
      <w:r>
        <w:rPr>
          <w:rFonts w:ascii="Arial" w:cs="Arial" w:eastAsia="Arial" w:hAnsi="Arial"/>
          <w:sz w:val="17"/>
          <w:szCs w:val="17"/>
          <w:color w:val="auto"/>
        </w:rPr>
        <w:t>the governments may have been prompted by a generic competitor. We are cooperating with the agencies. The government inquiries require us to produce documents and answer related questions relevant to specified time periods.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19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 This dynamic also exists in markets outside the United States.</w:t>
      </w:r>
    </w:p>
    <w:p>
      <w:pPr>
        <w:spacing w:after="0" w:line="129" w:lineRule="exact"/>
        <w:rPr>
          <w:sz w:val="20"/>
          <w:szCs w:val="20"/>
          <w:color w:val="auto"/>
        </w:rPr>
      </w:pPr>
    </w:p>
    <w:p>
      <w:pPr>
        <w:ind w:right="160" w:firstLine="509"/>
        <w:spacing w:after="0" w:line="309"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10"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Also, for over a decade, subject to certain limitations, the U.S.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U.S. FDA enforcement activity, to make claims that suggest or imply treatment of cardiovascular disease.</w:t>
      </w:r>
    </w:p>
    <w:p>
      <w:pPr>
        <w:spacing w:after="0" w:line="102"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16"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0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128"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of VASCEPA’s market acceptance may be less than expected, which would have a negative impact on our revenues and results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5" w:name="page56"/>
    <w:bookmarkEnd w:id="55"/>
    <w:p>
      <w:pPr>
        <w:ind w:right="220" w:firstLine="509"/>
        <w:spacing w:after="0" w:line="352" w:lineRule="auto"/>
        <w:rPr>
          <w:sz w:val="20"/>
          <w:szCs w:val="20"/>
          <w:color w:val="auto"/>
        </w:rPr>
      </w:pPr>
      <w:r>
        <w:rPr>
          <w:rFonts w:ascii="Arial" w:cs="Arial" w:eastAsia="Arial" w:hAnsi="Arial"/>
          <w:sz w:val="16"/>
          <w:szCs w:val="16"/>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ind w:right="60" w:firstLine="509"/>
        <w:spacing w:after="0" w:line="272"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despite having received EC approval to commercialize VAZKEPA in Europe and as we expect to obtain, through our partner Edding,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137"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1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04"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02"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w:t>
      </w:r>
    </w:p>
    <w:p>
      <w:pPr>
        <w:spacing w:after="0" w:line="127"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FCA,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6" w:name="page57"/>
    <w:bookmarkEnd w:id="56"/>
    <w:p>
      <w:pPr>
        <w:ind w:firstLine="509"/>
        <w:spacing w:after="0" w:line="303"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18"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5"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37" w:lineRule="exact"/>
        <w:rPr>
          <w:sz w:val="20"/>
          <w:szCs w:val="20"/>
          <w:color w:val="auto"/>
        </w:rPr>
      </w:pPr>
    </w:p>
    <w:p>
      <w:pPr>
        <w:jc w:val="both"/>
        <w:ind w:right="120" w:firstLine="509"/>
        <w:spacing w:after="0" w:line="299"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have been suspended through December 31, 2021 due to the COVID-19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31"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sz w:val="20"/>
          <w:szCs w:val="20"/>
          <w:color w:val="auto"/>
        </w:rPr>
      </w:pPr>
    </w:p>
    <w:p>
      <w:pPr>
        <w:ind w:left="840" w:right="300"/>
        <w:spacing w:after="0" w:line="293" w:lineRule="auto"/>
        <w:rPr>
          <w:sz w:val="20"/>
          <w:szCs w:val="20"/>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16"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On July 24, 2020 and September 13, 2020, President Trump announced several executive orders related to prescription drug pricing that sought to implement several of the administration’s proposals. In response, the U.S. FDA released a final rule 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7" w:name="page58"/>
    <w:bookmarkEnd w:id="57"/>
    <w:p>
      <w:pPr>
        <w:ind w:right="60"/>
        <w:spacing w:after="0" w:line="301" w:lineRule="auto"/>
        <w:rPr>
          <w:sz w:val="20"/>
          <w:szCs w:val="20"/>
          <w:color w:val="auto"/>
        </w:rPr>
      </w:pPr>
      <w:r>
        <w:rPr>
          <w:rFonts w:ascii="Arial" w:cs="Arial" w:eastAsia="Arial" w:hAnsi="Arial"/>
          <w:sz w:val="16"/>
          <w:szCs w:val="16"/>
          <w:color w:val="auto"/>
        </w:rPr>
        <w:t>September 24, 2020, which went into effect on November 30, 2020, providing guidance for states to build and submit importation plans for drugs from Canada. Further, on November 20, 2020 CMS issued an Interim Final Rule implementing the Most Favored Nation Model, or the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On December 28, 2020, a judge in the U.S. District Court for the Northern District of California granted a preliminary injunction prohibiting CMS from implementing the MFN Model pending completion of the comment and rulemaking process required under the Administrative Procedures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 District of California and that the performance for any final regulation stemming from the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products and product candidates.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359"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42" w:lineRule="exact"/>
        <w:rPr>
          <w:sz w:val="20"/>
          <w:szCs w:val="20"/>
          <w:color w:val="auto"/>
        </w:rPr>
      </w:pPr>
    </w:p>
    <w:p>
      <w:pPr>
        <w:ind w:right="80" w:firstLine="509"/>
        <w:spacing w:after="0" w:line="325" w:lineRule="auto"/>
        <w:rPr>
          <w:sz w:val="20"/>
          <w:szCs w:val="20"/>
          <w:color w:val="auto"/>
        </w:rPr>
      </w:pPr>
      <w:r>
        <w:rPr>
          <w:rFonts w:ascii="Arial" w:cs="Arial" w:eastAsia="Arial" w:hAnsi="Arial"/>
          <w:sz w:val="16"/>
          <w:szCs w:val="16"/>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266"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29"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58" w:name="page59"/>
    <w:bookmarkEnd w:id="58"/>
    <w:p>
      <w:pPr>
        <w:ind w:right="60" w:firstLine="509"/>
        <w:spacing w:after="0" w:line="296"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6"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16"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2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09"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0"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10"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9" w:name="page60"/>
    <w:bookmarkEnd w:id="59"/>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103"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137"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29"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21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355"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Trump administration’s budget proposal for fiscal year 2021 included a $135.0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0" w:name="page61"/>
    <w:bookmarkEnd w:id="60"/>
    <w:p>
      <w:pPr>
        <w:ind w:right="20"/>
        <w:spacing w:after="0" w:line="302" w:lineRule="auto"/>
        <w:rPr>
          <w:sz w:val="20"/>
          <w:szCs w:val="20"/>
          <w:color w:val="auto"/>
        </w:rPr>
      </w:pPr>
      <w:r>
        <w:rPr>
          <w:rFonts w:ascii="Arial" w:cs="Arial" w:eastAsia="Arial" w:hAnsi="Arial"/>
          <w:sz w:val="16"/>
          <w:szCs w:val="16"/>
          <w:color w:val="auto"/>
        </w:rPr>
        <w:t>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HHS has already started the process of soliciting feedback on some of these measures and, at the same time, began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353"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8" w:lineRule="exact"/>
        <w:rPr>
          <w:sz w:val="20"/>
          <w:szCs w:val="20"/>
          <w:color w:val="auto"/>
        </w:rPr>
      </w:pPr>
    </w:p>
    <w:p>
      <w:pPr>
        <w:ind w:firstLine="509"/>
        <w:spacing w:after="0" w:line="35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ind w:firstLine="509"/>
        <w:spacing w:after="0" w:line="286"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24"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1" w:name="page62"/>
    <w:bookmarkEnd w:id="61"/>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38"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05" w:lineRule="exact"/>
        <w:rPr>
          <w:sz w:val="20"/>
          <w:szCs w:val="20"/>
          <w:color w:val="auto"/>
        </w:rPr>
      </w:pPr>
    </w:p>
    <w:p>
      <w:pPr>
        <w:ind w:left="660" w:hanging="143"/>
        <w:spacing w:after="0"/>
        <w:tabs>
          <w:tab w:leader="none" w:pos="660"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U.S. FDA, other regulatory agencies and industry organizations strictly regulate the promotional claims that may be made about</w:t>
      </w:r>
    </w:p>
    <w:p>
      <w:pPr>
        <w:spacing w:after="0" w:line="46" w:lineRule="exact"/>
        <w:rPr>
          <w:rFonts w:ascii="Arial" w:cs="Arial" w:eastAsia="Arial" w:hAnsi="Arial"/>
          <w:sz w:val="16"/>
          <w:szCs w:val="16"/>
          <w:b w:val="1"/>
          <w:bCs w:val="1"/>
          <w:i w:val="1"/>
          <w:iCs w:val="1"/>
          <w:color w:val="auto"/>
        </w:rPr>
      </w:pPr>
    </w:p>
    <w:p>
      <w:pPr>
        <w:ind w:right="40"/>
        <w:spacing w:after="0" w:line="272"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136" w:lineRule="exact"/>
        <w:rPr>
          <w:sz w:val="20"/>
          <w:szCs w:val="20"/>
          <w:color w:val="auto"/>
        </w:rPr>
      </w:pPr>
    </w:p>
    <w:p>
      <w:pPr>
        <w:ind w:right="80" w:firstLine="509"/>
        <w:spacing w:after="0" w:line="304" w:lineRule="auto"/>
        <w:rPr>
          <w:sz w:val="20"/>
          <w:szCs w:val="20"/>
          <w:color w:val="auto"/>
        </w:rPr>
      </w:pPr>
      <w:r>
        <w:rPr>
          <w:rFonts w:ascii="Arial" w:cs="Arial" w:eastAsia="Arial" w:hAnsi="Arial"/>
          <w:sz w:val="16"/>
          <w:szCs w:val="16"/>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38"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41"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ind w:right="160" w:firstLine="509"/>
        <w:spacing w:after="0" w:line="359"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7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lack of efficacy during clinical trials;</w:t>
      </w:r>
    </w:p>
    <w:p>
      <w:pPr>
        <w:spacing w:after="0" w:line="104" w:lineRule="exact"/>
        <w:rPr>
          <w:sz w:val="20"/>
          <w:szCs w:val="20"/>
          <w:color w:val="auto"/>
        </w:rPr>
      </w:pPr>
    </w:p>
    <w:p>
      <w:pPr>
        <w:ind w:left="840" w:right="2520"/>
        <w:spacing w:after="0" w:line="360" w:lineRule="auto"/>
        <w:rPr>
          <w:sz w:val="20"/>
          <w:szCs w:val="20"/>
          <w:color w:val="auto"/>
        </w:rPr>
      </w:pPr>
      <w:r>
        <w:rPr>
          <w:rFonts w:ascii="Arial" w:cs="Arial" w:eastAsia="Arial" w:hAnsi="Arial"/>
          <w:sz w:val="18"/>
          <w:szCs w:val="18"/>
          <w:color w:val="auto"/>
        </w:rPr>
        <w:t>the inability to manufacture sufficient quantities of qualified materials under cGMPs for use in clinical trials; slower than expected rates of patient recruitment;</w:t>
      </w:r>
    </w:p>
    <w:p>
      <w:pPr>
        <w:ind w:left="840"/>
        <w:spacing w:after="0"/>
        <w:rPr>
          <w:sz w:val="20"/>
          <w:szCs w:val="20"/>
          <w:color w:val="auto"/>
        </w:rPr>
      </w:pPr>
      <w:r>
        <w:rPr>
          <w:rFonts w:ascii="Arial" w:cs="Arial" w:eastAsia="Arial" w:hAnsi="Arial"/>
          <w:sz w:val="18"/>
          <w:szCs w:val="18"/>
          <w:color w:val="auto"/>
        </w:rPr>
        <w:t>the inability to observe patients adequately after treatment;</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changes in regulatory requirements for clinical trials or preclinical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emergence of unforeseen safety issues in clinical trials or preclinical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15" w:lineRule="exact"/>
        <w:rPr>
          <w:sz w:val="20"/>
          <w:szCs w:val="20"/>
          <w:color w:val="auto"/>
        </w:rPr>
      </w:pPr>
    </w:p>
    <w:p>
      <w:pPr>
        <w:ind w:left="840" w:right="480"/>
        <w:spacing w:after="0" w:line="293" w:lineRule="auto"/>
        <w:rPr>
          <w:sz w:val="20"/>
          <w:szCs w:val="20"/>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compliance with laws and regulations related to patient data privacy;</w:t>
      </w:r>
    </w:p>
    <w:p>
      <w:pPr>
        <w:spacing w:after="0" w:line="104" w:lineRule="exact"/>
        <w:rPr>
          <w:sz w:val="20"/>
          <w:szCs w:val="20"/>
          <w:color w:val="auto"/>
        </w:rPr>
      </w:pPr>
    </w:p>
    <w:p>
      <w:pPr>
        <w:ind w:left="840" w:right="3020"/>
        <w:spacing w:after="0" w:line="424" w:lineRule="auto"/>
        <w:rPr>
          <w:sz w:val="20"/>
          <w:szCs w:val="20"/>
          <w:color w:val="auto"/>
        </w:rPr>
      </w:pPr>
      <w:r>
        <w:rPr>
          <w:rFonts w:ascii="Arial" w:cs="Arial" w:eastAsia="Arial" w:hAnsi="Arial"/>
          <w:sz w:val="17"/>
          <w:szCs w:val="17"/>
          <w:color w:val="auto"/>
        </w:rPr>
        <w:t>government or regulatory delays or “clinical holds” requiring suspension or termination of a trial; and political instability or other social or government protocols affecting our clinical trial sites.</w:t>
      </w:r>
    </w:p>
    <w:p>
      <w:pPr>
        <w:spacing w:after="0" w:line="1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63" w:name="page64"/>
    <w:bookmarkEnd w:id="63"/>
    <w:p>
      <w:pPr>
        <w:spacing w:after="0" w:line="292" w:lineRule="auto"/>
        <w:rPr>
          <w:sz w:val="20"/>
          <w:szCs w:val="20"/>
          <w:color w:val="auto"/>
        </w:rPr>
      </w:pPr>
      <w:r>
        <w:rPr>
          <w:rFonts w:ascii="Arial" w:cs="Arial" w:eastAsia="Arial" w:hAnsi="Arial"/>
          <w:sz w:val="17"/>
          <w:szCs w:val="17"/>
          <w:color w:val="auto"/>
        </w:rPr>
        <w:t>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88"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b w:val="1"/>
          <w:bCs w:val="1"/>
          <w:i w:val="1"/>
          <w:iCs w:val="1"/>
          <w:color w:val="auto"/>
        </w:rPr>
        <w:t>As we continue to build our infrastructure for commercializing VASCEPA, we may encounter difficulties in managing our growth and expanding our operations successfully.</w:t>
      </w:r>
    </w:p>
    <w:p>
      <w:pPr>
        <w:spacing w:after="0" w:line="49"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process of establishing, maintaining and expanding a commercial infrastructure is difficult, expensive and time-consuming.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in early 2021, the impact of COVID-19 worsened in some parts of the United States, with some physicians again limiting access to face-to-face interactions with our field force personnel. Accordingly, we have intentionally slowed the hiring of replacements for our open positions which resulted from ordinary turnover. As we witness our sales representatives increasingly able to resume direct interactions with healthcare professionals, we continue to evaluate our needs and it is our intention to fill a significant number of these positions, provided such replacement is appropriate to meet our business needs. Our sales team promotes VASCEPA to a limited group of physicians and other healthcare professionals in select geographies in the United States and is not large enough to call upon all physicians.</w:t>
      </w:r>
    </w:p>
    <w:p>
      <w:pPr>
        <w:spacing w:after="0" w:line="43"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In addition to sales force expansion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For example, in Europe we commenced 2021 with approximately 50 professionals involved in pre-approval and pre-launch planning and other commercial preparation activities,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4"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w:t>
      </w:r>
    </w:p>
    <w:p>
      <w:pPr>
        <w:spacing w:after="0" w:line="116"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22"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2" w:lineRule="exact"/>
        <w:rPr>
          <w:sz w:val="20"/>
          <w:szCs w:val="20"/>
          <w:color w:val="auto"/>
        </w:rPr>
      </w:pPr>
    </w:p>
    <w:p>
      <w:pPr>
        <w:ind w:right="420" w:firstLine="509"/>
        <w:spacing w:after="0" w:line="266"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4" w:name="page65"/>
    <w:bookmarkEnd w:id="64"/>
    <w:p>
      <w:pPr>
        <w:ind w:right="300"/>
        <w:spacing w:after="0" w:line="324" w:lineRule="auto"/>
        <w:rPr>
          <w:sz w:val="20"/>
          <w:szCs w:val="20"/>
          <w:color w:val="auto"/>
        </w:rPr>
      </w:pPr>
      <w:r>
        <w:rPr>
          <w:rFonts w:ascii="Arial" w:cs="Arial" w:eastAsia="Arial" w:hAnsi="Arial"/>
          <w:sz w:val="17"/>
          <w:szCs w:val="17"/>
          <w:color w:val="auto"/>
        </w:rPr>
        <w:t>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93"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We require supply capacity to support our direct commercialization of VASCEPA in the United States and VAZKEPA in Europe.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Europe.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with certain of these expansion plans delayed due to COVID-19 and other market uncertainties.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may be delayed by COVID-19 and our exposure to manufacturing issues with our approved suppliers for the EU is less mitigated than is our objective by having more suppliers qualified.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10"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116"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0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16"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5" w:name="page66"/>
    <w:bookmarkEnd w:id="65"/>
    <w:p>
      <w:pPr>
        <w:ind w:right="160" w:firstLine="509"/>
        <w:spacing w:after="0" w:line="248"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14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2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137" w:lineRule="exact"/>
        <w:rPr>
          <w:sz w:val="20"/>
          <w:szCs w:val="20"/>
          <w:color w:val="auto"/>
        </w:rPr>
      </w:pPr>
    </w:p>
    <w:p>
      <w:pPr>
        <w:ind w:right="340" w:firstLine="509"/>
        <w:spacing w:after="0" w:line="314" w:lineRule="auto"/>
        <w:rPr>
          <w:sz w:val="20"/>
          <w:szCs w:val="20"/>
          <w:color w:val="auto"/>
        </w:rPr>
      </w:pPr>
      <w:r>
        <w:rPr>
          <w:rFonts w:ascii="Arial" w:cs="Arial" w:eastAsia="Arial" w:hAnsi="Arial"/>
          <w:sz w:val="16"/>
          <w:szCs w:val="16"/>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validations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106" w:lineRule="exact"/>
        <w:rPr>
          <w:sz w:val="20"/>
          <w:szCs w:val="20"/>
          <w:color w:val="auto"/>
        </w:rPr>
      </w:pPr>
    </w:p>
    <w:p>
      <w:pPr>
        <w:jc w:val="both"/>
        <w:ind w:right="400" w:firstLine="509"/>
        <w:spacing w:after="0" w:line="275" w:lineRule="auto"/>
        <w:rPr>
          <w:sz w:val="20"/>
          <w:szCs w:val="20"/>
          <w:color w:val="auto"/>
        </w:rPr>
      </w:pPr>
      <w:r>
        <w:rPr>
          <w:rFonts w:ascii="Arial" w:cs="Arial" w:eastAsia="Arial" w:hAnsi="Arial"/>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19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 and other circumstances outside our control.</w:t>
      </w:r>
    </w:p>
    <w:p>
      <w:pPr>
        <w:spacing w:after="0" w:line="130"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9"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In December 2017, Edding commenced a pivotal clinical trial aimed to demonstrate that VASCEPA lowers triglyceride levels and otherwise has beneficial effects in Chinese patients with severe hypertriglyceridemia (TG &gt;500 mg/dL), as we previously demonstrated with VASEPA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by the spread of the coronavirus and the unexpected diversion of resources by regulators and industry professionals to address the coronavirus outbreak. Any development and regulatory efforts in the China Territory may be negatively impacted by heightened political tension between China and the United States, including in connection with COVID-19 and other issues expressed between the countries regarding</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6" w:name="page67"/>
    <w:bookmarkEnd w:id="66"/>
    <w:p>
      <w:pPr>
        <w:ind w:right="400"/>
        <w:spacing w:after="0" w:line="324" w:lineRule="auto"/>
        <w:rPr>
          <w:sz w:val="20"/>
          <w:szCs w:val="20"/>
          <w:color w:val="auto"/>
        </w:rPr>
      </w:pPr>
      <w:r>
        <w:rPr>
          <w:rFonts w:ascii="Arial" w:cs="Arial" w:eastAsia="Arial" w:hAnsi="Arial"/>
          <w:sz w:val="17"/>
          <w:szCs w:val="17"/>
          <w:color w:val="auto"/>
        </w:rPr>
        <w:t>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93"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in Qatar in January 2020 and Bahrain in December 2020.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127"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111"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Our efforts to launch VAZKEPA on our own in Europe is a complex undertaking for a company that has not launched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11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8" w:lineRule="exact"/>
        <w:rPr>
          <w:sz w:val="20"/>
          <w:szCs w:val="20"/>
          <w:color w:val="auto"/>
        </w:rPr>
      </w:pPr>
    </w:p>
    <w:p>
      <w:pPr>
        <w:ind w:right="140" w:firstLine="517"/>
        <w:spacing w:after="0" w:line="279" w:lineRule="auto"/>
        <w:tabs>
          <w:tab w:leader="none" w:pos="644"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129"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16" w:lineRule="exact"/>
        <w:rPr>
          <w:sz w:val="20"/>
          <w:szCs w:val="20"/>
          <w:color w:val="auto"/>
        </w:rPr>
      </w:pPr>
    </w:p>
    <w:p>
      <w:pPr>
        <w:ind w:left="840"/>
        <w:spacing w:after="0" w:line="252" w:lineRule="auto"/>
        <w:rPr>
          <w:sz w:val="20"/>
          <w:szCs w:val="20"/>
          <w:color w:val="auto"/>
        </w:rPr>
      </w:pPr>
      <w:r>
        <w:rPr>
          <w:rFonts w:ascii="Arial" w:cs="Arial" w:eastAsia="Arial" w:hAnsi="Arial"/>
          <w:sz w:val="17"/>
          <w:szCs w:val="17"/>
          <w:color w:val="auto"/>
        </w:rPr>
        <w:t>the U.S.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FCA.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w:t>
      </w: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7" w:name="page68"/>
    <w:bookmarkEnd w:id="67"/>
    <w:p>
      <w:pPr>
        <w:ind w:left="840" w:right="200"/>
        <w:spacing w:after="0" w:line="261" w:lineRule="auto"/>
        <w:rPr>
          <w:sz w:val="20"/>
          <w:szCs w:val="20"/>
          <w:color w:val="auto"/>
        </w:rPr>
      </w:pPr>
      <w:r>
        <w:rPr>
          <w:rFonts w:ascii="Arial" w:cs="Arial" w:eastAsia="Arial" w:hAnsi="Arial"/>
          <w:sz w:val="18"/>
          <w:szCs w:val="18"/>
          <w:color w:val="auto"/>
        </w:rPr>
        <w:t>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36" w:lineRule="exact"/>
        <w:rPr>
          <w:sz w:val="20"/>
          <w:szCs w:val="20"/>
          <w:color w:val="auto"/>
        </w:rPr>
      </w:pPr>
    </w:p>
    <w:p>
      <w:pPr>
        <w:ind w:left="840"/>
        <w:spacing w:after="0" w:line="268" w:lineRule="auto"/>
        <w:rPr>
          <w:sz w:val="20"/>
          <w:szCs w:val="20"/>
          <w:color w:val="auto"/>
        </w:rPr>
      </w:pPr>
      <w:r>
        <w:rPr>
          <w:rFonts w:ascii="Arial" w:cs="Arial" w:eastAsia="Arial" w:hAnsi="Arial"/>
          <w:sz w:val="16"/>
          <w:szCs w:val="16"/>
          <w:color w:val="auto"/>
        </w:rPr>
        <w:t>the federal civil and criminal false claims laws, including the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U.S.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34" w:lineRule="exact"/>
        <w:rPr>
          <w:sz w:val="20"/>
          <w:szCs w:val="20"/>
          <w:color w:val="auto"/>
        </w:rPr>
      </w:pPr>
    </w:p>
    <w:p>
      <w:pPr>
        <w:ind w:left="840" w:right="20"/>
        <w:spacing w:after="0" w:line="243" w:lineRule="auto"/>
        <w:rPr>
          <w:sz w:val="20"/>
          <w:szCs w:val="20"/>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66" w:lineRule="exact"/>
        <w:rPr>
          <w:sz w:val="20"/>
          <w:szCs w:val="20"/>
          <w:color w:val="auto"/>
        </w:rPr>
      </w:pPr>
    </w:p>
    <w:p>
      <w:pPr>
        <w:ind w:left="840" w:right="40"/>
        <w:spacing w:after="0" w:line="288" w:lineRule="auto"/>
        <w:rPr>
          <w:sz w:val="20"/>
          <w:szCs w:val="20"/>
          <w:color w:val="auto"/>
        </w:rPr>
      </w:pPr>
      <w:r>
        <w:rPr>
          <w:rFonts w:ascii="Arial" w:cs="Arial" w:eastAsia="Arial" w:hAnsi="Arial"/>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46" w:lineRule="exact"/>
        <w:rPr>
          <w:sz w:val="20"/>
          <w:szCs w:val="20"/>
          <w:color w:val="auto"/>
        </w:rPr>
      </w:pPr>
    </w:p>
    <w:p>
      <w:pPr>
        <w:ind w:left="840" w:right="80"/>
        <w:spacing w:after="0" w:line="288" w:lineRule="auto"/>
        <w:rPr>
          <w:sz w:val="20"/>
          <w:szCs w:val="20"/>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46" w:lineRule="exact"/>
        <w:rPr>
          <w:sz w:val="20"/>
          <w:szCs w:val="20"/>
          <w:color w:val="auto"/>
        </w:rPr>
      </w:pPr>
    </w:p>
    <w:p>
      <w:pPr>
        <w:ind w:left="840" w:right="40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35" w:lineRule="exact"/>
        <w:rPr>
          <w:sz w:val="20"/>
          <w:szCs w:val="20"/>
          <w:color w:val="auto"/>
        </w:rPr>
      </w:pPr>
    </w:p>
    <w:p>
      <w:pPr>
        <w:ind w:left="840" w:right="60"/>
        <w:spacing w:after="0" w:line="287" w:lineRule="auto"/>
        <w:rPr>
          <w:sz w:val="20"/>
          <w:szCs w:val="20"/>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24"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6" w:lineRule="exact"/>
        <w:rPr>
          <w:sz w:val="20"/>
          <w:szCs w:val="20"/>
          <w:color w:val="auto"/>
        </w:rPr>
      </w:pPr>
    </w:p>
    <w:p>
      <w:pPr>
        <w:jc w:val="both"/>
        <w:ind w:right="20" w:firstLine="509"/>
        <w:spacing w:after="0" w:line="266"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spacing w:after="0" w:line="283" w:lineRule="auto"/>
        <w:rPr>
          <w:sz w:val="20"/>
          <w:szCs w:val="20"/>
          <w:color w:val="auto"/>
        </w:rPr>
      </w:pPr>
      <w:r>
        <w:rPr>
          <w:rFonts w:ascii="Arial" w:cs="Arial" w:eastAsia="Arial" w:hAnsi="Arial"/>
          <w:sz w:val="17"/>
          <w:szCs w:val="17"/>
          <w:color w:val="auto"/>
        </w:rPr>
        <w:t>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41"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31"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7"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1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7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20" w:lineRule="exact"/>
        <w:rPr>
          <w:sz w:val="20"/>
          <w:szCs w:val="20"/>
          <w:color w:val="auto"/>
        </w:rPr>
      </w:pPr>
    </w:p>
    <w:p>
      <w:pPr>
        <w:ind w:left="840" w:right="2860" w:firstLine="6"/>
        <w:spacing w:after="0" w:line="328" w:lineRule="auto"/>
        <w:rPr>
          <w:sz w:val="20"/>
          <w:szCs w:val="20"/>
          <w:color w:val="auto"/>
        </w:rPr>
      </w:pPr>
      <w:r>
        <w:rPr>
          <w:rFonts w:ascii="Arial" w:cs="Arial" w:eastAsia="Arial" w:hAnsi="Arial"/>
          <w:sz w:val="18"/>
          <w:szCs w:val="18"/>
          <w:color w:val="auto"/>
        </w:rPr>
        <w:t>obtain, defend and maintain patent protection and market exclusivity for our current and future products; preserve any trade secrets relating to our current and future products; acquire patented or patentable products and technologies; and</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operate without infringing the proprietary rights of third parties.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9" w:name="page70"/>
    <w:bookmarkEnd w:id="69"/>
    <w:p>
      <w:pPr>
        <w:ind w:right="80" w:firstLine="509"/>
        <w:spacing w:after="0" w:line="329"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117 patent applications in the United States that have been either issued or allowed and more than 30 additional patent applications are pending in the United States. Such 117 allowed and issued applications include the following:</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issued U.S. patent directed to a pharmaceutical composition of VASCEPA in a capsule that expires in 2030;</w:t>
      </w:r>
    </w:p>
    <w:p>
      <w:pPr>
        <w:spacing w:after="0" w:line="104"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56 U.S. patents covering or related to the use of VASCEPA in either the MARINE or ANCHOR populations that have terms that expire in 2030 or later;</w:t>
      </w:r>
    </w:p>
    <w:p>
      <w:pPr>
        <w:spacing w:after="0" w:line="35" w:lineRule="exact"/>
        <w:rPr>
          <w:sz w:val="20"/>
          <w:szCs w:val="20"/>
          <w:color w:val="auto"/>
        </w:rPr>
      </w:pPr>
    </w:p>
    <w:p>
      <w:pPr>
        <w:ind w:left="840" w:right="900"/>
        <w:spacing w:after="0" w:line="405" w:lineRule="auto"/>
        <w:rPr>
          <w:sz w:val="20"/>
          <w:szCs w:val="20"/>
          <w:color w:val="auto"/>
        </w:rPr>
      </w:pPr>
      <w:r>
        <w:rPr>
          <w:rFonts w:ascii="Arial" w:cs="Arial" w:eastAsia="Arial" w:hAnsi="Arial"/>
          <w:sz w:val="16"/>
          <w:szCs w:val="16"/>
          <w:color w:val="auto"/>
        </w:rPr>
        <w:t>26 U.S. patents covering or related to the use of VASCEPA in the REDUCE-IT population with terms expiring in 2033 or later; three additional US patents directed to a pharmaceutical composition comprised of free fatty acids with a term that expires in 2030;</w:t>
      </w:r>
    </w:p>
    <w:p>
      <w:pPr>
        <w:ind w:left="840" w:right="20"/>
        <w:spacing w:after="0" w:line="293" w:lineRule="auto"/>
        <w:rPr>
          <w:sz w:val="20"/>
          <w:szCs w:val="20"/>
          <w:color w:val="auto"/>
        </w:rPr>
      </w:pPr>
      <w:r>
        <w:rPr>
          <w:rFonts w:ascii="Arial" w:cs="Arial" w:eastAsia="Arial" w:hAnsi="Arial"/>
          <w:sz w:val="18"/>
          <w:szCs w:val="18"/>
          <w:color w:val="auto"/>
        </w:rPr>
        <w:t>five additional patents related to the use of a pharmaceutical composition comprised of free fatty acids to treat the ANCHOR patient population with a term that expires in 2030 or later;</w:t>
      </w:r>
    </w:p>
    <w:p>
      <w:pPr>
        <w:spacing w:after="0" w:line="35"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35"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35"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35" w:lineRule="exact"/>
        <w:rPr>
          <w:sz w:val="20"/>
          <w:szCs w:val="20"/>
          <w:color w:val="auto"/>
        </w:rPr>
      </w:pPr>
    </w:p>
    <w:p>
      <w:pPr>
        <w:ind w:left="840" w:right="220"/>
        <w:spacing w:after="0" w:line="293" w:lineRule="auto"/>
        <w:rPr>
          <w:sz w:val="20"/>
          <w:szCs w:val="20"/>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35" w:lineRule="exact"/>
        <w:rPr>
          <w:sz w:val="20"/>
          <w:szCs w:val="20"/>
          <w:color w:val="auto"/>
        </w:rPr>
      </w:pPr>
    </w:p>
    <w:p>
      <w:pPr>
        <w:ind w:left="840" w:right="2400"/>
        <w:spacing w:after="0" w:line="405" w:lineRule="auto"/>
        <w:rPr>
          <w:sz w:val="20"/>
          <w:szCs w:val="20"/>
          <w:color w:val="auto"/>
        </w:rPr>
      </w:pPr>
      <w:r>
        <w:rPr>
          <w:rFonts w:ascii="Arial" w:cs="Arial" w:eastAsia="Arial" w:hAnsi="Arial"/>
          <w:sz w:val="16"/>
          <w:szCs w:val="16"/>
          <w:color w:val="auto"/>
        </w:rPr>
        <w:t>four additional patents related to a formulation of EPA/DHA and uses thereof with a term that expires in 2030; two additional patents related to the use of VASCEPA to treat obesity with a term that expires in 2034;</w:t>
      </w:r>
    </w:p>
    <w:p>
      <w:pPr>
        <w:ind w:left="840"/>
        <w:spacing w:after="0"/>
        <w:rPr>
          <w:sz w:val="20"/>
          <w:szCs w:val="20"/>
          <w:color w:val="auto"/>
        </w:rPr>
      </w:pPr>
      <w:r>
        <w:rPr>
          <w:rFonts w:ascii="Arial" w:cs="Arial" w:eastAsia="Arial" w:hAnsi="Arial"/>
          <w:sz w:val="18"/>
          <w:szCs w:val="18"/>
          <w:color w:val="auto"/>
        </w:rPr>
        <w:t>one additional patent related to the use of VASCEPA to treat prostate cancer with a term that expires in 2037;</w:t>
      </w:r>
    </w:p>
    <w:p>
      <w:pPr>
        <w:spacing w:after="0" w:line="104"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four additional patents covering a pharmaceutical composition comprised of EPA and a hydroxyl compound with a term that expires in 2034; and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five additional patents covering a new combination therapy comprised of EPA and another drug.</w:t>
      </w:r>
    </w:p>
    <w:p>
      <w:pPr>
        <w:spacing w:after="0" w:line="185"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w:t>
      </w:r>
    </w:p>
    <w:p>
      <w:pPr>
        <w:spacing w:after="0" w:line="11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European Commission, or EC, approval provides ten years of market protection in the EU. Furthermore, patent protection in Europe includes:</w:t>
      </w:r>
    </w:p>
    <w:p>
      <w:pPr>
        <w:spacing w:after="0" w:line="12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One allowed patent related to the use of a pharmaceutical composition comprised of 4g of 96% EPA ethyl ester to treat the REDUCE-IT population expiring 2033.</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pending patent applications in Europe have the potential to extend exclusivity into 2039.</w:t>
      </w:r>
    </w:p>
    <w:p>
      <w:pPr>
        <w:spacing w:after="0" w:line="171"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70" w:name="page71"/>
    <w:bookmarkEnd w:id="70"/>
    <w:p>
      <w:pPr>
        <w:ind w:right="20"/>
        <w:spacing w:after="0" w:line="271" w:lineRule="auto"/>
        <w:rPr>
          <w:sz w:val="20"/>
          <w:szCs w:val="20"/>
          <w:color w:val="auto"/>
        </w:rPr>
      </w:pPr>
      <w:r>
        <w:rPr>
          <w:rFonts w:ascii="Arial" w:cs="Arial" w:eastAsia="Arial" w:hAnsi="Arial"/>
          <w:sz w:val="17"/>
          <w:szCs w:val="17"/>
          <w:color w:val="auto"/>
        </w:rPr>
        <w:t>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issued patents may not prevent competitors from competing with VASCEPA, even if we seek to enforce our patent rights.</w:t>
      </w:r>
    </w:p>
    <w:p>
      <w:pPr>
        <w:spacing w:after="0" w:line="19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We intend to vigorously pursue these ongoing litigation matters, but cannot predict the outcomes or the impact on our business. We likewise plan to engage in similar patent litigation should other competitors arise with products that infringe our intellectual property rights.</w:t>
      </w:r>
    </w:p>
    <w:p>
      <w:pPr>
        <w:spacing w:after="0" w:line="137"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09"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many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109"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ind w:right="100"/>
        <w:spacing w:after="0" w:line="271" w:lineRule="auto"/>
        <w:rPr>
          <w:sz w:val="20"/>
          <w:szCs w:val="20"/>
          <w:color w:val="auto"/>
        </w:rPr>
      </w:pPr>
      <w:r>
        <w:rPr>
          <w:rFonts w:ascii="Arial" w:cs="Arial" w:eastAsia="Arial" w:hAnsi="Arial"/>
          <w:sz w:val="18"/>
          <w:szCs w:val="18"/>
          <w:color w:val="auto"/>
        </w:rPr>
        <w:t>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0"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30" w:lineRule="exact"/>
        <w:rPr>
          <w:sz w:val="20"/>
          <w:szCs w:val="20"/>
          <w:color w:val="auto"/>
        </w:rPr>
      </w:pPr>
    </w:p>
    <w:p>
      <w:pPr>
        <w:ind w:right="220" w:firstLine="509"/>
        <w:spacing w:after="0" w:line="314" w:lineRule="auto"/>
        <w:rPr>
          <w:sz w:val="20"/>
          <w:szCs w:val="20"/>
          <w:color w:val="auto"/>
        </w:rPr>
      </w:pPr>
      <w:r>
        <w:rPr>
          <w:rFonts w:ascii="Arial" w:cs="Arial" w:eastAsia="Arial" w:hAnsi="Arial"/>
          <w:sz w:val="16"/>
          <w:szCs w:val="16"/>
          <w:color w:val="auto"/>
        </w:rPr>
        <w:t>In January 2021, we issued financial and business guidance, including expectations regarding inventory build, and 2021 operating expenses. All such guidance and updates are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87" w:lineRule="exact"/>
        <w:rPr>
          <w:sz w:val="20"/>
          <w:szCs w:val="20"/>
          <w:color w:val="auto"/>
        </w:rPr>
      </w:pPr>
    </w:p>
    <w:p>
      <w:pPr>
        <w:ind w:right="420" w:firstLine="517"/>
        <w:spacing w:after="0" w:line="293" w:lineRule="auto"/>
        <w:tabs>
          <w:tab w:leader="none" w:pos="644"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loss of key personnel could have an adverse effect on our business, particularly in light of our recent announcement of management succession plan.</w:t>
      </w:r>
    </w:p>
    <w:p>
      <w:pPr>
        <w:spacing w:after="0" w:line="35"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the departure of any key person could have a significant impact and would be potentially disruptive to our business until such time as a suitable replacement is hired. In April 2021, we announced that John Thero, President and Chief Executive Officer, will retire from his positions as President and Chief Executive Officer and member of the Board of Directors effective August 1, 2021 and will provide phased transitional and consulting services to us thereafter. The Board of Directors has appointed Karim Mikhail, currently our Senior Vice President, Commercial Head Europe, to succeed Mr. Thero as our next President and Chief Executive Officer, as well as, a member of the Board of Directors, effective August 1, 2021. In April 2021, we also announced that Joseph Kennedy will retire from his position as Executive Vice President, General Counsel effective August 1, 2021. A search has commenced to hire a new General Counsel, with Mr. Kennedy also intending to support this transition and to provide consulting support on certain legal matters. Although we anticipate smooth transitions, any such changes to senior management, can be disruptive to operations, including by distracting management from our core business and effective employee productivity.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increased turnover among members of our senior management team. We may have difficulty identifying, attracting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72" w:name="page73"/>
    <w:bookmarkEnd w:id="72"/>
    <w:p>
      <w:pPr>
        <w:ind w:right="40" w:firstLine="509"/>
        <w:spacing w:after="0" w:line="230" w:lineRule="exact"/>
        <w:rPr>
          <w:sz w:val="20"/>
          <w:szCs w:val="20"/>
          <w:color w:val="auto"/>
        </w:rPr>
      </w:pPr>
      <w:r>
        <w:rPr>
          <w:rFonts w:ascii="Arial" w:cs="Arial" w:eastAsia="Arial" w:hAnsi="Arial"/>
          <w:sz w:val="16"/>
          <w:szCs w:val="16"/>
          <w:b w:val="1"/>
          <w:bCs w:val="1"/>
          <w:i w:val="1"/>
          <w:iCs w:val="1"/>
          <w:color w:val="auto"/>
        </w:rPr>
        <w:t>Our internal computer systems, or those of 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163" w:lineRule="exact"/>
        <w:rPr>
          <w:sz w:val="20"/>
          <w:szCs w:val="20"/>
          <w:color w:val="auto"/>
        </w:rPr>
      </w:pPr>
    </w:p>
    <w:p>
      <w:pPr>
        <w:ind w:firstLine="509"/>
        <w:spacing w:after="0" w:line="230"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63"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35"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1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and/or tax laws could have a negative effect on our future profitability.</w:t>
      </w:r>
    </w:p>
    <w:p>
      <w:pPr>
        <w:spacing w:after="0" w:line="171"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73" w:name="page74"/>
    <w:bookmarkEnd w:id="73"/>
    <w:p>
      <w:pPr>
        <w:ind w:right="60" w:firstLine="509"/>
        <w:spacing w:after="0" w:line="271"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7" w:lineRule="exact"/>
        <w:rPr>
          <w:sz w:val="20"/>
          <w:szCs w:val="20"/>
          <w:color w:val="auto"/>
        </w:rPr>
      </w:pPr>
    </w:p>
    <w:p>
      <w:pPr>
        <w:ind w:right="340" w:firstLine="509"/>
        <w:spacing w:after="0" w:line="275" w:lineRule="auto"/>
        <w:rPr>
          <w:sz w:val="20"/>
          <w:szCs w:val="20"/>
          <w:color w:val="auto"/>
        </w:rPr>
      </w:pPr>
      <w:r>
        <w:rPr>
          <w:rFonts w:ascii="Arial" w:cs="Arial" w:eastAsia="Arial" w:hAnsi="Arial"/>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 significant portion of our sales are to wholesalers in the pharmaceutical industry. Three customers individually accounted for 10% or more of our U.S. gross product sales. Customers A, B, and C accounted for 27%, 36%, and 30%, respectively, of gross product sales for the three and six months ended June 30, 2021 and 2020, and represented 40%, 34%, and 21%, respectively, of the gross accounts receivable balance as of June 30, 2021. Customers A, B, and C accounted for 25%, 37%, and 29%, respectively, of gross product sales for the six months ended June 30, 2020, and represented 32%, 38%, and 23%, respectively, of the gross accounts receivable balance as of June 30, 2020.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have not yet reached sustained profitability. For the fiscal years ended December 31, 2020, 2019, and 2018, we reported losses of approximately $18.0 million, $22.6 million, and $116.4 million, and we had an accumulated deficit as of December 31, 2020 of $1.4 billion. For the three months ended June 30, 2021 and 2020, we reported income of approximately $7.8 million and $4.4 million, respectively, and we had an accumulated deficit as of June 30, 2021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 for a full year.</w:t>
      </w:r>
    </w:p>
    <w:p>
      <w:pPr>
        <w:spacing w:after="0" w:line="171" w:lineRule="exact"/>
        <w:rPr>
          <w:sz w:val="20"/>
          <w:szCs w:val="20"/>
          <w:color w:val="auto"/>
        </w:rPr>
      </w:pPr>
    </w:p>
    <w:p>
      <w:pPr>
        <w:ind w:right="160" w:firstLine="509"/>
        <w:spacing w:after="0" w:line="266"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4" w:name="page75"/>
    <w:bookmarkEnd w:id="74"/>
    <w:p>
      <w:pPr>
        <w:ind w:right="20" w:firstLine="509"/>
        <w:spacing w:after="0" w:line="290" w:lineRule="auto"/>
        <w:rPr>
          <w:sz w:val="20"/>
          <w:szCs w:val="20"/>
          <w:color w:val="auto"/>
        </w:rPr>
      </w:pPr>
      <w:r>
        <w:rPr>
          <w:rFonts w:ascii="Arial" w:cs="Arial" w:eastAsia="Arial" w:hAnsi="Arial"/>
          <w:sz w:val="17"/>
          <w:szCs w:val="17"/>
          <w:color w:val="auto"/>
        </w:rPr>
        <w:t>Even though VASCEPA has been approved by the U.S. FDA for marketing in the United States for two important indications, recently received marketing authorization in Europe and is approved in smaller jurisdictions,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0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recent launch of a generic version of VASCEPA, and the potential launch of additional generic versions;</w:t>
      </w:r>
    </w:p>
    <w:p>
      <w:pPr>
        <w:spacing w:after="0" w:line="104" w:lineRule="exact"/>
        <w:rPr>
          <w:sz w:val="20"/>
          <w:szCs w:val="20"/>
          <w:color w:val="auto"/>
        </w:rPr>
      </w:pPr>
    </w:p>
    <w:p>
      <w:pPr>
        <w:ind w:left="840" w:right="840"/>
        <w:spacing w:after="0" w:line="381" w:lineRule="auto"/>
        <w:rPr>
          <w:sz w:val="20"/>
          <w:szCs w:val="20"/>
          <w:color w:val="auto"/>
        </w:rPr>
      </w:pPr>
      <w:r>
        <w:rPr>
          <w:rFonts w:ascii="Arial" w:cs="Arial" w:eastAsia="Arial" w:hAnsi="Arial"/>
          <w:sz w:val="17"/>
          <w:szCs w:val="17"/>
          <w:color w:val="auto"/>
        </w:rPr>
        <w:t>continued and prolonged disruption to our business, or delays in resuming normal business activities from the COVID-19 pandemic; the continuing evolution of the medical community’s and the public’s perception of the REDUCE-IT study results;</w:t>
      </w:r>
    </w:p>
    <w:p>
      <w:pPr>
        <w:ind w:left="840"/>
        <w:spacing w:after="0"/>
        <w:rPr>
          <w:sz w:val="20"/>
          <w:szCs w:val="20"/>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15" w:lineRule="exact"/>
        <w:rPr>
          <w:sz w:val="20"/>
          <w:szCs w:val="20"/>
          <w:color w:val="auto"/>
        </w:rPr>
      </w:pPr>
    </w:p>
    <w:p>
      <w:pPr>
        <w:jc w:val="both"/>
        <w:ind w:left="840" w:right="380"/>
        <w:spacing w:after="0" w:line="279" w:lineRule="auto"/>
        <w:rPr>
          <w:sz w:val="20"/>
          <w:szCs w:val="20"/>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48"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35" w:lineRule="exact"/>
        <w:rPr>
          <w:sz w:val="20"/>
          <w:szCs w:val="20"/>
          <w:color w:val="auto"/>
        </w:rPr>
      </w:pPr>
    </w:p>
    <w:p>
      <w:pPr>
        <w:ind w:left="840" w:right="440"/>
        <w:spacing w:after="0" w:line="293" w:lineRule="auto"/>
        <w:rPr>
          <w:sz w:val="20"/>
          <w:szCs w:val="20"/>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35" w:lineRule="exact"/>
        <w:rPr>
          <w:sz w:val="20"/>
          <w:szCs w:val="20"/>
          <w:color w:val="auto"/>
        </w:rPr>
      </w:pPr>
    </w:p>
    <w:p>
      <w:pPr>
        <w:ind w:left="840" w:right="60"/>
        <w:spacing w:after="0" w:line="279" w:lineRule="auto"/>
        <w:rPr>
          <w:sz w:val="20"/>
          <w:szCs w:val="20"/>
          <w:color w:val="auto"/>
        </w:rPr>
      </w:pPr>
      <w:r>
        <w:rPr>
          <w:rFonts w:ascii="Arial" w:cs="Arial" w:eastAsia="Arial" w:hAnsi="Arial"/>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outcomes of litigation and other legal proceedings; and</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ongoing regulatory dialogue.</w:t>
      </w:r>
    </w:p>
    <w:p>
      <w:pPr>
        <w:spacing w:after="0" w:line="347" w:lineRule="exact"/>
        <w:rPr>
          <w:sz w:val="20"/>
          <w:szCs w:val="20"/>
          <w:color w:val="auto"/>
        </w:rPr>
      </w:pPr>
    </w:p>
    <w:p>
      <w:pPr>
        <w:ind w:left="260" w:right="340"/>
        <w:spacing w:after="0" w:line="293"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$327.0 million and short-term investment balance of $181.9 million as of June 30, 2021 will be sufficient to fund our projected operations for at least 12 months.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or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U.S. FDA for the new indication and expanded label and the impact from COVID-19 on our operations and those of our customers and any current or potential generic competition.</w:t>
      </w:r>
    </w:p>
    <w:p>
      <w:pPr>
        <w:spacing w:after="0" w:line="170" w:lineRule="exact"/>
        <w:rPr>
          <w:sz w:val="20"/>
          <w:szCs w:val="20"/>
          <w:color w:val="auto"/>
        </w:rPr>
      </w:pPr>
    </w:p>
    <w:p>
      <w:pPr>
        <w:jc w:val="center"/>
        <w:ind w:right="40"/>
        <w:spacing w:after="0" w:line="293"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amount and consistency of revenue generated from the commercial sale of VASCEPA;</w:t>
      </w:r>
    </w:p>
    <w:p>
      <w:pPr>
        <w:spacing w:after="0" w:line="104" w:lineRule="exact"/>
        <w:rPr>
          <w:sz w:val="20"/>
          <w:szCs w:val="20"/>
          <w:color w:val="auto"/>
        </w:rPr>
      </w:pPr>
    </w:p>
    <w:p>
      <w:pPr>
        <w:ind w:left="960" w:right="160"/>
        <w:spacing w:after="0" w:line="272" w:lineRule="auto"/>
        <w:rPr>
          <w:sz w:val="20"/>
          <w:szCs w:val="20"/>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continued costs associated with litigation and other legal proceedings and governmental inquiries;</w:t>
      </w:r>
    </w:p>
    <w:p>
      <w:pPr>
        <w:spacing w:after="0" w:line="104" w:lineRule="exact"/>
        <w:rPr>
          <w:sz w:val="20"/>
          <w:szCs w:val="20"/>
          <w:color w:val="auto"/>
        </w:rPr>
      </w:pPr>
    </w:p>
    <w:p>
      <w:pPr>
        <w:ind w:left="960" w:right="700"/>
        <w:spacing w:after="0" w:line="402" w:lineRule="auto"/>
        <w:rPr>
          <w:sz w:val="20"/>
          <w:szCs w:val="20"/>
          <w:color w:val="auto"/>
        </w:rPr>
      </w:pPr>
      <w:r>
        <w:rPr>
          <w:rFonts w:ascii="Arial" w:cs="Arial" w:eastAsia="Arial" w:hAnsi="Arial"/>
          <w:sz w:val="17"/>
          <w:szCs w:val="17"/>
          <w:color w:val="auto"/>
        </w:rPr>
        <w:t>the time and costs involved in obtaining additional regulatory approvals for VASCEPA based on REDUCE-IT results internationally; the extent to which we continue to develop internally, acquire or in-license new products, technologies or businesses; and the cost of filing, prosecuting, defending and enforcing any patent claims and other intellectual property rights.</w:t>
      </w:r>
    </w:p>
    <w:p>
      <w:pPr>
        <w:spacing w:after="0" w:line="84"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Changes in tax laws could have a material adverse effect on our business, financial condition and results of operations.</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2"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56"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3" w:lineRule="exact"/>
        <w:rPr>
          <w:sz w:val="20"/>
          <w:szCs w:val="20"/>
          <w:color w:val="auto"/>
        </w:rPr>
      </w:pPr>
    </w:p>
    <w:p>
      <w:pPr>
        <w:ind w:right="200" w:firstLine="509"/>
        <w:spacing w:after="0" w:line="266" w:lineRule="auto"/>
        <w:rPr>
          <w:sz w:val="20"/>
          <w:szCs w:val="20"/>
          <w:color w:val="auto"/>
        </w:rPr>
      </w:pPr>
      <w:r>
        <w:rPr>
          <w:rFonts w:ascii="Arial" w:cs="Arial" w:eastAsia="Arial" w:hAnsi="Arial"/>
          <w:sz w:val="18"/>
          <w:szCs w:val="18"/>
          <w:color w:val="auto"/>
        </w:rPr>
        <w:t>As of July 30, 2021, we had 395,302,404 common shares outstanding including 395,105,527 shares held as ADSs and 196,877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right="360"/>
        <w:spacing w:after="0" w:line="293" w:lineRule="auto"/>
        <w:rPr>
          <w:sz w:val="20"/>
          <w:szCs w:val="20"/>
          <w:color w:val="auto"/>
        </w:rPr>
      </w:pPr>
      <w:r>
        <w:rPr>
          <w:rFonts w:ascii="Arial" w:cs="Arial" w:eastAsia="Arial" w:hAnsi="Arial"/>
          <w:sz w:val="18"/>
          <w:szCs w:val="18"/>
          <w:color w:val="auto"/>
        </w:rPr>
        <w:t>amounts of our ADSs, particularly if these sales are in a rapid or disorderly manner, or other investors perceive that these sales could occur, the market price of our ADSs could decrease significantly.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04"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35" w:lineRule="exact"/>
        <w:rPr>
          <w:sz w:val="20"/>
          <w:szCs w:val="20"/>
          <w:color w:val="auto"/>
        </w:rPr>
      </w:pPr>
    </w:p>
    <w:p>
      <w:pPr>
        <w:ind w:left="840" w:right="4080"/>
        <w:spacing w:after="0" w:line="360" w:lineRule="auto"/>
        <w:rPr>
          <w:sz w:val="20"/>
          <w:szCs w:val="20"/>
          <w:color w:val="auto"/>
        </w:rPr>
      </w:pPr>
      <w:r>
        <w:rPr>
          <w:rFonts w:ascii="Arial" w:cs="Arial" w:eastAsia="Arial" w:hAnsi="Arial"/>
          <w:sz w:val="18"/>
          <w:szCs w:val="18"/>
          <w:color w:val="auto"/>
        </w:rPr>
        <w:t>actual or potential medical results relating to our products or our competitors’ products; interim failures or setbacks in product development; innovation by us or our competitors;</w:t>
      </w:r>
    </w:p>
    <w:p>
      <w:pPr>
        <w:ind w:left="840"/>
        <w:spacing w:after="0"/>
        <w:rPr>
          <w:sz w:val="20"/>
          <w:szCs w:val="20"/>
          <w:color w:val="auto"/>
        </w:rPr>
      </w:pPr>
      <w:r>
        <w:rPr>
          <w:rFonts w:ascii="Arial" w:cs="Arial" w:eastAsia="Arial" w:hAnsi="Arial"/>
          <w:sz w:val="18"/>
          <w:szCs w:val="18"/>
          <w:color w:val="auto"/>
        </w:rPr>
        <w:t>currency exchange rate fluctuations; and</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period-to-period variations in our results of operations.</w:t>
      </w:r>
    </w:p>
    <w:p>
      <w:pPr>
        <w:spacing w:after="0" w:line="18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and the 11-month implementation period ended on December 31, 2020 and a new trade deal between the United Kingdom and the European Union was agreed to on December 24, 2020.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178"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4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68"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2020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3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3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5" w:lineRule="exact"/>
        <w:rPr>
          <w:sz w:val="20"/>
          <w:szCs w:val="20"/>
          <w:color w:val="auto"/>
        </w:rPr>
      </w:pPr>
    </w:p>
    <w:p>
      <w:pPr>
        <w:jc w:val="both"/>
        <w:ind w:left="840" w:right="80"/>
        <w:spacing w:after="0" w:line="279" w:lineRule="auto"/>
        <w:rPr>
          <w:sz w:val="20"/>
          <w:szCs w:val="20"/>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sz w:val="20"/>
          <w:szCs w:val="20"/>
          <w:color w:val="auto"/>
        </w:rPr>
      </w:pPr>
    </w:p>
    <w:p>
      <w:pPr>
        <w:ind w:left="840" w:right="480"/>
        <w:spacing w:after="0" w:line="359" w:lineRule="auto"/>
        <w:rPr>
          <w:sz w:val="20"/>
          <w:szCs w:val="20"/>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7" w:lineRule="exact"/>
        <w:rPr>
          <w:sz w:val="20"/>
          <w:szCs w:val="20"/>
          <w:color w:val="auto"/>
        </w:rPr>
      </w:pPr>
    </w:p>
    <w:p>
      <w:pPr>
        <w:ind w:left="840" w:right="260"/>
        <w:spacing w:after="0" w:line="329" w:lineRule="auto"/>
        <w:rPr>
          <w:sz w:val="20"/>
          <w:szCs w:val="20"/>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sz w:val="20"/>
          <w:szCs w:val="20"/>
          <w:color w:val="auto"/>
        </w:rPr>
      </w:pPr>
    </w:p>
    <w:p>
      <w:pPr>
        <w:ind w:left="840" w:right="160"/>
        <w:spacing w:after="0" w:line="272" w:lineRule="auto"/>
        <w:rPr>
          <w:sz w:val="20"/>
          <w:szCs w:val="20"/>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3" w:lineRule="exact"/>
        <w:rPr>
          <w:sz w:val="20"/>
          <w:szCs w:val="20"/>
          <w:color w:val="auto"/>
        </w:rPr>
      </w:pPr>
    </w:p>
    <w:p>
      <w:pPr>
        <w:ind w:left="840" w:right="20"/>
        <w:spacing w:after="0" w:line="309" w:lineRule="auto"/>
        <w:rPr>
          <w:sz w:val="20"/>
          <w:szCs w:val="20"/>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6" w:lineRule="exact"/>
        <w:rPr>
          <w:sz w:val="20"/>
          <w:szCs w:val="20"/>
          <w:color w:val="auto"/>
        </w:rPr>
      </w:pPr>
    </w:p>
    <w:p>
      <w:pPr>
        <w:ind w:left="840" w:right="20"/>
        <w:spacing w:after="0" w:line="319" w:lineRule="auto"/>
        <w:rPr>
          <w:sz w:val="20"/>
          <w:szCs w:val="20"/>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8" w:lineRule="exact"/>
        <w:rPr>
          <w:sz w:val="20"/>
          <w:szCs w:val="20"/>
          <w:color w:val="auto"/>
        </w:rPr>
      </w:pPr>
    </w:p>
    <w:p>
      <w:pPr>
        <w:ind w:left="840"/>
        <w:spacing w:after="0" w:line="311" w:lineRule="auto"/>
        <w:rPr>
          <w:sz w:val="20"/>
          <w:szCs w:val="20"/>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5"/>
          <w:szCs w:val="15"/>
          <w:b w:val="1"/>
          <w:bCs w:val="1"/>
          <w:i w:val="1"/>
          <w:iCs w:val="1"/>
          <w:color w:val="auto"/>
        </w:rPr>
        <w:t>Shareholder protections found in provisions under the UK City Code on Takeovers and Mergers, or the Takeover Code, do not apply to us.</w:t>
      </w:r>
    </w:p>
    <w:p>
      <w:pPr>
        <w:spacing w:after="0" w:line="165"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78" w:name="page79"/>
    <w:bookmarkEnd w:id="78"/>
    <w:p>
      <w:pPr>
        <w:ind w:right="460"/>
        <w:spacing w:after="0" w:line="293" w:lineRule="auto"/>
        <w:rPr>
          <w:sz w:val="20"/>
          <w:szCs w:val="20"/>
          <w:color w:val="auto"/>
        </w:rPr>
      </w:pPr>
      <w:r>
        <w:rPr>
          <w:rFonts w:ascii="Arial" w:cs="Arial" w:eastAsia="Arial" w:hAnsi="Arial"/>
          <w:sz w:val="18"/>
          <w:szCs w:val="18"/>
          <w:color w:val="auto"/>
        </w:rPr>
        <w:t>protections provided under the Takeover Code. The following is a brief summary of some of the most important rules of the Takeover Code which, as noted, does not apply to us:</w:t>
      </w:r>
    </w:p>
    <w:p>
      <w:pPr>
        <w:spacing w:after="0" w:line="35" w:lineRule="exact"/>
        <w:rPr>
          <w:sz w:val="20"/>
          <w:szCs w:val="20"/>
          <w:color w:val="auto"/>
        </w:rPr>
      </w:pPr>
    </w:p>
    <w:p>
      <w:pPr>
        <w:ind w:left="840" w:right="140"/>
        <w:spacing w:after="0" w:line="329" w:lineRule="auto"/>
        <w:rPr>
          <w:sz w:val="20"/>
          <w:szCs w:val="20"/>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13" w:lineRule="exact"/>
        <w:rPr>
          <w:sz w:val="20"/>
          <w:szCs w:val="20"/>
          <w:color w:val="auto"/>
        </w:rPr>
      </w:pPr>
    </w:p>
    <w:p>
      <w:pPr>
        <w:ind w:left="840" w:right="120"/>
        <w:spacing w:after="0" w:line="319" w:lineRule="auto"/>
        <w:rPr>
          <w:sz w:val="20"/>
          <w:szCs w:val="20"/>
          <w:color w:val="auto"/>
        </w:rPr>
      </w:pPr>
      <w:r>
        <w:rPr>
          <w:rFonts w:ascii="Arial" w:cs="Arial" w:eastAsia="Arial" w:hAnsi="Arial"/>
          <w:sz w:val="16"/>
          <w:szCs w:val="16"/>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21" w:lineRule="exact"/>
        <w:rPr>
          <w:sz w:val="20"/>
          <w:szCs w:val="20"/>
          <w:color w:val="auto"/>
        </w:rPr>
      </w:pPr>
    </w:p>
    <w:p>
      <w:pPr>
        <w:ind w:left="840" w:right="20"/>
        <w:spacing w:after="0" w:line="314" w:lineRule="auto"/>
        <w:rPr>
          <w:sz w:val="20"/>
          <w:szCs w:val="20"/>
          <w:color w:val="auto"/>
        </w:rPr>
      </w:pPr>
      <w:r>
        <w:rPr>
          <w:rFonts w:ascii="Arial" w:cs="Arial" w:eastAsia="Arial" w:hAnsi="Arial"/>
          <w:sz w:val="16"/>
          <w:szCs w:val="16"/>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25" w:lineRule="exact"/>
        <w:rPr>
          <w:sz w:val="20"/>
          <w:szCs w:val="20"/>
          <w:color w:val="auto"/>
        </w:rPr>
      </w:pPr>
    </w:p>
    <w:p>
      <w:pPr>
        <w:ind w:left="840" w:right="100"/>
        <w:spacing w:after="0" w:line="293" w:lineRule="auto"/>
        <w:rPr>
          <w:sz w:val="20"/>
          <w:szCs w:val="20"/>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35"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35" w:lineRule="exact"/>
        <w:rPr>
          <w:sz w:val="20"/>
          <w:szCs w:val="20"/>
          <w:color w:val="auto"/>
        </w:rPr>
      </w:pPr>
    </w:p>
    <w:p>
      <w:pPr>
        <w:ind w:left="840" w:right="240"/>
        <w:spacing w:after="0" w:line="324" w:lineRule="auto"/>
        <w:rPr>
          <w:sz w:val="20"/>
          <w:szCs w:val="20"/>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 shareholders must be given the same information.</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directors of those parties issuing takeover circulars must include statements taking responsibility for the contents thereof.</w:t>
      </w:r>
    </w:p>
    <w:p>
      <w:pPr>
        <w:spacing w:after="0" w:line="104"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104" w:lineRule="exact"/>
        <w:rPr>
          <w:sz w:val="20"/>
          <w:szCs w:val="20"/>
          <w:color w:val="auto"/>
        </w:rPr>
      </w:pPr>
    </w:p>
    <w:p>
      <w:pPr>
        <w:ind w:left="840" w:right="20"/>
        <w:spacing w:after="0" w:line="275" w:lineRule="auto"/>
        <w:rPr>
          <w:sz w:val="20"/>
          <w:szCs w:val="20"/>
          <w:color w:val="auto"/>
        </w:rPr>
      </w:pPr>
      <w:r>
        <w:rPr>
          <w:rFonts w:ascii="Arial" w:cs="Arial" w:eastAsia="Arial" w:hAnsi="Arial"/>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50" w:lineRule="exact"/>
        <w:rPr>
          <w:sz w:val="20"/>
          <w:szCs w:val="20"/>
          <w:color w:val="auto"/>
        </w:rPr>
      </w:pPr>
    </w:p>
    <w:p>
      <w:pPr>
        <w:ind w:left="840" w:right="220"/>
        <w:spacing w:after="0" w:line="279" w:lineRule="auto"/>
        <w:rPr>
          <w:sz w:val="20"/>
          <w:szCs w:val="20"/>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48" w:lineRule="exact"/>
        <w:rPr>
          <w:sz w:val="20"/>
          <w:szCs w:val="20"/>
          <w:color w:val="auto"/>
        </w:rPr>
      </w:pPr>
    </w:p>
    <w:p>
      <w:pPr>
        <w:ind w:left="840" w:right="100"/>
        <w:spacing w:after="0" w:line="329" w:lineRule="auto"/>
        <w:rPr>
          <w:sz w:val="20"/>
          <w:szCs w:val="20"/>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31" w:lineRule="exact"/>
        <w:rPr>
          <w:sz w:val="20"/>
          <w:szCs w:val="20"/>
          <w:color w:val="auto"/>
        </w:rPr>
      </w:pPr>
    </w:p>
    <w:p>
      <w:pPr>
        <w:ind w:right="60" w:firstLine="509"/>
        <w:spacing w:after="0" w:line="299"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9" w:name="page80"/>
    <w:bookmarkEnd w:id="79"/>
    <w:p>
      <w:pPr>
        <w:ind w:left="260" w:right="320" w:firstLine="509"/>
        <w:spacing w:after="0" w:line="293"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09"/>
        <w:spacing w:after="0" w:line="270"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0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8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29"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commonly referred to as Brexit. The UK formally left the EU on January 31, 2020 when the transition period granted by the Withdrawal Agreement ended. Separately, the EU-UK Trade and Cooperation Agreement was entered into between the UK and the EU on December 24, 2020. In addition, the UK is negotiating deals in a number of other areas where cooperation with the EU is required, and there is continued uncertainty as to which EU regulations and directives will be replicated into UK domestic law, or replaced, going forward, and when. Given the recent deal terms and the lack of clarity on future UK laws and regulations and their divergence from, or consistency with, the EU laws and regulations may negatively impact foreign direct investment in the UK, increase costs, depress economic activity and restrict access to capital.</w:t>
      </w:r>
    </w:p>
    <w:p>
      <w:pPr>
        <w:spacing w:after="0" w:line="127"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29"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02"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12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 particularly in regards to the specific terms of any trade deal that is reached between the UK and the EU.</w:t>
      </w:r>
    </w:p>
    <w:p>
      <w:pPr>
        <w:spacing w:after="0" w:line="137" w:lineRule="exact"/>
        <w:rPr>
          <w:sz w:val="20"/>
          <w:szCs w:val="20"/>
          <w:color w:val="auto"/>
        </w:rPr>
      </w:pPr>
    </w:p>
    <w:p>
      <w:pPr>
        <w:ind w:right="160" w:firstLine="509"/>
        <w:spacing w:after="0" w:line="266" w:lineRule="auto"/>
        <w:rPr>
          <w:sz w:val="20"/>
          <w:szCs w:val="20"/>
          <w:color w:val="auto"/>
        </w:rPr>
      </w:pPr>
      <w:r>
        <w:rPr>
          <w:rFonts w:ascii="Arial" w:cs="Arial" w:eastAsia="Arial" w:hAnsi="Arial"/>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right="220"/>
        <w:spacing w:after="0" w:line="279" w:lineRule="auto"/>
        <w:rPr>
          <w:sz w:val="20"/>
          <w:szCs w:val="20"/>
          <w:color w:val="auto"/>
        </w:rPr>
      </w:pPr>
      <w:r>
        <w:rPr>
          <w:rFonts w:ascii="Arial" w:cs="Arial" w:eastAsia="Arial" w:hAnsi="Arial"/>
          <w:sz w:val="18"/>
          <w:szCs w:val="18"/>
          <w:color w:val="auto"/>
        </w:rPr>
        <w:t>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85" w:lineRule="exact"/>
        <w:rPr>
          <w:sz w:val="20"/>
          <w:szCs w:val="20"/>
          <w:color w:val="auto"/>
        </w:rPr>
      </w:pPr>
    </w:p>
    <w:p>
      <w:pPr>
        <w:ind w:right="100" w:firstLine="509"/>
        <w:spacing w:after="0" w:line="314" w:lineRule="auto"/>
        <w:rPr>
          <w:sz w:val="20"/>
          <w:szCs w:val="20"/>
          <w:color w:val="auto"/>
        </w:rPr>
      </w:pPr>
      <w:r>
        <w:rPr>
          <w:rFonts w:ascii="Arial" w:cs="Arial" w:eastAsia="Arial" w:hAnsi="Arial"/>
          <w:sz w:val="16"/>
          <w:szCs w:val="16"/>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96"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10"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04" w:lineRule="exact"/>
        <w:rPr>
          <w:sz w:val="20"/>
          <w:szCs w:val="20"/>
          <w:color w:val="auto"/>
        </w:rPr>
      </w:pPr>
    </w:p>
    <w:p>
      <w:pPr>
        <w:ind w:right="360" w:firstLine="509"/>
        <w:spacing w:after="0" w:line="27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diversion of managerial resources from day-to-day operations;</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misjudgment with respect to the value;</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higher than expected transaction costs; or</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 inability to successfully consummate any such transaction or collaboration.</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purchased in the second quarter of 2021 are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tcPr>
          <w:p>
            <w:pPr>
              <w:spacing w:after="0"/>
              <w:rPr>
                <w:sz w:val="20"/>
                <w:szCs w:val="20"/>
                <w:color w:val="auto"/>
              </w:rPr>
            </w:pPr>
            <w:r>
              <w:rPr>
                <w:rFonts w:ascii="Arial" w:cs="Arial" w:eastAsia="Arial" w:hAnsi="Arial"/>
                <w:sz w:val="14"/>
                <w:szCs w:val="14"/>
                <w:b w:val="1"/>
                <w:bCs w:val="1"/>
                <w:i w:val="1"/>
                <w:iCs w:val="1"/>
                <w:color w:val="auto"/>
              </w:rPr>
              <w:t>Period</w:t>
            </w:r>
          </w:p>
        </w:tc>
        <w:tc>
          <w:tcPr>
            <w:tcW w:w="180" w:type="dxa"/>
            <w:vAlign w:val="bottom"/>
          </w:tcPr>
          <w:p>
            <w:pPr>
              <w:spacing w:after="0"/>
              <w:rPr>
                <w:sz w:val="14"/>
                <w:szCs w:val="14"/>
                <w:color w:val="auto"/>
              </w:rPr>
            </w:pPr>
          </w:p>
        </w:tc>
        <w:tc>
          <w:tcPr>
            <w:tcW w:w="160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Average Price</w:t>
            </w:r>
          </w:p>
        </w:tc>
        <w:tc>
          <w:tcPr>
            <w:tcW w:w="80" w:type="dxa"/>
            <w:vAlign w:val="bottom"/>
          </w:tcPr>
          <w:p>
            <w:pPr>
              <w:spacing w:after="0"/>
              <w:rPr>
                <w:sz w:val="14"/>
                <w:szCs w:val="14"/>
                <w:color w:val="auto"/>
              </w:rPr>
            </w:pPr>
          </w:p>
        </w:tc>
      </w:tr>
      <w:tr>
        <w:trPr>
          <w:trHeight w:val="217"/>
        </w:trPr>
        <w:tc>
          <w:tcPr>
            <w:tcW w:w="5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bottom w:val="single" w:sz="8" w:color="auto"/>
            </w:tcBorders>
          </w:tcPr>
          <w:p>
            <w:pPr>
              <w:jc w:val="right"/>
              <w:ind w:right="99"/>
              <w:spacing w:after="0" w:line="217" w:lineRule="exact"/>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19"/>
                <w:szCs w:val="19"/>
                <w:b w:val="1"/>
                <w:bCs w:val="1"/>
                <w:color w:val="auto"/>
                <w:w w:val="98"/>
                <w:vertAlign w:val="superscript"/>
              </w:rPr>
              <w:t>(1)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Paid per Share</w:t>
            </w:r>
          </w:p>
        </w:tc>
        <w:tc>
          <w:tcPr>
            <w:tcW w:w="80" w:type="dxa"/>
            <w:vAlign w:val="bottom"/>
          </w:tcPr>
          <w:p>
            <w:pPr>
              <w:spacing w:after="0"/>
              <w:rPr>
                <w:sz w:val="18"/>
                <w:szCs w:val="18"/>
                <w:color w:val="auto"/>
              </w:rPr>
            </w:pPr>
          </w:p>
        </w:tc>
      </w:tr>
      <w:tr>
        <w:trPr>
          <w:trHeight w:val="25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April 1 - 30, 2021</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50,621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21"/>
                <w:szCs w:val="21"/>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May 1 - 31, 2021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57,095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1"/>
                <w:szCs w:val="21"/>
                <w:color w:val="auto"/>
              </w:rPr>
            </w:pPr>
          </w:p>
        </w:tc>
      </w:tr>
      <w:tr>
        <w:trPr>
          <w:trHeight w:val="257"/>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1 - 30, 2021</w:t>
            </w:r>
          </w:p>
        </w:tc>
        <w:tc>
          <w:tcPr>
            <w:tcW w:w="18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34,488</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142,204</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-176530</wp:posOffset>
            </wp:positionV>
            <wp:extent cx="16319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380" w:right="200" w:hanging="372"/>
        <w:spacing w:after="0" w:line="228" w:lineRule="auto"/>
        <w:tabs>
          <w:tab w:leader="none" w:pos="236" w:val="left"/>
        </w:tabs>
        <w:numPr>
          <w:ilvl w:val="0"/>
          <w:numId w:val="24"/>
        </w:numPr>
        <w:rPr>
          <w:rFonts w:ascii="Arial" w:cs="Arial" w:eastAsia="Arial" w:hAnsi="Arial"/>
          <w:sz w:val="24"/>
          <w:szCs w:val="24"/>
          <w:color w:val="auto"/>
          <w:vertAlign w:val="superscript"/>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incorporated by reference or filed or furnished as part of this report.</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gridSpan w:val="2"/>
          </w:tcPr>
          <w:p>
            <w:pPr>
              <w:ind w:left="196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3780" w:type="dxa"/>
            <w:vAlign w:val="bottom"/>
            <w:gridSpan w:val="2"/>
          </w:tcPr>
          <w:p>
            <w:pPr>
              <w:ind w:left="134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Form</w:t>
            </w:r>
          </w:p>
        </w:tc>
        <w:tc>
          <w:tcPr>
            <w:tcW w:w="2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8"/>
        </w:trPr>
        <w:tc>
          <w:tcPr>
            <w:tcW w:w="320" w:type="dxa"/>
            <w:vAlign w:val="bottom"/>
          </w:tcPr>
          <w:p>
            <w:pPr>
              <w:jc w:val="right"/>
              <w:spacing w:after="0"/>
              <w:rPr>
                <w:rFonts w:ascii="Arial" w:cs="Arial" w:eastAsia="Arial" w:hAnsi="Arial"/>
                <w:sz w:val="18"/>
                <w:szCs w:val="18"/>
                <w:color w:val="0000FF"/>
                <w:w w:val="85"/>
              </w:rPr>
            </w:pPr>
            <w:hyperlink r:id="rId26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720" w:type="dxa"/>
            <w:vAlign w:val="bottom"/>
          </w:tcPr>
          <w:p>
            <w:pPr>
              <w:spacing w:after="0"/>
              <w:rPr>
                <w:sz w:val="24"/>
                <w:szCs w:val="24"/>
                <w:color w:val="auto"/>
              </w:rPr>
            </w:pPr>
          </w:p>
        </w:tc>
        <w:tc>
          <w:tcPr>
            <w:tcW w:w="7540" w:type="dxa"/>
            <w:vAlign w:val="bottom"/>
            <w:gridSpan w:val="4"/>
          </w:tcPr>
          <w:p>
            <w:pPr>
              <w:spacing w:after="0"/>
              <w:rPr>
                <w:rFonts w:ascii="Arial" w:cs="Arial" w:eastAsia="Arial" w:hAnsi="Arial"/>
                <w:sz w:val="18"/>
                <w:szCs w:val="18"/>
                <w:color w:val="0000FF"/>
                <w:w w:val="92"/>
              </w:rPr>
            </w:pPr>
            <w:hyperlink r:id="rId260">
              <w:r>
                <w:rPr>
                  <w:rFonts w:ascii="Arial" w:cs="Arial" w:eastAsia="Arial" w:hAnsi="Arial"/>
                  <w:sz w:val="18"/>
                  <w:szCs w:val="18"/>
                  <w:color w:val="0000FF"/>
                  <w:w w:val="92"/>
                </w:rPr>
                <w:t xml:space="preserve">Transitional Services and Separation Agreement between </w:t>
              </w:r>
            </w:hyperlink>
            <w:r>
              <w:rPr>
                <w:rFonts w:ascii="Arial" w:cs="Arial" w:eastAsia="Arial" w:hAnsi="Arial"/>
                <w:sz w:val="18"/>
                <w:szCs w:val="18"/>
                <w:color w:val="000000"/>
                <w:w w:val="92"/>
              </w:rPr>
              <w:t>Current</w:t>
            </w:r>
            <w:r>
              <w:rPr>
                <w:rFonts w:ascii="Arial" w:cs="Arial" w:eastAsia="Arial" w:hAnsi="Arial"/>
                <w:sz w:val="18"/>
                <w:szCs w:val="18"/>
                <w:color w:val="0000FF"/>
                <w:w w:val="92"/>
              </w:rPr>
              <w:t xml:space="preserve"> </w:t>
            </w:r>
            <w:r>
              <w:rPr>
                <w:rFonts w:ascii="Arial" w:cs="Arial" w:eastAsia="Arial" w:hAnsi="Arial"/>
                <w:sz w:val="18"/>
                <w:szCs w:val="18"/>
                <w:color w:val="000000"/>
                <w:w w:val="92"/>
              </w:rPr>
              <w:t>Report on Form 8-K, dated April 12,</w:t>
            </w:r>
          </w:p>
        </w:tc>
        <w:tc>
          <w:tcPr>
            <w:tcW w:w="2640" w:type="dxa"/>
            <w:vAlign w:val="bottom"/>
          </w:tcPr>
          <w:p>
            <w:pPr>
              <w:ind w:left="120"/>
              <w:spacing w:after="0"/>
              <w:rPr>
                <w:sz w:val="20"/>
                <w:szCs w:val="20"/>
                <w:color w:val="auto"/>
              </w:rPr>
            </w:pPr>
            <w:r>
              <w:rPr>
                <w:rFonts w:ascii="Arial" w:cs="Arial" w:eastAsia="Arial" w:hAnsi="Arial"/>
                <w:sz w:val="18"/>
                <w:szCs w:val="18"/>
                <w:color w:val="auto"/>
              </w:rPr>
              <w:t>April 12, 2021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40" w:type="dxa"/>
            <w:vAlign w:val="bottom"/>
            <w:gridSpan w:val="3"/>
          </w:tcPr>
          <w:p>
            <w:pPr>
              <w:spacing w:after="0"/>
              <w:rPr>
                <w:rFonts w:ascii="Arial" w:cs="Arial" w:eastAsia="Arial" w:hAnsi="Arial"/>
                <w:sz w:val="18"/>
                <w:szCs w:val="18"/>
                <w:color w:val="0000FF"/>
                <w:w w:val="93"/>
              </w:rPr>
            </w:pPr>
            <w:hyperlink r:id="rId260">
              <w:r>
                <w:rPr>
                  <w:rFonts w:ascii="Arial" w:cs="Arial" w:eastAsia="Arial" w:hAnsi="Arial"/>
                  <w:sz w:val="18"/>
                  <w:szCs w:val="18"/>
                  <w:color w:val="0000FF"/>
                  <w:w w:val="93"/>
                </w:rPr>
                <w:t>John Thero and Amarin Corporation plc, dated April 12,</w:t>
              </w:r>
            </w:hyperlink>
          </w:p>
        </w:tc>
        <w:tc>
          <w:tcPr>
            <w:tcW w:w="3400" w:type="dxa"/>
            <w:vAlign w:val="bottom"/>
          </w:tcPr>
          <w:p>
            <w:pPr>
              <w:ind w:left="20"/>
              <w:spacing w:after="0"/>
              <w:rPr>
                <w:sz w:val="20"/>
                <w:szCs w:val="20"/>
                <w:color w:val="auto"/>
              </w:rPr>
            </w:pPr>
            <w:r>
              <w:rPr>
                <w:rFonts w:ascii="Arial" w:cs="Arial" w:eastAsia="Arial" w:hAnsi="Arial"/>
                <w:sz w:val="18"/>
                <w:szCs w:val="18"/>
                <w:color w:val="auto"/>
              </w:rPr>
              <w:t>2021, File No. 000-21392, as Exhibit 10.1</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rFonts w:ascii="Arial" w:cs="Arial" w:eastAsia="Arial" w:hAnsi="Arial"/>
                <w:sz w:val="18"/>
                <w:szCs w:val="18"/>
                <w:color w:val="0000FF"/>
                <w:w w:val="79"/>
              </w:rPr>
            </w:pPr>
            <w:hyperlink r:id="rId260">
              <w:r>
                <w:rPr>
                  <w:rFonts w:ascii="Arial" w:cs="Arial" w:eastAsia="Arial" w:hAnsi="Arial"/>
                  <w:sz w:val="18"/>
                  <w:szCs w:val="18"/>
                  <w:color w:val="0000FF"/>
                  <w:w w:val="79"/>
                </w:rPr>
                <w:t>2021</w:t>
              </w:r>
            </w:hyperlink>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364"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320" w:type="dxa"/>
            <w:vAlign w:val="bottom"/>
          </w:tcPr>
          <w:p>
            <w:pPr>
              <w:jc w:val="right"/>
              <w:spacing w:after="0"/>
              <w:rPr>
                <w:rFonts w:ascii="Arial" w:cs="Arial" w:eastAsia="Arial" w:hAnsi="Arial"/>
                <w:sz w:val="18"/>
                <w:szCs w:val="18"/>
                <w:color w:val="0000FF"/>
                <w:w w:val="85"/>
              </w:rPr>
            </w:pPr>
            <w:hyperlink r:id="rId26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720" w:type="dxa"/>
            <w:vAlign w:val="bottom"/>
          </w:tcPr>
          <w:p>
            <w:pPr>
              <w:spacing w:after="0"/>
              <w:rPr>
                <w:sz w:val="17"/>
                <w:szCs w:val="17"/>
                <w:color w:val="auto"/>
              </w:rPr>
            </w:pPr>
          </w:p>
        </w:tc>
        <w:tc>
          <w:tcPr>
            <w:tcW w:w="3840" w:type="dxa"/>
            <w:vAlign w:val="bottom"/>
            <w:gridSpan w:val="2"/>
          </w:tcPr>
          <w:p>
            <w:pPr>
              <w:spacing w:after="0"/>
              <w:rPr>
                <w:rFonts w:ascii="Arial" w:cs="Arial" w:eastAsia="Arial" w:hAnsi="Arial"/>
                <w:sz w:val="18"/>
                <w:szCs w:val="18"/>
                <w:color w:val="0000FF"/>
                <w:w w:val="92"/>
              </w:rPr>
            </w:pPr>
            <w:hyperlink r:id="rId261">
              <w:r>
                <w:rPr>
                  <w:rFonts w:ascii="Arial" w:cs="Arial" w:eastAsia="Arial" w:hAnsi="Arial"/>
                  <w:sz w:val="18"/>
                  <w:szCs w:val="18"/>
                  <w:color w:val="0000FF"/>
                  <w:w w:val="92"/>
                </w:rPr>
                <w:t>Contract of Employment between Karim Mikhail and</w:t>
              </w:r>
            </w:hyperlink>
          </w:p>
        </w:tc>
      </w:tr>
      <w:tr>
        <w:trPr>
          <w:trHeight w:val="20"/>
        </w:trPr>
        <w:tc>
          <w:tcPr>
            <w:tcW w:w="3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40" w:type="dxa"/>
            <w:vAlign w:val="bottom"/>
            <w:gridSpan w:val="2"/>
          </w:tcPr>
          <w:p>
            <w:pPr>
              <w:spacing w:after="0"/>
              <w:rPr>
                <w:rFonts w:ascii="Arial" w:cs="Arial" w:eastAsia="Arial" w:hAnsi="Arial"/>
                <w:sz w:val="18"/>
                <w:szCs w:val="18"/>
                <w:color w:val="0000FF"/>
                <w:w w:val="99"/>
              </w:rPr>
            </w:pPr>
            <w:hyperlink r:id="rId261">
              <w:r>
                <w:rPr>
                  <w:rFonts w:ascii="Arial" w:cs="Arial" w:eastAsia="Arial" w:hAnsi="Arial"/>
                  <w:sz w:val="18"/>
                  <w:szCs w:val="18"/>
                  <w:color w:val="0000FF"/>
                  <w:w w:val="99"/>
                </w:rPr>
                <w:t>Amarin Switzerland GmbH, dated April 12, 2021</w:t>
              </w:r>
            </w:hyperlink>
          </w:p>
        </w:tc>
      </w:tr>
      <w:tr>
        <w:trPr>
          <w:trHeight w:val="20"/>
        </w:trPr>
        <w:tc>
          <w:tcPr>
            <w:tcW w:w="3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460"/>
        <w:spacing w:after="0" w:line="279" w:lineRule="auto"/>
        <w:rPr>
          <w:sz w:val="20"/>
          <w:szCs w:val="20"/>
          <w:color w:val="auto"/>
        </w:rPr>
      </w:pPr>
      <w:r>
        <w:rPr>
          <w:rFonts w:ascii="Arial" w:cs="Arial" w:eastAsia="Arial" w:hAnsi="Arial"/>
          <w:sz w:val="18"/>
          <w:szCs w:val="18"/>
          <w:color w:val="auto"/>
        </w:rPr>
        <w:t>Quarterly Report on Form 10-Q for the quarter April 29, 2021 ended March 31, 2021, File No. 000-21392, as Exhibit 10.4</w:t>
      </w:r>
    </w:p>
    <w:p>
      <w:pPr>
        <w:spacing w:after="0" w:line="138" w:lineRule="exact"/>
        <w:rPr>
          <w:sz w:val="20"/>
          <w:szCs w:val="20"/>
          <w:color w:val="auto"/>
        </w:rPr>
      </w:pPr>
    </w:p>
    <w:p>
      <w:pPr>
        <w:sectPr>
          <w:pgSz w:w="11900" w:h="16838" w:orient="portrait"/>
          <w:cols w:equalWidth="0" w:num="2">
            <w:col w:w="4900" w:space="320"/>
            <w:col w:w="60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gridSpan w:val="2"/>
          </w:tcPr>
          <w:p>
            <w:pPr>
              <w:spacing w:after="0"/>
              <w:rPr>
                <w:rFonts w:ascii="Arial" w:cs="Arial" w:eastAsia="Arial" w:hAnsi="Arial"/>
                <w:sz w:val="18"/>
                <w:szCs w:val="18"/>
                <w:color w:val="0000FF"/>
                <w:w w:val="85"/>
              </w:rPr>
            </w:pPr>
            <w:hyperlink r:id="rId26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80" w:type="dxa"/>
            <w:vAlign w:val="bottom"/>
            <w:gridSpan w:val="9"/>
          </w:tcPr>
          <w:p>
            <w:pPr>
              <w:spacing w:after="0"/>
              <w:rPr>
                <w:rFonts w:ascii="Arial" w:cs="Arial" w:eastAsia="Arial" w:hAnsi="Arial"/>
                <w:sz w:val="18"/>
                <w:szCs w:val="18"/>
                <w:color w:val="0000FF"/>
              </w:rPr>
            </w:pPr>
            <w:hyperlink r:id="rId262">
              <w:r>
                <w:rPr>
                  <w:rFonts w:ascii="Arial" w:cs="Arial" w:eastAsia="Arial" w:hAnsi="Arial"/>
                  <w:sz w:val="18"/>
                  <w:szCs w:val="18"/>
                  <w:color w:val="0000FF"/>
                </w:rPr>
                <w:t xml:space="preserve">Transitional Services and Separation Agreement between </w:t>
              </w:r>
            </w:hyperlink>
            <w:r>
              <w:rPr>
                <w:rFonts w:ascii="Arial" w:cs="Arial" w:eastAsia="Arial" w:hAnsi="Arial"/>
                <w:sz w:val="18"/>
                <w:szCs w:val="18"/>
                <w:color w:val="000000"/>
              </w:rPr>
              <w:t>Current</w:t>
            </w:r>
            <w:r>
              <w:rPr>
                <w:rFonts w:ascii="Arial" w:cs="Arial" w:eastAsia="Arial" w:hAnsi="Arial"/>
                <w:sz w:val="18"/>
                <w:szCs w:val="18"/>
                <w:color w:val="0000FF"/>
              </w:rPr>
              <w:t xml:space="preserve"> </w:t>
            </w:r>
            <w:r>
              <w:rPr>
                <w:rFonts w:ascii="Arial" w:cs="Arial" w:eastAsia="Arial" w:hAnsi="Arial"/>
                <w:sz w:val="18"/>
                <w:szCs w:val="18"/>
                <w:color w:val="000000"/>
              </w:rPr>
              <w:t>Report on Form 8-K, dated April 29,   April 29, 2021</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4"/>
              </w:rPr>
            </w:pPr>
            <w:hyperlink r:id="rId262">
              <w:r>
                <w:rPr>
                  <w:rFonts w:ascii="Arial" w:cs="Arial" w:eastAsia="Arial" w:hAnsi="Arial"/>
                  <w:sz w:val="18"/>
                  <w:szCs w:val="18"/>
                  <w:color w:val="0000FF"/>
                  <w:w w:val="94"/>
                </w:rPr>
                <w:t>Joseph T. Kennedy and Amarin Corporation plc, dated</w:t>
              </w:r>
            </w:hyperlink>
          </w:p>
        </w:tc>
        <w:tc>
          <w:tcPr>
            <w:tcW w:w="6060" w:type="dxa"/>
            <w:vAlign w:val="bottom"/>
          </w:tcPr>
          <w:p>
            <w:pPr>
              <w:ind w:left="40"/>
              <w:spacing w:after="0"/>
              <w:rPr>
                <w:sz w:val="20"/>
                <w:szCs w:val="20"/>
                <w:color w:val="auto"/>
              </w:rPr>
            </w:pPr>
            <w:r>
              <w:rPr>
                <w:rFonts w:ascii="Arial" w:cs="Arial" w:eastAsia="Arial" w:hAnsi="Arial"/>
                <w:sz w:val="18"/>
                <w:szCs w:val="18"/>
                <w:color w:val="auto"/>
              </w:rPr>
              <w:t>2021, File No. 000-21392, as Exhibit 10.1</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rPr>
            </w:pPr>
            <w:hyperlink r:id="rId262">
              <w:r>
                <w:rPr>
                  <w:rFonts w:ascii="Arial" w:cs="Arial" w:eastAsia="Arial" w:hAnsi="Arial"/>
                  <w:sz w:val="18"/>
                  <w:szCs w:val="18"/>
                  <w:color w:val="0000FF"/>
                </w:rPr>
                <w:t>April 28, 2021</w:t>
              </w:r>
            </w:hyperlink>
          </w:p>
        </w:tc>
        <w:tc>
          <w:tcPr>
            <w:tcW w:w="6060" w:type="dxa"/>
            <w:vAlign w:val="bottom"/>
          </w:tcPr>
          <w:p>
            <w:pPr>
              <w:spacing w:after="0"/>
              <w:rPr>
                <w:sz w:val="18"/>
                <w:szCs w:val="18"/>
                <w:color w:val="auto"/>
              </w:rPr>
            </w:pPr>
          </w:p>
        </w:tc>
      </w:tr>
      <w:tr>
        <w:trPr>
          <w:trHeight w:val="20"/>
        </w:trPr>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98"/>
        </w:trPr>
        <w:tc>
          <w:tcPr>
            <w:tcW w:w="1060" w:type="dxa"/>
            <w:vAlign w:val="bottom"/>
            <w:gridSpan w:val="5"/>
          </w:tcPr>
          <w:p>
            <w:pPr>
              <w:jc w:val="right"/>
              <w:ind w:right="640"/>
              <w:spacing w:after="0"/>
              <w:rPr>
                <w:rFonts w:ascii="Arial" w:cs="Arial" w:eastAsia="Arial" w:hAnsi="Arial"/>
                <w:sz w:val="18"/>
                <w:szCs w:val="18"/>
                <w:color w:val="0000FF"/>
              </w:rPr>
            </w:pPr>
            <w:hyperlink w:anchor="page8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120" w:type="dxa"/>
            <w:vAlign w:val="bottom"/>
            <w:gridSpan w:val="8"/>
          </w:tcPr>
          <w:p>
            <w:pPr>
              <w:spacing w:after="0"/>
              <w:rPr>
                <w:rFonts w:ascii="Arial" w:cs="Arial" w:eastAsia="Arial" w:hAnsi="Arial"/>
                <w:sz w:val="18"/>
                <w:szCs w:val="18"/>
                <w:color w:val="0000FF"/>
                <w:w w:val="97"/>
              </w:rPr>
            </w:pPr>
            <w:hyperlink w:anchor="page85">
              <w:r>
                <w:rPr>
                  <w:rFonts w:ascii="Arial" w:cs="Arial" w:eastAsia="Arial" w:hAnsi="Arial"/>
                  <w:sz w:val="18"/>
                  <w:szCs w:val="18"/>
                  <w:color w:val="0000FF"/>
                  <w:w w:val="97"/>
                </w:rPr>
                <w:t>Certification of President and Chief Executive Officer</w:t>
              </w:r>
            </w:hyperlink>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(Principal Executive Officer) pursuant to Section 302 of</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Sarbanes-Oxley Act of 2002</w:t>
              </w:r>
            </w:hyperlink>
          </w:p>
        </w:tc>
        <w:tc>
          <w:tcPr>
            <w:tcW w:w="6060" w:type="dxa"/>
            <w:vAlign w:val="bottom"/>
          </w:tcPr>
          <w:p>
            <w:pPr>
              <w:spacing w:after="0"/>
              <w:rPr>
                <w:sz w:val="18"/>
                <w:szCs w:val="18"/>
                <w:color w:val="auto"/>
              </w:rPr>
            </w:pPr>
          </w:p>
        </w:tc>
      </w:tr>
      <w:tr>
        <w:trPr>
          <w:trHeight w:val="20"/>
        </w:trPr>
        <w:tc>
          <w:tcPr>
            <w:tcW w:w="1060" w:type="dxa"/>
            <w:vAlign w:val="bottom"/>
            <w:tcBorders>
              <w:right w:val="single" w:sz="8" w:color="0000EE"/>
            </w:tcBorders>
            <w:gridSpan w:val="5"/>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98"/>
        </w:trPr>
        <w:tc>
          <w:tcPr>
            <w:tcW w:w="1060" w:type="dxa"/>
            <w:vAlign w:val="bottom"/>
            <w:gridSpan w:val="5"/>
          </w:tcPr>
          <w:p>
            <w:pPr>
              <w:jc w:val="right"/>
              <w:ind w:right="640"/>
              <w:spacing w:after="0"/>
              <w:rPr>
                <w:rFonts w:ascii="Arial" w:cs="Arial" w:eastAsia="Arial" w:hAnsi="Arial"/>
                <w:sz w:val="18"/>
                <w:szCs w:val="18"/>
                <w:color w:val="0000FF"/>
              </w:rPr>
            </w:pPr>
            <w:hyperlink w:anchor="page8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120" w:type="dxa"/>
            <w:vAlign w:val="bottom"/>
            <w:gridSpan w:val="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Senior Vice President and Chief</w:t>
              </w:r>
            </w:hyperlink>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Financial Officer (Principal Financial Officer and</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Principal Accounting Officer) pursuant to Section 302 of</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Sarbanes-Oxley Act of 2002</w:t>
              </w:r>
            </w:hyperlink>
          </w:p>
        </w:tc>
        <w:tc>
          <w:tcPr>
            <w:tcW w:w="6060" w:type="dxa"/>
            <w:vAlign w:val="bottom"/>
          </w:tcPr>
          <w:p>
            <w:pPr>
              <w:spacing w:after="0"/>
              <w:rPr>
                <w:sz w:val="18"/>
                <w:szCs w:val="18"/>
                <w:color w:val="auto"/>
              </w:rPr>
            </w:pPr>
          </w:p>
        </w:tc>
      </w:tr>
      <w:tr>
        <w:trPr>
          <w:trHeight w:val="20"/>
        </w:trPr>
        <w:tc>
          <w:tcPr>
            <w:tcW w:w="1060" w:type="dxa"/>
            <w:vAlign w:val="bottom"/>
            <w:tcBorders>
              <w:right w:val="single" w:sz="8" w:color="0000EE"/>
            </w:tcBorders>
            <w:gridSpan w:val="5"/>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98"/>
        </w:trPr>
        <w:tc>
          <w:tcPr>
            <w:tcW w:w="1060" w:type="dxa"/>
            <w:vAlign w:val="bottom"/>
            <w:gridSpan w:val="5"/>
          </w:tcPr>
          <w:p>
            <w:pPr>
              <w:jc w:val="right"/>
              <w:ind w:right="640"/>
              <w:spacing w:after="0"/>
              <w:rPr>
                <w:rFonts w:ascii="Arial" w:cs="Arial" w:eastAsia="Arial" w:hAnsi="Arial"/>
                <w:sz w:val="18"/>
                <w:szCs w:val="18"/>
                <w:color w:val="0000FF"/>
              </w:rPr>
            </w:pPr>
            <w:hyperlink w:anchor="page8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120" w:type="dxa"/>
            <w:vAlign w:val="bottom"/>
            <w:gridSpan w:val="8"/>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Certification of President and Chief Executive Officer</w:t>
              </w:r>
            </w:hyperlink>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4"/>
              </w:rPr>
            </w:pPr>
            <w:hyperlink w:anchor="page87">
              <w:r>
                <w:rPr>
                  <w:rFonts w:ascii="Arial" w:cs="Arial" w:eastAsia="Arial" w:hAnsi="Arial"/>
                  <w:sz w:val="18"/>
                  <w:szCs w:val="18"/>
                  <w:color w:val="0000FF"/>
                  <w:w w:val="94"/>
                </w:rPr>
                <w:t>(Principal Executive Officer) and Senior Vice President</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5"/>
              </w:rPr>
            </w:pPr>
            <w:hyperlink w:anchor="page87">
              <w:r>
                <w:rPr>
                  <w:rFonts w:ascii="Arial" w:cs="Arial" w:eastAsia="Arial" w:hAnsi="Arial"/>
                  <w:sz w:val="18"/>
                  <w:szCs w:val="18"/>
                  <w:color w:val="0000FF"/>
                  <w:w w:val="95"/>
                </w:rPr>
                <w:t>and Chief Financial Officer (Principal Financial Officer</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and Principal Accounting Officer) pursuant to Section</w:t>
              </w:r>
            </w:hyperlink>
          </w:p>
        </w:tc>
        <w:tc>
          <w:tcPr>
            <w:tcW w:w="6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906 of Sarbanes-Oxley Act of 2002</w:t>
              </w:r>
            </w:hyperlink>
          </w:p>
        </w:tc>
        <w:tc>
          <w:tcPr>
            <w:tcW w:w="6060" w:type="dxa"/>
            <w:vAlign w:val="bottom"/>
          </w:tcPr>
          <w:p>
            <w:pPr>
              <w:spacing w:after="0"/>
              <w:rPr>
                <w:sz w:val="18"/>
                <w:szCs w:val="18"/>
                <w:color w:val="auto"/>
              </w:rPr>
            </w:pPr>
          </w:p>
        </w:tc>
      </w:tr>
      <w:tr>
        <w:trPr>
          <w:trHeight w:val="20"/>
        </w:trPr>
        <w:tc>
          <w:tcPr>
            <w:tcW w:w="1060" w:type="dxa"/>
            <w:vAlign w:val="bottom"/>
            <w:tcBorders>
              <w:right w:val="single" w:sz="8" w:color="0000EE"/>
            </w:tcBorders>
            <w:gridSpan w:val="5"/>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39"/>
        </w:trPr>
        <w:tc>
          <w:tcPr>
            <w:tcW w:w="106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8"/>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418"/>
        </w:trPr>
        <w:tc>
          <w:tcPr>
            <w:tcW w:w="106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6060" w:type="dxa"/>
            <w:vAlign w:val="bottom"/>
          </w:tcPr>
          <w:p>
            <w:pPr>
              <w:spacing w:after="0"/>
              <w:rPr>
                <w:sz w:val="20"/>
                <w:szCs w:val="20"/>
                <w:color w:val="auto"/>
              </w:rPr>
            </w:pPr>
          </w:p>
        </w:tc>
      </w:tr>
      <w:tr>
        <w:trPr>
          <w:trHeight w:val="418"/>
        </w:trPr>
        <w:tc>
          <w:tcPr>
            <w:tcW w:w="106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8"/>
          </w:tcPr>
          <w:p>
            <w:pPr>
              <w:spacing w:after="0"/>
              <w:rPr>
                <w:sz w:val="20"/>
                <w:szCs w:val="20"/>
                <w:color w:val="auto"/>
              </w:rPr>
            </w:pPr>
            <w:r>
              <w:rPr>
                <w:rFonts w:ascii="Arial" w:cs="Arial" w:eastAsia="Arial" w:hAnsi="Arial"/>
                <w:sz w:val="18"/>
                <w:szCs w:val="18"/>
                <w:color w:val="auto"/>
                <w:w w:val="96"/>
              </w:rPr>
              <w:t>Inline XBRL Taxonomy Extension Definition Linkbase</w:t>
            </w:r>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6060" w:type="dxa"/>
            <w:vAlign w:val="bottom"/>
          </w:tcPr>
          <w:p>
            <w:pPr>
              <w:spacing w:after="0"/>
              <w:rPr>
                <w:sz w:val="20"/>
                <w:szCs w:val="20"/>
                <w:color w:val="auto"/>
              </w:rPr>
            </w:pPr>
          </w:p>
        </w:tc>
      </w:tr>
      <w:tr>
        <w:trPr>
          <w:trHeight w:val="418"/>
        </w:trPr>
        <w:tc>
          <w:tcPr>
            <w:tcW w:w="106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6060" w:type="dxa"/>
            <w:vAlign w:val="bottom"/>
          </w:tcPr>
          <w:p>
            <w:pPr>
              <w:spacing w:after="0"/>
              <w:rPr>
                <w:sz w:val="20"/>
                <w:szCs w:val="20"/>
                <w:color w:val="auto"/>
              </w:rPr>
            </w:pPr>
          </w:p>
        </w:tc>
      </w:tr>
      <w:tr>
        <w:trPr>
          <w:trHeight w:val="418"/>
        </w:trPr>
        <w:tc>
          <w:tcPr>
            <w:tcW w:w="106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w:t>
            </w:r>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Linkbase Document</w:t>
            </w:r>
          </w:p>
        </w:tc>
        <w:tc>
          <w:tcPr>
            <w:tcW w:w="6060" w:type="dxa"/>
            <w:vAlign w:val="bottom"/>
          </w:tcPr>
          <w:p>
            <w:pPr>
              <w:spacing w:after="0"/>
              <w:rPr>
                <w:sz w:val="20"/>
                <w:szCs w:val="20"/>
                <w:color w:val="auto"/>
              </w:rPr>
            </w:pPr>
          </w:p>
        </w:tc>
      </w:tr>
      <w:tr>
        <w:trPr>
          <w:trHeight w:val="418"/>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Cover Page Interactive Data File</w:t>
            </w:r>
          </w:p>
        </w:tc>
        <w:tc>
          <w:tcPr>
            <w:tcW w:w="60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w w:val="99"/>
              </w:rPr>
              <w:t>(formatted as inline XBRL with applicable taxonomy</w:t>
            </w:r>
          </w:p>
        </w:tc>
        <w:tc>
          <w:tcPr>
            <w:tcW w:w="6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Arial" w:cs="Arial" w:eastAsia="Arial" w:hAnsi="Arial"/>
                <w:sz w:val="18"/>
                <w:szCs w:val="18"/>
                <w:color w:val="auto"/>
              </w:rPr>
              <w:t>extension information contained in Exhibits 101.*)</w:t>
            </w:r>
          </w:p>
        </w:tc>
        <w:tc>
          <w:tcPr>
            <w:tcW w:w="606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83</w:t>
            </w:r>
          </w:p>
        </w:tc>
      </w:tr>
      <w:tr>
        <w:trPr>
          <w:trHeight w:val="115"/>
        </w:trPr>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3" w:name="page84"/>
    <w:bookmarkEnd w:id="83"/>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AMARIN CORPORATION PLC</w:t>
      </w:r>
    </w:p>
    <w:p>
      <w:pPr>
        <w:spacing w:after="0" w:line="347"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457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Karim Mikhail</w:t>
      </w:r>
    </w:p>
    <w:p>
      <w:pPr>
        <w:spacing w:after="0" w:line="30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4" w:right="5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Karim Mikhail, certify that:</w:t>
      </w:r>
    </w:p>
    <w:p>
      <w:pPr>
        <w:spacing w:after="0" w:line="13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1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540" w:hanging="512"/>
        <w:spacing w:after="0" w:line="324" w:lineRule="auto"/>
        <w:tabs>
          <w:tab w:leader="none" w:pos="1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0" w:hanging="512"/>
        <w:spacing w:after="0" w:line="279" w:lineRule="auto"/>
        <w:tabs>
          <w:tab w:leader="none" w:pos="1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7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7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300" w:hanging="479"/>
        <w:spacing w:after="0" w:line="279" w:lineRule="auto"/>
        <w:tabs>
          <w:tab w:leader="none" w:pos="7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480" w:hanging="512"/>
        <w:spacing w:after="0" w:line="359" w:lineRule="auto"/>
        <w:tabs>
          <w:tab w:leader="none" w:pos="1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220" w:hanging="479"/>
        <w:spacing w:after="0" w:line="324" w:lineRule="auto"/>
        <w:tabs>
          <w:tab w:leader="none" w:pos="70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80" w:hanging="479"/>
        <w:spacing w:after="0" w:line="293" w:lineRule="auto"/>
        <w:tabs>
          <w:tab w:leader="none" w:pos="7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580" w:val="left"/>
          <w:tab w:leader="none" w:pos="79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Karim Mikhail</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3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1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540" w:hanging="512"/>
        <w:spacing w:after="0" w:line="324" w:lineRule="auto"/>
        <w:tabs>
          <w:tab w:leader="none" w:pos="1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0" w:hanging="512"/>
        <w:spacing w:after="0" w:line="279" w:lineRule="auto"/>
        <w:tabs>
          <w:tab w:leader="none" w:pos="1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7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70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300" w:hanging="479"/>
        <w:spacing w:after="0" w:line="279" w:lineRule="auto"/>
        <w:tabs>
          <w:tab w:leader="none" w:pos="7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480" w:hanging="512"/>
        <w:spacing w:after="0" w:line="359" w:lineRule="auto"/>
        <w:tabs>
          <w:tab w:leader="none" w:pos="1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220" w:hanging="479"/>
        <w:spacing w:after="0" w:line="324" w:lineRule="auto"/>
        <w:tabs>
          <w:tab w:leader="none" w:pos="7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80" w:hanging="479"/>
        <w:spacing w:after="0" w:line="293" w:lineRule="auto"/>
        <w:tabs>
          <w:tab w:leader="none" w:pos="7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6"/>
          <w:szCs w:val="16"/>
          <w:color w:val="auto"/>
        </w:rPr>
        <w:t>/s/ 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W. Kalb</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51"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Karim Mikhail,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99" w:lineRule="exact"/>
        <w:rPr>
          <w:sz w:val="20"/>
          <w:szCs w:val="20"/>
          <w:color w:val="auto"/>
        </w:rPr>
      </w:pPr>
    </w:p>
    <w:p>
      <w:pPr>
        <w:ind w:right="700" w:firstLine="8"/>
        <w:spacing w:after="0" w:line="324"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2021, to which this Certification is attached as Exhibit 32.1 (the “Quarterly Report”) fully complies with the requirements of Section 13(a) or 15(d) of the Securities Exchange Act of 1934; and</w:t>
      </w:r>
    </w:p>
    <w:p>
      <w:pPr>
        <w:spacing w:after="0" w:line="160" w:lineRule="exact"/>
        <w:rPr>
          <w:rFonts w:ascii="Arial" w:cs="Arial" w:eastAsia="Arial" w:hAnsi="Arial"/>
          <w:sz w:val="17"/>
          <w:szCs w:val="17"/>
          <w:color w:val="auto"/>
        </w:rPr>
      </w:pPr>
    </w:p>
    <w:p>
      <w:pPr>
        <w:ind w:right="580" w:firstLine="8"/>
        <w:spacing w:after="0" w:line="29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Karim Mikhail</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6"/>
          <w:szCs w:val="16"/>
          <w:color w:val="auto"/>
        </w:rPr>
        <w:t>Michael W. Kalb</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5"/>
    </w:lvl>
  </w:abstractNum>
  <w:abstractNum w:abstractNumId="4">
    <w:nsid w:val="6B68079A"/>
    <w:multiLevelType w:val="hybridMultilevel"/>
    <w:lvl w:ilvl="0">
      <w:lvlJc w:val="left"/>
      <w:lvlText w:val="(%1)"/>
      <w:numFmt w:val="lowerRoman"/>
      <w:start w:val="4"/>
    </w:lvl>
  </w:abstractNum>
  <w:abstractNum w:abstractNumId="5">
    <w:nsid w:val="4E6AFB66"/>
    <w:multiLevelType w:val="hybridMultilevel"/>
    <w:lvl w:ilvl="0">
      <w:lvlJc w:val="left"/>
      <w:lvlText w:val="(%1)"/>
      <w:numFmt w:val="decimal"/>
      <w:start w:val="9"/>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upperLetter"/>
      <w:start w:val="9"/>
    </w:lvl>
  </w:abstractNum>
  <w:abstractNum w:abstractNumId="18">
    <w:nsid w:val="2D1D5AE9"/>
    <w:multiLevelType w:val="hybridMultilevel"/>
    <w:lvl w:ilvl="0">
      <w:lvlJc w:val="left"/>
      <w:lvlText w:val="(%1)"/>
      <w:numFmt w:val="upperLetter"/>
      <w:start w:val="35"/>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60" Type="http://schemas.openxmlformats.org/officeDocument/2006/relationships/hyperlink" Target="https://www.sec.gov/Archives/edgar/data/897448/000119312521113365/d172981dex101.htm" TargetMode="External"/><Relationship Id="rId261" Type="http://schemas.openxmlformats.org/officeDocument/2006/relationships/hyperlink" Target="https://www.sec.gov/Archives/edgar/data/897448/000156459021021572/amrn-ex104_333.htm" TargetMode="External"/><Relationship Id="rId262" Type="http://schemas.openxmlformats.org/officeDocument/2006/relationships/hyperlink" Target="https://www.sec.gov/Archives/edgar/data/897448/000156459021021567/amrn-ex101_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2021-08-05T05:57:06Z</dcterms:created>
  <dcterms:modified xsi:type="dcterms:W3CDTF">2021-08-05T05:57:06Z</dcterms:modified>
</cp:coreProperties>
</file>