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p>
            <w:pPr>
              <w:pStyle w:val="TableContents"/>
              <w:bidi w:val="0"/>
              <w:spacing w:before="0" w:after="0"/>
              <w:jc w:val="center"/>
              <w:rPr>
                <w:b/>
              </w:rPr>
            </w:pPr>
            <w:r>
              <w:rPr>
                <w:b/>
              </w:rPr>
              <w:t xml:space="preserve">(Amendment No. </w:t>
            </w:r>
            <w:r>
              <w:rPr>
                <w:b/>
                <w:color w:val="0000FF"/>
              </w:rPr>
              <w:t>16</w:t>
            </w:r>
            <w:r>
              <w:rPr>
                <w:b/>
              </w:rPr>
              <w:t xml:space="preserve">)*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Amarin Corporation PLC/UK</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Ordinary Shares, par value 50 pence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Alexander J Denner</w:t>
              <w:br/>
              <w:t>Sarissa Capital Management LP, 500 West Putnam Avenue, Suite 400</w:t>
              <w:br/>
              <w:t>Greenwich, CT, 06830</w:t>
              <w:br/>
              <w:t>203-302-2330</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08/25/2026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Sarissa Capital Management LP</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25,743,900.00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25,743,900.00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25,743,900.00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6.09 %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394"/>
        <w:gridCol w:w="7811"/>
      </w:tblGrid>
      <w:tr>
        <w:trPr/>
        <w:tc>
          <w:tcPr>
            <w:tcW w:w="2394" w:type="dxa"/>
            <w:tcBorders/>
            <w:vAlign w:val="center"/>
          </w:tcPr>
          <w:p>
            <w:pPr>
              <w:pStyle w:val="TableContents"/>
              <w:bidi w:val="0"/>
              <w:spacing w:before="0" w:after="283"/>
              <w:jc w:val="left"/>
              <w:rPr/>
            </w:pPr>
            <w:r>
              <w:rPr/>
              <w:t>1</w:t>
            </w:r>
          </w:p>
        </w:tc>
        <w:tc>
          <w:tcPr>
            <w:tcW w:w="781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Alexander J Denner</w:t>
            </w:r>
          </w:p>
        </w:tc>
      </w:tr>
      <w:tr>
        <w:trPr/>
        <w:tc>
          <w:tcPr>
            <w:tcW w:w="2394" w:type="dxa"/>
            <w:tcBorders/>
            <w:vAlign w:val="center"/>
          </w:tcPr>
          <w:p>
            <w:pPr>
              <w:pStyle w:val="TableContents"/>
              <w:bidi w:val="0"/>
              <w:spacing w:before="0" w:after="283"/>
              <w:jc w:val="left"/>
              <w:rPr/>
            </w:pPr>
            <w:r>
              <w:rPr/>
              <w:t>2</w:t>
            </w:r>
          </w:p>
        </w:tc>
        <w:tc>
          <w:tcPr>
            <w:tcW w:w="781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(b) </w:t>
            </w:r>
          </w:p>
        </w:tc>
      </w:tr>
      <w:tr>
        <w:trPr/>
        <w:tc>
          <w:tcPr>
            <w:tcW w:w="2394" w:type="dxa"/>
            <w:tcBorders/>
            <w:vAlign w:val="center"/>
          </w:tcPr>
          <w:p>
            <w:pPr>
              <w:pStyle w:val="TableContents"/>
              <w:bidi w:val="0"/>
              <w:spacing w:before="0" w:after="283"/>
              <w:jc w:val="left"/>
              <w:rPr/>
            </w:pPr>
            <w:r>
              <w:rPr/>
              <w:t>3</w:t>
            </w:r>
          </w:p>
        </w:tc>
        <w:tc>
          <w:tcPr>
            <w:tcW w:w="7811" w:type="dxa"/>
            <w:tcBorders/>
            <w:vAlign w:val="center"/>
          </w:tcPr>
          <w:p>
            <w:pPr>
              <w:pStyle w:val="TableContents"/>
              <w:bidi w:val="0"/>
              <w:spacing w:before="0" w:after="283"/>
              <w:jc w:val="left"/>
              <w:rPr/>
            </w:pPr>
            <w:r>
              <w:rPr/>
              <w:t>SEC use only</w:t>
            </w:r>
          </w:p>
        </w:tc>
      </w:tr>
      <w:tr>
        <w:trPr/>
        <w:tc>
          <w:tcPr>
            <w:tcW w:w="2394" w:type="dxa"/>
            <w:tcBorders/>
            <w:vAlign w:val="center"/>
          </w:tcPr>
          <w:p>
            <w:pPr>
              <w:pStyle w:val="TableContents"/>
              <w:bidi w:val="0"/>
              <w:spacing w:before="0" w:after="283"/>
              <w:jc w:val="left"/>
              <w:rPr/>
            </w:pPr>
            <w:r>
              <w:rPr/>
              <w:t>4</w:t>
            </w:r>
          </w:p>
        </w:tc>
        <w:tc>
          <w:tcPr>
            <w:tcW w:w="781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394" w:type="dxa"/>
            <w:tcBorders/>
            <w:vAlign w:val="center"/>
          </w:tcPr>
          <w:p>
            <w:pPr>
              <w:pStyle w:val="TableContents"/>
              <w:bidi w:val="0"/>
              <w:spacing w:before="0" w:after="283"/>
              <w:jc w:val="left"/>
              <w:rPr/>
            </w:pPr>
            <w:r>
              <w:rPr/>
              <w:t>5</w:t>
            </w:r>
          </w:p>
        </w:tc>
        <w:tc>
          <w:tcPr>
            <w:tcW w:w="781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6</w:t>
            </w:r>
          </w:p>
        </w:tc>
        <w:tc>
          <w:tcPr>
            <w:tcW w:w="781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39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25,743,900.00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25,743,900.00</w:t>
                  </w:r>
                </w:p>
              </w:tc>
            </w:tr>
          </w:tbl>
          <w:p>
            <w:pPr>
              <w:pStyle w:val="TableContents"/>
              <w:bidi w:val="0"/>
              <w:spacing w:before="0" w:after="283"/>
              <w:jc w:val="left"/>
              <w:rPr/>
            </w:pPr>
            <w:r>
              <w:rPr/>
            </w:r>
          </w:p>
        </w:tc>
        <w:tc>
          <w:tcPr>
            <w:tcW w:w="7811" w:type="dxa"/>
            <w:tcBorders/>
            <w:vAlign w:val="center"/>
          </w:tcPr>
          <w:p>
            <w:pPr>
              <w:pStyle w:val="TableContents"/>
              <w:bidi w:val="0"/>
              <w:spacing w:before="0" w:after="283"/>
              <w:jc w:val="left"/>
              <w:rPr>
                <w:sz w:val="4"/>
                <w:szCs w:val="4"/>
              </w:rPr>
            </w:pPr>
            <w:r>
              <w:rPr>
                <w:sz w:val="4"/>
                <w:szCs w:val="4"/>
              </w:rPr>
            </w:r>
          </w:p>
        </w:tc>
      </w:tr>
      <w:tr>
        <w:trPr/>
        <w:tc>
          <w:tcPr>
            <w:tcW w:w="2394" w:type="dxa"/>
            <w:tcBorders/>
            <w:vAlign w:val="center"/>
          </w:tcPr>
          <w:p>
            <w:pPr>
              <w:pStyle w:val="TableContents"/>
              <w:bidi w:val="0"/>
              <w:spacing w:before="0" w:after="283"/>
              <w:jc w:val="left"/>
              <w:rPr/>
            </w:pPr>
            <w:r>
              <w:rPr/>
              <w:t>11</w:t>
            </w:r>
          </w:p>
        </w:tc>
        <w:tc>
          <w:tcPr>
            <w:tcW w:w="781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25,743,900.00</w:t>
            </w:r>
          </w:p>
        </w:tc>
      </w:tr>
      <w:tr>
        <w:trPr/>
        <w:tc>
          <w:tcPr>
            <w:tcW w:w="2394" w:type="dxa"/>
            <w:tcBorders/>
            <w:vAlign w:val="center"/>
          </w:tcPr>
          <w:p>
            <w:pPr>
              <w:pStyle w:val="TableContents"/>
              <w:bidi w:val="0"/>
              <w:spacing w:before="0" w:after="283"/>
              <w:jc w:val="left"/>
              <w:rPr/>
            </w:pPr>
            <w:r>
              <w:rPr/>
              <w:t>12</w:t>
            </w:r>
          </w:p>
        </w:tc>
        <w:tc>
          <w:tcPr>
            <w:tcW w:w="781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394" w:type="dxa"/>
            <w:tcBorders/>
            <w:vAlign w:val="center"/>
          </w:tcPr>
          <w:p>
            <w:pPr>
              <w:pStyle w:val="TableContents"/>
              <w:bidi w:val="0"/>
              <w:spacing w:before="0" w:after="283"/>
              <w:jc w:val="left"/>
              <w:rPr/>
            </w:pPr>
            <w:r>
              <w:rPr/>
              <w:t>13</w:t>
            </w:r>
          </w:p>
        </w:tc>
        <w:tc>
          <w:tcPr>
            <w:tcW w:w="781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6.09 % </w:t>
            </w:r>
          </w:p>
        </w:tc>
      </w:tr>
      <w:tr>
        <w:trPr/>
        <w:tc>
          <w:tcPr>
            <w:tcW w:w="2394" w:type="dxa"/>
            <w:tcBorders/>
            <w:vAlign w:val="center"/>
          </w:tcPr>
          <w:p>
            <w:pPr>
              <w:pStyle w:val="TableContents"/>
              <w:bidi w:val="0"/>
              <w:spacing w:before="0" w:after="283"/>
              <w:jc w:val="left"/>
              <w:rPr/>
            </w:pPr>
            <w:r>
              <w:rPr/>
              <w:t>14</w:t>
            </w:r>
          </w:p>
        </w:tc>
        <w:tc>
          <w:tcPr>
            <w:tcW w:w="781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4" w:name="item1to7"/>
      <w:bookmarkStart w:id="15" w:name="item1to7"/>
      <w:bookmarkEnd w:id="15"/>
    </w:p>
    <w:tbl>
      <w:tblPr>
        <w:tblW w:w="10205" w:type="dxa"/>
        <w:jc w:val="left"/>
        <w:tblInd w:w="0" w:type="dxa"/>
        <w:tblLayout w:type="fixed"/>
        <w:tblCellMar>
          <w:top w:w="28" w:type="dxa"/>
          <w:left w:w="28" w:type="dxa"/>
          <w:bottom w:w="28" w:type="dxa"/>
          <w:right w:w="28" w:type="dxa"/>
        </w:tblCellMar>
      </w:tblPr>
      <w:tblGrid>
        <w:gridCol w:w="1167"/>
        <w:gridCol w:w="8867"/>
        <w:gridCol w:w="171"/>
      </w:tblGrid>
      <w:tr>
        <w:trPr/>
        <w:tc>
          <w:tcPr>
            <w:tcW w:w="1167" w:type="dxa"/>
            <w:tcBorders/>
            <w:vAlign w:val="center"/>
          </w:tcPr>
          <w:p>
            <w:pPr>
              <w:pStyle w:val="TableContents"/>
              <w:bidi w:val="0"/>
              <w:spacing w:before="0" w:after="283"/>
              <w:jc w:val="left"/>
              <w:rPr/>
            </w:pPr>
            <w:r>
              <w:rPr/>
              <w:t>Item 1.</w:t>
            </w:r>
          </w:p>
        </w:tc>
        <w:tc>
          <w:tcPr>
            <w:tcW w:w="8867" w:type="dxa"/>
            <w:tcBorders/>
            <w:vAlign w:val="center"/>
          </w:tcPr>
          <w:p>
            <w:pPr>
              <w:pStyle w:val="TableContents"/>
              <w:bidi w:val="0"/>
              <w:spacing w:before="0" w:after="283"/>
              <w:jc w:val="left"/>
              <w:rPr/>
            </w:pPr>
            <w:r>
              <w:rPr/>
              <w:t>Security and Issuer</w:t>
            </w:r>
          </w:p>
        </w:tc>
        <w:tc>
          <w:tcPr>
            <w:tcW w:w="171"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(a)</w:t>
            </w:r>
          </w:p>
        </w:tc>
        <w:tc>
          <w:tcPr>
            <w:tcW w:w="8867"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Ordinary Shares, par value 50 pence per share</w:t>
            </w:r>
          </w:p>
        </w:tc>
        <w:tc>
          <w:tcPr>
            <w:tcW w:w="171"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(b)</w:t>
            </w:r>
          </w:p>
        </w:tc>
        <w:tc>
          <w:tcPr>
            <w:tcW w:w="8867" w:type="dxa"/>
            <w:tcBorders/>
            <w:vAlign w:val="center"/>
          </w:tcPr>
          <w:p>
            <w:pPr>
              <w:pStyle w:val="TableContents"/>
              <w:bidi w:val="0"/>
              <w:jc w:val="left"/>
              <w:rPr/>
            </w:pPr>
            <w:r>
              <w:rPr/>
              <w:t xml:space="preserve">Name of Issuer: </w:t>
            </w:r>
          </w:p>
          <w:p>
            <w:pPr>
              <w:pStyle w:val="TableContents"/>
              <w:bidi w:val="0"/>
              <w:spacing w:before="0" w:after="0"/>
              <w:jc w:val="left"/>
              <w:rPr/>
            </w:pPr>
            <w:r>
              <w:rPr/>
              <w:t>Amarin Corporation PLC/UK</w:t>
            </w:r>
          </w:p>
        </w:tc>
        <w:tc>
          <w:tcPr>
            <w:tcW w:w="171"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(c)</w:t>
            </w:r>
          </w:p>
        </w:tc>
        <w:tc>
          <w:tcPr>
            <w:tcW w:w="8867"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One Central Plaza, 5th Floor, 36 Dame Street, Dublin 2, IRELAND , D02 EF64.</w:t>
            </w:r>
          </w:p>
        </w:tc>
        <w:tc>
          <w:tcPr>
            <w:tcW w:w="171" w:type="dxa"/>
            <w:tcBorders/>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0"/>
              <w:ind w:left="0" w:right="75" w:hanging="0"/>
              <w:jc w:val="left"/>
              <w:rPr>
                <w:b/>
              </w:rPr>
            </w:pPr>
            <w:r>
              <w:rPr>
                <w:b/>
              </w:rPr>
              <w:t xml:space="preserve">Item 1 Comment: </w:t>
            </w:r>
          </w:p>
          <w:p>
            <w:pPr>
              <w:pStyle w:val="TableContents"/>
              <w:bidi w:val="0"/>
              <w:spacing w:before="0" w:after="0"/>
              <w:jc w:val="both"/>
              <w:rPr/>
            </w:pPr>
            <w:r>
              <w:rPr/>
              <w:t>This Amendment No. 16 to Schedule 13D ("Amendment No. 16") relates to American Depositary Shares ("ADS(s)"), each ADS presently representing twenty ordinary shares, par value 50 pence per share (the "Ordinary Shares"), issued by Amarin Corporation plc, a company incorporated under the laws of England and Wales (the "Issuer"), and amends the initial statement on Schedule 13D filed with the Securities and Exchange Commission (the "SEC") on January 24, 2022 (the "Initial Schedule 13D"), as amended by Amendment No. 1 to Schedule 13D filed on June 3, 2022, Amendment No. 2 to Schedule 13D filed on June 16, 2022, Amendment No. 3 to Schedule 13D filed on October 11, 2022, Amendment No. 4 to Schedule 13D filed on January 11, 2023, Amendment No. 5 to Schedule 13D filed on January 19, 2023, Amendment No. 6 to Schedule 13D filed on February 8, 2023, Amendment No. 7 to Schedule 13D filed on February 10, 2023, Amendment No. 8 to Schedule 13D filed on February 14, 2023, Amendment No. 9 to Schedule 13D filed on February 15, 2023, Amendment No. 10 to Schedule 13D filed on February 21, 2023, Amendment No. 11 to Schedule 13D filed on February 27, 2023, Amendment No. 12 to Schedule 13D filed on February 28, 2023, Amendment No. 13 to Schedule 13D filed on September 5, 2023, Amendment No. 14 to Schedule 13D filed on December 5, 2023 and Amendment No. 15 to Schedule 13D filed on March 25, 2025 (the Initial Schedule 13D as so amended, the "Schedule 13D"). All capitalized terms contained herein but not otherwise defined shall have the meanings ascribed to such terms in the Schedule 13D. This Amendment No. 16 is being filed to amend Item 2(b), Item 5(a), Item 5(c) and Item 7 as follows:</w:t>
            </w:r>
          </w:p>
        </w:tc>
      </w:tr>
      <w:tr>
        <w:trPr/>
        <w:tc>
          <w:tcPr>
            <w:tcW w:w="1167" w:type="dxa"/>
            <w:tcBorders/>
            <w:vAlign w:val="center"/>
          </w:tcPr>
          <w:p>
            <w:pPr>
              <w:pStyle w:val="TableContents"/>
              <w:bidi w:val="0"/>
              <w:spacing w:before="0" w:after="283"/>
              <w:jc w:val="left"/>
              <w:rPr/>
            </w:pPr>
            <w:r>
              <w:rPr/>
              <w:t>Item 2.</w:t>
            </w:r>
          </w:p>
        </w:tc>
        <w:tc>
          <w:tcPr>
            <w:tcW w:w="8867" w:type="dxa"/>
            <w:tcBorders/>
            <w:vAlign w:val="center"/>
          </w:tcPr>
          <w:p>
            <w:pPr>
              <w:pStyle w:val="TableContents"/>
              <w:bidi w:val="0"/>
              <w:spacing w:before="0" w:after="283"/>
              <w:jc w:val="left"/>
              <w:rPr/>
            </w:pPr>
            <w:r>
              <w:rPr/>
              <w:t>Identity and Background</w:t>
            </w:r>
          </w:p>
        </w:tc>
        <w:tc>
          <w:tcPr>
            <w:tcW w:w="171"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(b)</w:t>
            </w:r>
          </w:p>
        </w:tc>
        <w:tc>
          <w:tcPr>
            <w:tcW w:w="8867" w:type="dxa"/>
            <w:tcBorders/>
            <w:vAlign w:val="center"/>
          </w:tcPr>
          <w:p>
            <w:pPr>
              <w:pStyle w:val="TableContents"/>
              <w:bidi w:val="0"/>
              <w:spacing w:before="0" w:after="0"/>
              <w:jc w:val="left"/>
              <w:rPr/>
            </w:pPr>
            <w:r>
              <w:rPr/>
              <w:t>The address of the principal business and principal office of each of the Reporting Persons is c/o Sarissa Capital Management LP, 500 West Putnam Avenue, Suite 400, Greenwich, CT 06830.</w:t>
            </w:r>
          </w:p>
        </w:tc>
        <w:tc>
          <w:tcPr>
            <w:tcW w:w="171"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Item 5.</w:t>
            </w:r>
          </w:p>
        </w:tc>
        <w:tc>
          <w:tcPr>
            <w:tcW w:w="8867" w:type="dxa"/>
            <w:tcBorders/>
            <w:vAlign w:val="center"/>
          </w:tcPr>
          <w:p>
            <w:pPr>
              <w:pStyle w:val="TableContents"/>
              <w:bidi w:val="0"/>
              <w:spacing w:before="0" w:after="283"/>
              <w:jc w:val="left"/>
              <w:rPr/>
            </w:pPr>
            <w:r>
              <w:rPr/>
              <w:t>Interest in Securities of the Issuer</w:t>
            </w:r>
          </w:p>
        </w:tc>
        <w:tc>
          <w:tcPr>
            <w:tcW w:w="171"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(a)</w:t>
            </w:r>
          </w:p>
        </w:tc>
        <w:tc>
          <w:tcPr>
            <w:tcW w:w="8867" w:type="dxa"/>
            <w:tcBorders/>
            <w:vAlign w:val="center"/>
          </w:tcPr>
          <w:p>
            <w:pPr>
              <w:pStyle w:val="TableContents"/>
              <w:bidi w:val="0"/>
              <w:spacing w:before="0" w:after="0"/>
              <w:jc w:val="left"/>
              <w:rPr/>
            </w:pPr>
            <w:r>
              <w:rPr/>
              <w:t>The Reporting Persons may be deemed to beneficially own, in the aggregate, 25,743,900 Ordinary Shares representing approximately 6.09% of the outstanding Ordinary Shares. Percentages of the outstanding Ordinary Shares are based upon the 422,456,685 Ordinary Shares outstanding as of July 24, 2026, including 20,632,560 Ordinary Shares held as ADSs, each representing 20 Ordinary Shares, as set forth in the Form 10-Q of the Issuer filed with the SEC on July 29, 2026 for the quarterly period ended June 30, 2026.</w:t>
            </w:r>
          </w:p>
        </w:tc>
        <w:tc>
          <w:tcPr>
            <w:tcW w:w="171"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(c)</w:t>
            </w:r>
          </w:p>
        </w:tc>
        <w:tc>
          <w:tcPr>
            <w:tcW w:w="8867" w:type="dxa"/>
            <w:tcBorders/>
            <w:vAlign w:val="center"/>
          </w:tcPr>
          <w:p>
            <w:pPr>
              <w:pStyle w:val="TableContents"/>
              <w:bidi w:val="0"/>
              <w:spacing w:before="0" w:after="0"/>
              <w:jc w:val="left"/>
              <w:rPr/>
            </w:pPr>
            <w:r>
              <w:rPr/>
              <w:t>Within the past 60 days, the Reporting Persons have transacted in the Issuer's securities as set forth in Exhibit 17, attached hereto and incorporated herein by reference.</w:t>
            </w:r>
          </w:p>
        </w:tc>
        <w:tc>
          <w:tcPr>
            <w:tcW w:w="171"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Item 7.</w:t>
            </w:r>
          </w:p>
        </w:tc>
        <w:tc>
          <w:tcPr>
            <w:tcW w:w="8867" w:type="dxa"/>
            <w:tcBorders/>
            <w:vAlign w:val="center"/>
          </w:tcPr>
          <w:p>
            <w:pPr>
              <w:pStyle w:val="TableContents"/>
              <w:bidi w:val="0"/>
              <w:spacing w:before="0" w:after="283"/>
              <w:jc w:val="left"/>
              <w:rPr/>
            </w:pPr>
            <w:r>
              <w:rPr/>
              <w:t>Material to be Filed as Exhibits.</w:t>
            </w:r>
          </w:p>
        </w:tc>
        <w:tc>
          <w:tcPr>
            <w:tcW w:w="171"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 </w:t>
            </w:r>
          </w:p>
        </w:tc>
        <w:tc>
          <w:tcPr>
            <w:tcW w:w="8867" w:type="dxa"/>
            <w:tcBorders/>
            <w:vAlign w:val="center"/>
          </w:tcPr>
          <w:p>
            <w:pPr>
              <w:pStyle w:val="TableContents"/>
              <w:bidi w:val="0"/>
              <w:spacing w:before="0" w:after="0"/>
              <w:jc w:val="left"/>
              <w:rPr/>
            </w:pPr>
            <w:r>
              <w:rPr/>
              <w:t>Material to Be Filed as Exhibits. Item 7 is hereby amended to include the following: Exhibit 17 Transactions in Securities</w:t>
            </w:r>
          </w:p>
        </w:tc>
        <w:tc>
          <w:tcPr>
            <w:tcW w:w="171"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signatureInfo"/>
      <w:bookmarkStart w:id="17" w:name="signatureInfo"/>
      <w:bookmarkEnd w:id="17"/>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636" w:type="dxa"/>
        <w:jc w:val="left"/>
        <w:tblInd w:w="0" w:type="dxa"/>
        <w:tblLayout w:type="fixed"/>
        <w:tblCellMar>
          <w:top w:w="28" w:type="dxa"/>
          <w:left w:w="28" w:type="dxa"/>
          <w:bottom w:w="28" w:type="dxa"/>
          <w:right w:w="28" w:type="dxa"/>
        </w:tblCellMar>
      </w:tblPr>
      <w:tblGrid>
        <w:gridCol w:w="3318"/>
        <w:gridCol w:w="3318"/>
      </w:tblGrid>
      <w:tr>
        <w:trPr/>
        <w:tc>
          <w:tcPr>
            <w:tcW w:w="3318" w:type="dxa"/>
            <w:tcBorders/>
            <w:vAlign w:val="center"/>
          </w:tcPr>
          <w:p>
            <w:pPr>
              <w:pStyle w:val="TableContents"/>
              <w:bidi w:val="0"/>
              <w:spacing w:before="0" w:after="0"/>
              <w:jc w:val="left"/>
              <w:rPr/>
            </w:pPr>
            <w:r>
              <w:rPr/>
              <w:t> </w:t>
            </w:r>
          </w:p>
          <w:tbl>
            <w:tblPr>
              <w:tblW w:w="3196" w:type="dxa"/>
              <w:jc w:val="left"/>
              <w:tblInd w:w="0" w:type="dxa"/>
              <w:tblLayout w:type="fixed"/>
              <w:tblCellMar>
                <w:top w:w="28" w:type="dxa"/>
                <w:left w:w="28" w:type="dxa"/>
                <w:bottom w:w="28" w:type="dxa"/>
                <w:right w:w="28" w:type="dxa"/>
              </w:tblCellMar>
            </w:tblPr>
            <w:tblGrid>
              <w:gridCol w:w="3196"/>
            </w:tblGrid>
            <w:tr>
              <w:trPr/>
              <w:tc>
                <w:tcPr>
                  <w:tcW w:w="3196" w:type="dxa"/>
                  <w:tcBorders/>
                  <w:vAlign w:val="center"/>
                </w:tcPr>
                <w:p>
                  <w:pPr>
                    <w:pStyle w:val="TableContents"/>
                    <w:bidi w:val="0"/>
                    <w:spacing w:before="0" w:after="0"/>
                    <w:jc w:val="left"/>
                    <w:rPr/>
                  </w:pPr>
                  <w:r>
                    <w:rPr/>
                    <w:t>Sarissa Capital Management LP</w:t>
                  </w:r>
                </w:p>
              </w:tc>
            </w:tr>
          </w:tbl>
          <w:p>
            <w:pPr>
              <w:pStyle w:val="TableContents"/>
              <w:bidi w:val="0"/>
              <w:spacing w:before="0" w:after="283"/>
              <w:jc w:val="left"/>
              <w:rPr/>
            </w:pPr>
            <w:r>
              <w:rPr/>
            </w:r>
          </w:p>
        </w:tc>
        <w:tc>
          <w:tcPr>
            <w:tcW w:w="331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99"/>
        <w:gridCol w:w="4306"/>
      </w:tblGrid>
      <w:tr>
        <w:trPr/>
        <w:tc>
          <w:tcPr>
            <w:tcW w:w="589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6"/>
              <w:gridCol w:w="9039"/>
            </w:tblGrid>
            <w:tr>
              <w:trPr/>
              <w:tc>
                <w:tcPr>
                  <w:tcW w:w="1166" w:type="dxa"/>
                  <w:tcBorders/>
                  <w:vAlign w:val="center"/>
                </w:tcPr>
                <w:p>
                  <w:pPr>
                    <w:pStyle w:val="TableContents"/>
                    <w:bidi w:val="0"/>
                    <w:spacing w:before="0" w:after="283"/>
                    <w:jc w:val="left"/>
                    <w:rPr/>
                  </w:pPr>
                  <w:r>
                    <w:rPr/>
                    <w:t>Signature:</w:t>
                  </w:r>
                </w:p>
              </w:tc>
              <w:tc>
                <w:tcPr>
                  <w:tcW w:w="9039" w:type="dxa"/>
                  <w:tcBorders/>
                  <w:vAlign w:val="center"/>
                </w:tcPr>
                <w:p>
                  <w:pPr>
                    <w:pStyle w:val="TableContents"/>
                    <w:bidi w:val="0"/>
                    <w:spacing w:before="0" w:after="283"/>
                    <w:jc w:val="left"/>
                    <w:rPr/>
                  </w:pPr>
                  <w:r>
                    <w:rPr/>
                    <w:t>/s/ Alexander J Denner</w:t>
                  </w:r>
                </w:p>
              </w:tc>
            </w:tr>
            <w:tr>
              <w:trPr/>
              <w:tc>
                <w:tcPr>
                  <w:tcW w:w="1166" w:type="dxa"/>
                  <w:tcBorders/>
                  <w:vAlign w:val="center"/>
                </w:tcPr>
                <w:p>
                  <w:pPr>
                    <w:pStyle w:val="TableContents"/>
                    <w:bidi w:val="0"/>
                    <w:spacing w:before="0" w:after="283"/>
                    <w:jc w:val="left"/>
                    <w:rPr/>
                  </w:pPr>
                  <w:r>
                    <w:rPr/>
                    <w:t>Name/Title:</w:t>
                  </w:r>
                </w:p>
              </w:tc>
              <w:tc>
                <w:tcPr>
                  <w:tcW w:w="9039" w:type="dxa"/>
                  <w:tcBorders/>
                  <w:vAlign w:val="center"/>
                </w:tcPr>
                <w:p>
                  <w:pPr>
                    <w:pStyle w:val="TableContents"/>
                    <w:bidi w:val="0"/>
                    <w:spacing w:before="0" w:after="283"/>
                    <w:jc w:val="left"/>
                    <w:rPr/>
                  </w:pPr>
                  <w:r>
                    <w:rPr/>
                    <w:t>Alexander J Denner/Chief Investment Officer</w:t>
                  </w:r>
                </w:p>
              </w:tc>
            </w:tr>
            <w:tr>
              <w:trPr/>
              <w:tc>
                <w:tcPr>
                  <w:tcW w:w="1166" w:type="dxa"/>
                  <w:tcBorders/>
                  <w:vAlign w:val="center"/>
                </w:tcPr>
                <w:p>
                  <w:pPr>
                    <w:pStyle w:val="TableContents"/>
                    <w:bidi w:val="0"/>
                    <w:spacing w:before="0" w:after="283"/>
                    <w:jc w:val="left"/>
                    <w:rPr/>
                  </w:pPr>
                  <w:r>
                    <w:rPr/>
                    <w:t>Date:</w:t>
                  </w:r>
                </w:p>
              </w:tc>
              <w:tc>
                <w:tcPr>
                  <w:tcW w:w="9039" w:type="dxa"/>
                  <w:tcBorders/>
                  <w:vAlign w:val="center"/>
                </w:tcPr>
                <w:p>
                  <w:pPr>
                    <w:pStyle w:val="TableContents"/>
                    <w:bidi w:val="0"/>
                    <w:spacing w:before="0" w:after="283"/>
                    <w:jc w:val="left"/>
                    <w:rPr/>
                  </w:pPr>
                  <w:r>
                    <w:rPr/>
                    <w:t>08/27/2026</w:t>
                  </w:r>
                </w:p>
              </w:tc>
            </w:tr>
          </w:tbl>
          <w:p>
            <w:pPr>
              <w:pStyle w:val="TableContents"/>
              <w:bidi w:val="0"/>
              <w:spacing w:before="0" w:after="283"/>
              <w:jc w:val="left"/>
              <w:rPr/>
            </w:pPr>
            <w:r>
              <w:rPr/>
            </w:r>
          </w:p>
        </w:tc>
        <w:tc>
          <w:tcPr>
            <w:tcW w:w="4306" w:type="dxa"/>
            <w:tcBorders/>
            <w:vAlign w:val="center"/>
          </w:tcPr>
          <w:p>
            <w:pPr>
              <w:pStyle w:val="TableContents"/>
              <w:bidi w:val="0"/>
              <w:spacing w:before="0" w:after="283"/>
              <w:jc w:val="left"/>
              <w:rPr>
                <w:sz w:val="4"/>
                <w:szCs w:val="4"/>
              </w:rPr>
            </w:pPr>
            <w:r>
              <w:rPr>
                <w:sz w:val="4"/>
                <w:szCs w:val="4"/>
              </w:rPr>
            </w:r>
          </w:p>
        </w:tc>
      </w:tr>
    </w:tbl>
    <w:tbl>
      <w:tblPr>
        <w:tblW w:w="4388" w:type="dxa"/>
        <w:jc w:val="left"/>
        <w:tblInd w:w="0" w:type="dxa"/>
        <w:tblLayout w:type="fixed"/>
        <w:tblCellMar>
          <w:top w:w="28" w:type="dxa"/>
          <w:left w:w="28" w:type="dxa"/>
          <w:bottom w:w="28" w:type="dxa"/>
          <w:right w:w="28" w:type="dxa"/>
        </w:tblCellMar>
      </w:tblPr>
      <w:tblGrid>
        <w:gridCol w:w="2194"/>
        <w:gridCol w:w="2194"/>
      </w:tblGrid>
      <w:tr>
        <w:trPr/>
        <w:tc>
          <w:tcPr>
            <w:tcW w:w="2194" w:type="dxa"/>
            <w:tcBorders/>
            <w:vAlign w:val="center"/>
          </w:tcPr>
          <w:p>
            <w:pPr>
              <w:pStyle w:val="TableContents"/>
              <w:bidi w:val="0"/>
              <w:spacing w:before="0" w:after="0"/>
              <w:jc w:val="left"/>
              <w:rPr/>
            </w:pPr>
            <w:r>
              <w:rPr/>
              <w:t> </w:t>
            </w:r>
          </w:p>
          <w:tbl>
            <w:tblPr>
              <w:tblW w:w="2071" w:type="dxa"/>
              <w:jc w:val="left"/>
              <w:tblInd w:w="0" w:type="dxa"/>
              <w:tblLayout w:type="fixed"/>
              <w:tblCellMar>
                <w:top w:w="28" w:type="dxa"/>
                <w:left w:w="28" w:type="dxa"/>
                <w:bottom w:w="28" w:type="dxa"/>
                <w:right w:w="28" w:type="dxa"/>
              </w:tblCellMar>
            </w:tblPr>
            <w:tblGrid>
              <w:gridCol w:w="2071"/>
            </w:tblGrid>
            <w:tr>
              <w:trPr/>
              <w:tc>
                <w:tcPr>
                  <w:tcW w:w="2071" w:type="dxa"/>
                  <w:tcBorders/>
                  <w:vAlign w:val="center"/>
                </w:tcPr>
                <w:p>
                  <w:pPr>
                    <w:pStyle w:val="TableContents"/>
                    <w:bidi w:val="0"/>
                    <w:spacing w:before="0" w:after="0"/>
                    <w:jc w:val="left"/>
                    <w:rPr/>
                  </w:pPr>
                  <w:r>
                    <w:rPr/>
                    <w:t>Alexander J Denner</w:t>
                  </w:r>
                </w:p>
              </w:tc>
            </w:tr>
          </w:tbl>
          <w:p>
            <w:pPr>
              <w:pStyle w:val="TableContents"/>
              <w:bidi w:val="0"/>
              <w:spacing w:before="0" w:after="283"/>
              <w:jc w:val="left"/>
              <w:rPr/>
            </w:pPr>
            <w:r>
              <w:rPr/>
            </w:r>
          </w:p>
        </w:tc>
        <w:tc>
          <w:tcPr>
            <w:tcW w:w="219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88"/>
        <w:gridCol w:w="4317"/>
      </w:tblGrid>
      <w:tr>
        <w:trPr/>
        <w:tc>
          <w:tcPr>
            <w:tcW w:w="588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9"/>
              <w:gridCol w:w="9026"/>
            </w:tblGrid>
            <w:tr>
              <w:trPr/>
              <w:tc>
                <w:tcPr>
                  <w:tcW w:w="1179" w:type="dxa"/>
                  <w:tcBorders/>
                  <w:vAlign w:val="center"/>
                </w:tcPr>
                <w:p>
                  <w:pPr>
                    <w:pStyle w:val="TableContents"/>
                    <w:bidi w:val="0"/>
                    <w:spacing w:before="0" w:after="283"/>
                    <w:jc w:val="left"/>
                    <w:rPr/>
                  </w:pPr>
                  <w:r>
                    <w:rPr/>
                    <w:t>Signature:</w:t>
                  </w:r>
                </w:p>
              </w:tc>
              <w:tc>
                <w:tcPr>
                  <w:tcW w:w="9026" w:type="dxa"/>
                  <w:tcBorders/>
                  <w:vAlign w:val="center"/>
                </w:tcPr>
                <w:p>
                  <w:pPr>
                    <w:pStyle w:val="TableContents"/>
                    <w:bidi w:val="0"/>
                    <w:spacing w:before="0" w:after="283"/>
                    <w:jc w:val="left"/>
                    <w:rPr/>
                  </w:pPr>
                  <w:r>
                    <w:rPr/>
                    <w:t>/s/ Alexander J Denner</w:t>
                  </w:r>
                </w:p>
              </w:tc>
            </w:tr>
            <w:tr>
              <w:trPr/>
              <w:tc>
                <w:tcPr>
                  <w:tcW w:w="1179" w:type="dxa"/>
                  <w:tcBorders/>
                  <w:vAlign w:val="center"/>
                </w:tcPr>
                <w:p>
                  <w:pPr>
                    <w:pStyle w:val="TableContents"/>
                    <w:bidi w:val="0"/>
                    <w:spacing w:before="0" w:after="283"/>
                    <w:jc w:val="left"/>
                    <w:rPr/>
                  </w:pPr>
                  <w:r>
                    <w:rPr/>
                    <w:t>Name/Title:</w:t>
                  </w:r>
                </w:p>
              </w:tc>
              <w:tc>
                <w:tcPr>
                  <w:tcW w:w="9026" w:type="dxa"/>
                  <w:tcBorders/>
                  <w:vAlign w:val="center"/>
                </w:tcPr>
                <w:p>
                  <w:pPr>
                    <w:pStyle w:val="TableContents"/>
                    <w:bidi w:val="0"/>
                    <w:spacing w:before="0" w:after="283"/>
                    <w:jc w:val="left"/>
                    <w:rPr/>
                  </w:pPr>
                  <w:r>
                    <w:rPr/>
                    <w:t>Alexander J Denner</w:t>
                  </w:r>
                </w:p>
              </w:tc>
            </w:tr>
            <w:tr>
              <w:trPr/>
              <w:tc>
                <w:tcPr>
                  <w:tcW w:w="1179" w:type="dxa"/>
                  <w:tcBorders/>
                  <w:vAlign w:val="center"/>
                </w:tcPr>
                <w:p>
                  <w:pPr>
                    <w:pStyle w:val="TableContents"/>
                    <w:bidi w:val="0"/>
                    <w:spacing w:before="0" w:after="283"/>
                    <w:jc w:val="left"/>
                    <w:rPr/>
                  </w:pPr>
                  <w:r>
                    <w:rPr/>
                    <w:t>Date:</w:t>
                  </w:r>
                </w:p>
              </w:tc>
              <w:tc>
                <w:tcPr>
                  <w:tcW w:w="9026" w:type="dxa"/>
                  <w:tcBorders/>
                  <w:vAlign w:val="center"/>
                </w:tcPr>
                <w:p>
                  <w:pPr>
                    <w:pStyle w:val="TableContents"/>
                    <w:bidi w:val="0"/>
                    <w:spacing w:before="0" w:after="283"/>
                    <w:jc w:val="left"/>
                    <w:rPr/>
                  </w:pPr>
                  <w:r>
                    <w:rPr/>
                    <w:t>08/27/2026</w:t>
                  </w:r>
                </w:p>
              </w:tc>
            </w:tr>
          </w:tbl>
          <w:p>
            <w:pPr>
              <w:pStyle w:val="TableContents"/>
              <w:bidi w:val="0"/>
              <w:spacing w:before="0" w:after="283"/>
              <w:jc w:val="left"/>
              <w:rPr/>
            </w:pPr>
            <w:r>
              <w:rPr/>
            </w:r>
          </w:p>
        </w:tc>
        <w:tc>
          <w:tcPr>
            <w:tcW w:w="431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color w:val="000000"/>
        </w:rPr>
      </w:pPr>
      <w:bookmarkStart w:id="18" w:name="sexhibit1a.htm"/>
      <w:bookmarkStart w:id="19" w:name="kssexhibit1a"/>
      <w:bookmarkEnd w:id="18"/>
      <w:bookmarkEnd w:id="19"/>
      <w:r>
        <w:rPr>
          <w:b/>
          <w:color w:val="000000"/>
        </w:rPr>
        <w:t>Index to Exhibits</w:t>
      </w:r>
      <w:r>
        <w:rPr>
          <w:color w:val="000000"/>
        </w:rPr>
        <w:t xml:space="preserve"> </w:t>
      </w:r>
      <w:r>
        <w:br w:type="page"/>
      </w:r>
    </w:p>
    <w:p>
      <w:pPr>
        <w:pStyle w:val="TextBody"/>
        <w:bidi w:val="0"/>
        <w:spacing w:before="0" w:after="0"/>
        <w:jc w:val="center"/>
        <w:rPr>
          <w:color w:val="000000"/>
        </w:rPr>
      </w:pPr>
      <w:r>
        <w:rPr>
          <w:color w:val="000000"/>
        </w:rPr>
        <w:t xml:space="preserve">  </w:t>
      </w:r>
    </w:p>
    <w:p>
      <w:pPr>
        <w:pStyle w:val="TextBody"/>
        <w:bidi w:val="0"/>
        <w:spacing w:before="0" w:after="0"/>
        <w:jc w:val="both"/>
        <w:rPr>
          <w:color w:val="000000"/>
        </w:rPr>
      </w:pPr>
      <w:r>
        <w:rPr>
          <w:color w:val="000000"/>
        </w:rPr>
        <w:t xml:space="preserve">Exhibit 1 – Joint Filing Agreement of the Reporting Persons* </w:t>
      </w:r>
    </w:p>
    <w:p>
      <w:pPr>
        <w:pStyle w:val="TextBody"/>
        <w:bidi w:val="0"/>
        <w:spacing w:before="0" w:after="0"/>
        <w:jc w:val="both"/>
        <w:rPr>
          <w:color w:val="000000"/>
        </w:rPr>
      </w:pPr>
      <w:r>
        <w:rPr>
          <w:color w:val="000000"/>
        </w:rPr>
        <w:t xml:space="preserve">  </w:t>
      </w:r>
    </w:p>
    <w:p>
      <w:pPr>
        <w:pStyle w:val="TextBody"/>
        <w:bidi w:val="0"/>
        <w:spacing w:before="0" w:after="0"/>
        <w:jc w:val="both"/>
        <w:rPr>
          <w:color w:val="000000"/>
        </w:rPr>
      </w:pPr>
      <w:r>
        <w:rPr>
          <w:color w:val="000000"/>
        </w:rPr>
        <w:t xml:space="preserve">Exhibit 2 – Press Release, June 15, 2022* </w:t>
      </w:r>
    </w:p>
    <w:p>
      <w:pPr>
        <w:pStyle w:val="TextBody"/>
        <w:bidi w:val="0"/>
        <w:spacing w:before="0" w:after="0"/>
        <w:jc w:val="both"/>
        <w:rPr>
          <w:color w:val="000000"/>
        </w:rPr>
      </w:pPr>
      <w:r>
        <w:rPr>
          <w:color w:val="000000"/>
        </w:rPr>
        <w:t xml:space="preserve">  </w:t>
      </w:r>
    </w:p>
    <w:p>
      <w:pPr>
        <w:pStyle w:val="TextBody"/>
        <w:bidi w:val="0"/>
        <w:spacing w:before="0" w:after="0"/>
        <w:jc w:val="both"/>
        <w:rPr>
          <w:color w:val="000000"/>
        </w:rPr>
      </w:pPr>
      <w:r>
        <w:rPr>
          <w:color w:val="000000"/>
        </w:rPr>
        <w:t xml:space="preserve">Exhibit 3 – Press Release, October 11, 2022* </w:t>
      </w:r>
    </w:p>
    <w:p>
      <w:pPr>
        <w:pStyle w:val="TextBody"/>
        <w:bidi w:val="0"/>
        <w:spacing w:before="0" w:after="0"/>
        <w:jc w:val="both"/>
        <w:rPr>
          <w:color w:val="000000"/>
        </w:rPr>
      </w:pPr>
      <w:r>
        <w:rPr>
          <w:color w:val="000000"/>
        </w:rPr>
        <w:t xml:space="preserve">  </w:t>
      </w:r>
    </w:p>
    <w:p>
      <w:pPr>
        <w:pStyle w:val="TextBody"/>
        <w:bidi w:val="0"/>
        <w:spacing w:before="0" w:after="0"/>
        <w:jc w:val="both"/>
        <w:rPr>
          <w:color w:val="000000"/>
        </w:rPr>
      </w:pPr>
      <w:r>
        <w:rPr>
          <w:color w:val="000000"/>
        </w:rPr>
        <w:t xml:space="preserve">Exhibit 4 – Requisition Notice, January 10, 2023* </w:t>
      </w:r>
    </w:p>
    <w:p>
      <w:pPr>
        <w:pStyle w:val="TextBody"/>
        <w:bidi w:val="0"/>
        <w:spacing w:before="0" w:after="0"/>
        <w:jc w:val="both"/>
        <w:rPr>
          <w:color w:val="000000"/>
        </w:rPr>
      </w:pPr>
      <w:r>
        <w:rPr>
          <w:color w:val="000000"/>
        </w:rPr>
        <w:t xml:space="preserve">  </w:t>
      </w:r>
    </w:p>
    <w:p>
      <w:pPr>
        <w:pStyle w:val="TextBody"/>
        <w:bidi w:val="0"/>
        <w:spacing w:before="0" w:after="0"/>
        <w:jc w:val="both"/>
        <w:rPr>
          <w:color w:val="000000"/>
        </w:rPr>
      </w:pPr>
      <w:r>
        <w:rPr>
          <w:color w:val="000000"/>
        </w:rPr>
        <w:t xml:space="preserve">Exhibit 5 – Press Release, January 10, 2023* </w:t>
      </w:r>
    </w:p>
    <w:p>
      <w:pPr>
        <w:pStyle w:val="TextBody"/>
        <w:bidi w:val="0"/>
        <w:spacing w:before="0" w:after="0"/>
        <w:jc w:val="both"/>
        <w:rPr>
          <w:color w:val="000000"/>
        </w:rPr>
      </w:pPr>
      <w:r>
        <w:rPr>
          <w:color w:val="000000"/>
        </w:rPr>
        <w:t xml:space="preserve">  </w:t>
      </w:r>
    </w:p>
    <w:p>
      <w:pPr>
        <w:pStyle w:val="TextBody"/>
        <w:bidi w:val="0"/>
        <w:spacing w:before="0" w:after="0"/>
        <w:jc w:val="both"/>
        <w:rPr>
          <w:color w:val="000000"/>
        </w:rPr>
      </w:pPr>
      <w:r>
        <w:rPr>
          <w:color w:val="000000"/>
        </w:rPr>
        <w:t xml:space="preserve">Exhibit 6 – Joint Filing Agreement of the Reporting Persons* </w:t>
      </w:r>
    </w:p>
    <w:p>
      <w:pPr>
        <w:pStyle w:val="TextBody"/>
        <w:bidi w:val="0"/>
        <w:spacing w:before="0" w:after="0"/>
        <w:jc w:val="both"/>
        <w:rPr>
          <w:color w:val="000000"/>
        </w:rPr>
      </w:pPr>
      <w:r>
        <w:rPr>
          <w:color w:val="000000"/>
        </w:rPr>
        <w:t xml:space="preserve">  </w:t>
      </w:r>
    </w:p>
    <w:p>
      <w:pPr>
        <w:pStyle w:val="TextBody"/>
        <w:bidi w:val="0"/>
        <w:spacing w:before="0" w:after="0"/>
        <w:jc w:val="both"/>
        <w:rPr>
          <w:color w:val="000000"/>
        </w:rPr>
      </w:pPr>
      <w:r>
        <w:rPr>
          <w:color w:val="000000"/>
        </w:rPr>
        <w:t xml:space="preserve">Exhibit 7 – Power of Attorney Granted by Louis Sterling III in favor of Mark DiPaolo and Patrice Bonfiglio, January 10, 2023* </w:t>
      </w:r>
    </w:p>
    <w:p>
      <w:pPr>
        <w:pStyle w:val="TextBody"/>
        <w:bidi w:val="0"/>
        <w:spacing w:before="0" w:after="0"/>
        <w:jc w:val="both"/>
        <w:rPr>
          <w:color w:val="000000"/>
        </w:rPr>
      </w:pPr>
      <w:r>
        <w:rPr>
          <w:color w:val="000000"/>
        </w:rPr>
        <w:t xml:space="preserve">  </w:t>
      </w:r>
    </w:p>
    <w:p>
      <w:pPr>
        <w:pStyle w:val="TextBody"/>
        <w:bidi w:val="0"/>
        <w:spacing w:before="0" w:after="0"/>
        <w:jc w:val="both"/>
        <w:rPr>
          <w:color w:val="000000"/>
        </w:rPr>
      </w:pPr>
      <w:r>
        <w:rPr>
          <w:color w:val="000000"/>
        </w:rPr>
        <w:t xml:space="preserve">Exhibit 8 – Press Release, January 18, 2023* </w:t>
      </w:r>
    </w:p>
    <w:p>
      <w:pPr>
        <w:pStyle w:val="TextBody"/>
        <w:bidi w:val="0"/>
        <w:spacing w:before="0" w:after="0"/>
        <w:jc w:val="both"/>
        <w:rPr>
          <w:color w:val="000000"/>
        </w:rPr>
      </w:pPr>
      <w:r>
        <w:rPr>
          <w:color w:val="000000"/>
        </w:rPr>
        <w:t xml:space="preserve">  </w:t>
      </w:r>
    </w:p>
    <w:p>
      <w:pPr>
        <w:pStyle w:val="TextBody"/>
        <w:bidi w:val="0"/>
        <w:spacing w:before="0" w:after="0"/>
        <w:jc w:val="both"/>
        <w:rPr>
          <w:color w:val="000000"/>
        </w:rPr>
      </w:pPr>
      <w:r>
        <w:rPr>
          <w:color w:val="000000"/>
        </w:rPr>
        <w:t xml:space="preserve">Exhibit 9 – Press Release, February 7, 2023* </w:t>
      </w:r>
    </w:p>
    <w:p>
      <w:pPr>
        <w:pStyle w:val="TextBody"/>
        <w:bidi w:val="0"/>
        <w:spacing w:before="0" w:after="0"/>
        <w:jc w:val="both"/>
        <w:rPr>
          <w:color w:val="000000"/>
        </w:rPr>
      </w:pPr>
      <w:r>
        <w:rPr>
          <w:color w:val="000000"/>
        </w:rPr>
        <w:t xml:space="preserve">  </w:t>
      </w:r>
    </w:p>
    <w:p>
      <w:pPr>
        <w:pStyle w:val="TextBody"/>
        <w:bidi w:val="0"/>
        <w:spacing w:before="0" w:after="0"/>
        <w:jc w:val="both"/>
        <w:rPr>
          <w:color w:val="000000"/>
        </w:rPr>
      </w:pPr>
      <w:r>
        <w:rPr>
          <w:color w:val="000000"/>
        </w:rPr>
        <w:t xml:space="preserve">Exhibit 10 – Press Release, February 9, 2023* </w:t>
      </w:r>
    </w:p>
    <w:p>
      <w:pPr>
        <w:pStyle w:val="TextBody"/>
        <w:bidi w:val="0"/>
        <w:spacing w:before="0" w:after="0"/>
        <w:jc w:val="both"/>
        <w:rPr>
          <w:color w:val="000000"/>
        </w:rPr>
      </w:pPr>
      <w:r>
        <w:rPr>
          <w:color w:val="000000"/>
        </w:rPr>
        <w:t xml:space="preserve">  </w:t>
      </w:r>
    </w:p>
    <w:p>
      <w:pPr>
        <w:pStyle w:val="TextBody"/>
        <w:bidi w:val="0"/>
        <w:spacing w:before="0" w:after="0"/>
        <w:jc w:val="both"/>
        <w:rPr>
          <w:color w:val="000000"/>
        </w:rPr>
      </w:pPr>
      <w:r>
        <w:rPr>
          <w:color w:val="000000"/>
        </w:rPr>
        <w:t xml:space="preserve">Exhibit 11 – Press Release, February 13, 2023* </w:t>
      </w:r>
    </w:p>
    <w:p>
      <w:pPr>
        <w:pStyle w:val="TextBody"/>
        <w:bidi w:val="0"/>
        <w:spacing w:before="0" w:after="0"/>
        <w:jc w:val="both"/>
        <w:rPr>
          <w:color w:val="000000"/>
        </w:rPr>
      </w:pPr>
      <w:r>
        <w:rPr>
          <w:color w:val="000000"/>
        </w:rPr>
        <w:t xml:space="preserve">  </w:t>
      </w:r>
    </w:p>
    <w:p>
      <w:pPr>
        <w:pStyle w:val="TextBody"/>
        <w:bidi w:val="0"/>
        <w:spacing w:before="0" w:after="0"/>
        <w:jc w:val="both"/>
        <w:rPr>
          <w:color w:val="000000"/>
        </w:rPr>
      </w:pPr>
      <w:r>
        <w:rPr>
          <w:color w:val="000000"/>
        </w:rPr>
        <w:t xml:space="preserve">Exhibit 12 – Press Release, February 14, 2023* </w:t>
      </w:r>
    </w:p>
    <w:p>
      <w:pPr>
        <w:pStyle w:val="TextBody"/>
        <w:bidi w:val="0"/>
        <w:spacing w:before="0" w:after="0"/>
        <w:jc w:val="both"/>
        <w:rPr>
          <w:color w:val="000000"/>
        </w:rPr>
      </w:pPr>
      <w:r>
        <w:rPr>
          <w:color w:val="000000"/>
        </w:rPr>
        <w:t xml:space="preserve">  </w:t>
      </w:r>
    </w:p>
    <w:p>
      <w:pPr>
        <w:pStyle w:val="TextBody"/>
        <w:bidi w:val="0"/>
        <w:spacing w:before="0" w:after="0"/>
        <w:jc w:val="both"/>
        <w:rPr>
          <w:color w:val="000000"/>
        </w:rPr>
      </w:pPr>
      <w:r>
        <w:rPr>
          <w:color w:val="000000"/>
        </w:rPr>
        <w:t xml:space="preserve">Exhibit 13 – Press Release, February 17, 2023* </w:t>
      </w:r>
    </w:p>
    <w:p>
      <w:pPr>
        <w:pStyle w:val="TextBody"/>
        <w:bidi w:val="0"/>
        <w:spacing w:before="0" w:after="0"/>
        <w:jc w:val="both"/>
        <w:rPr>
          <w:color w:val="000000"/>
        </w:rPr>
      </w:pPr>
      <w:r>
        <w:rPr>
          <w:color w:val="000000"/>
        </w:rPr>
        <w:t xml:space="preserve">  </w:t>
      </w:r>
    </w:p>
    <w:p>
      <w:pPr>
        <w:pStyle w:val="TextBody"/>
        <w:bidi w:val="0"/>
        <w:spacing w:before="0" w:after="0"/>
        <w:jc w:val="both"/>
        <w:rPr>
          <w:color w:val="000000"/>
        </w:rPr>
      </w:pPr>
      <w:r>
        <w:rPr>
          <w:color w:val="000000"/>
        </w:rPr>
        <w:t xml:space="preserve">Exhibit 14 – Press Release, February 27, 2023* </w:t>
      </w:r>
    </w:p>
    <w:p>
      <w:pPr>
        <w:pStyle w:val="TextBody"/>
        <w:bidi w:val="0"/>
        <w:spacing w:before="0" w:after="0"/>
        <w:jc w:val="both"/>
        <w:rPr>
          <w:color w:val="000000"/>
        </w:rPr>
      </w:pPr>
      <w:r>
        <w:rPr>
          <w:color w:val="000000"/>
        </w:rPr>
        <w:t xml:space="preserve">  </w:t>
      </w:r>
    </w:p>
    <w:p>
      <w:pPr>
        <w:pStyle w:val="TextBody"/>
        <w:bidi w:val="0"/>
        <w:spacing w:before="0" w:after="0"/>
        <w:jc w:val="both"/>
        <w:rPr>
          <w:color w:val="000000"/>
        </w:rPr>
      </w:pPr>
      <w:r>
        <w:rPr>
          <w:color w:val="000000"/>
        </w:rPr>
        <w:t xml:space="preserve">Exhibit 15 – Press Release, February 28, 2023* </w:t>
      </w:r>
    </w:p>
    <w:p>
      <w:pPr>
        <w:pStyle w:val="TextBody"/>
        <w:bidi w:val="0"/>
        <w:spacing w:before="0" w:after="0"/>
        <w:jc w:val="both"/>
        <w:rPr>
          <w:color w:val="000000"/>
        </w:rPr>
      </w:pPr>
      <w:r>
        <w:rPr>
          <w:color w:val="000000"/>
        </w:rPr>
        <w:t xml:space="preserve">  </w:t>
      </w:r>
    </w:p>
    <w:p>
      <w:pPr>
        <w:pStyle w:val="TextBody"/>
        <w:bidi w:val="0"/>
        <w:spacing w:before="0" w:after="0"/>
        <w:jc w:val="both"/>
        <w:rPr>
          <w:color w:val="000000"/>
        </w:rPr>
      </w:pPr>
      <w:r>
        <w:rPr>
          <w:color w:val="000000"/>
        </w:rPr>
        <w:t xml:space="preserve">Exhibit 16 – Press Release, December 4, 2023* </w:t>
      </w:r>
    </w:p>
    <w:p>
      <w:pPr>
        <w:pStyle w:val="TextBody"/>
        <w:bidi w:val="0"/>
        <w:spacing w:before="0" w:after="0"/>
        <w:jc w:val="both"/>
        <w:rPr>
          <w:color w:val="000000"/>
        </w:rPr>
      </w:pPr>
      <w:r>
        <w:rPr>
          <w:color w:val="000000"/>
        </w:rPr>
        <w:t xml:space="preserve">  </w:t>
      </w:r>
    </w:p>
    <w:p>
      <w:pPr>
        <w:pStyle w:val="TextBody"/>
        <w:bidi w:val="0"/>
        <w:spacing w:before="0" w:after="0"/>
        <w:jc w:val="both"/>
        <w:rPr>
          <w:color w:val="000000"/>
        </w:rPr>
      </w:pPr>
      <w:r>
        <w:rPr>
          <w:color w:val="000000"/>
        </w:rPr>
        <w:t xml:space="preserve">Exhibit 17 – Transactions in Securities, August 27, 2026 </w:t>
      </w:r>
    </w:p>
    <w:p>
      <w:pPr>
        <w:pStyle w:val="TextBody"/>
        <w:bidi w:val="0"/>
        <w:spacing w:before="0" w:after="0"/>
        <w:jc w:val="both"/>
        <w:rPr>
          <w:color w:val="000000"/>
        </w:rPr>
      </w:pPr>
      <w:r>
        <w:rPr>
          <w:color w:val="000000"/>
        </w:rPr>
        <w:t xml:space="preserve">  </w:t>
      </w:r>
    </w:p>
    <w:p>
      <w:pPr>
        <w:pStyle w:val="TextBody"/>
        <w:bidi w:val="0"/>
        <w:jc w:val="both"/>
        <w:rPr>
          <w:color w:val="000000"/>
        </w:rPr>
      </w:pPr>
      <w:r>
        <w:rPr>
          <w:color w:val="000000"/>
        </w:rPr>
        <w:t xml:space="preserve">*Previously filed </w:t>
      </w:r>
    </w:p>
    <w:p>
      <w:pPr>
        <w:pStyle w:val="TextBody"/>
        <w:bidi w:val="0"/>
        <w:spacing w:before="0" w:after="240"/>
        <w:jc w:val="center"/>
        <w:rPr>
          <w:color w:val="000000"/>
        </w:rPr>
      </w:pPr>
      <w:bookmarkStart w:id="20" w:name="sexhibit17b.htm"/>
      <w:bookmarkStart w:id="21" w:name="kssexhibit17b"/>
      <w:bookmarkEnd w:id="20"/>
      <w:bookmarkEnd w:id="21"/>
      <w:r>
        <w:rPr>
          <w:b/>
          <w:color w:val="000000"/>
        </w:rPr>
        <w:t>Exhibit 17 – Transactions in Securities</w:t>
      </w:r>
      <w:r>
        <w:rPr>
          <w:color w:val="000000"/>
        </w:rPr>
        <w:t xml:space="preserve"> </w:t>
      </w:r>
      <w:r>
        <w:br w:type="page"/>
      </w:r>
    </w:p>
    <w:p>
      <w:pPr>
        <w:pStyle w:val="TextBody"/>
        <w:bidi w:val="0"/>
        <w:spacing w:before="0" w:after="240"/>
        <w:jc w:val="left"/>
        <w:rPr>
          <w:b/>
          <w:color w:val="000000"/>
          <w:sz w:val="20"/>
        </w:rPr>
      </w:pPr>
      <w:r>
        <w:rPr>
          <w:b/>
          <w:color w:val="000000"/>
          <w:sz w:val="20"/>
        </w:rPr>
        <w:t xml:space="preserve">Schedule of Transactions in ADSs of the Issuer During the Past 60 Days </w:t>
      </w:r>
    </w:p>
    <w:tbl>
      <w:tblPr>
        <w:tblW w:w="3499" w:type="dxa"/>
        <w:jc w:val="left"/>
        <w:tblInd w:w="-10" w:type="dxa"/>
        <w:tblLayout w:type="fixed"/>
        <w:tblCellMar>
          <w:top w:w="28" w:type="dxa"/>
          <w:left w:w="108" w:type="dxa"/>
          <w:bottom w:w="28" w:type="dxa"/>
          <w:right w:w="108" w:type="dxa"/>
        </w:tblCellMar>
      </w:tblPr>
      <w:tblGrid>
        <w:gridCol w:w="541"/>
        <w:gridCol w:w="946"/>
        <w:gridCol w:w="841"/>
        <w:gridCol w:w="1171"/>
      </w:tblGrid>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b/>
                <w:sz w:val="20"/>
              </w:rPr>
              <w:t>Side</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b/>
                <w:sz w:val="20"/>
              </w:rPr>
              <w:t>Price</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b/>
                <w:sz w:val="20"/>
              </w:rPr>
              <w:t>Amount</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b/>
                <w:sz w:val="20"/>
              </w:rPr>
              <w:t>Trade Date</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14.01000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336</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2026-08-24</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42</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2026-08-24</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14.06000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100</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2026-08-24</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14.06000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110</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2026-08-24</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14.06100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400</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2026-08-24</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14.02000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2026-08-24</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14.01000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100</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2026-08-24</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14.01000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336</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2026-08-24</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14.01000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661</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2026-08-24</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14.01000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336</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2026-08-24</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14.01000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2026-08-24</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14.01000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271</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2026-08-24</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14.01000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390</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2026-08-24</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14.01000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46</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2026-08-24</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14.01000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59</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2026-08-24</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14.01000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311</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2026-08-24</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14.01000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79</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2026-08-24</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2026-08-24</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200</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2026-08-24</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14.00000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4600</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2026-08-24</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100</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2026-08-24</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100</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2026-08-24</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141</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2026-08-24</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200</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2026-08-24</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2026-08-24</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2026-08-24</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2026-08-24</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2026-08-24</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2026-08-24</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2026-08-24</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100</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2026-08-24</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2026-08-24</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2026-08-24</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4</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2026-08-24</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2026-08-24</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4</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2026-08-24</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4</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2026-08-24</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4</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2026-08-24</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4</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2026-08-24</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4</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2026-08-24</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4</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2026-08-24</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2026-08-24</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4</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2026-08-24</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4</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2026-08-24</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4</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2026-08-24</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4</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2026-08-24</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2026-08-24</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8</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2026-08-24</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108</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2026-08-24</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2026-08-24</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2026-08-24</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2026-08-24</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2026-08-24</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2026-08-24</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2026-08-24</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2026-08-24</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2026-08-24</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2026-08-24</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100</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2026-08-24</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2026-08-24</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2026-08-24</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2026-08-24</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2026-08-24</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2026-08-24</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2026-08-24</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2026-08-24</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2026-08-24</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2026-08-24</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2026-08-24</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100</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2026-08-24</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100</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2026-08-24</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2026-08-24</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2026-08-24</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2026-08-24</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2026-08-24</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2026-08-24</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2026-08-24</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2026-08-24</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2026-08-24</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2026-08-24</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4</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2026-08-24</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4</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2026-08-24</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4</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2026-08-24</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4</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2026-08-24</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4</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2026-08-24</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4</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2026-08-24</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4</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2026-08-24</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4</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2026-08-24</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4</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2026-08-24</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4</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2026-08-24</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4</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2026-08-24</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4</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2026-08-24</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4</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2026-08-24</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4</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2026-08-24</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4</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2026-08-24</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4</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2026-08-24</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4</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2026-08-24</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4</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2026-08-24</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4</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2026-08-24</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4</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2026-08-24</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200</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2026-08-24</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2026-08-24</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2026-08-24</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2026-08-24</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2026-08-24</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2026-08-24</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2026-08-24</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2026-08-24</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2026-08-24</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2026-08-24</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2026-08-24</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2026-08-24</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200</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2026-08-24</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46</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2026-08-24</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100</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2026-08-24</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2026-08-24</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2026-08-24</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2026-08-24</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2026-08-24</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2026-08-24</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2026-08-24</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2026-08-24</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2026-08-24</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2026-08-24</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2026-08-24</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2026-08-24</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2026-08-24</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2026-08-24</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2026-08-24</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2026-08-24</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4</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2026-08-24</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2026-08-24</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4</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2026-08-24</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4</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2026-08-24</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4</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2026-08-24</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4</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2026-08-24</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4</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2026-08-24</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4</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2026-08-24</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4</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2026-08-24</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4</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2026-08-24</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4</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2026-08-24</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4</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2026-08-24</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4</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2026-08-24</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4</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2026-08-24</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4</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2026-08-24</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4</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2026-08-24</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4</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2026-08-24</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4</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2026-08-24</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4</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2026-08-24</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4</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2026-08-24</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4</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2026-08-24</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73</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2026-08-24</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14.00000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112</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2026-08-24</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78</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2026-08-24</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78</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2026-08-24</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14.08000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70</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2026-08-24</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300</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2026-08-24</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22</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2026-08-24</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2026-08-24</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108</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2026-08-24</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8</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2026-08-24</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2026-08-24</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2026-08-24</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2026-08-24</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2026-08-24</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2026-08-24</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2026-08-24</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2026-08-24</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4</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2026-08-24</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200</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2026-08-24</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100</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2026-08-24</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100</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2026-08-24</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2026-08-24</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2026-08-24</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2026-08-24</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2026-08-24</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2026-08-24</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2026-08-24</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2026-08-24</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2026-08-24</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2026-08-24</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2026-08-24</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100</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2026-08-24</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100</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2026-08-24</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78</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2026-08-24</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102</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2026-08-24</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100</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2026-08-24</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2026-08-24</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2026-08-24</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2026-08-24</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2026-08-24</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2026-08-24</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2026-08-24</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2026-08-24</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2026-08-24</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2026-08-24</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4</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2026-08-24</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2026-08-24</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4</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2026-08-24</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4</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2026-08-24</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4</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2026-08-24</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4</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2026-08-24</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4</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2026-08-24</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4</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2026-08-24</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4</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2026-08-24</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4</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2026-08-24</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4</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2026-08-24</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4</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2026-08-24</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4</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2026-08-24</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4</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2026-08-24</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4</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2026-08-24</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4</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2026-08-24</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4</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2026-08-24</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4</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2026-08-24</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4</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2026-08-24</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4</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2026-08-24</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4</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2026-08-24</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200</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2026-08-24</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2026-08-24</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2026-08-24</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2026-08-24</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2026-08-24</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2026-08-24</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2026-08-24</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2026-08-24</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2026-08-24</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2026-08-24</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4</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2026-08-24</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2026-08-24</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4</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2026-08-24</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4</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2026-08-24</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4</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2026-08-24</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4</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2026-08-24</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4</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2026-08-24</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4</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2026-08-24</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4</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2026-08-24</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4</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2026-08-24</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4</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2026-08-24</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4</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2026-08-24</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4</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2026-08-24</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4</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2026-08-24</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4</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2026-08-24</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4</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2026-08-24</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4</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2026-08-24</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4</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2026-08-24</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4</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2026-08-24</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4</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2026-08-24</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4</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2026-08-24</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200</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2026-08-24</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14.00000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1865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2026-08-24</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14.00000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2026-08-24</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14.00000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1000</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2026-08-24</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14.00000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59</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2026-08-24</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200</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2026-08-24</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2026-08-24</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2026-08-24</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2026-08-24</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2026-08-24</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2026-08-24</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2026-08-24</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2026-08-24</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2026-08-24</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2026-08-24</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76</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2026-08-24</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89</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2026-08-24</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2026-08-24</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14.00000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11000</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2026-08-24</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14.00000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2026-08-24</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14.00000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2026-08-24</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14.00000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2026-08-24</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14.00000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2026-08-24</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14.00000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4</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2026-08-24</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2026-08-24</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2026-08-24</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2026-08-24</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2026-08-24</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2026-08-24</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2026-08-24</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2026-08-24</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2026-08-24</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4</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2026-08-24</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2026-08-24</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4</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2026-08-24</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4</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2026-08-24</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4</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2026-08-24</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4</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2026-08-24</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4</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2026-08-24</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4</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2026-08-24</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4</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2026-08-24</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4</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2026-08-24</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4</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2026-08-24</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4</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2026-08-24</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4</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2026-08-24</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4</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2026-08-24</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4</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2026-08-24</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4</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2026-08-24</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4</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2026-08-24</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4</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2026-08-24</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4</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2026-08-24</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4</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2026-08-24</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4</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2026-08-24</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14.02000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100</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2026-08-24</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14.02000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200</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2026-08-24</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14.02000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100</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2026-08-24</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14.01000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100</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2026-08-24</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14.00000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3135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2026-08-24</w:t>
            </w:r>
            <w:r>
              <w:rPr>
                <w:rFonts w:ascii="Times New Roman" w:hAnsi="Times New Roman"/>
              </w:rPr>
              <w:t xml:space="preserve"> </w:t>
            </w:r>
          </w:p>
        </w:tc>
      </w:tr>
    </w:tbl>
    <w:p>
      <w:pPr>
        <w:pStyle w:val="TextBody"/>
        <w:bidi w:val="0"/>
        <w:spacing w:before="0" w:after="120"/>
        <w:jc w:val="left"/>
        <w:rPr>
          <w:color w:val="000000"/>
        </w:rPr>
      </w:pPr>
      <w:r>
        <w:rPr>
          <w:color w:val="000000"/>
        </w:rPr>
        <w:t xml:space="preserve">  </w:t>
      </w:r>
    </w:p>
    <w:tbl>
      <w:tblPr>
        <w:tblW w:w="3499" w:type="dxa"/>
        <w:jc w:val="left"/>
        <w:tblInd w:w="-10" w:type="dxa"/>
        <w:tblLayout w:type="fixed"/>
        <w:tblCellMar>
          <w:top w:w="28" w:type="dxa"/>
          <w:left w:w="108" w:type="dxa"/>
          <w:bottom w:w="28" w:type="dxa"/>
          <w:right w:w="108" w:type="dxa"/>
        </w:tblCellMar>
      </w:tblPr>
      <w:tblGrid>
        <w:gridCol w:w="541"/>
        <w:gridCol w:w="946"/>
        <w:gridCol w:w="841"/>
        <w:gridCol w:w="1171"/>
      </w:tblGrid>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b/>
                <w:sz w:val="20"/>
              </w:rPr>
              <w:t>Side</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b/>
                <w:sz w:val="20"/>
              </w:rPr>
              <w:t>Price</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b/>
                <w:sz w:val="20"/>
              </w:rPr>
              <w:t>Amount</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b/>
                <w:sz w:val="20"/>
              </w:rPr>
              <w:t>Trade Date</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14.02000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100</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14.02000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14.02000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14.02000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14.02000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14.02000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14.02000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14.02000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14.02000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14.02000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14.02000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14.02000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14.02000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14.02000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14.02000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14.02000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14.02000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51</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100</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14.02000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400</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100</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14.04000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100</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14.05000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108</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200</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100</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200</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200</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14.01500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21200</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14.05000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14.05000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14.05000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216</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14.05000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14.05000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100</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14.03400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400</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14.02000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38</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14.02000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100</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14.02000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100</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14.02000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100</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14.02000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14.02000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14.02000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14.02000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14.02000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14.02000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14.02000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14.02000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14.02000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14.02000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14.02000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14.02000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14.02000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14.02000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14.02000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14.02000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14.02000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14.02000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14.02000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14.02000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14.02000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14.02000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14.02000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14.06000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24</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14.01000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46</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14.01000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35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14.01000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100</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14.01000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105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14.00000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14109</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200</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34</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14.05000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99</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14.06000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14.05000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144</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14.04000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100</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160</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14.04000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100</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12</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100</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38</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100</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100</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14.04000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100</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14.05000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100</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14.05000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23</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14.02000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12</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14.04000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1055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100</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100</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100</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14.01000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100</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100</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14.00000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23400</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14.04000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14.04000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10</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14.04000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70</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14.00000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277263</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100</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14.04000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4</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27</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14.02000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10</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14.02000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100</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14.01000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10</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14.01000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10</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14.01000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10</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14.01000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10</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14.01000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400</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14.02000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12</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14.01000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34</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14.01000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58</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14.01000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7</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14.01000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38</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14.01000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100</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14.01000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14.01000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14.01000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14.01000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14.01000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14.01000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14.01000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14.01000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14.01000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14.01000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14.01000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14.01000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14.01000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14.01000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14.01000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14.01000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14.01000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14.01000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14.01000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14.01000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14.01000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14.01000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14.01000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14.01000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100</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14.01000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14.01000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14.01000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14.01000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14.01000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14.01000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14.01000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14.01000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100</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14.01000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14.01000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14.01000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14.01000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14.01000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14.01000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14.01000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100</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14.01000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14.01000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14.01000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14.01000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14.01000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14.01000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100</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14.01000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100</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14.01000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14.01000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14.01000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14.01000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14.01000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14.01000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14.01000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14.01000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14.01000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14.01000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14.01000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14.01000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14.01000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14.01000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14.01000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14.01000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14.01000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14.01000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14.01000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14.01000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100</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14.01000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100</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14.01000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100</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14.01000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100</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14.03000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12</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14.02000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100</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14.01000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160</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14.01000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100</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14.00000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23</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14.00000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100</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14.00000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100</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14.00000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100</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14.00000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14.00000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14.00000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14.00000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14.00000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14.00000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14.00000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14.00000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14.00000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14.00000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14.00000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14.00000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14.00000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14.00000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14.00000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14.00000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14.00000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14.00000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14.00000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14.00000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14.00000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14.00000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14.00000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14.00000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14.00000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14.00000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14.00000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14.00000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14.00000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14.00000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100</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14.00000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14.00000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100</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14.00000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100</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14.00000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100</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14.00000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100</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14.00000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14.00000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14.00000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14.00000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14.00000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14.00000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14.00000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14.00000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14.00000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14.00000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14.00000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14.00000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14.00000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14.00000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14.00000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14.00000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14.00000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14.00000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14.00000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14.00000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14.00000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14.00000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14.00000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14.00000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14.00000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14.00000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14.00000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14.00000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14.00000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14.00000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25</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14.00000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100</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r>
        <w:trPr/>
        <w:tc>
          <w:tcPr>
            <w:tcW w:w="5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Sell</w:t>
            </w:r>
            <w:r>
              <w:rPr>
                <w:rFonts w:ascii="Times New Roman" w:hAnsi="Times New Roman"/>
              </w:rPr>
              <w:t xml:space="preserve"> </w:t>
            </w:r>
          </w:p>
        </w:tc>
        <w:tc>
          <w:tcPr>
            <w:tcW w:w="94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14.00000</w:t>
            </w:r>
            <w:r>
              <w:rPr>
                <w:rFonts w:ascii="Times New Roman" w:hAnsi="Times New Roman"/>
              </w:rPr>
              <w:t xml:space="preserve"> </w:t>
            </w:r>
          </w:p>
        </w:tc>
        <w:tc>
          <w:tcPr>
            <w:tcW w:w="8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100</w:t>
            </w:r>
            <w:r>
              <w:rPr>
                <w:rFonts w:ascii="Times New Roman" w:hAnsi="Times New Roman"/>
              </w:rPr>
              <w:t xml:space="preserve"> </w:t>
            </w:r>
          </w:p>
        </w:tc>
        <w:tc>
          <w:tcPr>
            <w:tcW w:w="117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lineRule="atLeast" w:line="240" w:before="0" w:after="0"/>
              <w:jc w:val="center"/>
              <w:rPr>
                <w:rFonts w:ascii="Times New Roman" w:hAnsi="Times New Roman"/>
              </w:rPr>
            </w:pPr>
            <w:r>
              <w:rPr>
                <w:rFonts w:ascii="Times New Roman" w:hAnsi="Times New Roman"/>
                <w:sz w:val="20"/>
              </w:rPr>
              <w:t>2026-08-25</w:t>
            </w:r>
            <w:r>
              <w:rPr>
                <w:rFonts w:ascii="Times New Roman" w:hAnsi="Times New Roman"/>
              </w:rPr>
              <w:t xml:space="preserve"> </w:t>
            </w:r>
          </w:p>
        </w:tc>
      </w:tr>
    </w:tbl>
    <w:p>
      <w:pPr>
        <w:pStyle w:val="TextBody"/>
        <w:bidi w:val="0"/>
        <w:spacing w:lineRule="atLeast" w:line="240" w:before="0" w:after="0"/>
        <w:jc w:val="center"/>
        <w:rPr/>
      </w:pPr>
      <w:r>
        <w:rPr/>
        <w:t xml:space="preserve">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14</Pages>
  <Words>3950</Words>
  <Characters>22667</Characters>
  <CharactersWithSpaces>26609</CharactersWithSpaces>
  <Paragraphs>2943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