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-183515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4" w:lineRule="exact"/>
        <w:rPr>
          <w:sz w:val="24"/>
          <w:szCs w:val="24"/>
          <w:color w:val="auto"/>
        </w:rPr>
      </w:pPr>
    </w:p>
    <w:p>
      <w:pPr>
        <w:ind w:left="3980" w:right="1700" w:hanging="3972"/>
        <w:spacing w:after="0" w:line="286" w:lineRule="auto"/>
        <w:tabs>
          <w:tab w:leader="none" w:pos="52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2019</w:t>
      </w:r>
    </w:p>
    <w:p>
      <w:pPr>
        <w:spacing w:after="0" w:line="15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-20320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-289560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3" w:lineRule="exact"/>
        <w:rPr>
          <w:sz w:val="24"/>
          <w:szCs w:val="24"/>
          <w:color w:val="auto"/>
        </w:rPr>
      </w:pPr>
    </w:p>
    <w:tbl>
      <w:tblPr>
        <w:tblLayout w:type="fixed"/>
        <w:tblInd w:w="1320" w:type="dxa"/>
        <w:tblCellMar>
          <w:top w:w="0" w:type="dxa"/>
          <w:left w:w="0" w:type="dxa"/>
          <w:bottom w:w="0" w:type="dxa"/>
          <w:right w:w="0" w:type="dxa"/>
        </w:tblCellMar>
      </w:tblPr>
      <w:tr>
        <w:trPr>
          <w:trHeight w:val="214"/>
        </w:trPr>
        <w:tc>
          <w:tcPr>
            <w:tcW w:w="482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3140" w:type="dxa"/>
            <w:vAlign w:val="bottom"/>
          </w:tcPr>
          <w:p>
            <w:pPr>
              <w:jc w:val="center"/>
              <w:ind w:left="174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4820" w:type="dxa"/>
            <w:vAlign w:val="bottom"/>
          </w:tcPr>
          <w:p>
            <w:pPr>
              <w:jc w:val="center"/>
              <w:ind w:right="1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7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2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82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77 Sir John Rogerson’s Quay, Block C,</w:t>
            </w:r>
          </w:p>
        </w:tc>
        <w:tc>
          <w:tcPr>
            <w:tcW w:w="3140" w:type="dxa"/>
            <w:vAlign w:val="bottom"/>
          </w:tcPr>
          <w:p>
            <w:pPr>
              <w:jc w:val="center"/>
              <w:ind w:left="1741"/>
              <w:spacing w:after="0"/>
              <w:rPr>
                <w:sz w:val="20"/>
                <w:szCs w:val="20"/>
                <w:color w:val="auto"/>
              </w:rPr>
            </w:pPr>
            <w:r>
              <w:rPr>
                <w:rFonts w:ascii="Times New Roman" w:cs="Times New Roman" w:eastAsia="Times New Roman" w:hAnsi="Times New Roman"/>
                <w:sz w:val="18"/>
                <w:szCs w:val="18"/>
                <w:b w:val="1"/>
                <w:bCs w:val="1"/>
                <w:color w:val="auto"/>
                <w:w w:val="99"/>
              </w:rPr>
              <w:t>Dublin 2, Ireland</w:t>
            </w:r>
          </w:p>
        </w:tc>
      </w:tr>
      <w:tr>
        <w:trPr>
          <w:trHeight w:val="214"/>
        </w:trPr>
        <w:tc>
          <w:tcPr>
            <w:tcW w:w="482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Grand Canal Docklands</w:t>
            </w:r>
          </w:p>
        </w:tc>
        <w:tc>
          <w:tcPr>
            <w:tcW w:w="3140" w:type="dxa"/>
            <w:vAlign w:val="bottom"/>
          </w:tcPr>
          <w:p>
            <w:pPr>
              <w:spacing w:after="0"/>
              <w:rPr>
                <w:sz w:val="18"/>
                <w:szCs w:val="18"/>
                <w:color w:val="auto"/>
              </w:rPr>
            </w:pPr>
          </w:p>
        </w:tc>
      </w:tr>
      <w:tr>
        <w:trPr>
          <w:trHeight w:val="190"/>
        </w:trPr>
        <w:tc>
          <w:tcPr>
            <w:tcW w:w="482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 Pembroke House, Upper Pembroke Street 28-32, Dublin 2, Ireland</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70485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50" w:type="dxa"/>
        <w:tblCellMar>
          <w:top w:w="0" w:type="dxa"/>
          <w:left w:w="0" w:type="dxa"/>
          <w:bottom w:w="0" w:type="dxa"/>
          <w:right w:w="0" w:type="dxa"/>
        </w:tblCellMar>
      </w:tblPr>
      <w:tr>
        <w:trPr>
          <w:trHeight w:val="237"/>
        </w:trPr>
        <w:tc>
          <w:tcPr>
            <w:tcW w:w="45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09"/>
        </w:trPr>
        <w:tc>
          <w:tcPr>
            <w:tcW w:w="4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226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spacing w:after="0"/>
              <w:rPr>
                <w:sz w:val="18"/>
                <w:szCs w:val="18"/>
                <w:color w:val="auto"/>
              </w:rPr>
            </w:pPr>
          </w:p>
        </w:tc>
      </w:tr>
      <w:tr>
        <w:trPr>
          <w:trHeight w:val="203"/>
        </w:trPr>
        <w:tc>
          <w:tcPr>
            <w:tcW w:w="4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2260" w:type="dxa"/>
            <w:vAlign w:val="bottom"/>
            <w:tcBorders>
              <w:right w:val="single" w:sz="8" w:color="auto"/>
            </w:tcBorders>
          </w:tcPr>
          <w:p>
            <w:pPr>
              <w:spacing w:after="0"/>
              <w:rPr>
                <w:sz w:val="17"/>
                <w:szCs w:val="17"/>
                <w:color w:val="auto"/>
              </w:rPr>
            </w:pPr>
          </w:p>
        </w:tc>
        <w:tc>
          <w:tcPr>
            <w:tcW w:w="4540" w:type="dxa"/>
            <w:vAlign w:val="bottom"/>
            <w:tcBorders>
              <w:right w:val="single" w:sz="8" w:color="auto"/>
            </w:tcBorders>
          </w:tcPr>
          <w:p>
            <w:pPr>
              <w:spacing w:after="0"/>
              <w:rPr>
                <w:sz w:val="17"/>
                <w:szCs w:val="17"/>
                <w:color w:val="auto"/>
              </w:rPr>
            </w:pPr>
          </w:p>
        </w:tc>
      </w:tr>
      <w:tr>
        <w:trPr>
          <w:trHeight w:val="210"/>
        </w:trPr>
        <w:tc>
          <w:tcPr>
            <w:tcW w:w="4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76"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5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56"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32"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357,214,478 common shares were outstanding as of July 29, 2019, including 357,009,987 shares held as American Depositary Shares (ADSs), each representing one Ordinary Share, 50 pence par value per share and 204,491 Ordinary Shares. In addition, 28,931,746 ordinary share equivalents were issuable in exchange for outstanding preferred shares as of July 29, 2019, for a total of 386,146,224 ordinary shares and ordinary share equivalents outstanding as of July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Borders>
              <w:bottom w:val="single" w:sz="8" w:color="0000EE"/>
            </w:tcBorders>
            <w:gridSpan w:val="5"/>
          </w:tcPr>
          <w:p>
            <w:pPr>
              <w:jc w:val="cente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 Financial Information</w:t>
              </w:r>
            </w:hyperlink>
          </w:p>
        </w:tc>
        <w:tc>
          <w:tcPr>
            <w:tcW w:w="330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r>
      <w:tr>
        <w:trPr>
          <w:trHeight w:val="34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040" w:type="dxa"/>
            <w:vAlign w:val="bottom"/>
          </w:tcPr>
          <w:p>
            <w:pPr>
              <w:spacing w:after="0"/>
              <w:rPr>
                <w:sz w:val="24"/>
                <w:szCs w:val="24"/>
                <w:color w:val="auto"/>
              </w:rPr>
            </w:pPr>
          </w:p>
        </w:tc>
      </w:tr>
      <w:tr>
        <w:trPr>
          <w:trHeight w:val="194"/>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14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June 30, 2019 and December 31, 2018</w:t>
              </w:r>
            </w:hyperlink>
          </w:p>
        </w:tc>
        <w:tc>
          <w:tcPr>
            <w:tcW w:w="2880" w:type="dxa"/>
            <w:vAlign w:val="bottom"/>
            <w:gridSpan w:val="5"/>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six months ended June 30, 2019 and 2018</w:t>
              </w:r>
            </w:hyperlink>
          </w:p>
        </w:tc>
        <w:tc>
          <w:tcPr>
            <w:tcW w:w="1060" w:type="dxa"/>
            <w:vAlign w:val="bottom"/>
            <w:gridSpan w:val="2"/>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7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 of Changes in Stockholders’ Equity (Deficit) for the six months ended June 30, 2019</w:t>
              </w:r>
            </w:hyperlink>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and 2018</w:t>
              </w:r>
            </w:hyperlink>
          </w:p>
        </w:tc>
        <w:tc>
          <w:tcPr>
            <w:tcW w:w="8140" w:type="dxa"/>
            <w:vAlign w:val="bottom"/>
            <w:gridSpan w:val="15"/>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six months ended June 30, 2019 and 2018</w:t>
              </w:r>
            </w:hyperlink>
          </w:p>
        </w:tc>
        <w:tc>
          <w:tcPr>
            <w:tcW w:w="1720" w:type="dxa"/>
            <w:vAlign w:val="bottom"/>
            <w:gridSpan w:val="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5020" w:type="dxa"/>
            <w:vAlign w:val="bottom"/>
            <w:gridSpan w:val="9"/>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560" w:type="dxa"/>
            <w:vAlign w:val="bottom"/>
            <w:gridSpan w:val="4"/>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020" w:type="dxa"/>
            <w:vAlign w:val="bottom"/>
            <w:gridSpan w:val="18"/>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Quantitative and Qualitative Disclosures about Market Risk</w:t>
              </w:r>
            </w:hyperlink>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Controls and Procedures</w:t>
              </w:r>
            </w:hyperlink>
          </w:p>
        </w:tc>
        <w:tc>
          <w:tcPr>
            <w:tcW w:w="4720" w:type="dxa"/>
            <w:vAlign w:val="bottom"/>
            <w:gridSpan w:val="8"/>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318"/>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0"/>
          </w:tcPr>
          <w:p>
            <w:pPr>
              <w:jc w:val="center"/>
              <w:ind w:right="3400"/>
              <w:spacing w:after="0"/>
              <w:rPr>
                <w:rFonts w:ascii="Times New Roman" w:cs="Times New Roman" w:eastAsia="Times New Roman" w:hAnsi="Times New Roman"/>
                <w:sz w:val="18"/>
                <w:szCs w:val="18"/>
                <w:b w:val="1"/>
                <w:bCs w:val="1"/>
                <w:color w:val="0000EE"/>
                <w:w w:val="99"/>
              </w:rPr>
            </w:pPr>
            <w:hyperlink w:anchor="page36">
              <w:r>
                <w:rPr>
                  <w:rFonts w:ascii="Times New Roman" w:cs="Times New Roman" w:eastAsia="Times New Roman" w:hAnsi="Times New Roman"/>
                  <w:sz w:val="18"/>
                  <w:szCs w:val="18"/>
                  <w:b w:val="1"/>
                  <w:bCs w:val="1"/>
                  <w:color w:val="0000EE"/>
                  <w:w w:val="99"/>
                </w:rPr>
                <w:t>PART II – Other Information</w:t>
              </w:r>
            </w:hyperlink>
          </w:p>
        </w:tc>
        <w:tc>
          <w:tcPr>
            <w:tcW w:w="1040" w:type="dxa"/>
            <w:vAlign w:val="bottom"/>
          </w:tcPr>
          <w:p>
            <w:pPr>
              <w:spacing w:after="0"/>
              <w:rPr>
                <w:sz w:val="24"/>
                <w:szCs w:val="24"/>
                <w:color w:val="auto"/>
              </w:rPr>
            </w:pPr>
          </w:p>
        </w:tc>
      </w:tr>
      <w:tr>
        <w:trPr>
          <w:trHeight w:val="31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6">
              <w:r>
                <w:rPr>
                  <w:rFonts w:ascii="Times New Roman" w:cs="Times New Roman" w:eastAsia="Times New Roman" w:hAnsi="Times New Roman"/>
                  <w:sz w:val="18"/>
                  <w:szCs w:val="18"/>
                  <w:color w:val="0000EE"/>
                  <w:w w:val="98"/>
                </w:rPr>
                <w:t>Legal Proceedings</w:t>
              </w:r>
            </w:hyperlink>
          </w:p>
        </w:tc>
        <w:tc>
          <w:tcPr>
            <w:tcW w:w="2000" w:type="dxa"/>
            <w:vAlign w:val="bottom"/>
            <w:gridSpan w:val="3"/>
          </w:tcPr>
          <w:p>
            <w:pPr>
              <w:spacing w:after="0"/>
              <w:rPr>
                <w:sz w:val="24"/>
                <w:szCs w:val="24"/>
                <w:color w:val="auto"/>
              </w:rPr>
            </w:pPr>
          </w:p>
        </w:tc>
        <w:tc>
          <w:tcPr>
            <w:tcW w:w="2280" w:type="dxa"/>
            <w:vAlign w:val="bottom"/>
            <w:tcBorders>
              <w:top w:val="single" w:sz="8" w:color="0000EE"/>
            </w:tcBorders>
            <w:gridSpan w:val="3"/>
          </w:tcPr>
          <w:p>
            <w:pPr>
              <w:spacing w:after="0"/>
              <w:rPr>
                <w:sz w:val="24"/>
                <w:szCs w:val="24"/>
                <w:color w:val="auto"/>
              </w:rPr>
            </w:pPr>
          </w:p>
        </w:tc>
        <w:tc>
          <w:tcPr>
            <w:tcW w:w="3400" w:type="dxa"/>
            <w:vAlign w:val="bottom"/>
            <w:gridSpan w:val="7"/>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18"/>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Risk Factors</w:t>
              </w:r>
            </w:hyperlink>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Exhibits</w:t>
              </w:r>
            </w:hyperlink>
          </w:p>
        </w:tc>
        <w:tc>
          <w:tcPr>
            <w:tcW w:w="8120" w:type="dxa"/>
            <w:vAlign w:val="bottom"/>
            <w:gridSpan w:val="14"/>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18"/>
        </w:trPr>
        <w:tc>
          <w:tcPr>
            <w:tcW w:w="1360" w:type="dxa"/>
            <w:vAlign w:val="bottom"/>
            <w:gridSpan w:val="2"/>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669"/>
        </w:trPr>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11"/>
          </w:tcPr>
          <w:p>
            <w:pPr>
              <w:ind w:left="43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221,771</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372,043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Intangible asset, net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389,922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34,018</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Current portion of long-term debt from royalty-bearing instrument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debt from royalty-bearing instrument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240,835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Series A Convertible Preferred Stock, £0.05 par, unlimited authorized; 289,317,460 shares issued</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and outstanding as of June 30, 2019 and December 31, 2018 (equivalent to 28,931,746 ordinary</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shares upon future consolidation and redesignation at a 10:1 ratio)</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 £0.50 par, unlimited authorized; 335,149,425 issued, 331,307,810 outstanding as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June 30, 2019; 329,110,863 issued, 325,850,013 outstanding as of December 31, 2018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250,588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1,311,965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Treasury stock; 3,841,615 shares as of June 30, 2019; 3,260,850 shares as of December 31, 2018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(1,414,783)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(1,388,532)</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149,087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389,922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100,366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 net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100,792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80,536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4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330,863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Preferred</w:t>
            </w:r>
          </w:p>
        </w:tc>
        <w:tc>
          <w:tcPr>
            <w:tcW w:w="4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40" w:type="dxa"/>
            <w:vAlign w:val="bottom"/>
          </w:tcPr>
          <w:p>
            <w:pPr>
              <w:spacing w:after="0"/>
              <w:rPr>
                <w:sz w:val="12"/>
                <w:szCs w:val="12"/>
                <w:color w:val="auto"/>
              </w:rPr>
            </w:pPr>
          </w:p>
        </w:tc>
        <w:tc>
          <w:tcPr>
            <w:tcW w:w="10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860" w:type="dxa"/>
            <w:vAlign w:val="bottom"/>
            <w:gridSpan w:val="4"/>
          </w:tcPr>
          <w:p>
            <w:pPr>
              <w:jc w:val="right"/>
              <w:ind w:right="23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Treasury</w:t>
            </w:r>
          </w:p>
        </w:tc>
        <w:tc>
          <w:tcPr>
            <w:tcW w:w="2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4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4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4"/>
                <w:szCs w:val="14"/>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329,110,863</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(3,260,850)</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$ 21,850</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$ 246,663</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$ 1,282,762</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(10,413)</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 (1,388,532)</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$ 152,330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3,838,739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6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1,416,124</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(526,708)</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(929)</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(9,080)</w:t>
            </w:r>
          </w:p>
        </w:tc>
        <w:tc>
          <w:tcPr>
            <w:tcW w:w="2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(24,431)</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0" w:type="dxa"/>
            <w:vAlign w:val="bottom"/>
          </w:tcPr>
          <w:p>
            <w:pPr>
              <w:spacing w:after="0"/>
              <w:rPr>
                <w:sz w:val="1"/>
                <w:szCs w:val="1"/>
                <w:color w:val="auto"/>
              </w:rPr>
            </w:pPr>
          </w:p>
        </w:tc>
      </w:tr>
      <w:tr>
        <w:trPr>
          <w:trHeight w:val="263"/>
        </w:trPr>
        <w:tc>
          <w:tcPr>
            <w:tcW w:w="2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334,365,726</w:t>
            </w:r>
          </w:p>
        </w:tc>
        <w:tc>
          <w:tcPr>
            <w:tcW w:w="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(3,787,558</w:t>
            </w:r>
          </w:p>
        </w:tc>
        <w:tc>
          <w:tcPr>
            <w:tcW w:w="20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21,850</w:t>
            </w: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$ 250,088</w:t>
            </w:r>
          </w:p>
        </w:tc>
        <w:tc>
          <w:tcPr>
            <w:tcW w:w="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$ 1,301,389</w:t>
            </w:r>
          </w:p>
        </w:tc>
        <w:tc>
          <w:tcPr>
            <w:tcW w:w="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(19,493</w:t>
            </w:r>
          </w:p>
        </w:tc>
        <w:tc>
          <w:tcPr>
            <w:tcW w:w="2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3"/>
              </w:rPr>
              <w:t>$</w:t>
            </w:r>
            <w:r>
              <w:rPr>
                <w:rFonts w:ascii="Times New Roman" w:cs="Times New Roman" w:eastAsia="Times New Roman" w:hAnsi="Times New Roman"/>
                <w:sz w:val="18"/>
                <w:szCs w:val="18"/>
                <w:b w:val="1"/>
                <w:bCs w:val="1"/>
                <w:color w:val="auto"/>
                <w:w w:val="93"/>
              </w:rPr>
              <w:t xml:space="preserve"> (1,412,963</w:t>
            </w:r>
          </w:p>
        </w:tc>
        <w:tc>
          <w:tcPr>
            <w:tcW w:w="20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$ 140,871</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Issuance of common stock</w:t>
            </w:r>
          </w:p>
        </w:tc>
        <w:tc>
          <w:tcPr>
            <w:tcW w:w="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under employee stock</w:t>
            </w: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plan</w:t>
            </w:r>
          </w:p>
        </w:tc>
        <w:tc>
          <w:tcPr>
            <w:tcW w:w="6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47,358</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619,404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6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116,937</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(54,057)</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(1,820)</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335,149,425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(3,841,615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$ 250,588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$ 1,311,965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(20,533</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3"/>
              </w:rPr>
              <w:t>$</w:t>
            </w:r>
            <w:r>
              <w:rPr>
                <w:rFonts w:ascii="Times New Roman" w:cs="Times New Roman" w:eastAsia="Times New Roman" w:hAnsi="Times New Roman"/>
                <w:sz w:val="18"/>
                <w:szCs w:val="18"/>
                <w:b w:val="1"/>
                <w:bCs w:val="1"/>
                <w:color w:val="auto"/>
                <w:w w:val="93"/>
              </w:rPr>
              <w:t xml:space="preserve"> (1,414,783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$ 149,087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Preferred</w:t>
            </w:r>
          </w:p>
        </w:tc>
        <w:tc>
          <w:tcPr>
            <w:tcW w:w="4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40" w:type="dxa"/>
            <w:vAlign w:val="bottom"/>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860" w:type="dxa"/>
            <w:vAlign w:val="bottom"/>
            <w:gridSpan w:val="4"/>
          </w:tcPr>
          <w:p>
            <w:pPr>
              <w:jc w:val="right"/>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4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4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4"/>
                <w:szCs w:val="14"/>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328,184,640</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272,719,044</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(1,697,033)</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24,364</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$ 208,768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977,866</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(4,229)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 (1,271,869)</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 (65,100)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Cumulative-effect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6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2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January 1, 2018</w:t>
            </w:r>
          </w:p>
        </w:tc>
        <w:tc>
          <w:tcPr>
            <w:tcW w:w="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328,184,640</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272,719,044</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(1,697,033)</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24,364</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$ 208,768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977,866</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(4,229)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 (1,272,087)</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 (65,318)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transaction costs</w:t>
            </w:r>
          </w:p>
        </w:tc>
        <w:tc>
          <w:tcPr>
            <w:tcW w:w="6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20,616,438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55,372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782,553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6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1,838,380</w:t>
            </w:r>
          </w:p>
        </w:tc>
        <w:tc>
          <w:tcPr>
            <w:tcW w:w="160" w:type="dxa"/>
            <w:vAlign w:val="bottom"/>
          </w:tcPr>
          <w:p>
            <w:pPr>
              <w:spacing w:after="0"/>
              <w:rPr>
                <w:sz w:val="20"/>
                <w:szCs w:val="20"/>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(675,242)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(2,553)</w:t>
            </w:r>
          </w:p>
        </w:tc>
        <w:tc>
          <w:tcPr>
            <w:tcW w:w="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(24,095)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223"/>
        </w:trPr>
        <w:tc>
          <w:tcPr>
            <w:tcW w:w="2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328,184,640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295,956,415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(2,372,275</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24,364</w:t>
            </w: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$ 225,246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$ 1,036,697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(6,782</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(1,296,182</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 (16,657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2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 employee stock</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plan</w:t>
            </w:r>
          </w:p>
        </w:tc>
        <w:tc>
          <w:tcPr>
            <w:tcW w:w="6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127,872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173,679</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6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90,937</w:t>
            </w:r>
          </w:p>
        </w:tc>
        <w:tc>
          <w:tcPr>
            <w:tcW w:w="160" w:type="dxa"/>
            <w:vAlign w:val="bottom"/>
          </w:tcPr>
          <w:p>
            <w:pPr>
              <w:spacing w:after="0"/>
              <w:rPr>
                <w:sz w:val="20"/>
                <w:szCs w:val="20"/>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(41,252)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(34,210)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0" w:type="dxa"/>
            <w:vAlign w:val="bottom"/>
          </w:tcPr>
          <w:p>
            <w:pPr>
              <w:spacing w:after="0"/>
              <w:rPr>
                <w:sz w:val="1"/>
                <w:szCs w:val="1"/>
                <w:color w:val="auto"/>
              </w:rPr>
            </w:pPr>
          </w:p>
        </w:tc>
      </w:tr>
      <w:tr>
        <w:trPr>
          <w:trHeight w:val="223"/>
        </w:trPr>
        <w:tc>
          <w:tcPr>
            <w:tcW w:w="2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328,184,640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296,348,903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(2,413,527</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24,364</w:t>
            </w: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$ 225,507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$ 1,040,743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(6,909</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(1,330,392</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 (46,687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1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gridSpan w:val="2"/>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(26,251)</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(58,305)</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14,766</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(28,875)</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(9,833)</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(4,158)</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(928)</w:t>
            </w:r>
          </w:p>
        </w:tc>
        <w:tc>
          <w:tcPr>
            <w:tcW w:w="9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(973)</w:t>
            </w:r>
          </w:p>
        </w:tc>
        <w:tc>
          <w:tcPr>
            <w:tcW w:w="9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14,765</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(3,186)</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(22,180)</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(34,243)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equipment</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(801)</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transaction costs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 net of transaction costs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17,344</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Payment on long-term debt from royalty-bearing instrument</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(12,533)</w:t>
            </w:r>
          </w:p>
        </w:tc>
        <w:tc>
          <w:tcPr>
            <w:tcW w:w="9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(6,713)</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(10,120)</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6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3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(DECREASE) INCREASE IN CASH AND CASH EQUIVALENTS AND</w:t>
            </w:r>
          </w:p>
        </w:tc>
        <w:tc>
          <w:tcPr>
            <w:tcW w:w="8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(27,453)</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86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250,727</w:t>
            </w:r>
          </w:p>
        </w:tc>
        <w:tc>
          <w:tcPr>
            <w:tcW w:w="30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8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223,274</w:t>
            </w:r>
          </w:p>
        </w:tc>
        <w:tc>
          <w:tcPr>
            <w:tcW w:w="3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102,857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tcBorders>
              <w:bottom w:val="single" w:sz="8" w:color="CFF0FC"/>
            </w:tcBorders>
          </w:tcPr>
          <w:p>
            <w:pPr>
              <w:spacing w:after="0"/>
              <w:rPr>
                <w:sz w:val="23"/>
                <w:szCs w:val="23"/>
                <w:color w:val="auto"/>
              </w:rPr>
            </w:pP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300" w:type="dxa"/>
            <w:vAlign w:val="bottom"/>
            <w:tcBorders>
              <w:bottom w:val="single" w:sz="8" w:color="CFF0FC"/>
            </w:tcBorders>
          </w:tcPr>
          <w:p>
            <w:pPr>
              <w:spacing w:after="0"/>
              <w:rPr>
                <w:sz w:val="23"/>
                <w:szCs w:val="23"/>
                <w:color w:val="auto"/>
              </w:rPr>
            </w:pPr>
          </w:p>
        </w:tc>
        <w:tc>
          <w:tcPr>
            <w:tcW w:w="92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1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8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1780" w:type="dxa"/>
            <w:vAlign w:val="bottom"/>
            <w:gridSpan w:val="2"/>
            <w:shd w:val="clear" w:color="auto" w:fill="CFF0FC"/>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520" w:right="7460" w:hanging="512"/>
        <w:spacing w:after="0" w:line="378" w:lineRule="auto"/>
        <w:tabs>
          <w:tab w:leader="none" w:pos="5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and Basis of Presentation </w:t>
      </w:r>
      <w:r>
        <w:rPr>
          <w:rFonts w:ascii="Times New Roman" w:cs="Times New Roman" w:eastAsia="Times New Roman" w:hAnsi="Times New Roman"/>
          <w:sz w:val="18"/>
          <w:szCs w:val="18"/>
          <w:b w:val="1"/>
          <w:bCs w:val="1"/>
          <w:i w:val="1"/>
          <w:iCs w:val="1"/>
          <w:u w:val="single" w:color="auto"/>
          <w:color w:val="auto"/>
        </w:rPr>
        <w:t>Nature of Business</w:t>
      </w: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Amarin Corporation plc (“Amarin” or the “Company”) is a pharmaceutical company with expertise in omega-3 fatty acids and lipid science focused on the commercialization and development of therapeutics to improve cardiovascular health and reduce cardiovascular risk. Since its inception, the Company has devoted substantial resources to research and development.</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Company’s lead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capsules, is approved by the U.S. Food and Drug Administration, or FDA, for use as an adjunct to diet to reduce triglyceride levels in adult patients with severe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500 mg/dL) hypertriglyceridemia. Vascepa is available in the United States (the “U.S.”) by prescription only. In January 2013, the Company began selling and marketing 1-gram size Vascepa capsules in the United States, and in October 2016, introduced a smaller 0.5-gram capsule size.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w:t>
      </w:r>
    </w:p>
    <w:p>
      <w:pPr>
        <w:spacing w:after="0" w:line="18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The Company also developed Vascepa for FDA approval of potential additional indications for use. In particular, the Company conducted a cardiovascular outcomes study of Vascepa, titled REDUCE-IT™ (Reduction of Cardiovascular Events with EPA—Intervention Trial). The REDUCE-IT study, which commenced in 2011 and completed patient enrollment and randomization of 8,179 individual patients in 2016, was designed to evaluate the efficacy of Vascepa in reducing major cardiovascular events in a high-risk patient population on statin therapy. The REDUCE-IT study topline results were made public in September 2018, and the primary results of the REDUCE-IT study were presented at the 2018 Scientific Sessions of the American Heart Association (AHA) in November 2018 with such results concurrently published in </w:t>
      </w:r>
      <w:r>
        <w:rPr>
          <w:rFonts w:ascii="Times New Roman" w:cs="Times New Roman" w:eastAsia="Times New Roman" w:hAnsi="Times New Roman"/>
          <w:sz w:val="18"/>
          <w:szCs w:val="18"/>
          <w:i w:val="1"/>
          <w:iCs w:val="1"/>
          <w:color w:val="auto"/>
        </w:rPr>
        <w:t>The New England Journal</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i w:val="1"/>
          <w:iCs w:val="1"/>
          <w:color w:val="auto"/>
        </w:rPr>
        <w:t>Medicine</w:t>
      </w:r>
      <w:r>
        <w:rPr>
          <w:rFonts w:ascii="Times New Roman" w:cs="Times New Roman" w:eastAsia="Times New Roman" w:hAnsi="Times New Roman"/>
          <w:sz w:val="18"/>
          <w:szCs w:val="18"/>
          <w:color w:val="auto"/>
        </w:rPr>
        <w:t>. The total (first and subsequent) cardiovascular events results of the REDUCE-IT study were presented at the American College of Cardiology’s (ACC) 68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Annual Scientific Session in March 2019 and concurrently published in the </w:t>
      </w:r>
      <w:r>
        <w:rPr>
          <w:rFonts w:ascii="Times New Roman" w:cs="Times New Roman" w:eastAsia="Times New Roman" w:hAnsi="Times New Roman"/>
          <w:sz w:val="18"/>
          <w:szCs w:val="18"/>
          <w:i w:val="1"/>
          <w:iCs w:val="1"/>
          <w:color w:val="auto"/>
        </w:rPr>
        <w:t>Journal of the American College of Cardiology.</w:t>
      </w:r>
      <w:r>
        <w:rPr>
          <w:rFonts w:ascii="Times New Roman" w:cs="Times New Roman" w:eastAsia="Times New Roman" w:hAnsi="Times New Roman"/>
          <w:sz w:val="18"/>
          <w:szCs w:val="18"/>
          <w:color w:val="auto"/>
        </w:rPr>
        <w:t xml:space="preserve"> The Company submitted a supplemental new drug application (sNDA) in March 2019 to the FDA seeking revised labeling for Vascepa based on results of the REDUCE-IT study and, upon such expanded labeling, subject to FDA approval of such label, to further expand its promotion of Vascepa in the United States. In May 2019, the FDA accepted the sNDA for filing and granted Priority Review designation with a Prescription Drug User Fee Act (PDUFA) goal date of September 28, 2019.</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in the United States through its direct sales force, which prior to the REDUCE-IT results topline announcement in September 2018 consisted of approximately 170 sales professionals, including sales representatives and their managers. In early 2019, the Company increased its sales team to approximately 440 sales professionals, including approximately 400 sales representatives. The Company’s direct sales force remained at approximately this level through June 30, 2019 and is currently being increased to a planned total of approximately 800 sales professionals. Prior to 2019, the Company also engaged a co-promotion partner to help promote Vascepa in the United States which co-promotion by mutual agreement was not extended beyond December 31, 2018. Outside of the United States, the Company has entered into agreements with third party companies in select geographies for purposes of pursuing regulatory approval and commercialization of Vascepa. The Company operates in one business segment.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without audit, in accordance with accounting principles generally accepted in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2018, or the 2018 Form 10-K, filed with the SEC. The balance sheet amounts at December 31, 2018 in this report were derived from the Company’s audited 2018 consolidated financial statements included in the 2018 Form 10-K.</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7" w:name="page8"/>
    <w:bookmarkEnd w:id="7"/>
    <w:p>
      <w:pPr>
        <w:ind w:right="6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2019 and 2018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18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June 30, 2019, the Company had current assets of $372.0 million, including cash and cash equivalents of $221.8 million, accounts receivable, net, of $95.4 million and inventory of $46.3 million. The Company’s condensed consolidated balance sheets also include long-term debt from royalty-bearing instrument which is anticipated to be repaid quarterly calculated as a percentage of Vascepa net revenues until fully satisfied. As of June 30, 2019, the Company had no other debt outstanding.</w:t>
      </w:r>
    </w:p>
    <w:p>
      <w:pPr>
        <w:spacing w:after="0" w:line="311" w:lineRule="exact"/>
        <w:rPr>
          <w:sz w:val="20"/>
          <w:szCs w:val="20"/>
          <w:color w:val="auto"/>
        </w:rPr>
      </w:pPr>
    </w:p>
    <w:p>
      <w:pPr>
        <w:ind w:left="520" w:right="8500" w:hanging="512"/>
        <w:spacing w:after="0" w:line="378" w:lineRule="auto"/>
        <w:tabs>
          <w:tab w:leader="none" w:pos="5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258"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June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3"/>
                <w:szCs w:val="13"/>
                <w:color w:val="auto"/>
              </w:rPr>
            </w:pP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116,262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86,133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(18,512)</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(19,495)</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3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and tax rates, among other factors, may cause the Company to adjust its valuation allowance on deferred tax assets, which would impact the Company’s income tax expense in the period in which it is determined that these factors have changed.</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(IRS) and states. The Company recently completed the audit by the IRS for the years 2013 to 2014 with no material changes to the filed income tax returns.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convertible notes using the “if-converted” method. In periods with reported net operating losses, all common stock options are deemed anti-dilutive such that basic net loss per share and diluted net loss per share are equal.</w:t>
      </w:r>
    </w:p>
    <w:p>
      <w:pPr>
        <w:spacing w:after="0" w:line="184"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8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three and six months ended June 30, 2019 and 2018 are as follows: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920" w:type="dxa"/>
            <w:vAlign w:val="bottom"/>
            <w:tcBorders>
              <w:bottom w:val="single" w:sz="8" w:color="CFF0FC"/>
            </w:tcBorders>
            <w:vMerge w:val="continue"/>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diluted</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329,793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9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2019 and 2018, the following potentially dilutive securities were not included in the computation of net loss per share because the effect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7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1200" w:type="dxa"/>
            <w:vAlign w:val="bottom"/>
            <w:tcBorders>
              <w:top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3"/>
                <w:szCs w:val="13"/>
                <w:color w:val="auto"/>
              </w:rPr>
            </w:pPr>
          </w:p>
        </w:tc>
        <w:tc>
          <w:tcPr>
            <w:tcW w:w="1200" w:type="dxa"/>
            <w:vAlign w:val="bottom"/>
            <w:tcBorders>
              <w:top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2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25,282</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25,282</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Exchangeable senior notes (if converted)</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(if converted)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2"/>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6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24%, 37%, and 29%, respectively, of gross product sales for the six months ended June 30, 2019, and represented 38%, 32%, and 22%, respectively, of the gross accounts receivable balance as of June 30, 2019. Customers A, B, and C accounted for 27%, 31%, and 31%, respectively, of gross product sales for the six months ended June 30, 2018 and represented 33%, 37%, and 22%, respectively, of the gross accounts receivable balance as of June 30, 2018. The Company has not experienced any significant write-offs of its accounts receivable.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termination of the Company’s current supply chain or its failure to enter into new and similar agreements in a timely fashion, if needed, could have a material adverse effect on its business, condition (financial and other), prospects or results of operations.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FDA-approved API manufacturers and several independent FDA-approved API encapsulators and packagers for Vascepa manufacturing. Each of these companies has qualified and validated its manufacturing processes and is capable of manufacturing Vascepa.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anticipated demand for Vascepa.</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as of June 30, 2019 and December 31, 2018 that are measured at fair value on a recurring basis and indicate the fair value hierarchy of the valuation techniques the Company utilized to determine such fair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equivalents—money markets</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equivalents—money markets</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carrying amounts of cash, cash equivalents, accounts payable and accrued liabilities approximate fair value because of their short-term nature. The carrying amounts and the estimated fair values of debt instruments as of June 30, 2019 and December 31, 2018 are as follows: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3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5"/>
        </w:trPr>
        <w:tc>
          <w:tcPr>
            <w:tcW w:w="46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Current portion of long-term debt from royalty-bearing</w:t>
            </w:r>
          </w:p>
        </w:tc>
        <w:tc>
          <w:tcPr>
            <w:tcW w:w="6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instrument, net of accrued interest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from royalty-bearing instrument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long-term debt from royalty-bearing instrument is calculated utilizing the same Level 3 inputs utilized in valuing the related derivative liability (see Derivative Liabilities below). The carrying value of the long-term debt from royalty-bearing instrument as of both June 30, 2019 and December 31, 2018 did not include a debt discount as it had been fully amortized.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Liabilities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Redemption Feature</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Company’s December 2012 royalty-bearing instrument financing arrangement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June 30, 2019, the fair value of the derivative was determined to be nil, and the debt was valued by comparing debt issues of similar companies with (i) remaining terms of between 1.0 and 7.8 years, (ii) coupon rates of between 6.0% and 10.0% and (iii) market yields of between 8.3% and 15.8%. As of December 31, 2018, the fair value of the derivative was determined to be nil based on underlying assumptions, and the debt was valued by comparing debt issues of similar companies with</w:t>
      </w:r>
    </w:p>
    <w:p>
      <w:pPr>
        <w:spacing w:after="0" w:line="4" w:lineRule="exact"/>
        <w:rPr>
          <w:sz w:val="20"/>
          <w:szCs w:val="20"/>
          <w:color w:val="auto"/>
        </w:rPr>
      </w:pPr>
    </w:p>
    <w:p>
      <w:pPr>
        <w:jc w:val="both"/>
        <w:ind w:right="120" w:firstLine="8"/>
        <w:spacing w:after="0" w:line="255"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terms of between 1.3 and 4.0 years, (ii) coupon rates of between 5.4% and 10.8% and (iii) market yields of between 6.7% and 15.8%. As such, the Company recognized no gain or loss on change in fair value of derivative liability for the six months ended June 30, 2019. The Company recognized no gain or loss on change in fair value of derivative liability for the six months ended June 30, 2018.</w:t>
      </w:r>
    </w:p>
    <w:p>
      <w:pPr>
        <w:spacing w:after="0" w:line="1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Accounting Standard Update (“ASU”) 2016-02, Leases (ASC 842), which supersedes the existing guidance for lease accounting, Leases (Topic 840). ASU 2016-02 requires lessees to recognize a lease liability and a right-of-use asset for virtually all of their leases (other than leases that meet the definition of a short-term lease). Lessor accounting remains largely unchanged except for changes in the definition and classification of leases. ASU 2016-02 requires a modified retrospective approach for all leases existing at, or entered into after the date of initial adoption, with an option to elect to use certain transition relief. The FASB also proposed a transition method to allow entities to not apply the new leases standard in the comparative periods they present in their financial statements in the year of adoption.</w:t>
      </w:r>
    </w:p>
    <w:p>
      <w:pPr>
        <w:spacing w:after="0" w:line="1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January 1, 2019, the Company adopted ASC 842 using the modified retrospective method for all leases that existed at or commenced after January 1, 2019. The adoption of ASC 842 did not have a material impact on the Company’s condensed consolidated financial statements as of the effective date. See Note 11 – Leases for further details. The Company elected to apply the practical expedients in ASC 842-10-65-1 (f) and therefore:</w:t>
      </w:r>
    </w:p>
    <w:p>
      <w:pPr>
        <w:spacing w:after="0" w:line="68" w:lineRule="exact"/>
        <w:rPr>
          <w:sz w:val="20"/>
          <w:szCs w:val="20"/>
          <w:color w:val="auto"/>
        </w:rPr>
      </w:pPr>
    </w:p>
    <w:p>
      <w:pPr>
        <w:ind w:left="1040" w:right="30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reassess expired contracts for the presence of lease components therein and if it was already concluded that such contracts had lease components then the classification of the respective lease components therein was not re-assessed.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re-assess initial direct costs for any existing leases.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separate the lease and non-lease components.</w:t>
      </w:r>
    </w:p>
    <w:p>
      <w:pPr>
        <w:spacing w:after="0" w:line="2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which is intended to simplify the accounting for share-based payments to nonemployees by aligning it with the accounting for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employees, with certain exceptions. The Company adopted this standard effective January 1, 2019, which did not have a material impact on the Company’s condensed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considered the following recent accounting pronouncements which were not yet adopted as of June 30, 2019:</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Fair Value Measurement</w:t>
      </w:r>
      <w:r>
        <w:rPr>
          <w:rFonts w:ascii="Times New Roman" w:cs="Times New Roman" w:eastAsia="Times New Roman" w:hAnsi="Times New Roman"/>
          <w:sz w:val="18"/>
          <w:szCs w:val="18"/>
          <w:color w:val="auto"/>
        </w:rPr>
        <w:t>, which eliminates, adds and modifies certain disclosure requirements for fair value measurements, including eliminating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to disclose the amount of and reasons for transfers between Level 1 and Level 2 of the fair value hierarchy, and requiring disclosure of the range and weighted average used to develop significant unobservable inputs for Level 3 fair value measurements. The new guidance is effective for fiscal years beginning after December 15, 2019, including interim periods within those fiscal years. Early adoption, either of the entire standard or only the provisions that eliminate or modify requirements, is permitted. The Company has evaluated the disclosure requirements of this standard and does not expect it to have a material impact on the Company’s condensed consolidated financial statements.</w:t>
      </w:r>
    </w:p>
    <w:p>
      <w:pPr>
        <w:spacing w:after="0" w:line="18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6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Intangible asset consists of the historical acquisition cost of certain technology rights for Vascepa and has an estimated weighted-average remaining useful life of 11.1 years. The carrying value as of June 30, 2019 and December 31, 2018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2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(4,467)</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52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2" w:name="page13"/>
    <w:bookmarkEnd w:id="12"/>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FDA. Inventories as of June 30, 2019 and December 31, 2018 consist of the following:</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3"/>
                <w:szCs w:val="13"/>
                <w:color w:val="auto"/>
              </w:rPr>
            </w:pP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 gross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cost adjustment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Long-Term Debt from Royalty-Bearing Instrument—December 2012 Financing</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2019, the remaining amount to be repaid to CPPIB is $73.6 million. During the three and six months ended June 30, 2019, the Company made repayments under the agreement of $7.3 million and $15.0 million, respectively, to CPPIB and an additional $10.0 million is scheduled to be paid in August 2019 for the second quarter of 2019. These payments, as well as additional quarterly repayments scheduled in the future, are calculated as 10% of Vascepa net revenues. All such payments reduce the remainder of the $150.0 million in aggregate payments to CPPIB. Except upon a change of control in Amarin, the agreement does not expire until $150.0 million in aggregate has been repaid. The Company can prepay the net remaining amount at any time.</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six months ended June 30, 2019 and 2018.</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June 30, 2019 and December 31, 2018, the carrying value of the royalty-bearing instrument, net of the unamortized debt discount and issuance costs, was $68.1 million and $79.7 million, respectively. During the six months ended June 30, 2019, the Company recorded cash and non-cash interest expense of $2.4 million and $0.9 million, respectively, in connection with the royalty-bearing instrument. During the six months ended June 30, 2018, the Company recorded $3.0 million and $1.0 million of cash and non-cash interest expense, respectively, in connection with the royalty-bearing instrument. The Company will periodically evaluate the remaining term of the agreement and the effective interest rate is recalculated each period based on the Company’s most current estimate of repayment.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Under the agreement, the Company is restricted from paying dividends on its common shares, unless it has cash and cash equivalents in excess of a specified amount after such payment.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3" w:name="page14"/>
    <w:bookmarkEnd w:id="13"/>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from time to time involved in lawsuits, claims, investigations, proceedings, and threats of litigation relating to intellectual property, commercial arrangements and other matters. Refer to Item 1 Legal Proceedings of this Quarterly Report on Form 10-Q below for a discussion of the Company’s current legal proceedings. There have been no material changes to the matters described in those disclosures as of the date of this filing.</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supply agreements, there is a total of approximately $90.0 million that is potentially payable over the term of such agreements based on minimum purchase obligations. The Company continues to meet its contractual purchase obligations.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$9.5 million as of June 30, 2019).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$6.3 million as of June 30, 2019) for each of the two potential market approvals (i.e. £10 million maximum, or approximately $12.7 million as of June 30,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 obligations above since the amounts are either not probable or able to be estimated as of June 30, 2019.</w:t>
      </w:r>
    </w:p>
    <w:p>
      <w:pPr>
        <w:spacing w:after="0" w:line="329" w:lineRule="exact"/>
        <w:rPr>
          <w:sz w:val="20"/>
          <w:szCs w:val="20"/>
          <w:color w:val="auto"/>
        </w:rPr>
      </w:pPr>
    </w:p>
    <w:p>
      <w:pPr>
        <w:ind w:left="520" w:right="9780" w:hanging="512"/>
        <w:spacing w:after="0" w:line="400" w:lineRule="auto"/>
        <w:tabs>
          <w:tab w:leader="none" w:pos="515"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w:t>
      </w:r>
      <w:r>
        <w:rPr>
          <w:rFonts w:ascii="Times New Roman" w:cs="Times New Roman" w:eastAsia="Times New Roman" w:hAnsi="Times New Roman"/>
          <w:sz w:val="17"/>
          <w:szCs w:val="17"/>
          <w:i w:val="1"/>
          <w:iCs w:val="1"/>
          <w:u w:val="single" w:color="auto"/>
          <w:color w:val="auto"/>
        </w:rPr>
        <w:t>Preferred Stock</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During the year ended December 31, 2015, at the request of the holders, a portion of the Series A Preference Shares were consolidated and redesignated, resulting in the issuance of 6,283,333 ADSs.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ind w:right="160"/>
        <w:spacing w:after="0" w:line="276" w:lineRule="auto"/>
        <w:rPr>
          <w:sz w:val="20"/>
          <w:szCs w:val="20"/>
          <w:color w:val="auto"/>
        </w:rPr>
      </w:pPr>
      <w:r>
        <w:rPr>
          <w:rFonts w:ascii="Times New Roman" w:cs="Times New Roman" w:eastAsia="Times New Roman" w:hAnsi="Times New Roman"/>
          <w:sz w:val="17"/>
          <w:szCs w:val="17"/>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ind w:right="240" w:firstLine="8"/>
        <w:spacing w:after="0" w:line="261"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Company issued 3,886,718 ADSs upon consolidation and redesignation of Series A Preference Shares at the request of the holder, such that a maximum of 28,931,746 ordinary shares remain issuable upon future consolidation and redesignation of the remaining Series A Preference Shares as of June 30, 2019, subject to certain adjustments for dilutive events.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November 29, 2018, the Company completed a public offering of 11,111,112 ADSs, with each ADS representing one ordinary share of the Company. The underwriters purchased the ADSs from the Company at a price of $17.575 per ADS after commission, resulting in net proceeds to the Company of approximately $194.8 million, after deducting customary commissions and offering expenses.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February 1, 2018, the Company completed a public offering of 19,178,082 ADSs, with each ADS representing one ordinary share of the Company. The Company also granted the underwriters a 30-day option to purchase an additional 2,876,712 ADSs, which was partially exercised on March 5, 2018 for issuance of 1,438,356 ADSs. The underwriters purchased the ADSs from the Company at a price of $3.41 per ADS after commission, resulting in net proceeds to the Company of approximately $70.0 million, after deducting customary commissions and offering expenses.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As of June 30, 2019, there were an aggregate of 16,585,065 stock options and 9,314,621 restricted stock units (“RSUs”) outstanding, representing approximately 4% and 2%, respectively, of outstanding shares (including common and preferred shares) on a fully diluted basis.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2019 and 2018, the Company issued 4,458,143 and 956,232 shares, respectively, as a result of the exercise of stock options, resulting in gross and net proceeds of $17.4 million during the six months ended June 30, 2019 and $1.8 million during the six months ended June 30, 2018.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ind w:right="40"/>
        <w:spacing w:after="0" w:line="256" w:lineRule="auto"/>
        <w:rPr>
          <w:sz w:val="20"/>
          <w:szCs w:val="20"/>
          <w:color w:val="auto"/>
        </w:rPr>
      </w:pPr>
      <w:r>
        <w:rPr>
          <w:rFonts w:ascii="Times New Roman" w:cs="Times New Roman" w:eastAsia="Times New Roman" w:hAnsi="Times New Roman"/>
          <w:sz w:val="18"/>
          <w:szCs w:val="18"/>
          <w:color w:val="auto"/>
        </w:rPr>
        <w:t>On May 20, 2019, the Company granted a total of 45,163 RSUs and 58,721 stock options to members of the Company’s Board of Directors under the Amarin Corporation plc Stock Incentive Plan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Also on May 20, 2019, the Company granted an additional 20,000 RSUs to employees under the 2011 Plan that vest upon the achievement of a specified sales performance condition.</w:t>
      </w:r>
    </w:p>
    <w:p>
      <w:pPr>
        <w:spacing w:after="0" w:line="162"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On February 1, 2019, the Company granted a total of 757,800 RSUs and 1,193,400 stock options to employees under the Amarin Corporation plc Stock Incentive Plan (the “2011 Plan”). The RSUs vest annually over a three-year period and the stock options vest quarterly over a four-year period. Also on February 1, 2019, the Company granted a total of 580,000 RSUs to employees under the 2011 Plan that vest upon the achievement of a specified sales performance condition.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September 2018, in connection with positive REDUCE-IT results, the Company issued 2,499,750 shares upon vesting of performance-based RSUs granted in 2015, of which 764,819 shares were retained as treasury shares as settlement of employee tax obligations.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14, 2018, the Company granted a total of 190,034 RSUs and 286,536 stock options to members of the Company’s Board of Directors under the Amarin Corporation plc Stock Incentive Plan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12, 2018 and November 1, 2018, the Company granted a total of 970,000 RSUs and 90,000 RSUs, respectively, to employees under the 2011 Plan that vest over three years commencing after REDUCE-IT results upon the achievement of certain regulatory and sales performance conditions associated with the REDUCE-IT clinical trial and subsequent revenue growth.</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February 1, 2018, the Company granted a total of 1,305,575 RSUs and 2,205,075 stock options to employees under the 2011 Plan. The RSUs vest annually over a three-year period and the stock options vest monthly over a four-year period. During the six months ended June 30, 2019, the Company issued 387,715 common shares related to the vesting of these RSUs, of which 139,928 shares were retained as treasury shares as settlement of employee tax obligations.</w:t>
      </w:r>
    </w:p>
    <w:p>
      <w:pPr>
        <w:spacing w:after="0" w:line="284"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Co-Promotion Agreement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March 31, 2014, the Company entered into a Co-Promotion Agreement (the “Agreement”) with Kowa Pharmaceuticals America, Inc. related to the commercialization of Vascepa capsules in the United States. Under the terms of the Agreement, Amarin granted to Kowa Pharmaceuticals America, Inc. the right to be the sole co-promoter, together with the Company, of Vascepa in the United States during the term. The Agreement was amended on July 25, 2017 to reflect evolving promotional needs, including refinement of target lists. Amarin and Kowa Pharmaceuticals America, Inc. intentionally designed the co-promotion to naturally end as of December 31, 2018 and mutually agreed not to renew the agreement.</w:t>
      </w:r>
    </w:p>
    <w:p>
      <w:pPr>
        <w:spacing w:after="0" w:line="2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2018, which was the last year of the Agreement, as amended, the Company incurred expense for co-promotion tail payments which are calculated as a percentage of the 2018 co-promotion fee, which was eighteen and a half percent (18.5%) of Vascepa gross margin. The accrued tail payments are paid over three years with declining amounts each year. Kowa Pharmaceuticals America, Inc. is eligible to receive $17.8 million in co-promotion tail payments, the present value of which of $16.6 million was fully accrued as of December 31, 2018. There were $2.4 million in tail payments made during the three months ended June 30, 2019. As of June 30, 2019, of the $14.6 million the Company had accrued for tail payments under the Agreement, $8.5 million was classified as current on the condensed consolidated balance sheet.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that the Company charges its Distributors for Vascepa.</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79" w:lineRule="exact"/>
        <w:rPr>
          <w:sz w:val="20"/>
          <w:szCs w:val="20"/>
          <w:color w:val="auto"/>
        </w:rPr>
      </w:pPr>
    </w:p>
    <w:p>
      <w:pPr>
        <w:ind w:left="520" w:right="340" w:firstLine="49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2" w:lineRule="exact"/>
        <w:rPr>
          <w:sz w:val="20"/>
          <w:szCs w:val="20"/>
          <w:color w:val="auto"/>
        </w:rPr>
      </w:pPr>
    </w:p>
    <w:p>
      <w:pPr>
        <w:ind w:left="520" w:firstLine="49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w:t>
      </w:r>
    </w:p>
    <w:p>
      <w:pPr>
        <w:spacing w:after="0" w:line="8" w:lineRule="exact"/>
        <w:rPr>
          <w:sz w:val="20"/>
          <w:szCs w:val="20"/>
          <w:color w:val="auto"/>
        </w:rPr>
      </w:pPr>
    </w:p>
    <w:p>
      <w:pPr>
        <w:ind w:left="520" w:right="160" w:firstLine="6"/>
        <w:spacing w:after="0" w:line="254" w:lineRule="auto"/>
        <w:tabs>
          <w:tab w:leader="none" w:pos="8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2" w:right="259" w:bottom="1440" w:gutter="0" w:footer="0" w:header="0"/>
        </w:sectPr>
      </w:pPr>
    </w:p>
    <w:bookmarkStart w:id="17" w:name="page18"/>
    <w:bookmarkEnd w:id="17"/>
    <w:p>
      <w:pPr>
        <w:ind w:left="520" w:right="40" w:firstLine="4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83" w:lineRule="exact"/>
        <w:rPr>
          <w:sz w:val="20"/>
          <w:szCs w:val="20"/>
          <w:color w:val="auto"/>
        </w:rPr>
      </w:pPr>
    </w:p>
    <w:p>
      <w:pPr>
        <w:ind w:left="520" w:firstLine="49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 and 2018:</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41,634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(98,452)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(134,337)</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(19,325)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(41,363)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(62,358)</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2019</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2017</w:t>
            </w:r>
          </w:p>
        </w:tc>
        <w:tc>
          <w:tcPr>
            <w:tcW w:w="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12,035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48,093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(6,533)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(56,177)</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(5,282)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(27,028)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(2,297)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(34,647)</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2018</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below.</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The Company enters into licensing agreements which are within the scope of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sectPr>
      </w:pPr>
    </w:p>
    <w:bookmarkStart w:id="18" w:name="page19"/>
    <w:bookmarkEnd w:id="18"/>
    <w:p>
      <w:pPr>
        <w:ind w:right="12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21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20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Commercialization and Supply Agreements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(“Mochida”) related to the development and commercialization of drug products and indications based on the active pharmaceutical ingredient in Vascepa, the omega-3 acid, EPA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which was recorded in research and development expense in the condensed consolidated statement of operations for the year ended December 31, 2018. In addition, the agreement provides for the Company to pay milestone payments upon the achievement of certain product development milestones and royalties on net sales of future products arising from the collaboration, if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8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Under the DCS Agreement, Eddingpharm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Eddingpharm agreed to certain restrictions regarding the commercialization of competitive products globally and the Company agreed to certain restrictions regarding the commercialization of competitive products in the China Territory.</w:t>
      </w:r>
    </w:p>
    <w:p>
      <w:pPr>
        <w:spacing w:after="0" w:line="16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 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Eddingpharm submitted its clinical trial application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(3) ongoing development and regulatory assistance, and (4) manufacture and supply of commercial product. Based on the analysis performed, the Company concluded that the identified performance obligations are not distinct and therefore a combined performance obligation.</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3" w:right="299" w:bottom="1440" w:gutter="0" w:footer="0" w:header="0"/>
        </w:sectPr>
      </w:pPr>
    </w:p>
    <w:bookmarkStart w:id="20" w:name="page21"/>
    <w:bookmarkEnd w:id="20"/>
    <w:p>
      <w:pPr>
        <w:ind w:right="60"/>
        <w:spacing w:after="0" w:line="255"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Eddingpharm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2019 and 2018, the Company recognized less than $0.1 million in each period, as licensing revenue related to the up-front and milestone payments received in connection with the Eddingpharm agreement. Through June 30, 2019 and December 31, 2018, the Company recognized $3.0 million and $2.8 million, respectively, as licensing revenue under the DCS Agreement concurrent with the support provided by Amarin to Eddingpharm in achieving the combined performance obligation, which in the Company’s judgment is the best measure of progress towards satisfying the performance obligation. The remaining transaction price of $13.0 million and $13.2 million is recorded in deferred revenue as of June 30, 2019 and December 31, 2018, respectively, on the condensed consolidated balance sheets and will be recognized as revenue over the remaining period of 15 years.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March 2018 and July 2018, the Company received approval for Vascepa as a prescription medication for use in Lebanon and United Arab Emirates, respectively, as an adjunct to diet to reduce triglyceride levels in adult patients with severe hypertriglyceridemia.</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In addition to the non-refundable, up-front and regulatory milestone payments just described, the Company is entitled to receive certain regulatory and sales-based milestone payments of up to an additional $57.5 million, as well as tiered double-digit royalties on net sales of Vascepa in Canada.</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(3) participate in various steering committees, and (4) manufacture and provide finished form of product. Based on the analysis performed, the Company concluded that the identified performance obligations in the agreement are not distinct and therefore a combined performance obligation.</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and the $2.5 million milestone related to the achievement of the REDUCE-IT trial primary endpoint. None of the other regulatory milestones have been included in the transaction price, as all of the remaining regulatory milestone amounts were fully constrained. As part of its evaluation of the constraint, the Company considered numerous factors, including that receipt of the milestones is outside the control of the Company and contingent upon the licensee’s efforts. Any consideration related to sales-based milestones (including royalties) will be recognized when the related sales occur as they were determined to relate predominantly to the license granted to HLS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2019 and 2018, the Company recognized $0.8 million and $0.2 million, respectively, as licensing revenue related to up-front and milestone payments received in connection with the HLS agreement. Through June 30, 2019 and December 31, 2018, the Company recognized $1.7 million and $0.9 million, respectively, as licensing revenue is recognized under the agreement concurrent with the support provided by Amarin to HLS in achieving the performance obligation, which in the Company’s judgment is the best measure of progress towards satisfying the combined performance obligation. The remaining transaction price of $5.8 million and $6.6 million is recorded in deferred revenue as of June 30, 2019 and December 31, 2018, respectively, on the condensed consolidated balance sheets and will be recognized as revenue over the remaining period of 11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six months ended June 30, 2019 and 2018:</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1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2018:</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2019 and 2018 date, the Company recognized the following revenues as a result of changes in the contract asset and contract liability balances in the respective periods: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214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0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top w:val="single" w:sz="8" w:color="CCEEFF"/>
            </w:tcBorders>
            <w:shd w:val="clear" w:color="auto" w:fill="CCEEFF"/>
          </w:tcPr>
          <w:p>
            <w:pPr>
              <w:spacing w:after="0"/>
              <w:rPr>
                <w:sz w:val="19"/>
                <w:szCs w:val="19"/>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2140" w:type="dxa"/>
            <w:vAlign w:val="bottom"/>
            <w:gridSpan w:val="2"/>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324" w:lineRule="exact"/>
        <w:rPr>
          <w:sz w:val="20"/>
          <w:szCs w:val="20"/>
          <w:color w:val="auto"/>
        </w:rPr>
      </w:pPr>
    </w:p>
    <w:p>
      <w:pPr>
        <w:ind w:left="940" w:hanging="932"/>
        <w:spacing w:after="0"/>
        <w:tabs>
          <w:tab w:leader="none" w:pos="9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212"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184"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On September 30, 2011, the Company entered into an agreement for office space in Dublin, Ireland which terminated on May 1, 2019. On April 12, 2019 and July 4, 2019, the Company entered into Office Centre Sharing Agreements effective May 1, 2019 and October 1, 2019, respectively, to replace the office space with new office space in Dublin, Ireland which terminate on April 30, 2020 and September 30, 2020, respectively, and can be extended automatically for successive one year periods. On July 1, 2011, the Company leased office space in Bedminster, New Jersey. The lease, as amended, terminates on September 15, 2019, to coincide with the start of the new Bridgewater, New Jersey lease, as described below. On January 26, 2019, the Company leased additional space in another building in Bedminster, New Jersey, effective February 1, 2019 and terminating September 15, 2019.</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These leases have been determined to be short-term leases and the Company is committed to making aggregate payments of approximately $0.2 million during the next twelve months.</w:t>
      </w:r>
    </w:p>
    <w:p>
      <w:pPr>
        <w:spacing w:after="0" w:line="162"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(the “Lease”). The Lease will commence upon delivery of the premises after certain improvements are made, which is anticipated to be on or about August 15, 2019 (the “Commencement Date”) for an 11-year period, with two five-year renewal options. Subject to the terms of the Lease, Amarin will have a one-time option to terminate the agreement effective on the first day of the ninety-seventh month after the Commencement Date upon advance written notice and a termination payment specified in the Lease. Under the Lease, the Company will pay monthly rent of approximately $0.1 million for the first year following the Commencement Date, and such rent will increase by a nominal percentage every year following the first anniversary of the Commencement Date. In addition, Amarin will receive certain abatements subject to the limitations in the Lease. The operating lease liability is $9.3 million, of which the current operating lease liability of $1.1 million is recorded in accrued expenses and other current liabilities on the condensed consolidated balance sheet, and the operating lease right-of-use asset is $8.8 million, as of June 30, 2019. The lease expense for the three and six months ended June 30, 2019 is approximately $0.4 million and $0.7 million, respectively.</w:t>
      </w:r>
    </w:p>
    <w:p>
      <w:pPr>
        <w:spacing w:after="0" w:line="186"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June 30, 2019:</w:t>
      </w:r>
    </w:p>
    <w:p>
      <w:pPr>
        <w:spacing w:after="0" w:line="15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r>
      <w:tr>
        <w:trPr>
          <w:trHeight w:val="173"/>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Discount Adjustments</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shd w:val="clear" w:color="auto" w:fill="CFF0FC"/>
          </w:tcPr>
          <w:p>
            <w:pPr>
              <w:spacing w:after="0"/>
              <w:rPr>
                <w:sz w:val="19"/>
                <w:szCs w:val="19"/>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80" w:type="dxa"/>
            <w:vAlign w:val="bottom"/>
          </w:tcPr>
          <w:p>
            <w:pPr>
              <w:spacing w:after="0"/>
              <w:rPr>
                <w:sz w:val="20"/>
                <w:szCs w:val="20"/>
                <w:color w:val="auto"/>
              </w:rPr>
            </w:pPr>
          </w:p>
        </w:tc>
      </w:tr>
    </w:tbl>
    <w:p>
      <w:pPr>
        <w:spacing w:after="0" w:line="324" w:lineRule="exact"/>
        <w:rPr>
          <w:sz w:val="20"/>
          <w:szCs w:val="20"/>
          <w:color w:val="auto"/>
        </w:rPr>
      </w:pPr>
    </w:p>
    <w:p>
      <w:pPr>
        <w:ind w:left="960" w:hanging="952"/>
        <w:spacing w:after="0"/>
        <w:tabs>
          <w:tab w:leader="none" w:pos="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On July 18, 2019, the Company completed a public offering of 22,222,223 ADSs with each ADS representing one ordinary share of the Company, at a price of $18.00 per ADS after commission. In addition, the Company granted the underwriters a 30-day option to purchase up to an additional 3,333,333 ADSs at a price of $18.00 per ADS. On July 29, 2019, the underwriters exercised the full option. This public offering, including the exercised option, resulted in gross proceeds of approximately $460.0 million and after deducting customary commissions and offering expenses, net proceeds to the Company of approximately $439.5 million.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2018 and below under Part II, Item IA, “Risk Factors”.</w:t>
      </w:r>
    </w:p>
    <w:p>
      <w:pPr>
        <w:spacing w:after="0" w:line="18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We are a pharmaceutical company with expertise in omega-3 fatty acids and lipid science focused on the commercialization and development of therapeutics to improve cardiovascular, or CV, health and reduce CV risk.</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lead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capsules, is approved by the U.S. Food and Drug Administration, or FDA, for use as an adjunct to diet to reduce triglyceride, or TG, levels in adult patients with severe (TG ≥500 mg/dL) hypertriglyceridemia. In January 2013, we began selling and marketing Vascepa in the United States by prescription only based on the FDA-approved MARINE indication for use in patients with severe (TG ≥500 mg/dL) triglyceride levels. We sell 1-gram and 0.5-gram capsule sizes of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188" w:lineRule="exact"/>
        <w:rPr>
          <w:sz w:val="20"/>
          <w:szCs w:val="20"/>
          <w:color w:val="auto"/>
        </w:rPr>
      </w:pPr>
    </w:p>
    <w:p>
      <w:pPr>
        <w:ind w:right="60" w:firstLine="518"/>
        <w:spacing w:after="0" w:line="252" w:lineRule="auto"/>
        <w:rPr>
          <w:sz w:val="20"/>
          <w:szCs w:val="20"/>
          <w:color w:val="auto"/>
        </w:rPr>
      </w:pPr>
      <w:r>
        <w:rPr>
          <w:rFonts w:ascii="Times New Roman" w:cs="Times New Roman" w:eastAsia="Times New Roman" w:hAnsi="Times New Roman"/>
          <w:sz w:val="18"/>
          <w:szCs w:val="18"/>
          <w:color w:val="auto"/>
        </w:rPr>
        <w:t xml:space="preserve">Since our inception, we have devoted substantial resources to our research and development efforts, most significantly our Vascepa cardiovascular outcomes trial, REDUCE-IT™. We announced topline results from the REDUCE-IT study on September 24, 2018. On November 10, 2018, we publicly presented primary results of the REDUCE-IT study at the 2018 Scientific Sessions of the American Heart Association, or AHA,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we publicly presented the total cardiovascular events results, and the method of calculating such events, of the REDUCE-IT study at the American College of Cardiology’s (ACC) 68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Annual Scientific Session in March 2019 and such results and methods were concurrently published in the </w:t>
      </w:r>
      <w:r>
        <w:rPr>
          <w:rFonts w:ascii="Times New Roman" w:cs="Times New Roman" w:eastAsia="Times New Roman" w:hAnsi="Times New Roman"/>
          <w:sz w:val="18"/>
          <w:szCs w:val="18"/>
          <w:i w:val="1"/>
          <w:iCs w:val="1"/>
          <w:color w:val="auto"/>
        </w:rPr>
        <w:t>Journal of the American College of Cardiology</w:t>
      </w:r>
      <w:r>
        <w:rPr>
          <w:rFonts w:ascii="Times New Roman" w:cs="Times New Roman" w:eastAsia="Times New Roman" w:hAnsi="Times New Roman"/>
          <w:sz w:val="18"/>
          <w:szCs w:val="18"/>
          <w:color w:val="auto"/>
        </w:rPr>
        <w:t xml:space="preserve">. Included in such results were that Vascepa reduced total events, first and subsequent events, by 30% compared to placebo, reflecting that for every 1000 patients treated for 5 years with Vascepa versus placebo approximately 159 MACE could be prevented with Vascepa. On March 28, 2019 the American Diabetes Association, or ADA, issued important updates to the </w:t>
      </w:r>
      <w:r>
        <w:rPr>
          <w:rFonts w:ascii="Times New Roman" w:cs="Times New Roman" w:eastAsia="Times New Roman" w:hAnsi="Times New Roman"/>
          <w:sz w:val="18"/>
          <w:szCs w:val="18"/>
          <w:i w:val="1"/>
          <w:iCs w:val="1"/>
          <w:color w:val="auto"/>
        </w:rPr>
        <w:t>Standard of Medical Care in Diabetes</w:t>
      </w:r>
      <w:r>
        <w:rPr>
          <w:rFonts w:ascii="Times New Roman" w:cs="Times New Roman" w:eastAsia="Times New Roman" w:hAnsi="Times New Roman"/>
          <w:sz w:val="18"/>
          <w:szCs w:val="18"/>
          <w:color w:val="auto"/>
        </w:rPr>
        <w:t xml:space="preserve"> for 2019, including a recommendation for the use of icosapent ethyl in treating at-risk patients based on the results of the REDUCE-IT cardiovascular outcomes study. On July 24, 2019 the Institute for Clinical and Economic Review, or ICER, released its draft evidence report regarding clinical effectiveness and economic impacts on Vascepa. ICER’s report confirmed the cost effectiveness of Vascepa across all of the non-profit organization’s analyses, based on its quality-adjusted life year (QALY) metrics of &lt;$50,000.</w:t>
      </w:r>
    </w:p>
    <w:p>
      <w:pPr>
        <w:spacing w:after="0" w:line="197"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On March 28, 2019, we submitted a supplemental new drug application (sNDA) to the FDA seeking an expanded indication for Vascepa in the United States based on the positive results of the REDUCE-IT study. The indication we are seeking pertains to use of Vascepa to reduce cardiovascular events in at-risk patients. Based on the final positive results of REDUCE-IT, we plan to continue to develop Vascepa commercially in major markets around the world. On May 29, 2019, the FDA accepted the sNDA for filing and granted Priority Review designation with an assigned Prescription Drug User Fee Act (PDUFA) goal date of September 28, 2019.</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4" w:name="page25"/>
    <w:bookmarkEnd w:id="24"/>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promote Vascepa directly in the United States. Such promotion, prior to results of the REDUCE-IT study, was based on demonstrated changes in biomarkers based on the MARINE study and, as to healthcare professionals with respect to cardiovascular risk reduction potential, the ANCHOR study of Vascepa in patients with persistent high (200-499 mg/dL) triglycerides after statin therapy. In considering drug treatment for cardiovascular risk reduction, most healthcare professionals express that they prefer outcomes data to biomarker data. Because prior to results of the REDUCE-IT study we did not have outcomes data regarding the clinical effect of Vascepa and because a substantial portion of our resources were being spent on the REDUCE-IT study, prior to REDUCE-IT results our commercialization of Vascepa was somewhat limited. Subsequent to learning the positive cardiovascular outcomes results of the REDUCE-IT study, we have begun increasing our promotion of Vascepa.</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Commercialization</w:t>
      </w:r>
    </w:p>
    <w:p>
      <w:pPr>
        <w:spacing w:after="0" w:line="11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commenced the commercial launch of Vascepa, through sales and shipments to our network of U.S.-based wholesalers in the United States in January 2013. Prior to the REDUCE-IT results topline announcement in September 2018, our direct sales force consisted of approximately 170 sales professionals, including sales representatives and their managers. Based on the positive REDUCE-IT results, to begin 2019, we increased the size of our sales team to approximately 440 sales professionals, including approximately 400 sales representatives. Our direct sales force remained at approximately this level through June 30, 2019 and is currently being increased to a planned total of approximately 800 sales professionals. From May 2014 to December 2018, in addition to Vascepa promotion by our sales representatives, Kowa Pharmaceuticals America, Inc. co-promoted Vascepa in conjunction with its promotion of its primary product, a branded statin for patients with high cholesterol. Amarin and Kowa Pharmaceuticals America, Inc. intentionally designed the co-promotion to naturally end as of December 31, 2018 and mutually agreed not to renew the agreement. During 2018, as a result of not renewing the agreement, we incurred expense for the accrual of co-promotion tail payments, which were calculated as a percentage of the 2018 co-promotion fee. Kowa Pharmaceuticals America, Inc. will receive $17.8 million in co-promotion tail payments, the present value of which of $16.6 million was fully accrued as of December 31, 2018 and will be paid over three years with declining amounts each year. We made $2.4 million in tail payments during the three months ended June 30, 2019. We also employ various medical affairs and marketing personnel to support our commercialization of Vascepa. We expanded certain medical education and market awareness initiatives, following the reporting of positive REDUCE-IT results in 2018. We intend to further expand promotion of Vascepa following label expansion of Vascepa, subject to FDA approval of such expanded label.</w:t>
      </w:r>
    </w:p>
    <w:p>
      <w:pPr>
        <w:spacing w:after="0" w:line="19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as expected, the majority of new and existing patients taking Vascepa continue to be prescribed the 1-gram size Vascepa capsule.</w:t>
      </w:r>
    </w:p>
    <w:p>
      <w:pPr>
        <w:spacing w:after="0" w:line="180"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Based on monthly compilations of data provided by a third party, Symphony Health, the estimated number of normalized total Vascepa prescriptions for the three months ended June 30, 2019 was approximately 756,000 compared to 618,000 and 430,000 in the three months ended March 31, 2019 and June 30, 2018, respectively. According to data from another third party, IQVIA, the estimated number of normalized total Vascepa prescriptions for the three months ended June 30, 2019 was approximately 683,000 compared to 553,000 and 394,000 in the three months ended March 31, 2019 and June 30, 2018,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 In each of the three months ended June 30, 2019 and 2018, it appears that Symphony Health and IQVIA may have understated the rate of growth in Vascepa prescription levels.</w:t>
      </w:r>
    </w:p>
    <w:p>
      <w:pPr>
        <w:spacing w:after="0" w:line="18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Their estimates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Amarin is not responsible for the accuracy of these companies’ information and Amarin does not receive prescription data directly from retail pharmacies.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 w:name="page26"/>
    <w:bookmarkEnd w:id="25"/>
    <w:p>
      <w:pPr>
        <w:ind w:firstLine="518"/>
        <w:spacing w:after="0" w:line="253" w:lineRule="auto"/>
        <w:rPr>
          <w:sz w:val="20"/>
          <w:szCs w:val="20"/>
          <w:color w:val="auto"/>
        </w:rPr>
      </w:pPr>
      <w:r>
        <w:rPr>
          <w:rFonts w:ascii="Times New Roman" w:cs="Times New Roman" w:eastAsia="Times New Roman" w:hAnsi="Times New Roman"/>
          <w:sz w:val="18"/>
          <w:szCs w:val="18"/>
          <w:color w:val="auto"/>
        </w:rPr>
        <w:t>Amarin sells Vascepa principally to a limited number of major wholesalers, as well as selected regional wholesalers and specialty pharmacy providers in the United States, that in turn resell Vascepa to retail pharmacies for subsequent resale to patients and healthcare providers. Amarin recognizes revenue from product sales when the distributor obtains control of Amarin’s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9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In March 2016, we entered into an agreement with Biologix FZCo, or Biologix, to register and commercialize Vascepa in several Middle Eastern and North African countries. In September 2017, we entered into an agreement with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assess other partnership opportunities for licensing Vascepa to partners outside of the United States.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 xml:space="preserve">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The REDUCE-IT study was conducted based on a special protocol assessment, or SPA, agreement with the FDA. Based on the final positive results of REDUCE-IT, we are seeking additional indicated uses for Vascepa in the United States and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American Heart Association (AHA) on November 10, 2018 with such results concurrently published in </w:t>
      </w:r>
      <w:r>
        <w:rPr>
          <w:rFonts w:ascii="Times New Roman" w:cs="Times New Roman" w:eastAsia="Times New Roman" w:hAnsi="Times New Roman"/>
          <w:sz w:val="18"/>
          <w:szCs w:val="18"/>
          <w:i w:val="1"/>
          <w:iCs w:val="1"/>
          <w:color w:val="auto"/>
        </w:rPr>
        <w:t>The New England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Medicine</w:t>
      </w:r>
      <w:r>
        <w:rPr>
          <w:rFonts w:ascii="Times New Roman" w:cs="Times New Roman" w:eastAsia="Times New Roman" w:hAnsi="Times New Roman"/>
          <w:sz w:val="18"/>
          <w:szCs w:val="18"/>
          <w:color w:val="auto"/>
        </w:rPr>
        <w:t>. The total (first and subsequent) cardiovascular events results of the REDUCE-IT study were presented at the American College of Cardiology’s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 68th Annual Scientific Session in March 2019 and concurrently published in the </w:t>
      </w:r>
      <w:r>
        <w:rPr>
          <w:rFonts w:ascii="Times New Roman" w:cs="Times New Roman" w:eastAsia="Times New Roman" w:hAnsi="Times New Roman"/>
          <w:sz w:val="18"/>
          <w:szCs w:val="18"/>
          <w:i w:val="1"/>
          <w:iCs w:val="1"/>
          <w:color w:val="auto"/>
        </w:rPr>
        <w:t>Journal of the American College of Cardiology</w:t>
      </w:r>
      <w:r>
        <w:rPr>
          <w:rFonts w:ascii="Times New Roman" w:cs="Times New Roman" w:eastAsia="Times New Roman" w:hAnsi="Times New Roman"/>
          <w:sz w:val="18"/>
          <w:szCs w:val="18"/>
          <w:color w:val="auto"/>
        </w:rPr>
        <w:t>. Potential additional research and development opportunities beyond REDUCE-IT will be prioritized after giving priority to securing regulatory approval for Vascepa based on the REDUCE-IT results in the United States and in various geographies internationally, including pursuit of approval for Vascepa in Europe and in countries where we have commercialization partners for Vascepa.</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On March 28, 2019, we submitted an sNDA to the FDA seeking an expanded indication for Vascepa in the United States based on the positive results of the REDUCE-IT study. The indication we are seeking pertains to use of Vascepa to reduce cardiovascular events in at-risk patients. While the current FDA-approved indication for Vascepa is biomarker based (i.e., lowering triglyceride levels), the indication we are seeking based on REDUCE-IT results is outcomes based (i.e., lowering cardiovascular events). On May 29, 2019, the FDA accepted the sNDA for filing and granted Priority Review designation with an assigned PDUFA goal date of September 28, 2019.</w:t>
      </w:r>
    </w:p>
    <w:p>
      <w:pPr>
        <w:spacing w:after="0" w:line="18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and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Expenditures related to research and development activities for product candidates under the collaboration agreement are expected to be less than $5.0 million in 2019.</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manage the manufacturing and supply of Vascepa internally and have done so since we began clinical development of Vascepa prior to the drug’s marketing approval by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the Vascepa commercial franchise.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 allowances,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w:t>
      </w:r>
    </w:p>
    <w:p>
      <w:pPr>
        <w:spacing w:after="0" w:line="183" w:lineRule="exact"/>
        <w:rPr>
          <w:sz w:val="20"/>
          <w:szCs w:val="20"/>
          <w:color w:val="auto"/>
        </w:rPr>
      </w:pPr>
    </w:p>
    <w:p>
      <w:pPr>
        <w:ind w:right="4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Licensing Revenue</w:t>
      </w:r>
      <w:r>
        <w:rPr>
          <w:rFonts w:ascii="Times New Roman" w:cs="Times New Roman" w:eastAsia="Times New Roman" w:hAnsi="Times New Roman"/>
          <w:sz w:val="18"/>
          <w:szCs w:val="18"/>
          <w:color w:val="auto"/>
        </w:rPr>
        <w:t>. Licensing revenue currently consists of revenue attributable to receipt of up-front, non-refundable payments and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related to license and distribution agreements for Vascepa outside the United States. We recognize revenue from licensing arrangements as we fulfill the performance obligations under each of the agreements.</w:t>
      </w:r>
    </w:p>
    <w:p>
      <w:pPr>
        <w:spacing w:after="0" w:line="174"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80"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as well as co-promotion fees payable to Kowa Pharmaceuticals America, Inc. and, in 2018, the final year of the co-promotion agreement, accrual for the co-promotion tail payments. Other costs primarily include facility costs and professional fees for accounting, consulting and legal services.</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We expense research and development costs as incurred.</w:t>
      </w:r>
    </w:p>
    <w:p>
      <w:pPr>
        <w:spacing w:after="0" w:line="183" w:lineRule="exact"/>
        <w:rPr>
          <w:sz w:val="20"/>
          <w:szCs w:val="20"/>
          <w:color w:val="auto"/>
        </w:rPr>
      </w:pPr>
    </w:p>
    <w:p>
      <w:pPr>
        <w:ind w:right="24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Interest and Other Income, Net</w:t>
      </w:r>
      <w:r>
        <w:rPr>
          <w:rFonts w:ascii="Times New Roman" w:cs="Times New Roman" w:eastAsia="Times New Roman" w:hAnsi="Times New Roman"/>
          <w:sz w:val="18"/>
          <w:szCs w:val="18"/>
          <w:color w:val="auto"/>
        </w:rPr>
        <w:t>. Interest expense consists of interest incurred under our December 2012 royalty-bearing instrument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and interest incurred under our previously outstanding 3.5% exchangeable notes. Interest expense under our royalty-bearing instrument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income consists of interest earned on our cash and cash equivalents. Other income, net, consists primarily of foreign exchange losses and gains.</w:t>
      </w:r>
    </w:p>
    <w:p>
      <w:pPr>
        <w:spacing w:after="0" w:line="180" w:lineRule="exact"/>
        <w:rPr>
          <w:sz w:val="20"/>
          <w:szCs w:val="20"/>
          <w:color w:val="auto"/>
        </w:rPr>
      </w:pPr>
    </w:p>
    <w:p>
      <w:pPr>
        <w:ind w:right="1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Provision for income taxes, deferred tax assets and liabilities, and reserves for unrecognized tax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management’s best assessment of estimated future taxes to be paid. We are subject to income taxes in both the United States and foreign jurisdictions. In applying the estimated annual effective tax rate approach prescribed under ASC 740-270 and based on present evidence and conclusions around the realizability of deferred tax assets, we determined that any tax benefit related to the pretax losses generated during the three and six months ended June 30, 2019 and 2018 is neither more likely than not to be realized in the current year nor realizable as a deferred tax asset at the end of the year. Therefore, the appropriate amount of income tax benefit to recognize during the three and six months ended June 30, 2019 and 2018 is zero.</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on Form 10-K for the year ended December 31, 2018. There were no material changes to our critical accounting policies, significant judgments and estimates during the six months ended June 30,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2019 and June 30, 2018</w:t>
      </w:r>
    </w:p>
    <w:p>
      <w:pPr>
        <w:spacing w:after="0" w:line="119"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net product revenue of $100.4 million and $52.5 million during the three months ended June 30, 2019 and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$47.8 million, or 91%. This increase in revenue was driven primarily by increased volume of Vascepa sold to independent wholesalers and other customers which appears to result from an increase in estimated normalized total Vascepa prescriptions in the United States. Based on data provided by Symphony Health and IQVIA, estimated normalized total Vascepa prescriptions in the United States increased by approximately 326,000 and 289,000, respectively, over the three months ended June 30, 2018, representing growth of 76% and 73%, respectively.</w:t>
      </w:r>
    </w:p>
    <w:p>
      <w:pPr>
        <w:spacing w:after="0" w:line="182"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All of our product revenue in the three months ended June 30, 2019 and 2018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During the quarters ended June 30, 2019 and 2018,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June 30, 2019 and 2018 was up to $110 and $70, respectively per 30-day prescription filled and, up to $330 and $140, respectively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89"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As is typical for the pharmaceutical industry, the majority of Vascepa sales are to major commercial wholesalers which then resell Vascepa to retail pharmacies.</w:t>
      </w:r>
    </w:p>
    <w:p>
      <w:pPr>
        <w:spacing w:after="0" w:line="16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Licensing Revenue</w:t>
      </w:r>
      <w:r>
        <w:rPr>
          <w:rFonts w:ascii="Times New Roman" w:cs="Times New Roman" w:eastAsia="Times New Roman" w:hAnsi="Times New Roman"/>
          <w:sz w:val="18"/>
          <w:szCs w:val="18"/>
          <w:color w:val="auto"/>
        </w:rPr>
        <w:t>. Licensing revenue during the three months ended June 30, 2019 and 2018 was $0.4 million and $0.1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$0.3 million, or 302%. Licensing revenue relates to the recognition of amounts received in connection with a Vascepa licensing agreement for the China Territory, specifically a $15.0 million up-front payment received in February 2015 and a $1.0 million milestone payment achieved in March 2016, as well as recognition of amounts received in connection with a Vascepa licensing agreement for Canada, specifically a $5.0 million up-front payment which was received upon closing of the agreement in September 2017 and a $2.5 million milestone payment that was received following achievement of the REDUCE-IT trial primary endpoint in September 2018. 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 We do not anticipate significant revenues from international sources in 2019.</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28" w:name="page29"/>
    <w:bookmarkEnd w:id="28"/>
    <w:p>
      <w:pPr>
        <w:jc w:val="both"/>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June 30, 2019 and 2018 was $22.8 million and $12.8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$9.9 million, or 77%.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8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June 30, 2019 and 2018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2019 to be similar to or modestly lower than 2018. The average cost may be variable from period to period depending upon the timing and quantity of API purchased from each supplier.</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gross margin on product sales for each of the three months ended June 30, 2019 and 2018 was 77% and 76%, respectively.</w:t>
      </w:r>
    </w:p>
    <w:p>
      <w:pPr>
        <w:spacing w:after="0" w:line="223" w:lineRule="exact"/>
        <w:rPr>
          <w:sz w:val="20"/>
          <w:szCs w:val="20"/>
          <w:color w:val="auto"/>
        </w:rPr>
      </w:pPr>
    </w:p>
    <w:p>
      <w:pPr>
        <w:ind w:right="1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June 30, 2019 and 2018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$73.4 million and $53.9 million, respectively, an increase of $19.5 million, or 36%. Selling, general and administrative expenses for the three months ended June 30, 2019 and 2018 are summarized in the table below:</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23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 (1)</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66,564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Co-promotion fees (2)</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right="60" w:hanging="512"/>
        <w:spacing w:after="0" w:line="254"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excluding co-promotion fees and non-cash compensation charges for stock compensation, for the three months ended June 30, 2019 and 2018 was $66.6 million and $40.6 million, respectively, an increase of $26.0 million, or 64%. This increase is due primarily to increased commercial and other promotional spend for expansion following successful REDUCE-IT results (announced on September 24, 2018), as well as costs for sales force expansion. This increase is partially offset by a payment of $2.0 million made in connection with the settlement agreement reached with Teva Pharmaceuticals USA, Inc. in May 2018.</w:t>
      </w:r>
    </w:p>
    <w:p>
      <w:pPr>
        <w:spacing w:after="0" w:line="3"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Co-promotion fees payable to Kowa Pharmaceuticals America, Inc. for the three months ended June 30, 2019 and 2018 were nil and $10.3 million, respectively, a decrease of $10.3 million, or 100%. Amarin and Kowa Pharmaceuticals America, Inc. intentionally designed the co-promotion agreement to naturally end as of December 31, 2018 and mutually agreed not to renew the agreement.</w:t>
      </w:r>
    </w:p>
    <w:p>
      <w:pPr>
        <w:spacing w:after="0" w:line="1" w:lineRule="exact"/>
        <w:rPr>
          <w:rFonts w:ascii="Times New Roman" w:cs="Times New Roman" w:eastAsia="Times New Roman" w:hAnsi="Times New Roman"/>
          <w:sz w:val="18"/>
          <w:szCs w:val="18"/>
          <w:color w:val="auto"/>
        </w:rPr>
      </w:pPr>
    </w:p>
    <w:p>
      <w:pPr>
        <w:ind w:left="520" w:right="80" w:hanging="512"/>
        <w:spacing w:after="0" w:line="25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June 30, 2019 and 2018 was $6.8 million and $3.1 million, respectively, an increase of $3.8 million, or 123%. Non-cash stock-based compensation expense represents the estimated costs associated with equity awards issued to internal staff supporting our selling, general and administrative functions. The increase is due primarily to the determination that certain performance awards are probable to be achieved following positive REDUCE-IT results in September 2018, as well as an increase in the number of employees receiving equity awards as a result of the growth of our sales force and an increase in the underlying fair value of the equity awards resulting from the increase in the price of our stock.</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June 30, 2019 and 2018 was $7.1 million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 million, respectively, a decrease of $11.0 million, or 61%. Research and development expenses for the three months ended June 30, 2019 and 2018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 the table below: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232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180" w:type="dxa"/>
            <w:vAlign w:val="bottom"/>
            <w:gridSpan w:val="2"/>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80" w:type="dxa"/>
            <w:vAlign w:val="bottom"/>
            <w:gridSpan w:val="2"/>
          </w:tcPr>
          <w:p>
            <w:pPr>
              <w:ind w:left="1720"/>
              <w:spacing w:after="0" w:line="205" w:lineRule="exact"/>
              <w:rPr>
                <w:sz w:val="20"/>
                <w:szCs w:val="20"/>
                <w:color w:val="auto"/>
              </w:rPr>
            </w:pPr>
            <w:r>
              <w:rPr>
                <w:rFonts w:ascii="Times New Roman" w:cs="Times New Roman" w:eastAsia="Times New Roman" w:hAnsi="Times New Roman"/>
                <w:sz w:val="18"/>
                <w:szCs w:val="18"/>
                <w:color w:val="auto"/>
              </w:rPr>
              <w:t>Research and development expense, excluding non-cash</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(4)</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1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9" w:name="page30"/>
    <w:bookmarkEnd w:id="29"/>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for the quarter ended June 30, 2019, as compared to the prior year period, is primarily due to timing of REDUCE-IT and related costs.</w:t>
      </w:r>
    </w:p>
    <w:p>
      <w:pPr>
        <w:spacing w:after="0" w:line="54" w:lineRule="exact"/>
        <w:rPr>
          <w:sz w:val="20"/>
          <w:szCs w:val="20"/>
          <w:color w:val="auto"/>
        </w:rPr>
      </w:pPr>
    </w:p>
    <w:p>
      <w:pPr>
        <w:ind w:left="520" w:hanging="512"/>
        <w:spacing w:after="0" w:line="254"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The REDUCE-IT study met its primary endpoint demonstrating an approximately 25% relative risk reduction in composite of major adverse cardiovascular events with high statistical significance. We managed the study through a contract research organization (CRO) through which all costs for the conduct of this outcomes study were incurred with the exception of costs for clinical trial material (CTM) and costs for internal management. The decrease in three months ended June 30, 2019 and 2018 expenses is primarily driven by a decline in REDUCE-IT related costs after the successful REDUCE-IT results. Following the completion of the REDUCE-IT trial, costs consisted primarily of the clinical study’s wrap-up activities, regulatory support and publications.</w:t>
      </w:r>
    </w:p>
    <w:p>
      <w:pPr>
        <w:ind w:left="520" w:hanging="512"/>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quarters ended June 30, 2019 and 2018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In addition, the three months ended June 30, 2018, included a non-refundable, non-creditable upfront payment of approximately $2.7 million related to our strategic collaboration with Mochida Pharmaceutical Co., Ltd.</w:t>
      </w:r>
    </w:p>
    <w:p>
      <w:pPr>
        <w:spacing w:after="0" w:line="1" w:lineRule="exact"/>
        <w:rPr>
          <w:rFonts w:ascii="Times New Roman" w:cs="Times New Roman" w:eastAsia="Times New Roman" w:hAnsi="Times New Roman"/>
          <w:sz w:val="18"/>
          <w:szCs w:val="18"/>
          <w:color w:val="auto"/>
        </w:rPr>
      </w:pPr>
    </w:p>
    <w:p>
      <w:pPr>
        <w:ind w:left="520" w:right="520" w:hanging="512"/>
        <w:spacing w:after="0" w:line="26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internal staff supporting our research and development and regulatory functions.</w:t>
      </w:r>
    </w:p>
    <w:p>
      <w:pPr>
        <w:spacing w:after="0" w:line="178" w:lineRule="exact"/>
        <w:rPr>
          <w:sz w:val="20"/>
          <w:szCs w:val="20"/>
          <w:color w:val="auto"/>
        </w:rPr>
      </w:pPr>
    </w:p>
    <w:p>
      <w:pPr>
        <w:ind w:right="1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Expense, net</w:t>
      </w:r>
      <w:r>
        <w:rPr>
          <w:rFonts w:ascii="Times New Roman" w:cs="Times New Roman" w:eastAsia="Times New Roman" w:hAnsi="Times New Roman"/>
          <w:sz w:val="18"/>
          <w:szCs w:val="18"/>
          <w:color w:val="auto"/>
        </w:rPr>
        <w:t>. Net interest (income) expense for the three months ended June 30, 2019 and 2018 was income of $0.8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$1.8 million, respectively, a decrease of $2.6 million, or 145%. Net interest (income) expense for the three months ended June 30, 2019 and 2018 is summarized in the table below:</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23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Exchangeable senior notes (1):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Contractual coupon interest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exchangeable senior notes interest expense</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 (2):</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interest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long-term debt from royalty-bearing instrument</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(3)</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(2,531)</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(income) expense, net</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4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exchangeable senior notes, which were fully exchanged and retired for equity in November 2018, for the three months ended June 30, 2019 and 2018 was nil and $0.3 million, respectively.</w:t>
      </w:r>
    </w:p>
    <w:p>
      <w:pPr>
        <w:ind w:left="520" w:right="140" w:hanging="512"/>
        <w:spacing w:after="0" w:line="250"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December 2012 royalty-bearing instrument for the three months ended June 30, 2019 and 2018 was $1.6 million and $2.0 million, respectively. These amounts reflect the fact that our Vascepa net revenue levels have not been, and during these years were not assumed to,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2" w:lineRule="exact"/>
        <w:rPr>
          <w:rFonts w:ascii="Times New Roman" w:cs="Times New Roman" w:eastAsia="Times New Roman" w:hAnsi="Times New Roman"/>
          <w:sz w:val="18"/>
          <w:szCs w:val="18"/>
          <w:color w:val="auto"/>
        </w:rPr>
      </w:pPr>
    </w:p>
    <w:p>
      <w:pPr>
        <w:ind w:left="520" w:right="6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the three months ended June 30, 2019 and 2018 was $2.5 million and $0.5 million, respectively. Interest income represents income earned on cash balances.</w:t>
      </w:r>
    </w:p>
    <w:p>
      <w:pPr>
        <w:spacing w:after="0" w:line="178" w:lineRule="exact"/>
        <w:rPr>
          <w:sz w:val="20"/>
          <w:szCs w:val="20"/>
          <w:color w:val="auto"/>
        </w:rPr>
      </w:pPr>
    </w:p>
    <w:p>
      <w:pPr>
        <w:ind w:right="3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for each of the three months ended June 30, 2019 and 2018 was $0.1 million. Other expense, net,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gains and losses on foreign exchange transactions.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2019 and June 30, 2018</w:t>
      </w:r>
    </w:p>
    <w:p>
      <w:pPr>
        <w:spacing w:after="0" w:line="119" w:lineRule="exact"/>
        <w:rPr>
          <w:sz w:val="20"/>
          <w:szCs w:val="20"/>
          <w:color w:val="auto"/>
        </w:rPr>
      </w:pPr>
    </w:p>
    <w:p>
      <w:pPr>
        <w:ind w:right="2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net product revenue of $173.1 million and $96.3 million during the six months ended June 30, 2019 and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$76.8 million, or 80%. This increase in revenue was driven primarily by an increase in estimated normalized total Vascepa prescriptions in the United States. Based on data provided by Symphony Health and IQVIA, estimated normalized total Vascepa prescriptions in the United States increased by approximately 553,000 and 486,000, respectively, over the six months ended June 30, 2018, representing growth of 67% and 65%, respectively.</w:t>
      </w:r>
    </w:p>
    <w:p>
      <w:pPr>
        <w:sectPr>
          <w:pgSz w:w="11900" w:h="16838" w:orient="portrait"/>
          <w:cols w:equalWidth="0" w:num="1">
            <w:col w:w="11420"/>
          </w:cols>
          <w:pgMar w:left="240" w:top="121"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All of our product revenue in the six months ended June 30, 2019 and 2018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2019 and 2018,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six months ended June 30, 2019 and 2018 was up to $110 and $70, respectively per 30-day prescription filled and, up to $330 and $140, respectively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89"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As is typical for the pharmaceutical industry, the majority of Vascepa sales are to major commercial wholesalers which then resell Vascepa to retail pharmacies.</w:t>
      </w:r>
    </w:p>
    <w:p>
      <w:pPr>
        <w:spacing w:after="0" w:line="160"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Licensing Revenue</w:t>
      </w:r>
      <w:r>
        <w:rPr>
          <w:rFonts w:ascii="Times New Roman" w:cs="Times New Roman" w:eastAsia="Times New Roman" w:hAnsi="Times New Roman"/>
          <w:sz w:val="18"/>
          <w:szCs w:val="18"/>
          <w:color w:val="auto"/>
        </w:rPr>
        <w:t>. Licensing revenue during the six months ended June 30, 2019 and 2018 was $1.0 million and $0.2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$0.7 million, or 292%. Licensing revenue relates to the recognition of amounts received in connection with a Vascepa licensing agreement for the China Territory, specifically a $15.0 million up-front payment received in February 2015 and a $1.0 million milestone payment achieved in March 2016, as well as recognition of amounts received in connection with a Vascepa licensing agreement for Canada, specifically a $5.0 million up-front payment which was received upon closing of the agreement in September 2017 and a $2.5 million milestone payment that was received following achievement of the REDUCE-IT trial primary endpoint in September 2018. 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 We do not anticipate significant revenues from international sources in 2019.</w:t>
      </w:r>
    </w:p>
    <w:p>
      <w:pPr>
        <w:spacing w:after="0" w:line="18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six months ended June 30, 2019 and 2018 was $39.9 million and $23.5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$16.4 million, or 70%.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8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six months ended June 30, 2019 and 2018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2019 to be similar to 2018. The average cost may be variable from period to period depending upon the timing and quantity of API purchased from each supplier.</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gross margin on product sales for the six months ended June 30, 2019 and 2018 was 77% and 76%, respectively.</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six months ended June 30, 2019 and 2018 was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$145.0 million and $97.4 million, respectively, an increase of $47.7 million, or 49%. Selling, general and administrative expenses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 and 2018 are summarized in the table below:</w:t>
      </w:r>
    </w:p>
    <w:p>
      <w:pPr>
        <w:spacing w:after="0" w:line="28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22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 (1)</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Co-promotion fees (2)</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145,039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right="40" w:hanging="512"/>
        <w:spacing w:after="0" w:line="258"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excluding co-promotion fees and non-cash compensation charges for stock compensation, for the six months ended June 30, 2019 and 2018 was $132.6 million and $71.7 million, respectively, an increase of $60.9 million, or 85%. This increase is due primarily to increased commercial and other promotional spend for expansion following successful REDUCE-IT results (announced on September 24, 2018), as well as costs for sales force expansion. Partially offsetting this increase is a payment of $2.0 million made in connection with the settlement agreement reached with Teva Pharmaceuticals USA, Inc. in May 2018.</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ind w:left="520" w:right="400" w:hanging="512"/>
        <w:spacing w:after="0" w:line="257"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Co-promotion fees payable to Kowa Pharmaceuticals America, Inc. for the six months ended June 30, 2019 and 2018 were nil and $19.4 million, respectively, a decrease of $19.4 million, or 100%. Amarin and Kowa Pharmaceuticals America, Inc. intentionally designed the co-promotion agreement to naturally end as of December 31, 2018 and mutually agreed not to renew the agreement.</w:t>
      </w:r>
    </w:p>
    <w:p>
      <w:pPr>
        <w:spacing w:after="0" w:line="1" w:lineRule="exact"/>
        <w:rPr>
          <w:rFonts w:ascii="Times New Roman" w:cs="Times New Roman" w:eastAsia="Times New Roman" w:hAnsi="Times New Roman"/>
          <w:sz w:val="18"/>
          <w:szCs w:val="18"/>
          <w:color w:val="auto"/>
        </w:rPr>
      </w:pPr>
    </w:p>
    <w:p>
      <w:pPr>
        <w:ind w:left="520" w:right="100" w:hanging="512"/>
        <w:spacing w:after="0" w:line="25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six months ended June 30, 2019 and 2018 was $12.4 million and $6.3 million, respectively, an increase of $6.2 million, or 99%. Non-cash stock-based compensation expense represents the estimated costs associated with equity awards issued to internal staff supporting our selling, general and administrative functions. The increase is due primarily to the determination that certain performance awards are probable to be achieved following positive REDUCE-IT results in September 2018, as well as an increase in the number of employees receiving equity awards as a result of the growth of our sales force and an increase in the underlying fair value of the equity awards resulting from the increase in the price of our stock.</w:t>
      </w:r>
    </w:p>
    <w:p>
      <w:pPr>
        <w:spacing w:after="0" w:line="188" w:lineRule="exact"/>
        <w:rPr>
          <w:sz w:val="20"/>
          <w:szCs w:val="20"/>
          <w:color w:val="auto"/>
        </w:rPr>
      </w:pPr>
    </w:p>
    <w:p>
      <w:pPr>
        <w:ind w:right="2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six months ended June 30, 2019 and 2018 was $14.4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$29.9 million, respectively, a decrease of $15.5 million, or 52%. Research and development expenses for the six months ended June 30, 2019 and 2018 are summarized in the table below:</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22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Research and development expense, excluding non-cash</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(4)</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for the six months ended June 30, 2019, as compared to the prior year period, is primarily due to timing of REDUCE-IT and related costs.</w:t>
      </w:r>
    </w:p>
    <w:p>
      <w:pPr>
        <w:spacing w:after="0" w:line="54" w:lineRule="exact"/>
        <w:rPr>
          <w:sz w:val="20"/>
          <w:szCs w:val="20"/>
          <w:color w:val="auto"/>
        </w:rPr>
      </w:pPr>
    </w:p>
    <w:p>
      <w:pPr>
        <w:ind w:left="520" w:hanging="512"/>
        <w:spacing w:after="0" w:line="254"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The REDUCE-IT study met its primary endpoint demonstrating an approximately 25% relative risk reduction in composite of major adverse cardiovascular events with high statistical significance. We managed the study through a contract research organization (CRO) through which all costs for the conduct of this outcomes study were incurred with the exception of costs for clinical trial material (CTM) and costs for internal management. The decrease in the six months ended June 30, 2019 and 2018 expenses is primarily driven by a decline in REDUCE-IT related costs after the successful REDUCE-IT results. Following the completion of the REDUCE-IT trial, costs consisted primarily of the clinical study’s wrap-up activities, regulatory support and publications.</w:t>
      </w:r>
    </w:p>
    <w:p>
      <w:pPr>
        <w:ind w:left="520" w:right="38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six months ended June 30, 2019 and 2018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Times New Roman" w:cs="Times New Roman" w:eastAsia="Times New Roman" w:hAnsi="Times New Roman"/>
          <w:sz w:val="18"/>
          <w:szCs w:val="18"/>
          <w:color w:val="auto"/>
        </w:rPr>
      </w:pPr>
    </w:p>
    <w:p>
      <w:pPr>
        <w:ind w:left="520" w:right="18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In addition, during the six months ended June 30, 2018, we made a non-refundable, non-creditable upfront payment of approximately $2.7 million related to our strategic collaboration with Mochida Pharmaceutical Co., Ltd., which was partially offset by an increase in costs in 2019 compared to 2018 in support of publishing results of the REDUCE-IT study and preparing for sNDA submission based on the results of the study, which occurred in March 2019.</w:t>
      </w:r>
    </w:p>
    <w:p>
      <w:pPr>
        <w:spacing w:after="0" w:line="2" w:lineRule="exact"/>
        <w:rPr>
          <w:rFonts w:ascii="Times New Roman" w:cs="Times New Roman" w:eastAsia="Times New Roman" w:hAnsi="Times New Roman"/>
          <w:sz w:val="18"/>
          <w:szCs w:val="18"/>
          <w:color w:val="auto"/>
        </w:rPr>
      </w:pPr>
    </w:p>
    <w:p>
      <w:pPr>
        <w:ind w:left="520" w:right="520" w:hanging="512"/>
        <w:spacing w:after="0" w:line="26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internal staff supporting our research and development and regulatory functions.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right="2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Expense, net</w:t>
      </w:r>
      <w:r>
        <w:rPr>
          <w:rFonts w:ascii="Times New Roman" w:cs="Times New Roman" w:eastAsia="Times New Roman" w:hAnsi="Times New Roman"/>
          <w:sz w:val="18"/>
          <w:szCs w:val="18"/>
          <w:color w:val="auto"/>
        </w:rPr>
        <w:t>. Net interest (income) expense for the six months ended June 30, 2019 and 2018 was $0.9 million and $4.0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$3.1 million, or 77%. Net interest (income) expense for the six months ended June 30, 2019 and 2018 is summarized in the table below:</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23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Exchangeable senior notes (1):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Contractual coupon interest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exchangeable senior notes interest expense</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 (2):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interest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long-term debt from royalty-bearing instrument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(3)</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(2,666)</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(income) expense, net</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20" w:hanging="512"/>
        <w:spacing w:after="0" w:line="26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exchangeable senior notes, which were fully exchanged and retired for equity in November 2018, for the exchangeable senior notes for the six months ended June 30, 2019 and 2018 was nil and $0.6 million, respectively.</w:t>
      </w:r>
    </w:p>
    <w:p>
      <w:pPr>
        <w:ind w:left="520" w:right="260" w:hanging="512"/>
        <w:spacing w:after="0" w:line="250"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December 2012 royalty-bearing instrument for the six months ended June 30, 2019 and 2018 was $3.2 million and $4.0 million, respectively. These amounts reflect the assumption that our Vascepa net revenue levels will not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2" w:lineRule="exact"/>
        <w:rPr>
          <w:rFonts w:ascii="Times New Roman" w:cs="Times New Roman" w:eastAsia="Times New Roman" w:hAnsi="Times New Roman"/>
          <w:sz w:val="18"/>
          <w:szCs w:val="18"/>
          <w:color w:val="auto"/>
        </w:rPr>
      </w:pPr>
    </w:p>
    <w:p>
      <w:pPr>
        <w:ind w:left="520" w:right="200" w:hanging="512"/>
        <w:spacing w:after="0" w:line="26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the six months ended June 30, 2019 and 2018 was $2.7 million and $0.6 million, respectively. Interest income represents income earned on cash balances.</w:t>
      </w:r>
    </w:p>
    <w:p>
      <w:pPr>
        <w:spacing w:after="0" w:line="178" w:lineRule="exact"/>
        <w:rPr>
          <w:sz w:val="20"/>
          <w:szCs w:val="20"/>
          <w:color w:val="auto"/>
        </w:rPr>
      </w:pPr>
    </w:p>
    <w:p>
      <w:pPr>
        <w:ind w:right="4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for each of the six months ended June 30, 2019 and 2018 was $0.1 million. Other expense, net,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gains and losses on foreign exchange transactions.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Our sources of liquidity as of June 30, 2019 include cash and cash equivalents and restricted cash of $223.3 million. Our cash flows from operating, investing and financing activities, as reflected in the condensed consolidated statements of cash flows, are summarized in the following table: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0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(Decrease) increase in cash and cash equivalents and restricted</w:t>
            </w:r>
          </w:p>
        </w:tc>
        <w:tc>
          <w:tcPr>
            <w:tcW w:w="4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2019 compared to the same period in 2018 decreased primarily as a result of higher collections due to an increase in product sales and a decrease in R&amp;D activities associated with the REDUCE-IT study, partially offset by commercial and promotional activities following the successful REDUCE-IT study results, including costs associated with expanding the sales force.</w:t>
      </w:r>
    </w:p>
    <w:p>
      <w:pPr>
        <w:spacing w:after="0" w:line="176"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2019 is due to payments on the purchase of equipment associated with the Company’s new office space in Bridgewater, NJ.</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33" w:name="page34"/>
    <w:bookmarkEnd w:id="33"/>
    <w:p>
      <w:pPr>
        <w:ind w:firstLine="518"/>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2019 is primarily due to payments on the long-term debt from royalty-bearing instrument, offset by proceeds from the exercise of stock options, net of transaction costs. Net cash provided by financing activities in the same period in 2018 was primarily a result of a common stock issuance. In February 2018, we completed a public offering of 19,178,082 ADSs and, in March 2018, we issued an additional 1,438,356 ADSs upon the underwriter’s partial exercise of a 30-day option to purchase additional shares. The underwriter purchased the ADSs from us at a price of $3.41 per ADS after commission, resulting in net proceeds to us of approximately $70.0 million, after deducting customary commissions and offering expenses.</w:t>
      </w:r>
    </w:p>
    <w:p>
      <w:pPr>
        <w:spacing w:after="0" w:line="18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 CPPIB. We have agreed to repay up to $150.0 million of future revenue and receivables. As of June 30, 2019, the net remaining amount to be repaid to CPPIB is $73.6 million, which will be repaid in quarterly installments calculated as 10% of quarterly Vascepa net revenues. We can prepay the net remaining amount at any time.</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As of June 30, 2019, we have no exchangeable notes or term debt outstanding since, in October 2018, we exercised our optional exchange rights upon satisfaction of specified equity conditions set forth in the 3.5% exchangeable senior notes due 2047, or the 2017 Notes, to mandatorily exchange the entirety of the $30.0 million in aggregate principal amount outstanding into ADSs. This resulted in elimination of the debt and issuance of 7,716,046 ADSs. The 2017 Notes were issued and sold in January 2017 when we, through our wholly-owned subsidiary Corsicanto II DAC, or Corsicanto II, a private designated activity company incorporated under the laws of Ireland, entered into separate, privately negotiated purchase agreements with certain unrelated investors. The net proceeds we received from the January 2017 offering were approximately $28.8 million, after deducting placement agent fees and estimated offering expenses.</w:t>
      </w:r>
    </w:p>
    <w:p>
      <w:pPr>
        <w:spacing w:after="0" w:line="18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As of June 30, 2019, we had cash and cash equivalents and restricted cash of $223.3 million, decrease of $27.5 million from December 31, 2018. The decrease is primarily due to net cash used in operating activities in support of the commercialization and promotion of Vascepa and expansion of the sales force following the successful results of REDUCE-IT. As of June 30, 2019, we had accounts receivable, net, of $95.4 million and inventory of $46.3 million. We have incurred annual operating losses since our inception and, as a result, we had an accumulated deficit of $1.4 billion as of June 30, 2019. We anticipate that quarterly net cash outflows in future periods will continue to be variable as a result of the timing of certain items, including our purchases of API and expanded Vascepa promotional activities resulting from positive REDUCE-IT results both before and after label change for Vascepa based on REDUCE-IT results both before and after REDUCE-IT results, which label change is subject to FDA review and approval of our sNDA. Because levels of Vascepa revenues are difficult to predict, as is the timing of label expansion, we intend to purchase API during 2019 at a rate which, based on current levels of revenue growth, is higher than is required for 2019. We estimate the incremental cost of this anticipated inventory build to be between $50 million and $75 million in 2019. We believe that there is limited financial risk of over-purchasing Vascepa inventory as the product has demonstrated stability supporting approved commercial expiry dating through four years.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operating leases related to real estate used as office space and long-term debt and related interest. As a result of entering into a new operating lease during the six months ended June 30, 2019 as described in Note 11 – Leases, we have provided updated operating lease obligations information. The following table summarizes our contractual obligations associated with our operating leases as of June 30, 2019.</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3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Remainder of 2019</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2020 to 2021</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2022 to 2023</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After 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9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obligations (1)</w:t>
            </w:r>
          </w:p>
        </w:tc>
        <w:tc>
          <w:tcPr>
            <w:tcW w:w="15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18.4</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operating lease costs, primarily consisting of leases for facilities in Bridgewater, NJ, Dublin, Ireland and Bedminster, NJ.</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 on Form 10-K filed with the Securities and Exchange Commission on February 27, 2019.</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As of June 30, 2019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June 30, 2019, our disclosure controls and procedures were effective at the reasonable assurance level.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quarter ended June 30, 2019, there have been no changes in our internal control over financial reporting, as such term is defined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13a-15(f) and 15(d)-15(f) promulgated under the Exchange Act, that have materially affected, or are reasonably likely to materially affect, our internal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over financial reporting.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2018 and “Item 1. Legal Proceedings” of our Quarterly Report on Form 10-Q for the quarter ended March 31, 2019 includes a discussion of our current legal proceedings. There have been no material changes to the matters described in those disclosures during the three months ended June 30, 2019, other than as set forth below.</w:t>
      </w:r>
    </w:p>
    <w:p>
      <w:pPr>
        <w:spacing w:after="0" w:line="184" w:lineRule="exact"/>
        <w:rPr>
          <w:sz w:val="20"/>
          <w:szCs w:val="20"/>
          <w:color w:val="auto"/>
        </w:rPr>
      </w:pPr>
    </w:p>
    <w:p>
      <w:pPr>
        <w:ind w:right="40" w:firstLine="518"/>
        <w:spacing w:after="0" w:line="263" w:lineRule="auto"/>
        <w:rPr>
          <w:sz w:val="20"/>
          <w:szCs w:val="20"/>
          <w:color w:val="auto"/>
        </w:rPr>
      </w:pPr>
      <w:r>
        <w:rPr>
          <w:rFonts w:ascii="Times New Roman" w:cs="Times New Roman" w:eastAsia="Times New Roman" w:hAnsi="Times New Roman"/>
          <w:sz w:val="18"/>
          <w:szCs w:val="18"/>
          <w:color w:val="auto"/>
        </w:rPr>
        <w:t xml:space="preserve">On February 22, 2019, a purported investor in our publicly traded securities filed a putative class action lawsuit against Amarin Corporation plc, our chief executive officer and chief scientific officer in the U.S. District Court for the District of New Jersey, </w:t>
      </w:r>
      <w:r>
        <w:rPr>
          <w:rFonts w:ascii="Times New Roman" w:cs="Times New Roman" w:eastAsia="Times New Roman" w:hAnsi="Times New Roman"/>
          <w:sz w:val="18"/>
          <w:szCs w:val="18"/>
          <w:i w:val="1"/>
          <w:iCs w:val="1"/>
          <w:color w:val="auto"/>
        </w:rPr>
        <w:t>Debendra Sharma v. Amarin Corporation plc, John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 Thero and Steven Ketchum</w:t>
      </w:r>
      <w:r>
        <w:rPr>
          <w:rFonts w:ascii="Times New Roman" w:cs="Times New Roman" w:eastAsia="Times New Roman" w:hAnsi="Times New Roman"/>
          <w:sz w:val="18"/>
          <w:szCs w:val="18"/>
          <w:color w:val="auto"/>
        </w:rPr>
        <w:t>, No. 2:19-cv-06601 (D.N.J. Feb. 22, 2019). On March 12, 2019, another purported investor filed a substantially similar lawsuit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captioned </w:t>
      </w:r>
      <w:r>
        <w:rPr>
          <w:rFonts w:ascii="Times New Roman" w:cs="Times New Roman" w:eastAsia="Times New Roman" w:hAnsi="Times New Roman"/>
          <w:sz w:val="18"/>
          <w:szCs w:val="18"/>
          <w:i w:val="1"/>
          <w:iCs w:val="1"/>
          <w:color w:val="auto"/>
        </w:rPr>
        <w:t>Richard Borghesi v. Amarin Corporation plc, John F. Thero and Steven Ketchum,</w:t>
      </w:r>
      <w:r>
        <w:rPr>
          <w:rFonts w:ascii="Times New Roman" w:cs="Times New Roman" w:eastAsia="Times New Roman" w:hAnsi="Times New Roman"/>
          <w:sz w:val="18"/>
          <w:szCs w:val="18"/>
          <w:color w:val="auto"/>
        </w:rPr>
        <w:t xml:space="preserve"> No. 3:19-cv-08423 (D.N.J. March 12, 2019). On May 14, 2019 the court consolidated the cases under the caption </w:t>
      </w:r>
      <w:r>
        <w:rPr>
          <w:rFonts w:ascii="Times New Roman" w:cs="Times New Roman" w:eastAsia="Times New Roman" w:hAnsi="Times New Roman"/>
          <w:sz w:val="18"/>
          <w:szCs w:val="18"/>
          <w:i w:val="1"/>
          <w:iCs w:val="1"/>
          <w:color w:val="auto"/>
        </w:rPr>
        <w:t>In re Amarin Corporation PLC Securities Litigation</w:t>
      </w:r>
      <w:r>
        <w:rPr>
          <w:rFonts w:ascii="Times New Roman" w:cs="Times New Roman" w:eastAsia="Times New Roman" w:hAnsi="Times New Roman"/>
          <w:sz w:val="18"/>
          <w:szCs w:val="18"/>
          <w:color w:val="auto"/>
        </w:rPr>
        <w:t>, No. 3:19-cv-06601 and appointed two other purported shareholders, Dan Kotecki and the Gaetano Cecchini Living Trust, as Co-Lead Plaintiffs.</w:t>
      </w:r>
    </w:p>
    <w:p>
      <w:pPr>
        <w:spacing w:after="0" w:line="17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Co-Lead Plaintiffs filed a consolidated amended complaint (“Amended Complaint”) on July 22, 2019 that adds as defendants our current chief medical officer and our former chief executive officer, who is a current director. The Amended Complaint alleges that from September 24, 2018 to November 9, 2018 we misled investors by releasing topline results for the REDUCE-IT study without disclosing data on biomarker increases in the placebo group as compared with baseline measurement. The Amended Complaint alleges that these data suggest that the mineral oil placebo used in the REDUCE-IT study may have interfered with statin absorption in the placebo group, which they allege may have increased adverse outcomes in the placebo group. The Amended Complaint further allege that these purported misrepresentations and omissions inflated our share price. Based on these allegations, the suit asserts claims under the Securities Exchange Act of 1934 and seeks unspecified monetary damages and attorneys’ fees and costs.</w:t>
      </w:r>
    </w:p>
    <w:p>
      <w:pPr>
        <w:spacing w:after="0" w:line="189"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We believe that we have valid defenses and we will vigorously defend against the claims, but cannot predict the outcome. We are unable to reasonably estimate the loss exposure, if any, associated with these claims. We have insurance coverage that is anticipated to cover any significant loss exposure that may arise from this action after payment by us of the associated deductible obligation.</w:t>
      </w:r>
    </w:p>
    <w:p>
      <w:pPr>
        <w:spacing w:after="0" w:line="24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3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83" w:lineRule="exact"/>
        <w:rPr>
          <w:sz w:val="20"/>
          <w:szCs w:val="20"/>
          <w:color w:val="auto"/>
        </w:rPr>
      </w:pPr>
    </w:p>
    <w:p>
      <w:pPr>
        <w:ind w:right="1040"/>
        <w:spacing w:after="0" w:line="284" w:lineRule="auto"/>
        <w:rPr>
          <w:sz w:val="20"/>
          <w:szCs w:val="20"/>
          <w:color w:val="auto"/>
        </w:rPr>
      </w:pPr>
      <w:r>
        <w:rPr>
          <w:rFonts w:ascii="Times New Roman" w:cs="Times New Roman" w:eastAsia="Times New Roman" w:hAnsi="Times New Roman"/>
          <w:sz w:val="18"/>
          <w:szCs w:val="18"/>
          <w:i w:val="1"/>
          <w:iCs w:val="1"/>
          <w:color w:val="auto"/>
        </w:rPr>
        <w:t>Except those denoted below with a “*”, these risk factors have not been materially updated from our Annual Report on 10-K for the year ended December 31, 2018 filed with the SEC on February 27, 2019.</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sales of Vascepa in the United States.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As a result of our reliance on a single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do not meet expectations, our business could be materially and adversely affected.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Even if we are able to successfully develop Vascepa outside the United States or develop additional products from our research and development efforts, the development time cycle for products typically takes several years. If we seek to diversify our development programs or product offerings through licensing or acquisitions, such transactions are also time-consuming, dilutive to existing shareholdings, and can be disruptive to operations. These dynamics can restrict our ability to respond rapidly to adverse business conditions for Vascepa. If demand for Vascepa does not meet expectations and we are not successful with development,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93" w:lineRule="exact"/>
        <w:rPr>
          <w:sz w:val="20"/>
          <w:szCs w:val="20"/>
          <w:color w:val="auto"/>
        </w:rPr>
      </w:pPr>
    </w:p>
    <w:p>
      <w:pPr>
        <w:ind w:left="2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 of our control make it more difficult for Vascepa to achieve a level of market acceptance by physicians, patients, healthcare payors and others in the medical community necessary for commercial success.</w:t>
      </w:r>
    </w:p>
    <w:p>
      <w:pPr>
        <w:spacing w:after="0" w:line="5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cardiovascular mortality and morbidity, or the risk for pancreatitis, in patients with severe hypertriglyceridemia has not been determined and our FDA-approved labeling and promotional efforts state these facts.</w:t>
      </w:r>
    </w:p>
    <w:p>
      <w:pPr>
        <w:spacing w:after="0" w:line="18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August 2015, based on a federal court order, we began communicating promotional information beyond the MARINE indication to healthcare professionals in the United States for the treatment of patients with high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200 mg/dL and &lt;500 mg/dL) triglyceride levels who are also on statin therapy for elevated low-density lipoprotein cholesterol, or LDL-C, levels, based on results from the ANCHOR study of Vascepa. Many patients with high triglycerides also have other lipid level abnormalities such as high cholesterol and are on statin therapy. FDA did not approve Vascepa for use in this population due to the uncertain effect of pharmaceutically-induced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85"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In September 2018, we announced topline results from the REDUCE-IT™ (Reduction of Cardiovascular Events with EPA—Intervention Trial) cardiovascular (CV)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major adverse cardiovascular events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FDA-approved labeling. The proportions of patients experiencing adverse events and serious adverse events in REDUCE-IT were similar between the active and placebo treatment groups. Based on the final positive results of REDUCE-IT, we are seeking additional indicated uses for Vascepa in the United States and to continue to develop Vascepa commercially in major markets around the world.</w:t>
      </w:r>
    </w:p>
    <w:p>
      <w:pPr>
        <w:spacing w:after="0" w:line="199" w:lineRule="exact"/>
        <w:rPr>
          <w:sz w:val="20"/>
          <w:szCs w:val="20"/>
          <w:color w:val="auto"/>
        </w:rPr>
      </w:pPr>
    </w:p>
    <w:p>
      <w:pPr>
        <w:ind w:right="140" w:firstLine="518"/>
        <w:spacing w:after="0" w:line="277" w:lineRule="auto"/>
        <w:rPr>
          <w:sz w:val="20"/>
          <w:szCs w:val="20"/>
          <w:color w:val="auto"/>
        </w:rPr>
      </w:pPr>
      <w:r>
        <w:rPr>
          <w:rFonts w:ascii="Times New Roman" w:cs="Times New Roman" w:eastAsia="Times New Roman" w:hAnsi="Times New Roman"/>
          <w:sz w:val="17"/>
          <w:szCs w:val="17"/>
          <w:color w:val="auto"/>
        </w:rPr>
        <w:t>Even though we have released positive results from the REDUCE-IT trial, our approved label for Vascepa in the United States currently remains unchanged pending additional interactions and review by the FDA. A failure to obtain an expanded label may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in any future indications and uses based on the REDUCE-IT trial or otherwise will depend on a number of factors, including:</w:t>
      </w:r>
    </w:p>
    <w:p>
      <w:pPr>
        <w:spacing w:after="0" w:line="60" w:lineRule="exact"/>
        <w:rPr>
          <w:sz w:val="20"/>
          <w:szCs w:val="20"/>
          <w:color w:val="auto"/>
        </w:rPr>
      </w:pPr>
    </w:p>
    <w:p>
      <w:pPr>
        <w:ind w:left="1040" w:right="480" w:hanging="519"/>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as compared to no treatment and as compared to alternative treatments in various at-risk patient populations, both as studied in clinical trials of Vascepa such as MARINE, ANCHOR and REDUCE-IT and not studied but for which the benefit/risk profile may be viewed as positive;</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REDUCE-IT results and publication of results in one or more medical journals over time;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analysis of the results of REDUCE-IT;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 w:name="page38"/>
    <w:bookmarkEnd w:id="37"/>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outside of FDA-approved labeling and the related perception thereof;</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on-label use, and for permitted off-label use, the third-party coverage or reimbursement for which was not addressed in the scope of the August 2015 court declaration or related settlement;</w:t>
      </w:r>
    </w:p>
    <w:p>
      <w:pPr>
        <w:spacing w:after="0" w:line="53"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that can inhibit our ability to promote Vascepa regionally and can negatively affect product demand by creating obstacles for patients to seek treatment and fill prescriptions;</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3" w:lineRule="exact"/>
        <w:rPr>
          <w:rFonts w:ascii="Times New Roman" w:cs="Times New Roman" w:eastAsia="Times New Roman" w:hAnsi="Times New Roman"/>
          <w:sz w:val="18"/>
          <w:szCs w:val="18"/>
          <w:color w:val="auto"/>
        </w:rPr>
      </w:pPr>
    </w:p>
    <w:p>
      <w:pPr>
        <w:ind w:left="1040" w:right="60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efficacy of the product and the prevalence and severity of any side effects, including any limitations or warnings contained in Vascepa’s approved labeling.</w:t>
      </w:r>
    </w:p>
    <w:p>
      <w:pPr>
        <w:spacing w:after="0" w:line="266" w:lineRule="exact"/>
        <w:rPr>
          <w:sz w:val="20"/>
          <w:szCs w:val="20"/>
          <w:color w:val="auto"/>
        </w:rPr>
      </w:pPr>
    </w:p>
    <w:p>
      <w:pPr>
        <w:ind w:left="26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with any cardiovascular outcomes trial, over time further REDUCE-IT data assessment and data release will yield additional useful information to inform greater understanding of study outcome. That additional data and related interpretations by us, regulatory authorities such as FDA or third parties may exceed, meet or not meet investor expectations. If the additional data or related interpretations do not meet expectations, the perception of REDUCE-IT results and Vascepa may suffer and our stock price may decline.</w:t>
      </w:r>
    </w:p>
    <w:p>
      <w:pPr>
        <w:spacing w:after="0" w:line="7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September 2018, we announced topline results from the REDUCE-IT trial showing that the trial met its primary endpoint demonstrating an approximately 25% relative risk reduction, to a high degree of statistical significance (p&lt;0.001), in MACE in the intent-to-treat patient population with use of Vascepa 4 grams/day as compared to placebo. More detailed presentation of REDUCE-IT results was first made at the 2018 Scientific Sessions of the American Heart Association (AHA) on November 10, 2018 with such results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Additional data assessment and data release will yield additional useful information to inform greater understanding of study outcome. Generally, trial data assessment sufficient to convey a complete picture of trial data typically takes several months and can take years to complete and publish. When new data are assessed and released it could exceed, match or may not meet investor expectations. For example, in March 2019, the American Diabetes Association issued updates to the </w:t>
      </w:r>
      <w:r>
        <w:rPr>
          <w:rFonts w:ascii="Times New Roman" w:cs="Times New Roman" w:eastAsia="Times New Roman" w:hAnsi="Times New Roman"/>
          <w:sz w:val="18"/>
          <w:szCs w:val="18"/>
          <w:i w:val="1"/>
          <w:iCs w:val="1"/>
          <w:color w:val="auto"/>
        </w:rPr>
        <w:t>Standards of Medical Care in Diabetes</w:t>
      </w:r>
      <w:r>
        <w:rPr>
          <w:rFonts w:ascii="Times New Roman" w:cs="Times New Roman" w:eastAsia="Times New Roman" w:hAnsi="Times New Roman"/>
          <w:sz w:val="18"/>
          <w:szCs w:val="18"/>
          <w:color w:val="auto"/>
        </w:rPr>
        <w:t xml:space="preserve"> for 2019, including updates related to the results of the REDUCE-IT study. This type of updates and any future presentation and additional data may exceed, match or may not meet investors’ expectations.</w:t>
      </w:r>
    </w:p>
    <w:p>
      <w:pPr>
        <w:spacing w:after="0" w:line="18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the same set of data can sometime be interpreted to reach conclusions that conflict with our conclusions, as was the case when FDA reviewed earlier cardiovascular outcomes trials of other drugs in the context of the effects of triglyceride lowering agents on cardiovascular risk reduction. For example, we recently filed a sNDA seeking an expanded indication based on REDUCE-IT study results. FDA review of that application in connection with its final determination or with any public advisory committee meeting, or otherwise, could bring public attention to data interpretations that conflict with our own or the public’s. Conflicting interpretations of data, or new data, could impact public and medical community perception of the totality of the efficacy and safety data from REDUCE-IT.</w:t>
      </w:r>
    </w:p>
    <w:p>
      <w:pPr>
        <w:spacing w:after="0" w:line="188"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Aspects that could be considered to change and impact the final evaluation of the totality of the efficacy and safety data from REDUCE-IT may include some or all of the following:</w:t>
      </w:r>
    </w:p>
    <w:p>
      <w:pPr>
        <w:spacing w:after="0" w:line="54" w:lineRule="exact"/>
        <w:rPr>
          <w:sz w:val="20"/>
          <w:szCs w:val="20"/>
          <w:color w:val="auto"/>
        </w:rPr>
      </w:pPr>
    </w:p>
    <w:p>
      <w:pPr>
        <w:ind w:left="1040" w:right="4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w:t>
      </w:r>
    </w:p>
    <w:p>
      <w:pPr>
        <w:spacing w:after="0" w:line="266"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If additional data released from time to time does not meet expectations, the perception of REDUCE-IT results and the perceived value of Vascepa may suffer. If this occurs, our business could suffer and our stock price could significantly decline.</w:t>
      </w:r>
    </w:p>
    <w:p>
      <w:pPr>
        <w:spacing w:after="0" w:line="266" w:lineRule="exact"/>
        <w:rPr>
          <w:sz w:val="20"/>
          <w:szCs w:val="20"/>
          <w:color w:val="auto"/>
        </w:rPr>
      </w:pPr>
    </w:p>
    <w:p>
      <w:pPr>
        <w:ind w:left="26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clinical trials involving Vascepa and similar moderate-to-high doses of eicosapentaenoic acid or icosapent ethyl could influence public perception of Vascepa’s clinical profile and the commercial and regulatory prospects of Vascepa.</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Ongoing trials of moderate-to-high doses of Vascepa and icosapent ethyl or the similar, eicosapentaenoic acid, could provide further information on the effects of Vascepa and its commercial prospects.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 arachidonic acid and incidence of event will also be examined. Results from this study are expected in the second half of 2021, but could be announced sooner. In addition, the Effect of Vascepa on Improving Coronary Atherosclerosis in People with High Triglycerides Taking Statin Therapy (EVAPORATE; ClinicalTrials.gov number, NCT02926027), is examining changes in patients’ coronary plaque over 9 to 18 months. The goal of this study is to evaluate whether treatment with Vascepa (4 grams/day) results in a greater change from baseline in low attenuation plaque than placebo in subjects with elevated triglycerides (200-499 mg/dL). Entry criteria for EVAPORATE include elevated triglycerides (fasting value between 200-499 mg/dl) at qualifying or baseline visit; LDL-C &gt;40 mg/dL and LDL-C ≤115 mg/dL on appropriate statin therapy; stable diet and exercise, as defined as the same pattern for the previous 4 weeks; and stable treatment with a statin with or without ezetimibe for at least 4 weeks. If the outcomes of these studies do not meet expectations, the perception of REDUCE-IT results and the perceived value of Vascepa and its regulatory status may suffer. If this occurs our business could suffer and our stock price could significantly decline.</w:t>
      </w:r>
    </w:p>
    <w:p>
      <w:pPr>
        <w:spacing w:after="0" w:line="303" w:lineRule="exact"/>
        <w:rPr>
          <w:sz w:val="20"/>
          <w:szCs w:val="20"/>
          <w:color w:val="auto"/>
        </w:rPr>
      </w:pPr>
    </w:p>
    <w:p>
      <w:pPr>
        <w:jc w:val="both"/>
        <w:ind w:left="26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that we or potential partners conduct, including the REDUCE-IT trial, may not provide sufficient safety and efficacy data to obtain the requisite regulatory approvals for product candidates or to achieve a level of market acceptance by physicians, patients, healthcare payors and others in the medical community necessary for commercial success if we obtain regulatory approval.</w:t>
      </w:r>
    </w:p>
    <w:p>
      <w:pPr>
        <w:spacing w:after="0" w:line="67"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 xml:space="preserve">On November 10, 2018, we announced the primary results of our REDUCE-IT cardiovascular outcomes study confirming 25% relative risk reduction for the topline primary endpoint result with multiple robust demonstrations of efficacy, including 20% reduction in cardiovascular death. Major cardiovascular outcomes studies like REDUCE-IT typically motivate the medical community to search for ways to fit the results into the mosaic of prior studies considered as successful, like JELIS, and CANTOS, and their associated mechanisms of action, and to also distinguish results from prior failed studies, like what the authors of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editorial on REDUCE-IT referred to as the “parade of failed cardiovascular outcome trials of fish oils.” It is important for the medical community to understand related science on the unique active pharmaceutical ingredient in Vascepa, icosapent ethyl, and REDUCE-IT. As with any clinical study, as the medical community and regulators such as the FDA review and analyze REDUCE-IT study data, dialogue is expected to continue with respect to the reliability of REDUCE-IT data and the study quality that could adversely affect our product development, regulatory review, market or medical community acceptance, and level of payor reimbursement in the event of an expansion of the Vascepa label. Likewise, public perception of the REDUCE-IT results and Vascepa may be affected.</w:t>
      </w:r>
    </w:p>
    <w:p>
      <w:pPr>
        <w:spacing w:after="0" w:line="186"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 xml:space="preserve">For example, 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Determination of the mechanisms responsible for the benefit shown in REDUCE-IT was not the focus or purpose of the study. As summarized from the primary results of REDUCE-IT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potential Vascepa mechanisms of action at work in REDUCE-IT may include TG reduction, antithrombotic effects, antiplatelet or anticoagulant effects, membrane-stabilizing effects, effects on stabilization and/or regression of coronary plaque and inflammation reduction, each as supported by earlier stage mechanistic studies.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9" w:name="page40"/>
    <w:bookmarkEnd w:id="39"/>
    <w:p>
      <w:pPr>
        <w:ind w:right="20" w:firstLine="518"/>
        <w:spacing w:after="0" w:line="251" w:lineRule="auto"/>
        <w:rPr>
          <w:sz w:val="20"/>
          <w:szCs w:val="20"/>
          <w:color w:val="auto"/>
        </w:rPr>
      </w:pPr>
      <w:r>
        <w:rPr>
          <w:rFonts w:ascii="Times New Roman" w:cs="Times New Roman" w:eastAsia="Times New Roman" w:hAnsi="Times New Roman"/>
          <w:sz w:val="18"/>
          <w:szCs w:val="18"/>
          <w:color w:val="auto"/>
        </w:rPr>
        <w:t xml:space="preserve">In addition, the median change in LDL cholesterol level from baseline was 6.6% (5.0 mg/dL; p &lt; 0.001) on a placebo-corrected basis reflecting an increase of 3.1% (+2.0 mg/dL) in the Vascepa group and an increase of 10.2% (+7.0 mg/dL) in the placebo group. Increases in the placebo group relative to the Vascepa group were also observed in other parameters classically measured in such studies but with uncertain relevance to cardiovascular outcomes. An upward drift in LDL cholesterol and such other parameters has been commonly, although not always, observed in statin-stabilized patients across numerous studies within varying patient populations, and many have estimated LDL cholesterol increases of at least 6% and ranging up to more than 30%. Factors cited as potentially contributing to this circumstance include decreased drug and lifestyle regimen compliance, physiological compensation for drug-induced lipid changes, regression to the mean, intraindividual variability, lab variability, genetics, metabolic state, disease state, age, and season. If light liquid paraffin oil, or mineral oil, used as the placebo in REDUCE-IT adversely affected statin absorption or other parameters in some patients as is asserted by certain critics of the study, this could be theorized to have contributed to differences in outcomes between the groups and leave open the possibility that the placebo used in the trial was not biologically inert. These and other observations, whether scientifically reliable or not, may negatively impact how these trial results are interpreted by regulators, the medical community and third-party payors. This is the case notwithstanding that a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analysis of REDUCE-IT data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showed no material differences in the primary and key secondary endpoint event rates for placebo patients with an increase in LDL-C at one year versus those with no change or a decrease, and also suggested a similar relative risk reduction regardless of whether there was an increase in LDL cholesterol level among the patients in the placebo group. Data generated by Amarin after, but supporting, this analysis reflect that patient-by-patient differences in LDL cholesterol levels from baseline to Year 1 included some patients with increases, some patients with decreases and others with no change in both the Vascepa arm and the placebo arm of the REDUCE-IT study. If mineral oil affected statin absorption significantly, it is reasonable to expect that such effect might be evident in all patients on placebo (i.e., if mineral oil had a definitive effect one would expect LDL cholesterol increases would be consistently observed among patients in the placebo arm) rather than the observed mixed results that include many patients with LDL cholesterol decreases or lack of change in LDL cholesterol. Moreover, as the authors of the primary results publication on REDUCE-IT in </w:t>
      </w:r>
      <w:r>
        <w:rPr>
          <w:rFonts w:ascii="Times New Roman" w:cs="Times New Roman" w:eastAsia="Times New Roman" w:hAnsi="Times New Roman"/>
          <w:sz w:val="18"/>
          <w:szCs w:val="18"/>
          <w:i w:val="1"/>
          <w:iCs w:val="1"/>
          <w:color w:val="auto"/>
        </w:rPr>
        <w:t xml:space="preserve">The New England Journal of Medicine </w:t>
      </w:r>
      <w:r>
        <w:rPr>
          <w:rFonts w:ascii="Times New Roman" w:cs="Times New Roman" w:eastAsia="Times New Roman" w:hAnsi="Times New Roman"/>
          <w:sz w:val="18"/>
          <w:szCs w:val="18"/>
          <w:color w:val="auto"/>
        </w:rPr>
        <w:t>noted, the relatively small differences in LDL cholesterol levels between the groups would not be likely to explain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lower MACE risk observed with Vascepa and JELIS, an over 18,000 patient cardiovascular outcomes study in Japan of a highly-pure EPA product similar to Vascepa, that, while a different study than REDUCE-IT in various respects, previously demonstrated a 19% risk reduction without a mineral oil placebo.</w:t>
      </w:r>
    </w:p>
    <w:p>
      <w:pPr>
        <w:spacing w:after="0" w:line="207"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Consistent with our SPA for REDUCE-IT agreed to with the FDA, the trial subjects in the placebo arm of REDUCE-IT were given light liquid paraffin oil, or mineral oil, to mimic the color and consistency of Vascepa. We also used mineral oil in the placebo arms of our MARINE and ANCHOR trials.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led to further discussion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The FDA, early in the course of the REDUCE-IT trial, directed the independent data monitoring committee, or DMC, for REDUCE-IT to periodically review unblinded lipid data to monitor for signals that the placebo might not be inert. After each such quarterly unblinded safety analysis and review meeting, the DMC recommended to continue the REDUCE-IT study as planned. Each of these DMC recommendations has been shared with FDA. In addition, following discussions on this topic in October 2013 in connection with the FDA’s review of our supplemental new drug application for our ANCHOR study, the FDA did not seek to require that we include any qualification related to the use of mineral oil as a placebo in REDUCE-IT at the time of our March 2016 amendment to the REDUCE-IT SPA. As noted, importantly and consistently, JELIS, an over 18,000 patient cardiovascular outcomes study in Japan of a highly-pure EPA product similar to Vascepa previously, and a different study than REDUCE-IT in various respects, demonstrated a 19% risk reduction without a mineral oil placebo.</w:t>
      </w:r>
    </w:p>
    <w:p>
      <w:pPr>
        <w:spacing w:after="0" w:line="197"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As with any cardiovascular outcomes trial, further REDUCE-IT data assessment and data release could yield additional useful information to inform a greater understanding of the trial outcome. Further detailed data assessment by Amarin and regulatory authorities will continue and take several months or more to complete and record. The final evaluation of the totality of the efficacy and safety data from REDUCE-IT may include some or all of the following, as well as other considerations: new information affecting the degree of treatment benefit on studied endpoints; study conduct and data robustness, quality, integrity and consistency; additional safety data considerations and risk/benefit considerations; consideration of the cumulative effect of Vascepa in studied patients; and consideration of REDUCE-IT results in the context of other clinical studies. That additional data may exceed, meet or not meet the expectations of regulators, the medical community and third-party payors.</w:t>
      </w:r>
    </w:p>
    <w:p>
      <w:pPr>
        <w:spacing w:after="0" w:line="18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If Vascepa’s specific mechanism of action shown in the REDUCE-IT study or the potential effects of the mineral oil used in the placebo arm of REDUCE-IT remains uncertain, or any additional data from the REDUCE-IT study do not meet expectations, the perception of REDUCE-IT results and Vascepa may suffer and could adversely affect our product development, regulatory review, market or medical community acceptance, level of payor reimbursement in the event of an expansion of the Vascepa label, or the public perception of the REDUCE-IT results and Vascepa, any of which could have a material adverse effect on our business and financial condition and our stock price may decline.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planned commercialization efforts in the United States may not be successful in increasing sales of Vascepa.</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Prior to REDUCE-IT topline results announcement in September 2018, our sales team consisted of approximately 170 sales professionals, including sales representatives and their managers. In early 2019, we increased the size of our sales force to approximately 440 sales professionals, including approximately 400 sales representatives, based on positive REDUCE-IT results and are currently further increasing the size to a planned total of approximately 800 sales professionals as we expand our promotion of Vascepa. This sales team promotes Vascepa to a limited group of physicians and other healthcare professionals in select geographies in the United States. Even after planned expansion, this sales team is not large enough to call upon all physicians. We intend to further expand the promotion of Vascepa following our assumed label expansion for Vascepa subject to FDA review and approval of our sNDA.</w:t>
      </w:r>
    </w:p>
    <w:p>
      <w:pPr>
        <w:spacing w:after="0" w:line="189"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May 2014, we began co-promoting Vascepa in the United States with Kowa Pharmaceuticals America, Inc. under a co-promotion agreement we entered into in March 2014, which we amended in July 2017. Under the agreement, Kowa Pharmaceuticals America, Inc. co-promoted Vascepa in conjunction with its promotion of its primary product, a branded statin for patients with high cholesterol, along with our sales professionals based on a plan designed to focus on select sales territories that we believed had demonstrated the greatest potential for Vascepa sales growth, increasing both the number of sales targets reached and the frequency of sales calls on existing sales targets. However, the commercialization of pharmaceutical products is a complex undertaking, and we have very limited experience as a company operating in this area and co-promoting a pharmaceutical product with a partner.</w:t>
      </w:r>
    </w:p>
    <w:p>
      <w:pPr>
        <w:spacing w:after="0" w:line="188"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Furthermore, our agreement with Kowa Pharmaceuticals America, Inc. was designed such that Kowa’s co-promotion of Vascepa ceased at the end of 2018. The parties mutually agreed not to renew the agreement. If over time our newly expanded sales team are not at least equally capable, our sales may be negatively impacted.</w:t>
      </w:r>
    </w:p>
    <w:p>
      <w:pPr>
        <w:spacing w:after="0" w:line="176"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addition to the sales force expansion in the United States, Amarin plans to work with its international partners to support regulatory efforts outside the United States based on REDUCE-IT results. We will again need to overcome challenges associated with rapidly hiring and training personnel and managing larger teams of people.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Factors related to building and managing a sales and marketing organization that can inhibit our efforts to successfully commercialize Vascepa include:</w:t>
      </w:r>
    </w:p>
    <w:p>
      <w:pPr>
        <w:spacing w:after="0" w:line="129"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jc w:val="both"/>
        <w:ind w:left="1040" w:right="480" w:hanging="519"/>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68"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new sales personnel, working for us as a new market entrant, to obtain access to or persuade adequate numbers of physicians to prescribe Vascepa;</w:t>
      </w:r>
    </w:p>
    <w:p>
      <w:pPr>
        <w:spacing w:after="0" w:line="53"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20" w:firstLine="518"/>
        <w:spacing w:after="0" w:line="313" w:lineRule="auto"/>
        <w:rPr>
          <w:sz w:val="20"/>
          <w:szCs w:val="20"/>
          <w:color w:val="auto"/>
        </w:rPr>
      </w:pPr>
      <w:r>
        <w:rPr>
          <w:rFonts w:ascii="Times New Roman" w:cs="Times New Roman" w:eastAsia="Times New Roman" w:hAnsi="Times New Roman"/>
          <w:sz w:val="17"/>
          <w:szCs w:val="17"/>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past and future off-label promotion of Vascepa could subject us to additional regulatory scrutiny and present unforeseen risks.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recent case law has called into question the extent to which government in the United States, including FDA, can, and is willing to seek to, prevent truthful and non-misleading speech related to off-label uses of FDA-approved products such as Vascepa.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1" w:name="page42"/>
    <w:bookmarkEnd w:id="41"/>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FDA and is thus not covered by current FDA-approved labeling for the drug. Promotion of an off-label use has generally been considered by the FDA to be illegal under the FDCA. The lawsuit, captioned </w:t>
      </w:r>
      <w:r>
        <w:rPr>
          <w:rFonts w:ascii="Times New Roman" w:cs="Times New Roman" w:eastAsia="Times New Roman" w:hAnsi="Times New Roman"/>
          <w:sz w:val="18"/>
          <w:szCs w:val="18"/>
          <w:i w:val="1"/>
          <w:iCs w:val="1"/>
          <w:color w:val="auto"/>
        </w:rPr>
        <w:t>Amarin Pharma, Inc., et al. v. Food &amp; Drug 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91"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86"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the FDA’s review of our recently submitted sNDA containing the final positive results from the REDUCE-IT outcomes study will be required for FDA-approved label expansion for Vascepa. However, we proactively communicate results from the REDUCE-IT trial in a manner we believe is truthful and non-misleading and thus protected under the freedom of speech clause of the First Amendment to the United States Constitution.</w:t>
      </w:r>
    </w:p>
    <w:p>
      <w:pPr>
        <w:spacing w:after="0" w:line="18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studies that we believe show supportive but not conclusive research on the potential connection between the effects of EPA, the active ingredient in Vascepa, and cardiovascular risk reduction (e.g., the JELIS trial of a highly-pure EPA product in Japan by Mochida Pharmaceutical Co., Ltd., or Mochida, and other data using a variety of levels of evidence that connect EPA to favorable effects toward reduced cardiovascular risk). We, the FDA, the U.S. government, our competitors and other interested parties may not agree on the truthfulness and non-misleading nature of our promotional materials with respect to the outcome of these trials or other direct or indirect claims we make about Vascepa. Likewise, the FDA, the U.S. government, our competitors and other interested parties may not agree on the truthfulness and non-misleading nature of our promotional materials related to the REDUCE-IT results. Federal and state governments or agencies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3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 and in off-label uses, such as to beneficially affect lipid levels in patients with persistent high triglyceride levels after statin therapy with the aim of potentially lowering cardiovascular risk beyond statin therapy.</w:t>
      </w:r>
    </w:p>
    <w:p>
      <w:pPr>
        <w:spacing w:after="0" w:line="18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in May 2014, Epanova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8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AstraZeneca is currently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for approximately 3-5 years as determined when the number of major adverse cardiovascular event outcomes is reached. The STRENGTH study is estimated to be completed in the second half of 2020, but it could be stopped earlier if, for example, it generates an overwhelming efficacy result. In addition, in March 2017, Kowa Research Institute (a subsidiary of the Japanese company Kowa Co., Ltd) initiated a phase III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American Heart Association (AHA) on November 10, 2018, failed to achieve its primary endpoint of lowering cardiovascular events. VITAL was an NIH funded randomized double-blind, placebo-controlled, 2x2 factorial trial of 2000 IU per day of vitamin D3 and 1 gram per day of omega-3 fatty acid supplementation (Lovaza) for the primary prevention of cancer and cardiovascular disease in a nationwide USA cohort of 25,874 adults not selected for elevated cardiovascular or cancer risk.</w:t>
      </w:r>
    </w:p>
    <w:p>
      <w:pPr>
        <w:spacing w:after="0" w:line="189"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Likewise, in 2018, results from A Study of Cardiovascular Events iN Diabetes (ASCEND) trial were released and showed negligible results for omega-3 fatty acids 1 gram daily. ASCEND was a British Heart Foundation funded 2x2 factorial design, randomized study to assess whether aspirin 100 mg daily versus placebo and separately, omega-3 fatty acids 1 gram daily versus placebo, reduce the risk of cardiovascular events in a nationwide UK cohort of over 15,000 individuals with diabetes who do not have atherosclerotic cardiovascular disease. In addition, VITAL showed that supplementation with either omega-3 fatty acid at a dose of 1 gram per day or vitamin D3 at a dose of 2000 IU per day was not effective for primary prevention of CV or cancer events among healthy middle-aged men and women across 5 years of follow up.</w:t>
      </w:r>
    </w:p>
    <w:p>
      <w:pPr>
        <w:spacing w:after="0" w:line="188"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In a meta-analysis, presented in 2018 by the Cochran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demonstrated a positive outcome benefit. The negative results from such omega-3 mixture studies could create misleading impressions about the use of omega-3s generally, including Vascepa, despite REDUCE-IT positive results and the highly pure and stable EPA active ingredient in Vascepa and its higher dose regimen.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We are also aware of other pharmaceutical companies that are developing products that, if successfully developed, approved and marketed, would compete with Vascepa. Acasti Pharma, or Acasti, a subsidiary of Neptune Technologies &amp; Bioresources Inc., announced in December 2015 that it intends to pursue a regulatory pathway under section 505(b)(2) of the FDCA for its omega-3 prescription drug candidate, CaPre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initiated a Phase 3 clinical program (TRILOGY 1 &amp; 2) to assess the safety and efficacy of CaPre in patients with very high (≥500 mg/dL) triglycerides in the first quarter of 2018. Acasti expects topline results of TRILOGY 1 in December 2019 and of TRILOGY 2 in January 2020 with NDA submission to FDA expected mid-2020. We believe Micelle BioPharma Inc., or Micelle, is also developing potential treatments for hypertriglyceridemia based on omega-3 fatty acids. To our knowledge, Micelle, after acquiring SC401 from Sancilio &amp; Company, or Sancilio, is pursuing a regulatory pathway under section 505(b)</w:t>
      </w:r>
    </w:p>
    <w:p>
      <w:pPr>
        <w:spacing w:after="0" w:line="7" w:lineRule="exact"/>
        <w:rPr>
          <w:sz w:val="20"/>
          <w:szCs w:val="20"/>
          <w:color w:val="auto"/>
        </w:rPr>
      </w:pPr>
    </w:p>
    <w:p>
      <w:pPr>
        <w:ind w:right="420" w:firstLine="8"/>
        <w:spacing w:after="0" w:line="255"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8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Matinas BioPharma, Inc. is developing an omega-3-based therapeutic (MAT9001) for the treatment of severe hypertriglyceridemia and mixed dyslipidemia. In the fourth quarter of 2014 Matinas BioPharma, Inc. filed an IND with the FDA to conduct a human study in the treatment of severe hypertriglyceridemia and, in June 2015, the company announced topline results for its head-to-head comparative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and in June 2019, Matinas announced that it expects to initiate a Phase III hypertriglyceridemia trial with its MAT9001 by the end of 2019.</w:t>
      </w:r>
    </w:p>
    <w:p>
      <w:pPr>
        <w:spacing w:after="0" w:line="18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June 2018, Gemphire Therapeutics announced positive topline results from a Phase 2b trial (INDIGO-1) of its drug candidate, gemcabene, in patients with severe hypertriglyceridemia. Gemcabene is an oral, once-daily pill for a number of hypercholesterolemic populations and severe hypertriglyceridemia. In August 2018, the FDA requested that Gemphire conduct an additional long-term toxicity study before commencing any further clinical testing, thereby effectively placing gemcabene on clinical hold. Gemcabene expects to submit a request to the FDA to lift the clinical hold in the fourth quarter of 2019. In June 2019, Gemphire announced top-line clinical results from a Phase II trial in Familial Partial Lipodystrophy (FPL)/NASH in which Gemcabene safely met the primary endpoint in a sub-set of patients. Phase III studies for homozygous familial hypercholesterolemia (HoFH), heterozygous familial hypercholesterolemia (HeFH) and non-familial hypercholesterolemia in ASCVD patients are planned. Zydus Cadila has a Phase 2 development program for its lead molecule, Saroglitazar, in various indications, including severe hypertriglyceridemia in the United States. In August 2018, the company announced that it had suspended the Phase 2 trial in the severe hypertriglyceridemia indication due to study enrollment issues, while it continues development activities in other indications. The product is approved in India under the name Lipaglyn® for the treatment of hypertriglyceridemia and diabetic dyslipidemia.</w:t>
      </w:r>
    </w:p>
    <w:p>
      <w:pPr>
        <w:spacing w:after="0" w:line="19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outcomes study data, with the potential exception of therapies which lower LDL-cholesterol. In particular, it is our understanding that the FDA is not prepared to approve any therapy based on data demonstrating lowering of triglyceride levels. In our view, this position from the FDA is unlikely to change based on the REDUCE-IT study particularly in light of the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289" w:lineRule="exact"/>
        <w:rPr>
          <w:sz w:val="20"/>
          <w:szCs w:val="20"/>
          <w:color w:val="auto"/>
        </w:rPr>
      </w:pPr>
    </w:p>
    <w:p>
      <w:pPr>
        <w:jc w:val="both"/>
        <w:ind w:left="2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*Generic company competitors are seeking FDA approval of generic versions of Vascepa. We are now engaged in related patent litigation based on our MARINE-based indication, expect additional patent litigation assuming FDA approval of a REDUCE-IT-based indication, and could face other challenges to our exclusivity.</w:t>
      </w:r>
    </w:p>
    <w:p>
      <w:pPr>
        <w:spacing w:after="0" w:line="67"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72" w:lineRule="exact"/>
        <w:rPr>
          <w:sz w:val="20"/>
          <w:szCs w:val="20"/>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patent information listed for the reference drug;</w:t>
      </w:r>
    </w:p>
    <w:p>
      <w:pPr>
        <w:spacing w:after="0" w:line="117" w:lineRule="exact"/>
        <w:rPr>
          <w:sz w:val="20"/>
          <w:szCs w:val="20"/>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for the reference drug;</w:t>
      </w:r>
    </w:p>
    <w:p>
      <w:pPr>
        <w:spacing w:after="0" w:line="117" w:lineRule="exact"/>
        <w:rPr>
          <w:sz w:val="20"/>
          <w:szCs w:val="20"/>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has not expired, but will expire on a particular date and approval is sought after patent expiration; or</w:t>
      </w:r>
    </w:p>
    <w:p>
      <w:pPr>
        <w:spacing w:after="0" w:line="117" w:lineRule="exact"/>
        <w:rPr>
          <w:sz w:val="20"/>
          <w:szCs w:val="20"/>
          <w:color w:val="auto"/>
        </w:rPr>
      </w:pPr>
    </w:p>
    <w:p>
      <w:pPr>
        <w:ind w:left="1040" w:right="460" w:hanging="519"/>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62"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80"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the first half of 2014, we received six paragraph IV notices notifying us of accepted ANDAs to the Vascepa 1-gram dose strength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Based on the May 28, 2015, District of Columbia court order granting our motion for summary judgment in the new chemical entity, or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ind w:right="280" w:firstLine="518"/>
        <w:spacing w:after="0" w:line="258" w:lineRule="auto"/>
        <w:rPr>
          <w:sz w:val="20"/>
          <w:szCs w:val="20"/>
          <w:color w:val="auto"/>
        </w:rPr>
      </w:pPr>
      <w:r>
        <w:rPr>
          <w:rFonts w:ascii="Times New Roman" w:cs="Times New Roman" w:eastAsia="Times New Roman" w:hAnsi="Times New Roman"/>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in July 2015, we moved to dismiss the pending patent infringement lawsuits against each of the Vascepa ANDA applicants in the U.S. District Court for the District of New Jersey.</w:t>
      </w:r>
    </w:p>
    <w:p>
      <w:pPr>
        <w:spacing w:after="0" w:line="184" w:lineRule="exact"/>
        <w:rPr>
          <w:sz w:val="20"/>
          <w:szCs w:val="20"/>
          <w:color w:val="auto"/>
        </w:rPr>
      </w:pPr>
    </w:p>
    <w:p>
      <w:pPr>
        <w:jc w:val="both"/>
        <w:ind w:right="60" w:firstLine="518"/>
        <w:spacing w:after="0" w:line="289" w:lineRule="auto"/>
        <w:rPr>
          <w:sz w:val="20"/>
          <w:szCs w:val="20"/>
          <w:color w:val="auto"/>
        </w:rPr>
      </w:pPr>
      <w:r>
        <w:rPr>
          <w:rFonts w:ascii="Times New Roman" w:cs="Times New Roman" w:eastAsia="Times New Roman" w:hAnsi="Times New Roman"/>
          <w:sz w:val="17"/>
          <w:szCs w:val="17"/>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58" w:lineRule="exact"/>
        <w:rPr>
          <w:sz w:val="20"/>
          <w:szCs w:val="20"/>
          <w:color w:val="auto"/>
        </w:rPr>
      </w:pPr>
    </w:p>
    <w:p>
      <w:pPr>
        <w:jc w:val="both"/>
        <w:ind w:right="60" w:firstLine="518"/>
        <w:spacing w:after="0" w:line="258" w:lineRule="auto"/>
        <w:rPr>
          <w:sz w:val="20"/>
          <w:szCs w:val="20"/>
          <w:color w:val="auto"/>
        </w:rPr>
      </w:pPr>
      <w:r>
        <w:rPr>
          <w:rFonts w:ascii="Times New Roman" w:cs="Times New Roman" w:eastAsia="Times New Roman" w:hAnsi="Times New Roman"/>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84"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 expected given the eligibility for submission of ANDAs under the NCE regulatory structure, after the expiration of four years from the July 2012 approval of Vascepa.</w:t>
      </w:r>
    </w:p>
    <w:p>
      <w:pPr>
        <w:spacing w:after="0" w:line="180"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Times New Roman" w:cs="Times New Roman" w:eastAsia="Times New Roman" w:hAnsi="Times New Roman"/>
          <w:sz w:val="18"/>
          <w:szCs w:val="18"/>
          <w:i w:val="1"/>
          <w:iCs w:val="1"/>
          <w:color w:val="auto"/>
        </w:rPr>
        <w:t>Amarin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 Inc. et al. v. Roxane Laboratories, Inc. et al.</w:t>
      </w:r>
      <w:r>
        <w:rPr>
          <w:rFonts w:ascii="Times New Roman" w:cs="Times New Roman" w:eastAsia="Times New Roman" w:hAnsi="Times New Roman"/>
          <w:sz w:val="18"/>
          <w:szCs w:val="18"/>
          <w:color w:val="auto"/>
        </w:rPr>
        <w:t>, Civ. A. No. 2:16-cv-02525 (D. Nev.). According to a stipulation filed with the Nevada court,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Times New Roman" w:cs="Times New Roman" w:eastAsia="Times New Roman" w:hAnsi="Times New Roman"/>
          <w:sz w:val="18"/>
          <w:szCs w:val="18"/>
          <w:i w:val="1"/>
          <w:iCs w:val="1"/>
          <w:color w:val="auto"/>
        </w:rPr>
        <w:t>Amarin Pharma, Inc. et al. v. West-Ward Pharmaceuticals Corp. et al.</w:t>
      </w:r>
      <w:r>
        <w:rPr>
          <w:rFonts w:ascii="Times New Roman" w:cs="Times New Roman" w:eastAsia="Times New Roman" w:hAnsi="Times New Roman"/>
          <w:sz w:val="18"/>
          <w:szCs w:val="18"/>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Times New Roman" w:cs="Times New Roman" w:eastAsia="Times New Roman" w:hAnsi="Times New Roman"/>
          <w:sz w:val="18"/>
          <w:szCs w:val="18"/>
          <w:i w:val="1"/>
          <w:iCs w:val="1"/>
          <w:color w:val="auto"/>
        </w:rPr>
        <w:t>Amarin Pharma, Inc. et al. v. Dr. Reddy’s Laboratories, Inc. et al</w:t>
      </w:r>
      <w:r>
        <w:rPr>
          <w:rFonts w:ascii="Times New Roman" w:cs="Times New Roman" w:eastAsia="Times New Roman" w:hAnsi="Times New Roman"/>
          <w:sz w:val="18"/>
          <w:szCs w:val="18"/>
          <w:color w:val="auto"/>
        </w:rPr>
        <w:t xml:space="preserve">., Civ. A. No. 2:16-cv-02562 (D. Nev.). In November 2016, Amarin filed a lawsuit against Teva Pharmaceuticals USA, Inc. and Teva Pharmaceuticals Industries Limited, or collectively, Teva, in the U.S. District Court for the District of Nevada. The case against Teva was captioned </w:t>
      </w:r>
      <w:r>
        <w:rPr>
          <w:rFonts w:ascii="Times New Roman" w:cs="Times New Roman" w:eastAsia="Times New Roman" w:hAnsi="Times New Roman"/>
          <w:sz w:val="18"/>
          <w:szCs w:val="18"/>
          <w:i w:val="1"/>
          <w:iCs w:val="1"/>
          <w:color w:val="auto"/>
        </w:rPr>
        <w:t>Amarin Pharma, Inc. et al. v. Teva Pharmaceuticals USA, Inc. et al</w:t>
      </w:r>
      <w:r>
        <w:rPr>
          <w:rFonts w:ascii="Times New Roman" w:cs="Times New Roman" w:eastAsia="Times New Roman" w:hAnsi="Times New Roman"/>
          <w:sz w:val="18"/>
          <w:szCs w:val="18"/>
          <w:color w:val="auto"/>
        </w:rPr>
        <w:t>., Civ. A. No. 2:16-cv-02658. In all three lawsuits, we are seeking, among other remedies, an order enjoining each defendant from marketing generic versions of the 1-gram dose strength of Vascepa before the last to expire of the asserted patents in 2030. The three lawsuits have been consolidated for pretrial proceedings.</w:t>
      </w:r>
    </w:p>
    <w:p>
      <w:pPr>
        <w:spacing w:after="0" w:line="189" w:lineRule="exact"/>
        <w:rPr>
          <w:sz w:val="20"/>
          <w:szCs w:val="20"/>
          <w:color w:val="auto"/>
        </w:rPr>
      </w:pPr>
    </w:p>
    <w:p>
      <w:pPr>
        <w:ind w:right="60" w:firstLine="518"/>
        <w:spacing w:after="0" w:line="274" w:lineRule="auto"/>
        <w:rPr>
          <w:sz w:val="20"/>
          <w:szCs w:val="20"/>
          <w:color w:val="auto"/>
        </w:rPr>
      </w:pPr>
      <w:r>
        <w:rPr>
          <w:rFonts w:ascii="Times New Roman" w:cs="Times New Roman" w:eastAsia="Times New Roman" w:hAnsi="Times New Roman"/>
          <w:sz w:val="17"/>
          <w:szCs w:val="17"/>
          <w:color w:val="auto"/>
        </w:rPr>
        <w:t>The fourth ANDA applicant referenced above is Apotex Inc., or Apotex, which sent us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Amendments.</w:t>
      </w:r>
    </w:p>
    <w:p>
      <w:pPr>
        <w:spacing w:after="0" w:line="17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U.S. District Court for the District of Nevada. The case is captioned </w:t>
      </w:r>
      <w:r>
        <w:rPr>
          <w:rFonts w:ascii="Times New Roman" w:cs="Times New Roman" w:eastAsia="Times New Roman" w:hAnsi="Times New Roman"/>
          <w:sz w:val="18"/>
          <w:szCs w:val="18"/>
          <w:i w:val="1"/>
          <w:iCs w:val="1"/>
          <w:color w:val="auto"/>
        </w:rPr>
        <w:t>Amarin Pharma, Inc.</w:t>
      </w:r>
      <w:r>
        <w:rPr>
          <w:rFonts w:ascii="Times New Roman" w:cs="Times New Roman" w:eastAsia="Times New Roman" w:hAnsi="Times New Roman"/>
          <w:sz w:val="18"/>
          <w:szCs w:val="18"/>
          <w:color w:val="auto"/>
        </w:rPr>
        <w:t xml:space="preserve"> et al. </w:t>
      </w:r>
      <w:r>
        <w:rPr>
          <w:rFonts w:ascii="Times New Roman" w:cs="Times New Roman" w:eastAsia="Times New Roman" w:hAnsi="Times New Roman"/>
          <w:sz w:val="18"/>
          <w:szCs w:val="18"/>
          <w:i w:val="1"/>
          <w:iCs w:val="1"/>
          <w:color w:val="auto"/>
        </w:rPr>
        <w:t>v. Teva Pharmaceuticals USA, Inc.</w:t>
      </w:r>
      <w:r>
        <w:rPr>
          <w:rFonts w:ascii="Times New Roman" w:cs="Times New Roman" w:eastAsia="Times New Roman" w:hAnsi="Times New Roman"/>
          <w:sz w:val="18"/>
          <w:szCs w:val="18"/>
          <w:color w:val="auto"/>
        </w:rPr>
        <w:t xml:space="preserve"> et 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Civ. A. No. 2:17-cv-2641 (D. Nev.). In this lawsuit, we sought, among other remedies, an order enjoining Teva from marketing generic versions of the 0.5-gram dose strength of Vascepa before the last to expire of the asserted patents in 2030.</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6" w:name="page47"/>
    <w:bookmarkEnd w:id="46"/>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us certain royalties on its generic Vascepa products. The ANDA patent litigation continues in the United States District Court for the District of Nevada with parties West-Ward and DRL.</w:t>
      </w:r>
    </w:p>
    <w:p>
      <w:pPr>
        <w:spacing w:after="0" w:line="18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In July 2018, as anticipated,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August 2018, we filed a patent infringement lawsuit against DRL in the U.S. District Court for the District of Nevada. The case is captioned </w:t>
      </w:r>
      <w:r>
        <w:rPr>
          <w:rFonts w:ascii="Times New Roman" w:cs="Times New Roman" w:eastAsia="Times New Roman" w:hAnsi="Times New Roman"/>
          <w:sz w:val="18"/>
          <w:szCs w:val="18"/>
          <w:i w:val="1"/>
          <w:iCs w:val="1"/>
          <w:color w:val="auto"/>
        </w:rPr>
        <w:t>Amarin Pharma, Inc. et al. v Dr. Reddy’s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Laboratories, Inc. et al</w:t>
      </w:r>
      <w:r>
        <w:rPr>
          <w:rFonts w:ascii="Times New Roman" w:cs="Times New Roman" w:eastAsia="Times New Roman" w:hAnsi="Times New Roman"/>
          <w:sz w:val="18"/>
          <w:szCs w:val="18"/>
          <w:color w:val="auto"/>
        </w:rPr>
        <w:t>., Civ. A. No. 2:18-cv-01596 (D. Nev.). In this lawsuit, we are seeking, among other remedies, an order enjoining DRL from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w:t>
      </w:r>
    </w:p>
    <w:p>
      <w:pPr>
        <w:spacing w:after="0" w:line="193"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Assuming FDA approval of a new indication based on the REDUCE-IT clinical trial, we expect to face similar patent litigation related to our patents covering proposed indications made possible by such study.</w:t>
      </w:r>
    </w:p>
    <w:p>
      <w:pPr>
        <w:spacing w:after="0" w:line="160" w:lineRule="exact"/>
        <w:rPr>
          <w:sz w:val="20"/>
          <w:szCs w:val="20"/>
          <w:color w:val="auto"/>
        </w:rPr>
      </w:pPr>
    </w:p>
    <w:p>
      <w:pPr>
        <w:ind w:right="80" w:firstLine="518"/>
        <w:spacing w:after="0" w:line="259" w:lineRule="auto"/>
        <w:rPr>
          <w:sz w:val="20"/>
          <w:szCs w:val="20"/>
          <w:color w:val="auto"/>
        </w:rPr>
      </w:pPr>
      <w:r>
        <w:rPr>
          <w:rFonts w:ascii="Times New Roman" w:cs="Times New Roman" w:eastAsia="Times New Roman" w:hAnsi="Times New Roman"/>
          <w:sz w:val="18"/>
          <w:szCs w:val="18"/>
          <w:color w:val="auto"/>
        </w:rPr>
        <w:t xml:space="preserve">We may also face challenges to the validity of our patents through a procedure known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is a trial proceeding conducted through the Patent Trial and Appeal Board, or PTAB, of the U.S. Patent and Trademark Office. Such a proceeding could be introduced against us within the statutory one-year window triggered by service of a complaint for infringement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2"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 xml:space="preserve">We intend to vigorously enforce our intellectual property rights relating to Vascepa, but we cannot predict the outcome of the pending lawsuits or any subsequently filed lawsuits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w:t>
      </w:r>
    </w:p>
    <w:p>
      <w:pPr>
        <w:spacing w:after="0" w:line="162" w:lineRule="exact"/>
        <w:rPr>
          <w:sz w:val="20"/>
          <w:szCs w:val="20"/>
          <w:color w:val="auto"/>
        </w:rPr>
      </w:pPr>
    </w:p>
    <w:p>
      <w:pPr>
        <w:ind w:right="40" w:firstLine="518"/>
        <w:spacing w:after="0" w:line="281" w:lineRule="auto"/>
        <w:rPr>
          <w:sz w:val="20"/>
          <w:szCs w:val="20"/>
          <w:color w:val="auto"/>
        </w:rPr>
      </w:pPr>
      <w:r>
        <w:rPr>
          <w:rFonts w:ascii="Times New Roman" w:cs="Times New Roman" w:eastAsia="Times New Roman" w:hAnsi="Times New Roman"/>
          <w:sz w:val="17"/>
          <w:szCs w:val="17"/>
          <w:color w:val="auto"/>
        </w:rPr>
        <w:t>If an ANDA filer meets the approval requirements for a generic version of Vascepa to the satisfaction of the FDA under its ANDA, FDA may grant tentative approval to the ANDA during a Hatch-Waxman 30-month stay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any exclusivity protections, such as a 30-month stay, have expired.</w:t>
      </w:r>
    </w:p>
    <w:p>
      <w:pPr>
        <w:spacing w:after="0" w:line="165"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As a result of the statutory stays associated with the filing of these lawsuits under the Hatch-Waxman Amendments, we believe the FDA cannot grant final approval to West-Ward, DRL, or Teva’s respective ANDAs for the 1-gram strength of Vascepa before January 26, 2020, unless there is an earlier court decision holding that the subject patents are not infringed and/or are invalid. However, based on court proceedings, we don’t expect an at-risk launch from either generic filer before the court issues a decision on the merits in this case, which is expected by the end of March 2020.</w:t>
      </w:r>
    </w:p>
    <w:p>
      <w:pPr>
        <w:spacing w:after="0" w:line="180"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If final approval is granted and an ANDA filer is able to supply the product in significant commercial quantities, the generic company could introduce a generic version of Vascepa. Any such introduction of a generic version of Vascepa would also be subject to current patent infringement claims including those being litigated in the above-detailed patent litigations, and any court order we may seek and be granted to prevent any such launch based on our patent claims prior to any adverse court judgment or PTAB finding against us.</w:t>
      </w:r>
    </w:p>
    <w:p>
      <w:pPr>
        <w:spacing w:after="0" w:line="180"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Any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*Vascepa’s five-year, NCE and related exclusivity benefits could be challenged by companies seeking to introduce generic versions of Vascepa.</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timelines and conditions under the ANDA process that permit the start of patent litigation and allow the FDA to approve generic versions of brand name drugs like Vascepa differ based on whether a drug receives three-year, or five-year, NCE marketing exclusivity. In May 2016, after significant litigation, FDA determined that Vascepa is eligible for NCE marketing exclusivity. Accordingly, we believe a related 30-month stay is currently in place with respect to our 1-gram dose strength of Vascepa that is scheduled to continue until January 26, 2020, seven-and-a-half years from FDA approval of Vascepa, unless related patent litigation is resolved against us sooner. However, based on court proceedings, we don’t expect an at-risk launch from either generic filer before the court issues a decision on the merits in this case, which is expected by the end of March 2020.</w:t>
      </w:r>
    </w:p>
    <w:p>
      <w:pPr>
        <w:spacing w:after="0" w:line="188"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could also help protect Vascepa against generic competition.</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w:t>
      </w:r>
    </w:p>
    <w:p>
      <w:pPr>
        <w:spacing w:after="0" w:line="18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8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(now doing business as Hikma) the relief sought and appeal periods have expired.</w:t>
      </w:r>
    </w:p>
    <w:p>
      <w:pPr>
        <w:spacing w:after="0" w:line="18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On May 31, 2016, in a reversal that FDA and we view as consistent with the court’s May 28, 2015 summary judgment motion, FDA determined that Vascepa is eligible for five-year, NCE marketing exclusivity. We believe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 However, based on court proceedings, we don’t expect an at-risk launch from either generic filer before the court issues a decision on the merits in this case, which is expected by the end of March 2020.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8" w:name="page49"/>
    <w:bookmarkEnd w:id="48"/>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It is possible that FDA’s NCE determination and related 30-month stay could be challenged by interested parties. If challenged, we plan to vigorously defend exclusivity for Vascepa. Any such challenge could have a negative impact on our company and create uncertainty around the continued benefits associated with exclusivity that we believe are applicable to us under the Hatch-Waxman Amendments.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Regulatory exclusivity is in addition to exclusivity afforded by issued patents related to Vascepa.</w:t>
      </w:r>
    </w:p>
    <w:p>
      <w:pPr>
        <w:spacing w:after="0" w:line="329" w:lineRule="exact"/>
        <w:rPr>
          <w:sz w:val="20"/>
          <w:szCs w:val="20"/>
          <w:color w:val="auto"/>
        </w:rPr>
      </w:pPr>
    </w:p>
    <w:p>
      <w:pPr>
        <w:ind w:left="30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proven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89" w:lineRule="exact"/>
        <w:rPr>
          <w:sz w:val="20"/>
          <w:szCs w:val="20"/>
          <w:color w:val="auto"/>
        </w:rPr>
      </w:pPr>
    </w:p>
    <w:p>
      <w:pPr>
        <w:ind w:right="380" w:firstLine="518"/>
        <w:spacing w:after="0" w:line="261" w:lineRule="auto"/>
        <w:rPr>
          <w:sz w:val="20"/>
          <w:szCs w:val="20"/>
          <w:color w:val="auto"/>
        </w:rPr>
      </w:pPr>
      <w:r>
        <w:rPr>
          <w:rFonts w:ascii="Times New Roman" w:cs="Times New Roman" w:eastAsia="Times New Roman" w:hAnsi="Times New Roman"/>
          <w:sz w:val="18"/>
          <w:szCs w:val="18"/>
          <w:color w:val="auto"/>
        </w:rPr>
        <w:t>Also, for more than a decade now,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w:t>
      </w:r>
    </w:p>
    <w:p>
      <w:pPr>
        <w:spacing w:after="0" w:line="180"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162"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For example, on October 29, 2018, Amarin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and The Coromega Company, Inc. In April 2019, Omax and Coromega settled these litigations under terms by which Omax and Coromega agreed to substantially all the demands in Amarin’s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18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Similarly, on August 30, 2017, Amarin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with the U.S. Supreme Court seeking to appeal the Federal Circuit decision. We have also engaged with FDA on the topic of synthetically produced omega-3 products through the citizen’s petition process and otherwise.</w:t>
      </w:r>
    </w:p>
    <w:p>
      <w:pPr>
        <w:spacing w:after="0" w:line="189" w:lineRule="exact"/>
        <w:rPr>
          <w:sz w:val="20"/>
          <w:szCs w:val="20"/>
          <w:color w:val="auto"/>
        </w:rPr>
      </w:pPr>
    </w:p>
    <w:p>
      <w:pPr>
        <w:ind w:firstLine="518"/>
        <w:spacing w:after="0" w:line="274" w:lineRule="auto"/>
        <w:rPr>
          <w:sz w:val="20"/>
          <w:szCs w:val="20"/>
          <w:color w:val="auto"/>
        </w:rPr>
      </w:pPr>
      <w:r>
        <w:rPr>
          <w:rFonts w:ascii="Times New Roman" w:cs="Times New Roman" w:eastAsia="Times New Roman" w:hAnsi="Times New Roman"/>
          <w:sz w:val="17"/>
          <w:szCs w:val="17"/>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highly price-competitive for patients generally, and in particular when covered by insurance—cheaper in many cases—any of these outcomes may adversely impact our results of operations by limiting how we price our product and limiting the revenue we receive from the sale of Vascepa due to reduced market acceptance.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value to us of current and sought marketing rights may be smaller than we anticipate.</w:t>
      </w:r>
    </w:p>
    <w:p>
      <w:pPr>
        <w:spacing w:after="0" w:line="121"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292" w:lineRule="exact"/>
        <w:rPr>
          <w:sz w:val="20"/>
          <w:szCs w:val="20"/>
          <w:color w:val="auto"/>
        </w:rPr>
      </w:pPr>
    </w:p>
    <w:p>
      <w:pPr>
        <w:ind w:left="260" w:right="140" w:firstLine="7"/>
        <w:spacing w:after="0" w:line="317" w:lineRule="auto"/>
        <w:tabs>
          <w:tab w:leader="none" w:pos="395" w:val="left"/>
        </w:tabs>
        <w:numPr>
          <w:ilvl w:val="0"/>
          <w:numId w:val="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If FDA decides to hold an advisory committee (AdCom) meeting in connection with our sNDA for the REDUCE-IT indication, data interpretations or other information from FDA or the committee could be made public that are negative or may delay approval or limit Vascepa’s marketability.</w:t>
      </w:r>
    </w:p>
    <w:p>
      <w:pPr>
        <w:spacing w:after="0" w:line="2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FDA is not required to inform sponsor companies that it does not intend to hold an AdCom. As of the date of this filing, the FDA has not informed Amarin whether it plans to hold an AdCom meeting to discuss our sNDA seeking an expanded indication for Vascepa in the United States based on the results of the REDUCE-IT study, nor has the FDA informed us of the subject matter intended to be the focus of a potential AdCom meeting if one were to be scheduled. While such notification now would be considered by some to be relatively late notice, it remains possible that the FDA will elect to organize such a meeting in conjunction with its review of the expanded label for Vascepa. In the event that the FDA informs us that it plans to hold an AdCom meeting in connection with our sNDA, the FDA will publish on its website shortly before the AdCom meeting a briefing book that includes questions for committee consideration and the agency’s evaluation of data and issues relevant to FDA’s review of the sNDA. The briefing book may identify concerns the agency has with our sNDA that differ from public expectations. Even if the AdCom ultimately disagrees with agency concerns, the publication of concerns from FDA and the degree to which the public views agency concerns as material to, for example, the prospects and scope of approval of the sNDA, may negatively affect us. The FDA is not bound by the recommendations of an advisory committee, which is typically composed of clinicians, statisticians and other experts, but it generally follows such recommendations. In addition, the AdCom may recommend against approval of our application or may recommend that the FDA require, as a condition of approval or as a post-approval commitment, additional preclinical studies or clinical trials. This may delay and increase the cost of the review and approval process. Although not typically the case, the FDA can also, at its option, delay the target date for completion of our sNDA to allow for additional time for an advisory committee meeting or to, for example, provide more time to assess new or existing information in connection with the sNDA review. Any delay in obtaining, or an inability to obtain, expanded marketing approval could prevent us from commercializing Vascepa in the REDUCE-IT indication, generating revenue at current or increasing rates of growth, and achieving profitability, any of which could materially harm our business and cause our stock price to decline.</w:t>
      </w:r>
    </w:p>
    <w:p>
      <w:pPr>
        <w:spacing w:after="0" w:line="299" w:lineRule="exact"/>
        <w:rPr>
          <w:sz w:val="20"/>
          <w:szCs w:val="20"/>
          <w:color w:val="auto"/>
        </w:rPr>
      </w:pPr>
    </w:p>
    <w:p>
      <w:pPr>
        <w:ind w:left="2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special protocol assessment, or SPA, agreement for ANCHOR was rescinded and our SPA agreement for REDUCE-IT is not a guarantee of FDA approval of Vascepa for proposed REDUCE-IT indications.</w:t>
      </w:r>
    </w:p>
    <w:p>
      <w:pPr>
        <w:spacing w:after="0" w:line="5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REDUCE-IT trial was conducted under a SPA agreement with the FDA which means that the FDA agreed, based on the information we submitted to the agency, that the design and planned analysis of the trial was adequate to support use of the conducted study as the primary basis for approval with respect to effectiveness.</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 SPA agreement does not cover every aspect of clinical trial conduct and assessment. For example,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w:t>
      </w:r>
    </w:p>
    <w:p>
      <w:pPr>
        <w:spacing w:after="0" w:line="18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 The FDA previously rescinded our SPA agreement with the FDA for our ANCHOR trial because the FDA determined that a substantial scientific issue essential to determining the effectiveness of Vascepa in the studied population was identified after testing began. There can be no assurance that the FDA or the applicable regulatory authorities in other jurisdictions will not reach a similar conclusion with respect to the results of the REDUCE-IT trial or will not require additional studies by us of Vascepa in additional patient populations.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0" w:name="page51"/>
    <w:bookmarkEnd w:id="5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We cannot predict whether the FDA will approve our sNDA for Vascepa.</w:t>
      </w:r>
    </w:p>
    <w:p>
      <w:pPr>
        <w:spacing w:after="0" w:line="121" w:lineRule="exact"/>
        <w:rPr>
          <w:sz w:val="20"/>
          <w:szCs w:val="20"/>
          <w:color w:val="auto"/>
        </w:rPr>
      </w:pPr>
    </w:p>
    <w:p>
      <w:pPr>
        <w:jc w:val="both"/>
        <w:ind w:firstLine="518"/>
        <w:spacing w:after="0" w:line="272" w:lineRule="auto"/>
        <w:rPr>
          <w:sz w:val="20"/>
          <w:szCs w:val="20"/>
          <w:color w:val="auto"/>
        </w:rPr>
      </w:pPr>
      <w:r>
        <w:rPr>
          <w:rFonts w:ascii="Times New Roman" w:cs="Times New Roman" w:eastAsia="Times New Roman" w:hAnsi="Times New Roman"/>
          <w:sz w:val="17"/>
          <w:szCs w:val="17"/>
          <w:color w:val="auto"/>
        </w:rPr>
        <w:t>In March 2019, we submitted a supplemental new drug application, or sNDA, to the FDA seeking revised labeling for Vascepa based on results of the REDUCE-IT study and, upon such expanded labeling, subject to FDA approval of such label, to further expand its promotion of Vascepa in the United States. In May 2019, the FDA granted Priority Review for the sNDA and assigned a Prescription Drug User Fee Act (PDUFA) goal date of September 28, 2019.</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However, there can be no assurance as to the actual timetable for FDA action or whether the sNDA will be approved by the FDA. Additionally, even if the sNDA is approved, such approval could require various actions by us including modification of the existing Vascepa label or the adoption of FDA-mandated risk evaluation and mitigation strategies. Any adverse developments or results or perceived adverse developments or results with respect to our sNDA will significantly harm our business and could cause the market price of our securities to decline.</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value to us of sales of Vascepa outside the United States may be smaller than we anticipate.</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There can be no assurance as to the adequacy for commercial success of Vascepa outside the United States. For example, even if we and Eddingpharm (Asia) Macao Commercial Offshore Limited, or Eddingpharm, obtain marketing approval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8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8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51" w:name="page52"/>
    <w:bookmarkEnd w:id="51"/>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Pharmaceuticals America, Inc. In addition, even if we comply with FDA and other requirements, new information regarding the safety or effectiveness of a product could lead the FDA to modify or withdraw a product approval. Newly discovered or developed safety or effectiveness data may require changes to a drug’s approved labeling,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97" w:lineRule="exact"/>
        <w:rPr>
          <w:sz w:val="20"/>
          <w:szCs w:val="20"/>
          <w:color w:val="auto"/>
        </w:rPr>
      </w:pPr>
    </w:p>
    <w:p>
      <w:pPr>
        <w:ind w:left="26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5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Specifically, in both the United States and some foreign jurisdictions, there have been a number of legislative and regulatory proposals to change the healthcare system in ways that could affect our ability to sell our products profitably. For example, beginning April 1, 2013, Medicare payments for all items and services, including drugs and biologics, were reduced by 2% under the sequestration (i.e., automatic spending reductions) required by the Budget Control Act of 2011, as amended by the American Taxpayer Relief Act of 2012. Subsequent legislation extended the 2% reduction, on average, to 2027. These cuts reduce reimbursement payments related to our products, which could potentially negatively impact our revenue. Also for example, the ACA substantially changed the way healthcare is financed by both governmental and private insurers. Among other cost-containment measures, ACA establishes:</w:t>
      </w:r>
    </w:p>
    <w:p>
      <w:pPr>
        <w:spacing w:after="0" w:line="80" w:lineRule="exact"/>
        <w:rPr>
          <w:sz w:val="20"/>
          <w:szCs w:val="20"/>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pharmaceutical manufacturers who wish to have their drugs covered under Part D must offer discounts to eligible beneficiaries during their coverage gap period;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 and</w:t>
      </w:r>
    </w:p>
    <w:p>
      <w:pPr>
        <w:spacing w:after="0" w:line="117"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healthcare coverage that includes reimbursement for prescription drugs.</w:t>
      </w:r>
    </w:p>
    <w:p>
      <w:pPr>
        <w:spacing w:after="0" w:line="162"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That Trump administration proposal subsequently faced a set-back in federal court. The Trump administration is currently assessing additional proposals that are designed to affect drug pricing, such as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2" w:name="page53"/>
    <w:bookmarkEnd w:id="52"/>
    <w:p>
      <w:pPr>
        <w:ind w:right="60"/>
        <w:spacing w:after="0" w:line="255" w:lineRule="auto"/>
        <w:rPr>
          <w:sz w:val="20"/>
          <w:szCs w:val="20"/>
          <w:color w:val="auto"/>
        </w:rPr>
      </w:pPr>
      <w:r>
        <w:rPr>
          <w:rFonts w:ascii="Times New Roman" w:cs="Times New Roman" w:eastAsia="Times New Roman" w:hAnsi="Times New Roman"/>
          <w:sz w:val="18"/>
          <w:szCs w:val="18"/>
          <w:color w:val="auto"/>
        </w:rPr>
        <w:t>tying U.S. drug prices to prices outside the United States.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288" w:lineRule="exact"/>
        <w:rPr>
          <w:sz w:val="20"/>
          <w:szCs w:val="20"/>
          <w:color w:val="auto"/>
        </w:rPr>
      </w:pPr>
    </w:p>
    <w:p>
      <w:pPr>
        <w:ind w:left="2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85"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80"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ind w:firstLine="518"/>
        <w:spacing w:after="0" w:line="255"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HRSA also is implementing a ceiling price reporting requirement related to the 340B program during the first quarter of 2019, pursuant to which we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8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or VA, Federal Supply Schedule, or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85"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89" w:lineRule="exact"/>
        <w:rPr>
          <w:sz w:val="20"/>
          <w:szCs w:val="20"/>
          <w:color w:val="auto"/>
        </w:rPr>
      </w:pPr>
    </w:p>
    <w:p>
      <w:pPr>
        <w:ind w:left="2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 These changes could have a material adverse effect on our business and financial condition.</w:t>
      </w:r>
    </w:p>
    <w:p>
      <w:pPr>
        <w:spacing w:after="0" w:line="5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the U.S. and abroad, sales of pharmaceutical drugs are dependent, in part, on the availability of reimbursement to the consumer from third-party payors, such as government and private insurance plans. Third-party payors are increasingly challenging the prices charged for medical products and services. Some third-party payor benefit packages restrict reimbursement, charge copayments to patients, or do not provide coverage for specific drugs or drug classes.</w:t>
      </w:r>
    </w:p>
    <w:p>
      <w:pPr>
        <w:spacing w:after="0" w:line="176"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In addition, certain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4" w:name="page55"/>
    <w:bookmarkEnd w:id="54"/>
    <w:p>
      <w:pPr>
        <w:ind w:firstLine="518"/>
        <w:spacing w:after="0" w:line="256"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 xml:space="preserve">Some of the provisions of the ACA have yet to be fully implemented, and certain provisions have been subject to judicial and Congressional challenges. In addition, there have been efforts by the Trump administration to repeal or replace certain aspects of the ACA and to alter the implementation of the ACA and related laws. Since January 2017, the Trump administration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Department of Health and Human Services (HHS) from paying out more in risk corridor payments than it collected, HHS was not required to pay more than $12 billion in ACA risk corridor payments owed to insurers under the risk corridor formula. On November 6, 2018, the Federal Circuit declined to rehear the case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Insurers have appealed this ruling to the Supreme Court.</w:t>
      </w:r>
    </w:p>
    <w:p>
      <w:pPr>
        <w:spacing w:after="0" w:line="19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Moreover, the Tax Cuts and Jobs Act enacted on December 22, 2017, eliminated the tax-based shared responsibility payment for individuals who fail to maintain minimum essential coverage under section 5000A of the Internal Revenue Code of 1986, commonly referred to as the “individual mandate,” effective January 1, 2019.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amends the ACA, effective January 1, 2019, to reduce the coverage gap in most Medicare drug plans, commonly referred to as the “donut hole” by raising the manufacturer discount under the Medicare Part D coverage gap discount program to 70%.</w:t>
      </w:r>
    </w:p>
    <w:p>
      <w:pPr>
        <w:spacing w:after="0" w:line="18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July 2018, the Centers for Medicare and Medicaid Services, or CMS, published a final rule permitting certain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that gives states greater flexibility, starting in 2020, in setting benchmarks for insurers in the individual and small group marketplaces, which may have the effect of relaxing the essential health benefits required under the ACA for plans sold through such marketplaces. On December 14, 2018, a U.S. District Court Judge in the Northern District of Texas, or the Texas District Court Judge, ruled that the individual mandate is a critical and inseverable feature of the ACA, and therefore, because it was repealed as part of the Tax Cuts and Jobs Act of 2017, the remaining provisions of the ACA are invalid as well. This ruling is under appeal and stayed pending appeal. While the Trump Administration and CMS have both stated that the ruling will have no effect while this appeal is pending, it is unclear how this decision, subsequent appeals, and other efforts to invalidate the ACA or portions thereof will impact the ACA, its implementation, and our business.</w:t>
      </w:r>
    </w:p>
    <w:p>
      <w:pPr>
        <w:spacing w:after="0" w:line="18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80"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88" w:lineRule="exact"/>
        <w:rPr>
          <w:sz w:val="20"/>
          <w:szCs w:val="20"/>
          <w:color w:val="auto"/>
        </w:rPr>
      </w:pPr>
    </w:p>
    <w:p>
      <w:pPr>
        <w:ind w:left="2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8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the event we decide to conduct clinical trials in the European Union, or EU, we may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6" w:name="page57"/>
    <w:bookmarkEnd w:id="56"/>
    <w:p>
      <w:pPr>
        <w:ind w:left="26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strictly regulate the promotional claims that may be made about prescription products. If we or our partners are found to have improperly promoted uses, efficacy or safety of Vascepa, we may become subject to significant fines and other liability. The government may seek to find means to prevent our promotion of truthful and non-misleading information beyond the current court ruling and litigation settlement.</w:t>
      </w:r>
    </w:p>
    <w:p>
      <w:pPr>
        <w:spacing w:after="0" w:line="73"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former co-promotion partner, Kowa Pharmaceuticals America, Inc., or our commercialization partners outside the United States.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93"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8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80" w:lineRule="exact"/>
        <w:rPr>
          <w:sz w:val="20"/>
          <w:szCs w:val="20"/>
          <w:color w:val="auto"/>
        </w:rPr>
      </w:pPr>
    </w:p>
    <w:p>
      <w:pPr>
        <w:ind w:left="2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77" w:lineRule="exact"/>
        <w:rPr>
          <w:sz w:val="20"/>
          <w:szCs w:val="20"/>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affecting our clinical trial sites.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57" w:name="page58"/>
    <w:bookmarkEnd w:id="57"/>
    <w:p>
      <w:pPr>
        <w:ind w:firstLine="518"/>
        <w:spacing w:after="0" w:line="252" w:lineRule="auto"/>
        <w:rPr>
          <w:sz w:val="20"/>
          <w:szCs w:val="20"/>
          <w:color w:val="auto"/>
        </w:rPr>
      </w:pPr>
      <w:r>
        <w:rPr>
          <w:rFonts w:ascii="Times New Roman" w:cs="Times New Roman" w:eastAsia="Times New Roman" w:hAnsi="Times New Roman"/>
          <w:sz w:val="18"/>
          <w:szCs w:val="18"/>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 not be inert. After each such quarterly unblinded safety analysis and review meeting, the DMC recommended to continue the REDUCE-IT study as planned. Each of these DMC recommendations has been shared with FDA. This matter illustrates that concerns such as this may arise in the future that could affect our product development, regulatory review or the public perception of our products and our future prospects including REDUCE-IT results.</w:t>
      </w:r>
    </w:p>
    <w:p>
      <w:pPr>
        <w:spacing w:after="0" w:line="19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89" w:lineRule="exact"/>
        <w:rPr>
          <w:sz w:val="20"/>
          <w:szCs w:val="20"/>
          <w:color w:val="auto"/>
        </w:rPr>
      </w:pPr>
    </w:p>
    <w:p>
      <w:pP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5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process of establishing a commercial infrastructure is difficult, expensive and time-consuming. Prior to the REDUCE-IT topline results announcement in September 2018, our sales team consisted of approximately 170 sales professionals, including sales representatives and their managers. We have increased the size of our sales force to approximately 440 sales professionals, including approximately 400 sales representatives, in the United States and are currently increasing to a planned total of approximately 800 sales professionals as we expand our promotion of Vascepa. This sales team promotes Vascepa to a limited group of physicians and other healthcare professionals in select geographies in the United States. Even after planned expansion, this sales team is not large enough to call upon all physicians.</w:t>
      </w:r>
    </w:p>
    <w:p>
      <w:pPr>
        <w:spacing w:after="0" w:line="188"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addition to sales force expansion in the United States, Amarin plans to work with its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w:t>
      </w:r>
    </w:p>
    <w:p>
      <w:pPr>
        <w:spacing w:after="0" w:line="121" w:lineRule="exact"/>
        <w:rPr>
          <w:sz w:val="20"/>
          <w:szCs w:val="20"/>
          <w:color w:val="auto"/>
        </w:rPr>
      </w:pPr>
    </w:p>
    <w:p>
      <w:pPr>
        <w:jc w:val="both"/>
        <w:ind w:right="160" w:firstLine="518"/>
        <w:spacing w:after="0" w:line="261" w:lineRule="auto"/>
        <w:rPr>
          <w:sz w:val="20"/>
          <w:szCs w:val="20"/>
          <w:color w:val="auto"/>
        </w:rPr>
      </w:pPr>
      <w:r>
        <w:rPr>
          <w:rFonts w:ascii="Times New Roman" w:cs="Times New Roman" w:eastAsia="Times New Roman" w:hAnsi="Times New Roman"/>
          <w:sz w:val="18"/>
          <w:szCs w:val="18"/>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w:t>
      </w:r>
    </w:p>
    <w:p>
      <w:pPr>
        <w:spacing w:after="0" w:line="180"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8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8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8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280" w:lineRule="exact"/>
        <w:rPr>
          <w:sz w:val="20"/>
          <w:szCs w:val="20"/>
          <w:color w:val="auto"/>
        </w:rPr>
      </w:pPr>
    </w:p>
    <w:p>
      <w:pPr>
        <w:ind w:left="2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5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88" w:lineRule="exact"/>
        <w:rPr>
          <w:sz w:val="20"/>
          <w:szCs w:val="20"/>
          <w:color w:val="auto"/>
        </w:rPr>
      </w:pPr>
    </w:p>
    <w:p>
      <w:pPr>
        <w:ind w:left="26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67"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and guidelines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9" w:name="page60"/>
    <w:bookmarkEnd w:id="59"/>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84" w:lineRule="exact"/>
        <w:rPr>
          <w:sz w:val="20"/>
          <w:szCs w:val="20"/>
          <w:color w:val="auto"/>
        </w:rPr>
      </w:pPr>
    </w:p>
    <w:p>
      <w:pPr>
        <w:jc w:val="both"/>
        <w:ind w:right="420" w:firstLine="518"/>
        <w:spacing w:after="0" w:line="266" w:lineRule="auto"/>
        <w:rPr>
          <w:sz w:val="20"/>
          <w:szCs w:val="20"/>
          <w:color w:val="auto"/>
        </w:rPr>
      </w:pPr>
      <w:r>
        <w:rPr>
          <w:rFonts w:ascii="Times New Roman" w:cs="Times New Roman" w:eastAsia="Times New Roman" w:hAnsi="Times New Roman"/>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commercialization of Vascepa outside the United States is substantially dependent on third parties.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76"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may be necessary in this market.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85"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 related activities. If HLS Therapeutics is not able to effectively register and commercialize Vascepa in Canada, we may not be able to generate revenue from the agreement as a result of the sale of Vascepa in Canada.</w:t>
      </w:r>
    </w:p>
    <w:p>
      <w:pPr>
        <w:spacing w:after="0" w:line="184" w:lineRule="exact"/>
        <w:rPr>
          <w:sz w:val="20"/>
          <w:szCs w:val="20"/>
          <w:color w:val="auto"/>
        </w:rPr>
      </w:pPr>
    </w:p>
    <w:p>
      <w:pPr>
        <w:ind w:right="80" w:firstLine="518"/>
        <w:spacing w:after="0" w:line="277" w:lineRule="auto"/>
        <w:rPr>
          <w:sz w:val="20"/>
          <w:szCs w:val="20"/>
          <w:color w:val="auto"/>
        </w:rPr>
      </w:pPr>
      <w:r>
        <w:rPr>
          <w:rFonts w:ascii="Times New Roman" w:cs="Times New Roman" w:eastAsia="Times New Roman" w:hAnsi="Times New Roman"/>
          <w:sz w:val="17"/>
          <w:szCs w:val="17"/>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ind w:left="2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95" w:lineRule="exact"/>
        <w:rPr>
          <w:sz w:val="20"/>
          <w:szCs w:val="20"/>
          <w:color w:val="auto"/>
        </w:rPr>
      </w:pPr>
    </w:p>
    <w:p>
      <w:pPr>
        <w:ind w:left="26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6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81" w:lineRule="exact"/>
        <w:rPr>
          <w:sz w:val="20"/>
          <w:szCs w:val="20"/>
          <w:color w:val="auto"/>
        </w:rPr>
      </w:pPr>
    </w:p>
    <w:p>
      <w:pPr>
        <w:ind w:left="1040" w:right="40" w:hanging="519"/>
        <w:spacing w:after="0" w:line="270" w:lineRule="auto"/>
        <w:tabs>
          <w:tab w:leader="none" w:pos="10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w:t>
      </w:r>
    </w:p>
    <w:p>
      <w:pPr>
        <w:spacing w:after="0" w:line="65" w:lineRule="exact"/>
        <w:rPr>
          <w:rFonts w:ascii="Times New Roman" w:cs="Times New Roman" w:eastAsia="Times New Roman" w:hAnsi="Times New Roman"/>
          <w:sz w:val="17"/>
          <w:szCs w:val="17"/>
          <w:color w:val="auto"/>
        </w:rPr>
      </w:pPr>
    </w:p>
    <w:p>
      <w:pPr>
        <w:ind w:left="1040" w:right="40" w:hanging="519"/>
        <w:spacing w:after="0" w:line="253"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82" w:lineRule="exact"/>
        <w:rPr>
          <w:rFonts w:ascii="Times New Roman" w:cs="Times New Roman" w:eastAsia="Times New Roman" w:hAnsi="Times New Roman"/>
          <w:sz w:val="18"/>
          <w:szCs w:val="18"/>
          <w:color w:val="auto"/>
        </w:rPr>
      </w:pPr>
    </w:p>
    <w:p>
      <w:pPr>
        <w:ind w:left="1040" w:right="320" w:hanging="519"/>
        <w:spacing w:after="0" w:line="26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1" w:name="page62"/>
    <w:bookmarkEnd w:id="61"/>
    <w:p>
      <w:pPr>
        <w:ind w:left="1040" w:right="20" w:hanging="519"/>
        <w:spacing w:after="0" w:line="274" w:lineRule="auto"/>
        <w:tabs>
          <w:tab w:leader="none" w:pos="10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5" w:lineRule="exact"/>
        <w:rPr>
          <w:rFonts w:ascii="Times New Roman" w:cs="Times New Roman" w:eastAsia="Times New Roman" w:hAnsi="Times New Roman"/>
          <w:sz w:val="17"/>
          <w:szCs w:val="17"/>
          <w:color w:val="auto"/>
        </w:rPr>
      </w:pPr>
    </w:p>
    <w:p>
      <w:pPr>
        <w:ind w:left="1040" w:right="60" w:hanging="519"/>
        <w:spacing w:after="0" w:line="25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79"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40" w:right="60" w:hanging="519"/>
        <w:spacing w:after="0" w:line="254"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9"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8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80"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 addition, the approval and commercialization of any of our products outside the United States will also likely subject us to foreign equivalents of the healthcare laws mentioned above, among other foreign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ind w:left="26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to protect the commercial potential of Vascepa.</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68" w:lineRule="exact"/>
        <w:rPr>
          <w:sz w:val="20"/>
          <w:szCs w:val="20"/>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225"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82 patent applications in the United States that have been either issued or allowed and more than 30 additional patent applications are pending in the United States. Such 82 allowed and issued applications include the following:</w:t>
      </w:r>
    </w:p>
    <w:p>
      <w:pPr>
        <w:spacing w:after="0" w:line="68" w:lineRule="exact"/>
        <w:rPr>
          <w:sz w:val="20"/>
          <w:szCs w:val="20"/>
          <w:color w:val="auto"/>
        </w:rPr>
      </w:pPr>
    </w:p>
    <w:p>
      <w:pPr>
        <w:ind w:left="1040" w:right="80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issued U.S. patents directed to a pharmaceutical composition of Vascepa in a capsule that have terms that expire in 2020 and 2030, respectively;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issued U.S. patent covering a composition containing highly pure EPA that expires in 2021;</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U.S. patents covering or related to the use of Vascepa in either the MARINE or ANCHOR populations that have terms that expire in 2030 or later;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U.S. patents covering or related to the use of Vascepa in the REDUCE-IT population with terms expiring in 2033 or later;</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additional patents related to the use of a pharmaceutical composition comprised of free fatty acids to treat the ANCHOR patient population with a term that expires in 2030 or later;</w:t>
      </w:r>
    </w:p>
    <w:p>
      <w:pPr>
        <w:spacing w:after="0" w:line="53"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related to the use of a pharmaceutical composition comprised of free fatty acids to treat the MARINE patient population with a term that expires in 2030;</w:t>
      </w:r>
    </w:p>
    <w:p>
      <w:pPr>
        <w:spacing w:after="0" w:line="53"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additional patents related to the use of a pharmaceutical composition comprised of free fatty acids to treat the REDUCE-IT population expiring 2033;</w:t>
      </w:r>
    </w:p>
    <w:p>
      <w:pPr>
        <w:spacing w:after="0" w:line="53"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53"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the use of a pharmaceutical composition comprised of re-esterified EPA triglyceride to treat the REDUCE-IT population expiring 2033;</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additional patents related to a formulation of EPA/DHA and uses thereof with a term that expires in 2030;</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related to the use of Vascepa to treat obesity with a term that expires in 2034;</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covering a pharmaceutical composition comprised of EPA and a hydroxyl compound with a term that expires in 2034;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additional patents covering a new combination therapy comprised of EPA and another drug.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63" w:name="page64"/>
    <w:bookmarkEnd w:id="63"/>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are the owner of the above-listed patents. We are also the exclusive licensee of certain patents owned by others covering products in development. To secure our debt under our outstanding royalty-like instrument, we have granted the holders of such instrument a security interest in our Vascepa-related patents.</w:t>
      </w:r>
    </w:p>
    <w:p>
      <w:pPr>
        <w:spacing w:after="0" w:line="17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88" w:lineRule="exact"/>
        <w:rPr>
          <w:sz w:val="20"/>
          <w:szCs w:val="20"/>
          <w:color w:val="auto"/>
        </w:rPr>
      </w:pPr>
    </w:p>
    <w:p>
      <w:pPr>
        <w:ind w:right="80" w:firstLine="518"/>
        <w:spacing w:after="0" w:line="274" w:lineRule="auto"/>
        <w:rPr>
          <w:sz w:val="20"/>
          <w:szCs w:val="20"/>
          <w:color w:val="auto"/>
        </w:rPr>
      </w:pPr>
      <w:r>
        <w:rPr>
          <w:rFonts w:ascii="Times New Roman" w:cs="Times New Roman" w:eastAsia="Times New Roman" w:hAnsi="Times New Roman"/>
          <w:sz w:val="17"/>
          <w:szCs w:val="17"/>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issued patents may not prevent competitors from competing with Vascepa, even if we seek to enforce our patent rights.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8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of our pending patent applications relating to Vascepa or its use will issue as patents.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results from the REDUCE-IT clinical trial will be granted or, if they grant, that they will prevent competitors from competing with Vascepa. For example, we expect to engage in new ANDA patent litigation in the United States and elsewhere with respect to method of use patents related to the REDUCE-IT study after any newly granted indications based on that study.</w:t>
      </w:r>
    </w:p>
    <w:p>
      <w:pPr>
        <w:spacing w:after="0" w:line="18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90" w:lineRule="exact"/>
        <w:rPr>
          <w:sz w:val="20"/>
          <w:szCs w:val="20"/>
          <w:color w:val="auto"/>
        </w:rPr>
      </w:pPr>
    </w:p>
    <w:p>
      <w:pPr>
        <w:ind w:left="26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2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January 2019, we issued financial and business guidance, including expected fiscal year 2019 total net revenue and expectations regarding inventory build, 2019 operating expenses and timing of an sNDA seeking Vascepa label expansion. In July 2019, we issued updates to our financial outlook for fiscal year 2019. All such guidance and updates are based on estimates and the judgment of management. Because of the inherent nature of estimates, there could be significant differences between our estimates and the actual amount of product demand. If, for any reason, we are unable to realize our currently projected 2019 revenue, we may not realize our publicly announced financial guidance. If we fail to realize or if we change or update any element of our publicly disclosed financial guidance as we have done in the past or other expectations about our business change, our stock price could decline in value.</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are engaged in the 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ind w:left="260" w:right="46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-223520</wp:posOffset>
            </wp:positionV>
            <wp:extent cx="6413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88"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instance, in June 2019, a report published by security researchers claimed that a database, which we are informed did not include social security numbers or credit card information, belonging to one of our vendors containing information about individuals who use or have expressed interest in Vascepa was accessible to unauthorized users.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9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62"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could have a negative effect on our future profitability.</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and by virtue of our efforts to carry out a trade in Ireland. Trading income of an Irish company is generally taxable at the Irish corporation tax rate of 12.5%. Non-trading income of an Irish company (e.g., interest income, rental income or other passive income) is taxable at a rate of 25%.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66" w:name="page67"/>
    <w:bookmarkEnd w:id="66"/>
    <w:p>
      <w:pPr>
        <w:ind w:firstLine="518"/>
        <w:spacing w:after="0" w:line="254"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or not carrying out a trade in Ireland. Our and our subsidiaries’ income tax returns are periodically examined by various tax authorities, including the Internal Revenue Service (IRS) and states. We recently completed the audits by the IRS for the years 2013 to 2014, with no material changes to the filed income tax returns. Although the outcome of tax audits is always uncertain and could result in significant cash tax payments, we do not believe the outcome of any future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effect on us of comprehensive U.S. tax reform legislation whether adverse or favorable, is uncertain.</w:t>
      </w:r>
    </w:p>
    <w:p>
      <w:pPr>
        <w:spacing w:after="0" w:line="121"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On December 22, 2017, President Trump signed into law H.R. 1, “An Act to provide for reconciliation pursuant to titles II and V of the concurrent resolution on the budget for fiscal year 2018”, or informally, the Tax Cuts and Jobs Act. Among a number of significant changes to the U.S. federal income tax rules, the Tax Cuts and Jobs Act reduces the marginal U.S. corporate income tax rate from 35% to 21%, limits the deduction for net interest expense, shifts the United States toward a more territorial tax system, and imposes new taxes to combat erosion of the U.S. federal income tax base. The effect of the Tax Cuts and Jobs Act on our company and our affiliates, whether adverse or favorable, is uncertain, and may not become evident for some period of time. You are urged to consult your tax adviser regarding the implications of the Tax Cuts and Jobs Act for an investment in our ADSs.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121"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gross product sales. Customers A, B, and C accounted for 24%, 37%, and 29%, respectively, of gross product sales for the six months ended June 30, 2019, and represented 38%, 32%, and 22%, respectively, of the gross accounts receivable balance as of June 30, 2019. Customers A, B, and C accounted for 27%, 31%, and 31%, respectively, of gross product sales for the six months ended June 30, 2018, and represented 33%, 37%, and 22%, respectively, of the gross accounts receivable balance as of June 30, 2018.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reached profitability. For the fiscal years ended December 31, 2018, 2017, and 2016, we reported losses of approximately</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$116.4 million, $67.9 million, and $86.4 million, respectively, and we had an accumulated deficit as of December 31, 2018 of $1.4 billion. For the six months ended June 30, 2019 and 2018, we reported losses of approximately $26.3 million and $58.3 million, respectively, and we had an accumulated deficit as of June 30, 2019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7" w:name="page68"/>
    <w:bookmarkEnd w:id="6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Although we began generating revenue from Vascepa in January 2013, we may never be profitable.</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results do not form an accurate basis for assessing our current business.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293" w:lineRule="exact"/>
        <w:rPr>
          <w:sz w:val="20"/>
          <w:szCs w:val="20"/>
          <w:color w:val="auto"/>
        </w:rPr>
      </w:pPr>
    </w:p>
    <w:p>
      <w:pPr>
        <w:ind w:left="2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72" w:lineRule="exact"/>
        <w:rPr>
          <w:sz w:val="20"/>
          <w:szCs w:val="20"/>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ind w:left="1040" w:right="20" w:hanging="519"/>
        <w:spacing w:after="0" w:line="313" w:lineRule="auto"/>
        <w:tabs>
          <w:tab w:leader="none" w:pos="10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30" w:lineRule="exact"/>
        <w:rPr>
          <w:rFonts w:ascii="Times New Roman" w:cs="Times New Roman" w:eastAsia="Times New Roman" w:hAnsi="Times New Roman"/>
          <w:sz w:val="17"/>
          <w:szCs w:val="17"/>
          <w:color w:val="auto"/>
        </w:rPr>
      </w:pPr>
    </w:p>
    <w:p>
      <w:pPr>
        <w:ind w:left="1040" w:right="380" w:hanging="519"/>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the resulting effectiveness of those efforts with our co-promotion partner, Kowa Pharmaceuticals America, Inc.;</w:t>
      </w:r>
    </w:p>
    <w:p>
      <w:pPr>
        <w:spacing w:after="0" w:line="53" w:lineRule="exact"/>
        <w:rPr>
          <w:rFonts w:ascii="Times New Roman" w:cs="Times New Roman" w:eastAsia="Times New Roman" w:hAnsi="Times New Roman"/>
          <w:sz w:val="18"/>
          <w:szCs w:val="18"/>
          <w:color w:val="auto"/>
        </w:rPr>
      </w:pPr>
    </w:p>
    <w:p>
      <w:pPr>
        <w:ind w:left="1040" w:right="220" w:hanging="519"/>
        <w:spacing w:after="0" w:line="266"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commercialization partners outside the United States to develop, register and commercialize Vascepa in the China Territory, several Middle Eastern and North African countries, and Canada, for example, including obtaining necessary regulatory approvals and establishing marketing channels;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dialogue on the REDUCE-IT study.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68" w:name="page69"/>
    <w:bookmarkEnd w:id="68"/>
    <w:p>
      <w:pPr>
        <w:ind w:left="26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$221.8 million as of June 30, 2019 will be sufficient to fund our projected operations for at least twelve months and through the assigned PDUFA goal date of our sNDA by the FDA based on REDUCE-IT study results. Depending on the level of cash generated from operations, and depending in part on the timing and results of the FDA review of the sNDA and rate of prescription growth for Vascepa,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117" w:lineRule="exact"/>
        <w:rPr>
          <w:rFonts w:ascii="Times New Roman" w:cs="Times New Roman" w:eastAsia="Times New Roman" w:hAnsi="Times New Roman"/>
          <w:sz w:val="18"/>
          <w:szCs w:val="18"/>
          <w:color w:val="auto"/>
        </w:rPr>
      </w:pPr>
    </w:p>
    <w:p>
      <w:pPr>
        <w:jc w:val="both"/>
        <w:ind w:left="1040" w:right="20" w:hanging="519"/>
        <w:spacing w:after="0" w:line="261"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including expenditures such as potential direct-to-consumer advertising and increased sales force sizing, and for additional indications in the United States and in jurisdictions in which we receive regulatory approval, if any, the cost and timing of securing commercial supply of Vascepa and the timing of entering into any new strategic collaboration with others relating to the commercialization of Vascepa, if at all, and the terms of any such collaboration;</w:t>
      </w:r>
    </w:p>
    <w:p>
      <w:pPr>
        <w:spacing w:after="0" w:line="7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may suffer materially.</w:t>
      </w:r>
    </w:p>
    <w:p>
      <w:pPr>
        <w:spacing w:after="0" w:line="266" w:lineRule="exact"/>
        <w:rPr>
          <w:sz w:val="20"/>
          <w:szCs w:val="20"/>
          <w:color w:val="auto"/>
        </w:rPr>
      </w:pPr>
    </w:p>
    <w:p>
      <w:pPr>
        <w:ind w:left="26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developed Vascepa in and from Ireland. In recent years, particularly since 2013 when commercial sale of Vascepa commenced in the United States, the majority of our consolidated operations have been in the United States. Ownership to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In addition, utilization of these accumulated net operating loss carryforwards assumes that tax treaties between Ireland and other countries, particularly the United States, do not change in a manner which limit our future ability to offset earnings with these operating loss carryforwards for tax purposes.</w:t>
      </w:r>
    </w:p>
    <w:p>
      <w:pPr>
        <w:spacing w:after="0" w:line="185"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profitability, if at all.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Continued negative economic conditions would likely have a negative effect on our ability to obtain financing on acceptable terms.</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9" w:name="page70"/>
    <w:bookmarkEnd w:id="6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121" w:lineRule="exact"/>
        <w:rPr>
          <w:sz w:val="20"/>
          <w:szCs w:val="20"/>
          <w:color w:val="auto"/>
        </w:rPr>
      </w:pPr>
    </w:p>
    <w:p>
      <w:pPr>
        <w:ind w:right="560" w:firstLine="518"/>
        <w:spacing w:after="0" w:line="266"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8" w:lineRule="exact"/>
        <w:rPr>
          <w:sz w:val="20"/>
          <w:szCs w:val="20"/>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225"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As of July 29, 2019, we had 357,214,478 common shares outstanding including 357,009,987 shares held as ADSs and 204,491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1040" w:right="360" w:hanging="519"/>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70" w:name="page71"/>
    <w:bookmarkEnd w:id="70"/>
    <w:p>
      <w:pPr>
        <w:ind w:lef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73"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and during the three months ended September 30, 2018, 38,867,180 preferred shares were converted, resulting in the issuance of 3,886,718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8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288" w:lineRule="exact"/>
        <w:rPr>
          <w:sz w:val="20"/>
          <w:szCs w:val="20"/>
          <w:color w:val="auto"/>
        </w:rPr>
      </w:pPr>
    </w:p>
    <w:p>
      <w:pPr>
        <w:ind w:left="2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5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62"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addition, under the securities subscription agreement dated as of March 5, 2015, we are required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71" w:name="page72"/>
    <w:bookmarkEnd w:id="71"/>
    <w:p>
      <w:pPr>
        <w:ind w:left="26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67"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which would result in adverse U.S. federal tax consequences to U.S. investors.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believe it is prudent to assume that we were classified as a PFIC in the past. However, we do not believe that we have been classified as a PFIC beginning in 2013 when we commercially launched Vascepa in the United States and began to derive revenues from sales of Vascepa. Our status as a PFIC is subject to change in future years.</w:t>
      </w:r>
    </w:p>
    <w:p>
      <w:pPr>
        <w:spacing w:after="0" w:line="176"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Failure to meet our obligations under our December 2012 Purchase and Sale Agreement could adversely affect our financial results and liquidity.</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CPPIB’s interests under the transaction; (iv) encumber any of the collateral securing our performance under the agreement; and (v) abandon certain patent rights, in each case without the consent of CPPIB.</w:t>
      </w:r>
    </w:p>
    <w:p>
      <w:pPr>
        <w:spacing w:after="0" w:line="18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CPPIB and (iii), unless CPPIB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72" w:name="page73"/>
    <w:bookmarkEnd w:id="72"/>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CPPIB may attempt to collect the maximum amount payable by us under this agreement (after deducting any payments we have already made).</w:t>
      </w:r>
    </w:p>
    <w:p>
      <w:pPr>
        <w:spacing w:after="0" w:line="18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Our indebtedness and the related annual debt service requirements, if any, may adversely impact our business, operations and financial condition in the future. For example, they could:</w:t>
      </w:r>
    </w:p>
    <w:p>
      <w:pPr>
        <w:spacing w:after="0" w:line="54" w:lineRule="exact"/>
        <w:rPr>
          <w:sz w:val="20"/>
          <w:szCs w:val="20"/>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to service payments on our debt or to restructure our debt; or</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 or to pursue certain strategic opportunities that may present themselves.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8" w:lineRule="exact"/>
        <w:rPr>
          <w:sz w:val="20"/>
          <w:szCs w:val="20"/>
          <w:color w:val="auto"/>
        </w:rPr>
      </w:pPr>
    </w:p>
    <w:p>
      <w:pPr>
        <w:ind w:left="1040" w:right="100" w:hanging="519"/>
        <w:spacing w:after="0" w:line="266"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8"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3" w:lineRule="exact"/>
        <w:rPr>
          <w:rFonts w:ascii="Times New Roman" w:cs="Times New Roman" w:eastAsia="Times New Roman" w:hAnsi="Times New Roman"/>
          <w:sz w:val="18"/>
          <w:szCs w:val="18"/>
          <w:color w:val="auto"/>
        </w:rPr>
      </w:pPr>
    </w:p>
    <w:p>
      <w:pPr>
        <w:ind w:left="1040" w:right="280" w:hanging="519"/>
        <w:spacing w:after="0" w:line="289" w:lineRule="auto"/>
        <w:tabs>
          <w:tab w:leader="none" w:pos="10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50" w:lineRule="exact"/>
        <w:rPr>
          <w:rFonts w:ascii="Times New Roman" w:cs="Times New Roman" w:eastAsia="Times New Roman" w:hAnsi="Times New Roman"/>
          <w:sz w:val="17"/>
          <w:szCs w:val="17"/>
          <w:color w:val="auto"/>
        </w:rPr>
      </w:pPr>
    </w:p>
    <w:p>
      <w:pPr>
        <w:ind w:left="1040" w:right="180" w:hanging="519"/>
        <w:spacing w:after="0" w:line="258"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3" w:name="page74"/>
    <w:bookmarkEnd w:id="73"/>
    <w:p>
      <w:pPr>
        <w:ind w:left="1040" w:right="60" w:hanging="519"/>
        <w:spacing w:after="0" w:line="255"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81" w:lineRule="exact"/>
        <w:rPr>
          <w:rFonts w:ascii="Times New Roman" w:cs="Times New Roman" w:eastAsia="Times New Roman" w:hAnsi="Times New Roman"/>
          <w:sz w:val="18"/>
          <w:szCs w:val="18"/>
          <w:color w:val="auto"/>
        </w:rPr>
      </w:pPr>
    </w:p>
    <w:p>
      <w:pPr>
        <w:ind w:left="1040" w:right="60" w:hanging="519"/>
        <w:spacing w:after="0" w:line="281" w:lineRule="auto"/>
        <w:tabs>
          <w:tab w:leader="none" w:pos="10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6" w:lineRule="exact"/>
        <w:rPr>
          <w:rFonts w:ascii="Times New Roman" w:cs="Times New Roman" w:eastAsia="Times New Roman" w:hAnsi="Times New Roman"/>
          <w:sz w:val="17"/>
          <w:szCs w:val="17"/>
          <w:color w:val="auto"/>
        </w:rPr>
      </w:pPr>
    </w:p>
    <w:p>
      <w:pPr>
        <w:ind w:left="1040" w:right="40" w:hanging="519"/>
        <w:spacing w:after="0" w:line="258"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72" w:lineRule="exact"/>
        <w:rPr>
          <w:sz w:val="20"/>
          <w:szCs w:val="20"/>
          <w:color w:val="auto"/>
        </w:rPr>
      </w:pPr>
    </w:p>
    <w:p>
      <w:pPr>
        <w:ind w:left="1040" w:right="80" w:hanging="519"/>
        <w:spacing w:after="0" w:line="289" w:lineRule="auto"/>
        <w:tabs>
          <w:tab w:leader="none" w:pos="10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50" w:lineRule="exact"/>
        <w:rPr>
          <w:rFonts w:ascii="Times New Roman" w:cs="Times New Roman" w:eastAsia="Times New Roman" w:hAnsi="Times New Roman"/>
          <w:sz w:val="17"/>
          <w:szCs w:val="17"/>
          <w:color w:val="auto"/>
        </w:rPr>
      </w:pPr>
    </w:p>
    <w:p>
      <w:pPr>
        <w:jc w:val="both"/>
        <w:ind w:left="1040" w:hanging="519"/>
        <w:spacing w:after="0" w:line="261"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71" w:lineRule="exact"/>
        <w:rPr>
          <w:rFonts w:ascii="Times New Roman" w:cs="Times New Roman" w:eastAsia="Times New Roman" w:hAnsi="Times New Roman"/>
          <w:sz w:val="18"/>
          <w:szCs w:val="18"/>
          <w:color w:val="auto"/>
        </w:rPr>
      </w:pPr>
    </w:p>
    <w:p>
      <w:pPr>
        <w:ind w:left="1040" w:right="20" w:hanging="519"/>
        <w:spacing w:after="0" w:line="258"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interests in shares carrying 10% or more of the voting rights of a class have been acquired by an offeror (i.e., a bidder) in the offer period (i.e., before the shares subject to the offer have been acquired) and the previous 12 months, the offer must be in cash or be accompanied by a cash alternative for all shareholders of that class at the highest price paid by the offeror in that period. Further, if an offeror acquires any interest in shares during the offer period, the offer for the shares must be in cash or accompanied by a cash alternative at a price at least equal to the price paid for such shares during the offer period.</w:t>
      </w:r>
    </w:p>
    <w:p>
      <w:pPr>
        <w:spacing w:after="0" w:line="75"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issuing takeover circulars must include statements taking responsibility for the contents thereof.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ind w:left="1040" w:right="200" w:hanging="519"/>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1040" w:right="140" w:hanging="519"/>
        <w:spacing w:after="0" w:line="266"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68" w:lineRule="exact"/>
        <w:rPr>
          <w:rFonts w:ascii="Times New Roman" w:cs="Times New Roman" w:eastAsia="Times New Roman" w:hAnsi="Times New Roman"/>
          <w:sz w:val="18"/>
          <w:szCs w:val="18"/>
          <w:color w:val="auto"/>
        </w:rPr>
      </w:pPr>
    </w:p>
    <w:p>
      <w:pPr>
        <w:ind w:left="1040" w:right="160" w:hanging="519"/>
        <w:spacing w:after="0" w:line="266"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8" w:lineRule="exact"/>
        <w:rPr>
          <w:rFonts w:ascii="Times New Roman" w:cs="Times New Roman" w:eastAsia="Times New Roman" w:hAnsi="Times New Roman"/>
          <w:sz w:val="18"/>
          <w:szCs w:val="18"/>
          <w:color w:val="auto"/>
        </w:rPr>
      </w:pPr>
    </w:p>
    <w:p>
      <w:pPr>
        <w:ind w:left="1040" w:right="40" w:hanging="519"/>
        <w:spacing w:after="0" w:line="266"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121"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92" w:lineRule="exact"/>
        <w:rPr>
          <w:sz w:val="20"/>
          <w:szCs w:val="20"/>
          <w:color w:val="auto"/>
        </w:rPr>
      </w:pPr>
    </w:p>
    <w:p>
      <w:pPr>
        <w:ind w:left="2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2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Shares purchased in the second quarter of 2019 are as follows: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620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200" w:type="dxa"/>
            <w:vAlign w:val="bottom"/>
            <w:gridSpan w:val="3"/>
            <w:vMerge w:val="continue"/>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 30, 2019</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 31, 2019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 30, 2019</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20" w:right="120" w:hanging="512"/>
        <w:spacing w:after="0" w:line="282" w:lineRule="auto"/>
        <w:tabs>
          <w:tab w:leader="none" w:pos="5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8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421"/>
        </w:trPr>
        <w:tc>
          <w:tcPr>
            <w:tcW w:w="100" w:type="dxa"/>
            <w:vAlign w:val="bottom"/>
          </w:tcPr>
          <w:p>
            <w:pPr>
              <w:spacing w:after="0"/>
              <w:rPr>
                <w:sz w:val="24"/>
                <w:szCs w:val="24"/>
                <w:color w:val="auto"/>
              </w:rPr>
            </w:pPr>
          </w:p>
        </w:tc>
        <w:tc>
          <w:tcPr>
            <w:tcW w:w="9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60" w:type="dxa"/>
            <w:vAlign w:val="bottom"/>
          </w:tcPr>
          <w:p>
            <w:pPr>
              <w:spacing w:after="0"/>
              <w:rPr>
                <w:sz w:val="24"/>
                <w:szCs w:val="24"/>
                <w:color w:val="auto"/>
              </w:rPr>
            </w:pPr>
          </w:p>
        </w:tc>
        <w:tc>
          <w:tcPr>
            <w:tcW w:w="7220" w:type="dxa"/>
            <w:vAlign w:val="bottom"/>
            <w:gridSpan w:val="7"/>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9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60" w:type="dxa"/>
            <w:vAlign w:val="bottom"/>
          </w:tcPr>
          <w:p>
            <w:pPr>
              <w:spacing w:after="0"/>
              <w:rPr>
                <w:sz w:val="15"/>
                <w:szCs w:val="15"/>
                <w:color w:val="auto"/>
              </w:rPr>
            </w:pPr>
          </w:p>
        </w:tc>
        <w:tc>
          <w:tcPr>
            <w:tcW w:w="722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420" w:type="dxa"/>
            <w:vAlign w:val="bottom"/>
            <w:tcBorders>
              <w:top w:val="single" w:sz="8" w:color="auto"/>
            </w:tcBorders>
            <w:gridSpan w:val="2"/>
          </w:tcPr>
          <w:p>
            <w:pPr>
              <w:jc w:val="right"/>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tcBorders>
              <w:top w:val="single" w:sz="8" w:color="auto"/>
            </w:tcBorders>
            <w:gridSpan w:val="8"/>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Sixth Amendment to Lease Agreement, dated April 1, 2019, by and between Amarin Pharma, Inc. and Bedminster 2 Funding, LLC</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jc w:val="right"/>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Online Office Agreement dated as of April 12, 2019 by and between Amarin Pharmaceuticals Ireland Limited and Regus CME Ireland Limited</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jc w:val="right"/>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Office Service Agreement dated as of April 12, 2019 by and between Amarin Pharmaceuticals Ireland Limited and Regus CME Ireland Ltd.</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Online Office Agreement dated as of July 3, 2019 by and between Amarin Pharmaceuticals Ireland Limited and Regus CME Ireland Ltd.</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jc w:val="right"/>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Certification of President and Chief Executive Officer (Principal Executive Officer) pursuant to Section 302 of Sarbanes-Oxley Act of 2002</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jc w:val="right"/>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Certification of Senior Vice President and Chief Financial Officer (Principal Financial Officer and Principal Accounting Officer) pursuant to</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99">
              <w:r>
                <w:rPr>
                  <w:rFonts w:ascii="Times New Roman" w:cs="Times New Roman" w:eastAsia="Times New Roman" w:hAnsi="Times New Roman"/>
                  <w:sz w:val="18"/>
                  <w:szCs w:val="18"/>
                  <w:color w:val="0000EE"/>
                  <w:w w:val="99"/>
                </w:rPr>
                <w:t>Section 302 of Sarbanes-Oxley Act of 2002</w:t>
              </w:r>
            </w:hyperlink>
          </w:p>
        </w:tc>
        <w:tc>
          <w:tcPr>
            <w:tcW w:w="6920" w:type="dxa"/>
            <w:vAlign w:val="bottom"/>
            <w:tcBorders>
              <w:top w:val="single" w:sz="8" w:color="0000EE"/>
            </w:tcBorders>
            <w:gridSpan w:val="5"/>
          </w:tcPr>
          <w:p>
            <w:pPr>
              <w:spacing w:after="0"/>
              <w:rPr>
                <w:sz w:val="17"/>
                <w:szCs w:val="17"/>
                <w:color w:val="auto"/>
              </w:rPr>
            </w:pPr>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20" w:type="dxa"/>
            <w:vAlign w:val="bottom"/>
            <w:gridSpan w:val="2"/>
          </w:tcPr>
          <w:p>
            <w:pPr>
              <w:jc w:val="right"/>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Certification of President and Chief Executive Officer (Principal Executive Officer) and Senior Vice President and Chief Financial Officer</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(Principal Financial Officer and Principal Accounting Officer) pursuant to Section 906 of Sarbanes-Oxley Act of 2002</w:t>
              </w:r>
            </w:hyperlink>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85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8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40" w:hanging="1032"/>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6" w:name="page77"/>
    <w:bookmarkEnd w:id="7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John F. Thero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2019</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00"/>
          </w:cols>
          <w:pgMar w:left="240" w:top="117" w:right="35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SIXTH LEASE AMENDMENT</w:t>
      </w:r>
    </w:p>
    <w:p>
      <w:pPr>
        <w:spacing w:after="0" w:line="220" w:lineRule="exact"/>
        <w:rPr>
          <w:sz w:val="20"/>
          <w:szCs w:val="20"/>
          <w:color w:val="auto"/>
        </w:rPr>
      </w:pPr>
    </w:p>
    <w:p>
      <w:pPr>
        <w:ind w:right="100" w:firstLine="850"/>
        <w:spacing w:after="0" w:line="262" w:lineRule="auto"/>
        <w:rPr>
          <w:sz w:val="20"/>
          <w:szCs w:val="20"/>
          <w:color w:val="auto"/>
        </w:rPr>
      </w:pPr>
      <w:r>
        <w:rPr>
          <w:rFonts w:ascii="Times New Roman" w:cs="Times New Roman" w:eastAsia="Times New Roman" w:hAnsi="Times New Roman"/>
          <w:sz w:val="21"/>
          <w:szCs w:val="21"/>
          <w:color w:val="auto"/>
        </w:rPr>
        <w:t>This SIXTH LEASE AMENDMENT (this "Amendment") is made as of the 1st day of April 2019, by and between BEDMINSTER 2 FUNDING, LLC, having an office at c/o Advance Realty, 1420 U.S. Hwy 206, suite 200, Bedminster, NJ 07921 ("Landlord"), and AMARIN PHARMA INC., having an office at 1430 Route 206, Bedminster, New Jersey 07921 ("Tenant").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ind w:right="40" w:firstLine="858"/>
        <w:spacing w:after="0" w:line="236" w:lineRule="auto"/>
        <w:tabs>
          <w:tab w:leader="none" w:pos="170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entered into a Lease Agreement dated as of April 1, 2013, as modified by a Second Amendment to Lease and Partial Surrender and Early Termination Agreement (the "Second Amendment") dated January 23, 2014, Third Amendment to Lease and Partial Surrender and Early Termination Agreement (the "Third Amendment") dated April 3, 2014, Fourth Lease Amendment dated December 27, 2016, and Fifth Lease Amendment dated May 5, 2017 (collectively, the "Lease"), pursuant to which Tenant currently leases 21,963 rentable square feet of space (the "Existing Premises") on the first and second floors of the building located 1430 Route 206, Bedminster, New Jersey (the "Building");</w:t>
      </w:r>
    </w:p>
    <w:p>
      <w:pPr>
        <w:spacing w:after="0" w:line="182" w:lineRule="exact"/>
        <w:rPr>
          <w:rFonts w:ascii="Times New Roman" w:cs="Times New Roman" w:eastAsia="Times New Roman" w:hAnsi="Times New Roman"/>
          <w:sz w:val="22"/>
          <w:szCs w:val="22"/>
          <w:color w:val="auto"/>
        </w:rPr>
      </w:pPr>
    </w:p>
    <w:p>
      <w:pPr>
        <w:ind w:right="560" w:firstLine="858"/>
        <w:spacing w:after="0" w:line="244" w:lineRule="auto"/>
        <w:tabs>
          <w:tab w:leader="none" w:pos="16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existence of the aforementioned Second Amendment, Third Amendment, Fourth Amendment and Fifth Amendment, Landlord and Tenant acknowledge that they have not executed a document entitled "First Amendment", nor does a "First Amendment" to the Lease exist;</w:t>
      </w:r>
    </w:p>
    <w:p>
      <w:pPr>
        <w:spacing w:after="0" w:line="173" w:lineRule="exact"/>
        <w:rPr>
          <w:rFonts w:ascii="Times New Roman" w:cs="Times New Roman" w:eastAsia="Times New Roman" w:hAnsi="Times New Roman"/>
          <w:sz w:val="22"/>
          <w:szCs w:val="22"/>
          <w:color w:val="auto"/>
        </w:rPr>
      </w:pPr>
    </w:p>
    <w:p>
      <w:pPr>
        <w:ind w:left="1700" w:hanging="842"/>
        <w:spacing w:after="0"/>
        <w:tabs>
          <w:tab w:leader="none" w:pos="170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desire to amend the Lease subject to the terms, covenants and conditions set forth below.</w:t>
      </w:r>
    </w:p>
    <w:p>
      <w:pPr>
        <w:spacing w:after="0" w:line="2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is acknowledged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Landlord and Tenant, the parties hereto mutually covenant and agree as follows:</w:t>
      </w:r>
    </w:p>
    <w:p>
      <w:pPr>
        <w:spacing w:after="0" w:line="196" w:lineRule="exact"/>
        <w:rPr>
          <w:sz w:val="20"/>
          <w:szCs w:val="20"/>
          <w:color w:val="auto"/>
        </w:rPr>
      </w:pPr>
    </w:p>
    <w:p>
      <w:pPr>
        <w:ind w:left="1680" w:hanging="822"/>
        <w:spacing w:after="0"/>
        <w:tabs>
          <w:tab w:leader="none" w:pos="1680" w:val="left"/>
        </w:tabs>
        <w:numPr>
          <w:ilvl w:val="0"/>
          <w:numId w:val="55"/>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All capitalized terms not defined herein shall have the meaning ascribed them in the Lease.</w:t>
      </w:r>
    </w:p>
    <w:p>
      <w:pPr>
        <w:spacing w:after="0" w:line="221" w:lineRule="exact"/>
        <w:rPr>
          <w:rFonts w:ascii="Times New Roman" w:cs="Times New Roman" w:eastAsia="Times New Roman" w:hAnsi="Times New Roman"/>
          <w:sz w:val="23"/>
          <w:szCs w:val="23"/>
          <w:color w:val="auto"/>
        </w:rPr>
      </w:pPr>
    </w:p>
    <w:p>
      <w:pPr>
        <w:ind w:left="1680" w:hanging="822"/>
        <w:spacing w:after="0"/>
        <w:tabs>
          <w:tab w:leader="none" w:pos="1680" w:val="left"/>
        </w:tabs>
        <w:numPr>
          <w:ilvl w:val="0"/>
          <w:numId w:val="55"/>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The Expiration Date of the Lease shall be extended from April 30, 2019 to September 15, 2019.</w:t>
      </w:r>
    </w:p>
    <w:p>
      <w:pPr>
        <w:spacing w:after="0" w:line="221" w:lineRule="exact"/>
        <w:rPr>
          <w:rFonts w:ascii="Times New Roman" w:cs="Times New Roman" w:eastAsia="Times New Roman" w:hAnsi="Times New Roman"/>
          <w:sz w:val="23"/>
          <w:szCs w:val="23"/>
          <w:color w:val="auto"/>
        </w:rPr>
      </w:pPr>
    </w:p>
    <w:p>
      <w:pPr>
        <w:ind w:left="1680" w:hanging="822"/>
        <w:spacing w:after="0"/>
        <w:tabs>
          <w:tab w:leader="none" w:pos="1680" w:val="left"/>
        </w:tabs>
        <w:numPr>
          <w:ilvl w:val="0"/>
          <w:numId w:val="55"/>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During the period May 1, 2019 through September 15, 2019, Tenant shall pay Annual Base Rent as follows:</w:t>
      </w:r>
    </w:p>
    <w:p>
      <w:pPr>
        <w:sectPr>
          <w:pgSz w:w="11900" w:h="16838" w:orient="portrait"/>
          <w:cols w:equalWidth="0" w:num="1">
            <w:col w:w="11420"/>
          </w:cols>
          <w:pgMar w:left="240" w:top="338" w:right="239" w:bottom="1440" w:gutter="0" w:footer="0" w:header="0"/>
        </w:sectPr>
      </w:pP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Lease Months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Annual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1"/>
          <w:szCs w:val="21"/>
          <w:color w:val="auto"/>
        </w:rPr>
        <w:t>Monthly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Rent PSF</w:t>
      </w:r>
    </w:p>
    <w:p>
      <w:pPr>
        <w:spacing w:after="0" w:line="123" w:lineRule="exact"/>
        <w:rPr>
          <w:sz w:val="20"/>
          <w:szCs w:val="20"/>
          <w:color w:val="auto"/>
        </w:rPr>
      </w:pPr>
    </w:p>
    <w:p>
      <w:pPr>
        <w:sectPr>
          <w:pgSz w:w="11900" w:h="16838" w:orient="portrait"/>
          <w:cols w:equalWidth="0" w:num="4">
            <w:col w:w="3540" w:space="720"/>
            <w:col w:w="1500" w:space="720"/>
            <w:col w:w="1520" w:space="720"/>
            <w:col w:w="2700"/>
          </w:cols>
          <w:pgMar w:left="240" w:top="338" w:right="2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21"/>
          <w:szCs w:val="21"/>
          <w:color w:val="auto"/>
        </w:rPr>
        <w:t>5/1/19 - 9/15/19*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$625,945.56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$52, 162.13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$28.50</w:t>
      </w:r>
    </w:p>
    <w:p>
      <w:pPr>
        <w:spacing w:after="0" w:line="200" w:lineRule="exact"/>
        <w:rPr>
          <w:sz w:val="20"/>
          <w:szCs w:val="20"/>
          <w:color w:val="auto"/>
        </w:rPr>
      </w:pPr>
    </w:p>
    <w:p>
      <w:pPr>
        <w:sectPr>
          <w:pgSz w:w="11900" w:h="16838" w:orient="portrait"/>
          <w:cols w:equalWidth="0" w:num="4">
            <w:col w:w="3320" w:space="720"/>
            <w:col w:w="1580" w:space="720"/>
            <w:col w:w="1780" w:space="720"/>
            <w:col w:w="2580"/>
          </w:cols>
          <w:pgMar w:left="240" w:top="338" w:right="239" w:bottom="1440" w:gutter="0" w:footer="0" w:header="0"/>
          <w:type w:val="continuous"/>
        </w:sectPr>
      </w:pPr>
    </w:p>
    <w:p>
      <w:pPr>
        <w:spacing w:after="0" w:line="3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*For the period of September l, 2019 through September 15, 2019, the monthly amount above shall be prorated on a per diem basis at the rate of one-thirtieth (1/30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of such monthly installment or the Annual Base 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MEI 29221526v.l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type w:val="continuous"/>
        </w:sectPr>
      </w:pPr>
    </w:p>
    <w:bookmarkStart w:id="78" w:name="page79"/>
    <w:bookmarkEnd w:id="78"/>
    <w:p>
      <w:pPr>
        <w:ind w:right="120" w:firstLine="858"/>
        <w:spacing w:after="0" w:line="237" w:lineRule="auto"/>
        <w:tabs>
          <w:tab w:leader="none" w:pos="1674" w:val="left"/>
        </w:tabs>
        <w:numPr>
          <w:ilvl w:val="0"/>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Except as may be expressly set forth herein or in the Lease, neither Landlord nor Landlord's agents have made any representations or promises with respect to the physical condition of the Premises, the Building, the land upon which it is erected, the rents, leases, expenses of operation or any other matter or thing affecting or related to the Premises, and no rights, easements or licenses are acquired by Tenant by implication or otherwise except as expressly set forth in the provisions of this Amendment or in the Lease. Tenant has inspected the Premises and the Building and is thoroughly acquainted with their condition and agrees to take the same "as is".</w:t>
      </w:r>
    </w:p>
    <w:p>
      <w:pPr>
        <w:spacing w:after="0" w:line="191" w:lineRule="exact"/>
        <w:rPr>
          <w:rFonts w:ascii="Times New Roman" w:cs="Times New Roman" w:eastAsia="Times New Roman" w:hAnsi="Times New Roman"/>
          <w:sz w:val="23"/>
          <w:szCs w:val="23"/>
          <w:color w:val="auto"/>
        </w:rPr>
      </w:pPr>
    </w:p>
    <w:p>
      <w:pPr>
        <w:ind w:firstLine="858"/>
        <w:spacing w:after="0" w:line="233" w:lineRule="auto"/>
        <w:tabs>
          <w:tab w:leader="none" w:pos="1674" w:val="left"/>
        </w:tabs>
        <w:numPr>
          <w:ilvl w:val="0"/>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Landlord and Tenant each warrant to the other that it has not employed or dealt with any broker, agent or finder, in connection with this Amendment other than Jones Lang LaSalle (collectively, "Broker"). Tenant shall indemnify, defend and hold harmless Landlord and Landlord's Agents from and against any claims, demands, liabilities, causes of action, suits, judgments, damages and expenses (including litigation costs and attorneys' fees) for brokerage or other commissions asserted by any broker, agent or finder employed by Tenant or Tenant's Agents or with whom Tenant or Tenant's Agents have dealt (whether directly or indirectly, in whole or in part), other than Broker, such indemnification obligation to survive the Expiration Date or earlier termination of the Lease. Landlord shall indemnify, defend and hold harmless Tenant and Tenant's Agents from and against any claims, demands, liabilities, causes of action, suits, judgments, damages and expenses (including litigation costs and reasonable attorneys' fees) for brokerage or other commissions asserted by any broker, agent or finder employed by Landlord or with whom Landlord has dealt (whether directly or indirectly, in whole or in part), such indemnification obligation to survive the Expiration Date or earlier termination of the Lease. Landlord shall pay a commission to Broker pursuant to a separate written agreement between Landlord and Broker.</w:t>
      </w:r>
    </w:p>
    <w:p>
      <w:pPr>
        <w:spacing w:after="0" w:line="201" w:lineRule="exact"/>
        <w:rPr>
          <w:rFonts w:ascii="Times New Roman" w:cs="Times New Roman" w:eastAsia="Times New Roman" w:hAnsi="Times New Roman"/>
          <w:sz w:val="23"/>
          <w:szCs w:val="23"/>
          <w:color w:val="auto"/>
        </w:rPr>
      </w:pPr>
    </w:p>
    <w:p>
      <w:pPr>
        <w:ind w:right="60" w:firstLine="858"/>
        <w:spacing w:after="0" w:line="237" w:lineRule="auto"/>
        <w:tabs>
          <w:tab w:leader="none" w:pos="1674" w:val="left"/>
        </w:tabs>
        <w:numPr>
          <w:ilvl w:val="0"/>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Tenant represents and warrants that it is the sole owner and holder of the Tenant's interest in the Lease, and it has not assigned, mortgaged, hypothecated, sublet, or otherwise alienated all or any part of its interest in the Lease or the Premises. The Lease is in full force and effect and is enforceable in accordance with its terms. Tenant has no claim, action or right of setoff against Landlord arising out of the Lease or Tenant's occupancy. Tenant represents that there has been no default on the part of Landlord or Tenant under the Lease, nor has any event or condition occurred that after the giving of notice or lapse of time would constitute an event of default on the part of Landlord or Tenant under the Lease.</w:t>
      </w:r>
    </w:p>
    <w:p>
      <w:pPr>
        <w:spacing w:after="0" w:line="191" w:lineRule="exact"/>
        <w:rPr>
          <w:rFonts w:ascii="Times New Roman" w:cs="Times New Roman" w:eastAsia="Times New Roman" w:hAnsi="Times New Roman"/>
          <w:sz w:val="23"/>
          <w:szCs w:val="23"/>
          <w:color w:val="auto"/>
        </w:rPr>
      </w:pPr>
    </w:p>
    <w:p>
      <w:pPr>
        <w:ind w:right="120" w:firstLine="858"/>
        <w:spacing w:after="0" w:line="245" w:lineRule="auto"/>
        <w:tabs>
          <w:tab w:leader="none" w:pos="1674" w:val="left"/>
        </w:tabs>
        <w:numPr>
          <w:ilvl w:val="0"/>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The parties hereto represent and warrant to each other that each has full right and authority to enter into this Amendment and that the person signing this Amendment on behalf of Landlord and Tenant respectively has the requisite authority for such act.</w:t>
      </w:r>
    </w:p>
    <w:p>
      <w:pPr>
        <w:spacing w:after="0" w:line="185" w:lineRule="exact"/>
        <w:rPr>
          <w:rFonts w:ascii="Times New Roman" w:cs="Times New Roman" w:eastAsia="Times New Roman" w:hAnsi="Times New Roman"/>
          <w:sz w:val="23"/>
          <w:szCs w:val="23"/>
          <w:color w:val="auto"/>
        </w:rPr>
      </w:pPr>
    </w:p>
    <w:p>
      <w:pPr>
        <w:ind w:firstLine="858"/>
        <w:spacing w:after="0"/>
        <w:tabs>
          <w:tab w:leader="none" w:pos="1674" w:val="left"/>
        </w:tabs>
        <w:numPr>
          <w:ilvl w:val="0"/>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Except as expressly provided herein, all other terms, conditions, covenants, conditions and agreements as set forth in the Lease remain unchanged and in full force and effect, and the parties hereto ratify and reconfirm the Lease. In the event of any conflicts or inconsistencies between the provisions of this Amendment and the provisions of the Lease, the provisions of this Amendment shall control.</w:t>
      </w:r>
    </w:p>
    <w:p>
      <w:pPr>
        <w:spacing w:after="0" w:line="192" w:lineRule="exact"/>
        <w:rPr>
          <w:rFonts w:ascii="Times New Roman" w:cs="Times New Roman" w:eastAsia="Times New Roman" w:hAnsi="Times New Roman"/>
          <w:sz w:val="23"/>
          <w:szCs w:val="23"/>
          <w:color w:val="auto"/>
        </w:rPr>
      </w:pPr>
    </w:p>
    <w:p>
      <w:pPr>
        <w:ind w:right="540" w:firstLine="858"/>
        <w:spacing w:after="0" w:line="260" w:lineRule="auto"/>
        <w:tabs>
          <w:tab w:leader="none" w:pos="1674" w:val="left"/>
        </w:tabs>
        <w:numPr>
          <w:ilvl w:val="0"/>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This Amendment may be executed in any number of counterparts, each of which shall be deemed to be an original, and all such counterparts shall constitute one agreement.</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(Remainder of this page left intentionally blank — Signature page to follow)</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MEI 29221526v.1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79" w:name="page80"/>
    <w:bookmarkEnd w:id="79"/>
    <w:p>
      <w:pPr>
        <w:ind w:left="860"/>
        <w:spacing w:after="0"/>
        <w:rPr>
          <w:sz w:val="20"/>
          <w:szCs w:val="20"/>
          <w:color w:val="auto"/>
        </w:rPr>
      </w:pPr>
      <w:r>
        <w:rPr>
          <w:rFonts w:ascii="Times New Roman" w:cs="Times New Roman" w:eastAsia="Times New Roman" w:hAnsi="Times New Roman"/>
          <w:sz w:val="22"/>
          <w:szCs w:val="22"/>
          <w:color w:val="auto"/>
        </w:rPr>
        <w:t>IN WITNESS WHEREOF, the parties have executed this Amendment as of the date first above written.</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LANDLORD:</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BEDMINSTER 2 FUNDING, LLC,</w:t>
      </w:r>
    </w:p>
    <w:p>
      <w:pPr>
        <w:spacing w:after="0" w:line="220" w:lineRule="exact"/>
        <w:rPr>
          <w:sz w:val="20"/>
          <w:szCs w:val="20"/>
          <w:color w:val="auto"/>
        </w:rPr>
      </w:pPr>
    </w:p>
    <w:tbl>
      <w:tblPr>
        <w:tblLayout w:type="fixed"/>
        <w:tblInd w:w="5720" w:type="dxa"/>
        <w:tblCellMar>
          <w:top w:w="0" w:type="dxa"/>
          <w:left w:w="0" w:type="dxa"/>
          <w:bottom w:w="0" w:type="dxa"/>
          <w:right w:w="0" w:type="dxa"/>
        </w:tblCellMar>
      </w:tblPr>
      <w:tr>
        <w:trPr>
          <w:trHeight w:val="28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w w:val="98"/>
              </w:rPr>
              <w:t>Advance Realty Development. LLC, it's sole member</w:t>
            </w:r>
          </w:p>
        </w:tc>
      </w:tr>
      <w:tr>
        <w:trPr>
          <w:trHeight w:val="461"/>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Peter Cocoziello</w:t>
            </w:r>
          </w:p>
        </w:tc>
      </w:tr>
      <w:tr>
        <w:trPr>
          <w:trHeight w:val="439"/>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Peter Cocoziello</w:t>
            </w:r>
          </w:p>
        </w:tc>
      </w:tr>
      <w:tr>
        <w:trPr>
          <w:trHeight w:val="28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Authorized Representative</w:t>
            </w:r>
          </w:p>
        </w:tc>
      </w:tr>
    </w:tbl>
    <w:p>
      <w:pPr>
        <w:spacing w:after="0" w:line="19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TENANT:</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AMARIN PHARMA INC.</w:t>
      </w:r>
    </w:p>
    <w:p>
      <w:pPr>
        <w:spacing w:after="0" w:line="220" w:lineRule="exact"/>
        <w:rPr>
          <w:sz w:val="20"/>
          <w:szCs w:val="20"/>
          <w:color w:val="auto"/>
        </w:rPr>
      </w:pPr>
    </w:p>
    <w:p>
      <w:pPr>
        <w:ind w:left="5720"/>
        <w:spacing w:after="0"/>
        <w:tabs>
          <w:tab w:leader="none" w:pos="6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Kalb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11430</wp:posOffset>
            </wp:positionV>
            <wp:extent cx="29756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13" w:lineRule="exact"/>
        <w:rPr>
          <w:sz w:val="20"/>
          <w:szCs w:val="20"/>
          <w:color w:val="auto"/>
        </w:rPr>
      </w:pPr>
    </w:p>
    <w:p>
      <w:pPr>
        <w:ind w:left="5720"/>
        <w:spacing w:after="0"/>
        <w:tabs>
          <w:tab w:leader="none" w:pos="67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Michael Kalb</w:t>
      </w:r>
    </w:p>
    <w:p>
      <w:pPr>
        <w:spacing w:after="0" w:line="14" w:lineRule="exact"/>
        <w:rPr>
          <w:sz w:val="20"/>
          <w:szCs w:val="20"/>
          <w:color w:val="auto"/>
        </w:rPr>
      </w:pPr>
    </w:p>
    <w:p>
      <w:pPr>
        <w:ind w:left="5720"/>
        <w:spacing w:after="0"/>
        <w:tabs>
          <w:tab w:leader="none" w:pos="6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CFO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MEI 29221526v.1</w:t>
      </w:r>
    </w:p>
    <w:p>
      <w:pPr>
        <w:sectPr>
          <w:pgSz w:w="11900" w:h="16838" w:orient="portrait"/>
          <w:cols w:equalWidth="0" w:num="1">
            <w:col w:w="11420"/>
          </w:cols>
          <w:pgMar w:left="240" w:top="342"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Exhibit_10.2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40" w:type="dxa"/>
            <w:vAlign w:val="bottom"/>
            <w:gridSpan w:val="2"/>
          </w:tcPr>
          <w:p>
            <w:pPr>
              <w:ind w:left="1080"/>
              <w:spacing w:after="0"/>
              <w:rPr>
                <w:sz w:val="20"/>
                <w:szCs w:val="20"/>
                <w:color w:val="auto"/>
              </w:rPr>
            </w:pPr>
            <w:r>
              <w:rPr>
                <w:rFonts w:ascii="Arial" w:cs="Arial" w:eastAsia="Arial" w:hAnsi="Arial"/>
                <w:sz w:val="23"/>
                <w:szCs w:val="23"/>
                <w:color w:val="000066"/>
              </w:rPr>
              <w:t>Online Office Agreement</w:t>
            </w:r>
          </w:p>
        </w:tc>
        <w:tc>
          <w:tcPr>
            <w:tcW w:w="0" w:type="dxa"/>
            <w:vAlign w:val="bottom"/>
          </w:tcPr>
          <w:p>
            <w:pPr>
              <w:spacing w:after="0"/>
              <w:rPr>
                <w:sz w:val="1"/>
                <w:szCs w:val="1"/>
                <w:color w:val="auto"/>
              </w:rPr>
            </w:pPr>
          </w:p>
        </w:tc>
      </w:tr>
      <w:tr>
        <w:trPr>
          <w:trHeight w:val="122"/>
        </w:trPr>
        <w:tc>
          <w:tcPr>
            <w:tcW w:w="400" w:type="dxa"/>
            <w:vAlign w:val="bottom"/>
            <w:tcBorders>
              <w:bottom w:val="single" w:sz="8" w:color="C00000"/>
            </w:tcBorders>
          </w:tcPr>
          <w:p>
            <w:pPr>
              <w:spacing w:after="0"/>
              <w:rPr>
                <w:sz w:val="10"/>
                <w:szCs w:val="10"/>
                <w:color w:val="auto"/>
              </w:rPr>
            </w:pPr>
          </w:p>
        </w:tc>
        <w:tc>
          <w:tcPr>
            <w:tcW w:w="1020" w:type="dxa"/>
            <w:vAlign w:val="bottom"/>
            <w:tcBorders>
              <w:bottom w:val="single" w:sz="8" w:color="C00000"/>
            </w:tcBorders>
          </w:tcPr>
          <w:p>
            <w:pPr>
              <w:spacing w:after="0"/>
              <w:rPr>
                <w:sz w:val="10"/>
                <w:szCs w:val="10"/>
                <w:color w:val="auto"/>
              </w:rPr>
            </w:pPr>
          </w:p>
        </w:tc>
        <w:tc>
          <w:tcPr>
            <w:tcW w:w="880" w:type="dxa"/>
            <w:vAlign w:val="bottom"/>
            <w:tcBorders>
              <w:bottom w:val="single" w:sz="8" w:color="C00000"/>
            </w:tcBorders>
          </w:tcPr>
          <w:p>
            <w:pPr>
              <w:spacing w:after="0"/>
              <w:rPr>
                <w:sz w:val="10"/>
                <w:szCs w:val="10"/>
                <w:color w:val="auto"/>
              </w:rPr>
            </w:pPr>
          </w:p>
        </w:tc>
        <w:tc>
          <w:tcPr>
            <w:tcW w:w="1140" w:type="dxa"/>
            <w:vAlign w:val="bottom"/>
            <w:tcBorders>
              <w:bottom w:val="single" w:sz="8" w:color="C00000"/>
            </w:tcBorders>
          </w:tcPr>
          <w:p>
            <w:pPr>
              <w:spacing w:after="0"/>
              <w:rPr>
                <w:sz w:val="10"/>
                <w:szCs w:val="10"/>
                <w:color w:val="auto"/>
              </w:rPr>
            </w:pPr>
          </w:p>
        </w:tc>
        <w:tc>
          <w:tcPr>
            <w:tcW w:w="2080" w:type="dxa"/>
            <w:vAlign w:val="bottom"/>
            <w:tcBorders>
              <w:bottom w:val="single" w:sz="8" w:color="C00000"/>
            </w:tcBorders>
          </w:tcPr>
          <w:p>
            <w:pPr>
              <w:spacing w:after="0"/>
              <w:rPr>
                <w:sz w:val="10"/>
                <w:szCs w:val="10"/>
                <w:color w:val="auto"/>
              </w:rPr>
            </w:pPr>
          </w:p>
        </w:tc>
        <w:tc>
          <w:tcPr>
            <w:tcW w:w="360" w:type="dxa"/>
            <w:vAlign w:val="bottom"/>
            <w:tcBorders>
              <w:bottom w:val="single" w:sz="8" w:color="C00000"/>
            </w:tcBorders>
          </w:tcPr>
          <w:p>
            <w:pPr>
              <w:spacing w:after="0"/>
              <w:rPr>
                <w:sz w:val="10"/>
                <w:szCs w:val="10"/>
                <w:color w:val="auto"/>
              </w:rPr>
            </w:pPr>
          </w:p>
        </w:tc>
        <w:tc>
          <w:tcPr>
            <w:tcW w:w="1900" w:type="dxa"/>
            <w:vAlign w:val="bottom"/>
            <w:tcBorders>
              <w:bottom w:val="single" w:sz="8" w:color="C00000"/>
            </w:tcBorders>
          </w:tcPr>
          <w:p>
            <w:pPr>
              <w:spacing w:after="0"/>
              <w:rPr>
                <w:sz w:val="10"/>
                <w:szCs w:val="10"/>
                <w:color w:val="auto"/>
              </w:rPr>
            </w:pPr>
          </w:p>
        </w:tc>
        <w:tc>
          <w:tcPr>
            <w:tcW w:w="1920" w:type="dxa"/>
            <w:vAlign w:val="bottom"/>
            <w:tcBorders>
              <w:bottom w:val="single" w:sz="8" w:color="C00000"/>
            </w:tcBorders>
          </w:tcPr>
          <w:p>
            <w:pPr>
              <w:spacing w:after="0"/>
              <w:rPr>
                <w:sz w:val="10"/>
                <w:szCs w:val="10"/>
                <w:color w:val="auto"/>
              </w:rPr>
            </w:pPr>
          </w:p>
        </w:tc>
        <w:tc>
          <w:tcPr>
            <w:tcW w:w="1720" w:type="dxa"/>
            <w:vAlign w:val="bottom"/>
            <w:tcBorders>
              <w:bottom w:val="single" w:sz="8" w:color="C00000"/>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00" w:type="dxa"/>
            <w:vAlign w:val="bottom"/>
            <w:tcBorders>
              <w:right w:val="single" w:sz="8" w:color="808080"/>
            </w:tcBorders>
          </w:tcPr>
          <w:p>
            <w:pPr>
              <w:spacing w:after="0"/>
              <w:rPr>
                <w:sz w:val="17"/>
                <w:szCs w:val="17"/>
                <w:color w:val="auto"/>
              </w:rPr>
            </w:pPr>
          </w:p>
        </w:tc>
        <w:tc>
          <w:tcPr>
            <w:tcW w:w="1020" w:type="dxa"/>
            <w:vAlign w:val="bottom"/>
          </w:tcPr>
          <w:p>
            <w:pPr>
              <w:ind w:left="60"/>
              <w:spacing w:after="0"/>
              <w:rPr>
                <w:sz w:val="20"/>
                <w:szCs w:val="20"/>
                <w:color w:val="auto"/>
              </w:rPr>
            </w:pPr>
            <w:r>
              <w:rPr>
                <w:rFonts w:ascii="Arial" w:cs="Arial" w:eastAsia="Arial" w:hAnsi="Arial"/>
                <w:sz w:val="14"/>
                <w:szCs w:val="14"/>
                <w:color w:val="auto"/>
              </w:rPr>
              <w:t>English (US)</w:t>
            </w:r>
          </w:p>
        </w:tc>
        <w:tc>
          <w:tcPr>
            <w:tcW w:w="880" w:type="dxa"/>
            <w:vAlign w:val="bottom"/>
            <w:tcBorders>
              <w:right w:val="single" w:sz="8" w:color="808080"/>
            </w:tcBorders>
          </w:tcPr>
          <w:p>
            <w:pPr>
              <w:spacing w:after="0"/>
              <w:rPr>
                <w:sz w:val="17"/>
                <w:szCs w:val="17"/>
                <w:color w:val="auto"/>
              </w:rPr>
            </w:pPr>
          </w:p>
        </w:tc>
        <w:tc>
          <w:tcPr>
            <w:tcW w:w="1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0" w:type="dxa"/>
            <w:vAlign w:val="bottom"/>
            <w:tcBorders>
              <w:right w:val="single" w:sz="8" w:color="808080"/>
            </w:tcBorders>
          </w:tcPr>
          <w:p>
            <w:pPr>
              <w:spacing w:after="0" w:line="20" w:lineRule="exact"/>
              <w:rPr>
                <w:sz w:val="1"/>
                <w:szCs w:val="1"/>
                <w:color w:val="auto"/>
              </w:rPr>
            </w:pPr>
          </w:p>
        </w:tc>
        <w:tc>
          <w:tcPr>
            <w:tcW w:w="1900" w:type="dxa"/>
            <w:vAlign w:val="bottom"/>
            <w:tcBorders>
              <w:bottom w:val="single" w:sz="8" w:color="808080"/>
              <w:right w:val="single" w:sz="8" w:color="808080"/>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3040" w:type="dxa"/>
            <w:vAlign w:val="bottom"/>
            <w:tcBorders>
              <w:bottom w:val="single" w:sz="8" w:color="808080"/>
            </w:tcBorders>
            <w:gridSpan w:val="3"/>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400" w:type="dxa"/>
            <w:vAlign w:val="bottom"/>
            <w:tcBorders>
              <w:right w:val="single" w:sz="8" w:color="808080"/>
            </w:tcBorders>
          </w:tcPr>
          <w:p>
            <w:pPr>
              <w:spacing w:after="0"/>
              <w:rPr>
                <w:sz w:val="18"/>
                <w:szCs w:val="18"/>
                <w:color w:val="auto"/>
              </w:rPr>
            </w:pPr>
          </w:p>
        </w:tc>
        <w:tc>
          <w:tcPr>
            <w:tcW w:w="3040" w:type="dxa"/>
            <w:vAlign w:val="bottom"/>
            <w:tcBorders>
              <w:bottom w:val="single" w:sz="8" w:color="808080"/>
            </w:tcBorders>
            <w:gridSpan w:val="3"/>
            <w:shd w:val="clear" w:color="auto" w:fill="F3F7FC"/>
          </w:tcPr>
          <w:p>
            <w:pPr>
              <w:ind w:left="40"/>
              <w:spacing w:after="0"/>
              <w:rPr>
                <w:sz w:val="20"/>
                <w:szCs w:val="20"/>
                <w:color w:val="auto"/>
              </w:rPr>
            </w:pPr>
            <w:r>
              <w:rPr>
                <w:rFonts w:ascii="Arial" w:cs="Arial" w:eastAsia="Arial" w:hAnsi="Arial"/>
                <w:sz w:val="14"/>
                <w:szCs w:val="14"/>
                <w:b w:val="1"/>
                <w:bCs w:val="1"/>
                <w:color w:val="000066"/>
              </w:rPr>
              <w:t xml:space="preserve">Agreement Date: </w:t>
            </w:r>
            <w:r>
              <w:rPr>
                <w:rFonts w:ascii="Arial" w:cs="Arial" w:eastAsia="Arial" w:hAnsi="Arial"/>
                <w:sz w:val="14"/>
                <w:szCs w:val="14"/>
                <w:b w:val="1"/>
                <w:bCs w:val="1"/>
                <w:color w:val="000000"/>
              </w:rPr>
              <w:t>April 12, 2019</w:t>
            </w:r>
          </w:p>
        </w:tc>
        <w:tc>
          <w:tcPr>
            <w:tcW w:w="4340" w:type="dxa"/>
            <w:vAlign w:val="bottom"/>
            <w:tcBorders>
              <w:bottom w:val="single" w:sz="8" w:color="808080"/>
            </w:tcBorders>
            <w:gridSpan w:val="3"/>
            <w:shd w:val="clear" w:color="auto" w:fill="F3F7FC"/>
          </w:tcPr>
          <w:p>
            <w:pPr>
              <w:ind w:left="440"/>
              <w:spacing w:after="0"/>
              <w:rPr>
                <w:sz w:val="20"/>
                <w:szCs w:val="20"/>
                <w:color w:val="auto"/>
              </w:rPr>
            </w:pPr>
            <w:r>
              <w:rPr>
                <w:rFonts w:ascii="Arial" w:cs="Arial" w:eastAsia="Arial" w:hAnsi="Arial"/>
                <w:sz w:val="14"/>
                <w:szCs w:val="14"/>
                <w:b w:val="1"/>
                <w:bCs w:val="1"/>
                <w:color w:val="000066"/>
              </w:rPr>
              <w:t xml:space="preserve">Reference No: </w:t>
            </w:r>
            <w:r>
              <w:rPr>
                <w:rFonts w:ascii="Arial" w:cs="Arial" w:eastAsia="Arial" w:hAnsi="Arial"/>
                <w:sz w:val="14"/>
                <w:szCs w:val="14"/>
                <w:b w:val="1"/>
                <w:bCs w:val="1"/>
                <w:color w:val="000000"/>
              </w:rPr>
              <w:t>32768-753096</w:t>
            </w:r>
          </w:p>
        </w:tc>
        <w:tc>
          <w:tcPr>
            <w:tcW w:w="1920" w:type="dxa"/>
            <w:vAlign w:val="bottom"/>
            <w:tcBorders>
              <w:left w:val="single" w:sz="8" w:color="F3F7FC"/>
              <w:bottom w:val="single" w:sz="8" w:color="808080"/>
              <w:right w:val="single" w:sz="8" w:color="F3F7FC"/>
            </w:tcBorders>
            <w:shd w:val="clear" w:color="auto" w:fill="F3F7FC"/>
          </w:tcPr>
          <w:p>
            <w:pPr>
              <w:spacing w:after="0"/>
              <w:rPr>
                <w:sz w:val="18"/>
                <w:szCs w:val="18"/>
                <w:color w:val="auto"/>
              </w:rPr>
            </w:pPr>
          </w:p>
        </w:tc>
        <w:tc>
          <w:tcPr>
            <w:tcW w:w="1720" w:type="dxa"/>
            <w:vAlign w:val="bottom"/>
            <w:tcBorders>
              <w:bottom w:val="single" w:sz="8" w:color="808080"/>
              <w:right w:val="single" w:sz="8" w:color="808080"/>
            </w:tcBorders>
            <w:shd w:val="clear" w:color="auto" w:fill="F3F7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0" w:type="dxa"/>
            <w:vAlign w:val="bottom"/>
          </w:tcPr>
          <w:p>
            <w:pPr>
              <w:spacing w:after="0"/>
              <w:rPr>
                <w:sz w:val="10"/>
                <w:szCs w:val="10"/>
                <w:color w:val="auto"/>
              </w:rPr>
            </w:pPr>
          </w:p>
        </w:tc>
        <w:tc>
          <w:tcPr>
            <w:tcW w:w="3040" w:type="dxa"/>
            <w:vAlign w:val="bottom"/>
            <w:tcBorders>
              <w:bottom w:val="single" w:sz="8" w:color="808080"/>
            </w:tcBorders>
            <w:gridSpan w:val="3"/>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00" w:type="dxa"/>
            <w:vAlign w:val="bottom"/>
            <w:tcBorders>
              <w:right w:val="single" w:sz="8" w:color="808080"/>
            </w:tcBorders>
          </w:tcPr>
          <w:p>
            <w:pPr>
              <w:spacing w:after="0"/>
              <w:rPr>
                <w:sz w:val="13"/>
                <w:szCs w:val="13"/>
                <w:color w:val="auto"/>
              </w:rPr>
            </w:pPr>
          </w:p>
        </w:tc>
        <w:tc>
          <w:tcPr>
            <w:tcW w:w="3040" w:type="dxa"/>
            <w:vAlign w:val="bottom"/>
            <w:tcBorders>
              <w:bottom w:val="single" w:sz="8" w:color="808080"/>
            </w:tcBorders>
            <w:gridSpan w:val="3"/>
          </w:tcPr>
          <w:p>
            <w:pPr>
              <w:ind w:left="80"/>
              <w:spacing w:after="0" w:line="155" w:lineRule="exact"/>
              <w:rPr>
                <w:sz w:val="20"/>
                <w:szCs w:val="20"/>
                <w:color w:val="auto"/>
              </w:rPr>
            </w:pPr>
            <w:r>
              <w:rPr>
                <w:rFonts w:ascii="Arial" w:cs="Arial" w:eastAsia="Arial" w:hAnsi="Arial"/>
                <w:sz w:val="14"/>
                <w:szCs w:val="14"/>
                <w:b w:val="1"/>
                <w:bCs w:val="1"/>
                <w:color w:val="000066"/>
              </w:rPr>
              <w:t>Business Center Details</w:t>
            </w:r>
          </w:p>
        </w:tc>
        <w:tc>
          <w:tcPr>
            <w:tcW w:w="2080" w:type="dxa"/>
            <w:vAlign w:val="bottom"/>
            <w:tcBorders>
              <w:bottom w:val="single" w:sz="8" w:color="808080"/>
              <w:right w:val="single" w:sz="8" w:color="808080"/>
            </w:tcBorders>
          </w:tcPr>
          <w:p>
            <w:pPr>
              <w:spacing w:after="0"/>
              <w:rPr>
                <w:sz w:val="13"/>
                <w:szCs w:val="13"/>
                <w:color w:val="auto"/>
              </w:rPr>
            </w:pPr>
          </w:p>
        </w:tc>
        <w:tc>
          <w:tcPr>
            <w:tcW w:w="360" w:type="dxa"/>
            <w:vAlign w:val="bottom"/>
            <w:tcBorders>
              <w:right w:val="single" w:sz="8" w:color="808080"/>
            </w:tcBorders>
          </w:tcPr>
          <w:p>
            <w:pPr>
              <w:spacing w:after="0"/>
              <w:rPr>
                <w:sz w:val="13"/>
                <w:szCs w:val="13"/>
                <w:color w:val="auto"/>
              </w:rPr>
            </w:pPr>
          </w:p>
        </w:tc>
        <w:tc>
          <w:tcPr>
            <w:tcW w:w="1900" w:type="dxa"/>
            <w:vAlign w:val="bottom"/>
            <w:tcBorders>
              <w:bottom w:val="single" w:sz="8" w:color="808080"/>
            </w:tcBorders>
          </w:tcPr>
          <w:p>
            <w:pPr>
              <w:ind w:left="100"/>
              <w:spacing w:after="0" w:line="155" w:lineRule="exact"/>
              <w:rPr>
                <w:sz w:val="20"/>
                <w:szCs w:val="20"/>
                <w:color w:val="auto"/>
              </w:rPr>
            </w:pPr>
            <w:r>
              <w:rPr>
                <w:rFonts w:ascii="Arial" w:cs="Arial" w:eastAsia="Arial" w:hAnsi="Arial"/>
                <w:sz w:val="14"/>
                <w:szCs w:val="14"/>
                <w:b w:val="1"/>
                <w:bCs w:val="1"/>
                <w:color w:val="000066"/>
              </w:rPr>
              <w:t>Client Details</w:t>
            </w:r>
          </w:p>
        </w:tc>
        <w:tc>
          <w:tcPr>
            <w:tcW w:w="1920" w:type="dxa"/>
            <w:vAlign w:val="bottom"/>
            <w:tcBorders>
              <w:bottom w:val="single" w:sz="8" w:color="808080"/>
            </w:tcBorders>
          </w:tcPr>
          <w:p>
            <w:pPr>
              <w:spacing w:after="0"/>
              <w:rPr>
                <w:sz w:val="13"/>
                <w:szCs w:val="13"/>
                <w:color w:val="auto"/>
              </w:rPr>
            </w:pPr>
          </w:p>
        </w:tc>
        <w:tc>
          <w:tcPr>
            <w:tcW w:w="1720" w:type="dxa"/>
            <w:vAlign w:val="bottom"/>
            <w:tcBorders>
              <w:bottom w:val="single" w:sz="8" w:color="808080"/>
              <w:right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3040" w:type="dxa"/>
            <w:vAlign w:val="bottom"/>
            <w:gridSpan w:val="3"/>
          </w:tcPr>
          <w:p>
            <w:pPr>
              <w:ind w:left="20"/>
              <w:spacing w:after="0"/>
              <w:rPr>
                <w:sz w:val="20"/>
                <w:szCs w:val="20"/>
                <w:color w:val="auto"/>
              </w:rPr>
            </w:pPr>
            <w:r>
              <w:rPr>
                <w:rFonts w:ascii="Arial" w:cs="Arial" w:eastAsia="Arial" w:hAnsi="Arial"/>
                <w:sz w:val="11"/>
                <w:szCs w:val="11"/>
                <w:b w:val="1"/>
                <w:bCs w:val="1"/>
                <w:color w:val="auto"/>
              </w:rPr>
              <w:t>DUBLIN, Spaces South Docklands</w:t>
            </w: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ind w:left="100"/>
              <w:spacing w:after="0"/>
              <w:rPr>
                <w:sz w:val="20"/>
                <w:szCs w:val="20"/>
                <w:color w:val="auto"/>
              </w:rPr>
            </w:pPr>
            <w:r>
              <w:rPr>
                <w:rFonts w:ascii="Arial" w:cs="Arial" w:eastAsia="Arial" w:hAnsi="Arial"/>
                <w:sz w:val="11"/>
                <w:szCs w:val="11"/>
                <w:b w:val="1"/>
                <w:bCs w:val="1"/>
                <w:color w:val="000066"/>
              </w:rPr>
              <w:t>Company Name</w:t>
            </w:r>
          </w:p>
        </w:tc>
        <w:tc>
          <w:tcPr>
            <w:tcW w:w="3640" w:type="dxa"/>
            <w:vAlign w:val="bottom"/>
            <w:gridSpan w:val="2"/>
          </w:tcPr>
          <w:p>
            <w:pPr>
              <w:ind w:left="60"/>
              <w:spacing w:after="0"/>
              <w:rPr>
                <w:sz w:val="20"/>
                <w:szCs w:val="20"/>
                <w:color w:val="auto"/>
              </w:rPr>
            </w:pPr>
            <w:r>
              <w:rPr>
                <w:rFonts w:ascii="Arial" w:cs="Arial" w:eastAsia="Arial" w:hAnsi="Arial"/>
                <w:sz w:val="11"/>
                <w:szCs w:val="11"/>
                <w:color w:val="auto"/>
              </w:rPr>
              <w:t>Amarin Pharmaceuticals Ireland Ltd</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000066"/>
              </w:rPr>
              <w:t>Address</w:t>
            </w:r>
          </w:p>
        </w:tc>
        <w:tc>
          <w:tcPr>
            <w:tcW w:w="2020" w:type="dxa"/>
            <w:vAlign w:val="bottom"/>
            <w:gridSpan w:val="2"/>
          </w:tcPr>
          <w:p>
            <w:pPr>
              <w:ind w:left="160"/>
              <w:spacing w:after="0"/>
              <w:rPr>
                <w:sz w:val="20"/>
                <w:szCs w:val="20"/>
                <w:color w:val="auto"/>
              </w:rPr>
            </w:pPr>
            <w:r>
              <w:rPr>
                <w:rFonts w:ascii="Arial" w:cs="Arial" w:eastAsia="Arial" w:hAnsi="Arial"/>
                <w:sz w:val="11"/>
                <w:szCs w:val="11"/>
                <w:color w:val="auto"/>
              </w:rPr>
              <w:t>77 Sir John Rogerson's Quay</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Arial" w:cs="Arial" w:eastAsia="Arial" w:hAnsi="Arial"/>
                <w:sz w:val="11"/>
                <w:szCs w:val="11"/>
                <w:b w:val="1"/>
                <w:bCs w:val="1"/>
                <w:color w:val="000066"/>
              </w:rPr>
              <w:t>Contact Name</w:t>
            </w:r>
          </w:p>
        </w:tc>
        <w:tc>
          <w:tcPr>
            <w:tcW w:w="3640" w:type="dxa"/>
            <w:vAlign w:val="bottom"/>
            <w:gridSpan w:val="2"/>
          </w:tcPr>
          <w:p>
            <w:pPr>
              <w:ind w:left="60"/>
              <w:spacing w:after="0"/>
              <w:rPr>
                <w:sz w:val="20"/>
                <w:szCs w:val="20"/>
                <w:color w:val="auto"/>
              </w:rPr>
            </w:pPr>
            <w:r>
              <w:rPr>
                <w:rFonts w:ascii="Arial" w:cs="Arial" w:eastAsia="Arial" w:hAnsi="Arial"/>
                <w:sz w:val="11"/>
                <w:szCs w:val="11"/>
                <w:color w:val="auto"/>
              </w:rPr>
              <w:t>Tom Maher</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2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Block C</w:t>
            </w:r>
          </w:p>
        </w:tc>
        <w:tc>
          <w:tcPr>
            <w:tcW w:w="2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20" w:type="dxa"/>
            <w:vAlign w:val="bottom"/>
            <w:gridSpan w:val="2"/>
          </w:tcPr>
          <w:p>
            <w:pPr>
              <w:ind w:left="160"/>
              <w:spacing w:after="0" w:line="115" w:lineRule="exact"/>
              <w:rPr>
                <w:sz w:val="20"/>
                <w:szCs w:val="20"/>
                <w:color w:val="auto"/>
              </w:rPr>
            </w:pPr>
            <w:r>
              <w:rPr>
                <w:rFonts w:ascii="Arial" w:cs="Arial" w:eastAsia="Arial" w:hAnsi="Arial"/>
                <w:sz w:val="11"/>
                <w:szCs w:val="11"/>
                <w:color w:val="auto"/>
              </w:rPr>
              <w:t>Grand Canal Docklands</w:t>
            </w: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tcPr>
          <w:p>
            <w:pPr>
              <w:ind w:left="100"/>
              <w:spacing w:after="0" w:line="121" w:lineRule="exact"/>
              <w:rPr>
                <w:sz w:val="20"/>
                <w:szCs w:val="20"/>
                <w:color w:val="auto"/>
              </w:rPr>
            </w:pPr>
            <w:r>
              <w:rPr>
                <w:rFonts w:ascii="Arial" w:cs="Arial" w:eastAsia="Arial" w:hAnsi="Arial"/>
                <w:sz w:val="11"/>
                <w:szCs w:val="11"/>
                <w:b w:val="1"/>
                <w:bCs w:val="1"/>
                <w:color w:val="000066"/>
              </w:rPr>
              <w:t>Address *</w:t>
            </w:r>
          </w:p>
        </w:tc>
        <w:tc>
          <w:tcPr>
            <w:tcW w:w="1920" w:type="dxa"/>
            <w:vAlign w:val="bottom"/>
            <w:tcBorders>
              <w:left w:val="single" w:sz="8" w:color="808080"/>
              <w:bottom w:val="single" w:sz="8" w:color="808080"/>
              <w:right w:val="single" w:sz="8" w:color="808080"/>
            </w:tcBorders>
          </w:tcPr>
          <w:p>
            <w:pPr>
              <w:ind w:left="80"/>
              <w:spacing w:after="0" w:line="122" w:lineRule="exact"/>
              <w:rPr>
                <w:sz w:val="20"/>
                <w:szCs w:val="20"/>
                <w:color w:val="auto"/>
              </w:rPr>
            </w:pPr>
            <w:r>
              <w:rPr>
                <w:rFonts w:ascii="Arial" w:cs="Arial" w:eastAsia="Arial" w:hAnsi="Arial"/>
                <w:sz w:val="11"/>
                <w:szCs w:val="11"/>
                <w:color w:val="auto"/>
              </w:rPr>
              <w:t>1</w:t>
            </w:r>
            <w:r>
              <w:rPr>
                <w:rFonts w:ascii="Arial" w:cs="Arial" w:eastAsia="Arial" w:hAnsi="Arial"/>
                <w:sz w:val="9"/>
                <w:szCs w:val="9"/>
                <w:color w:val="auto"/>
              </w:rPr>
              <w:t>st</w:t>
            </w:r>
            <w:r>
              <w:rPr>
                <w:rFonts w:ascii="Arial" w:cs="Arial" w:eastAsia="Arial" w:hAnsi="Arial"/>
                <w:sz w:val="11"/>
                <w:szCs w:val="11"/>
                <w:color w:val="auto"/>
              </w:rPr>
              <w:t xml:space="preserve"> Floor</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20" w:type="dxa"/>
            <w:vAlign w:val="bottom"/>
            <w:gridSpan w:val="2"/>
          </w:tcPr>
          <w:p>
            <w:pPr>
              <w:ind w:left="160"/>
              <w:spacing w:after="0" w:line="115" w:lineRule="exact"/>
              <w:rPr>
                <w:sz w:val="20"/>
                <w:szCs w:val="20"/>
                <w:color w:val="auto"/>
              </w:rPr>
            </w:pPr>
            <w:r>
              <w:rPr>
                <w:rFonts w:ascii="Arial" w:cs="Arial" w:eastAsia="Arial" w:hAnsi="Arial"/>
                <w:sz w:val="11"/>
                <w:szCs w:val="11"/>
                <w:color w:val="auto"/>
              </w:rPr>
              <w:t>Dublin 2</w:t>
            </w: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20" w:type="dxa"/>
            <w:vAlign w:val="bottom"/>
            <w:gridSpan w:val="2"/>
          </w:tcPr>
          <w:p>
            <w:pPr>
              <w:ind w:left="160"/>
              <w:spacing w:after="0" w:line="115" w:lineRule="exact"/>
              <w:rPr>
                <w:sz w:val="20"/>
                <w:szCs w:val="20"/>
                <w:color w:val="auto"/>
              </w:rPr>
            </w:pPr>
            <w:r>
              <w:rPr>
                <w:rFonts w:ascii="Arial" w:cs="Arial" w:eastAsia="Arial" w:hAnsi="Arial"/>
                <w:sz w:val="11"/>
                <w:szCs w:val="11"/>
                <w:color w:val="auto"/>
              </w:rPr>
              <w:t>D02 VK60</w:t>
            </w: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20" w:type="dxa"/>
            <w:vAlign w:val="bottom"/>
            <w:tcBorders>
              <w:left w:val="single" w:sz="8" w:color="808080"/>
              <w:bottom w:val="single" w:sz="8" w:color="808080"/>
              <w:right w:val="single" w:sz="8" w:color="808080"/>
            </w:tcBorders>
          </w:tcPr>
          <w:p>
            <w:pPr>
              <w:ind w:left="80"/>
              <w:spacing w:after="0" w:line="115" w:lineRule="exact"/>
              <w:rPr>
                <w:sz w:val="20"/>
                <w:szCs w:val="20"/>
                <w:color w:val="auto"/>
              </w:rPr>
            </w:pPr>
            <w:r>
              <w:rPr>
                <w:rFonts w:ascii="Arial" w:cs="Arial" w:eastAsia="Arial" w:hAnsi="Arial"/>
                <w:sz w:val="11"/>
                <w:szCs w:val="11"/>
                <w:color w:val="auto"/>
              </w:rPr>
              <w:t>The Oval</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20" w:type="dxa"/>
            <w:vAlign w:val="bottom"/>
            <w:gridSpan w:val="2"/>
          </w:tcPr>
          <w:p>
            <w:pPr>
              <w:ind w:left="160"/>
              <w:spacing w:after="0" w:line="115" w:lineRule="exact"/>
              <w:rPr>
                <w:sz w:val="20"/>
                <w:szCs w:val="20"/>
                <w:color w:val="auto"/>
              </w:rPr>
            </w:pPr>
            <w:r>
              <w:rPr>
                <w:rFonts w:ascii="Arial" w:cs="Arial" w:eastAsia="Arial" w:hAnsi="Arial"/>
                <w:sz w:val="11"/>
                <w:szCs w:val="11"/>
                <w:color w:val="auto"/>
              </w:rPr>
              <w:t>Republic of Ireland</w:t>
            </w: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20" w:type="dxa"/>
            <w:vAlign w:val="bottom"/>
            <w:tcBorders>
              <w:left w:val="single" w:sz="8" w:color="808080"/>
              <w:bottom w:val="single" w:sz="8" w:color="808080"/>
              <w:right w:val="single" w:sz="8" w:color="808080"/>
            </w:tcBorders>
          </w:tcPr>
          <w:p>
            <w:pPr>
              <w:ind w:left="80"/>
              <w:spacing w:after="0" w:line="115" w:lineRule="exact"/>
              <w:rPr>
                <w:sz w:val="20"/>
                <w:szCs w:val="20"/>
                <w:color w:val="auto"/>
              </w:rPr>
            </w:pPr>
            <w:r>
              <w:rPr>
                <w:rFonts w:ascii="Arial" w:cs="Arial" w:eastAsia="Arial" w:hAnsi="Arial"/>
                <w:sz w:val="11"/>
                <w:szCs w:val="11"/>
                <w:color w:val="auto"/>
              </w:rPr>
              <w:t>Shelbourne Road</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00" w:type="dxa"/>
            <w:vAlign w:val="bottom"/>
            <w:vMerge w:val="restart"/>
          </w:tcPr>
          <w:p>
            <w:pPr>
              <w:ind w:left="100"/>
              <w:spacing w:after="0"/>
              <w:rPr>
                <w:sz w:val="20"/>
                <w:szCs w:val="20"/>
                <w:color w:val="auto"/>
              </w:rPr>
            </w:pPr>
            <w:r>
              <w:rPr>
                <w:rFonts w:ascii="Arial" w:cs="Arial" w:eastAsia="Arial" w:hAnsi="Arial"/>
                <w:sz w:val="11"/>
                <w:szCs w:val="11"/>
                <w:b w:val="1"/>
                <w:bCs w:val="1"/>
                <w:color w:val="000066"/>
              </w:rPr>
              <w:t>Town/City *</w:t>
            </w:r>
          </w:p>
        </w:tc>
        <w:tc>
          <w:tcPr>
            <w:tcW w:w="1920" w:type="dxa"/>
            <w:vAlign w:val="bottom"/>
            <w:tcBorders>
              <w:bottom w:val="single" w:sz="8" w:color="808080"/>
            </w:tcBorders>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920" w:type="dxa"/>
            <w:vAlign w:val="bottom"/>
            <w:tcBorders>
              <w:left w:val="single" w:sz="8" w:color="808080"/>
              <w:bottom w:val="single" w:sz="8" w:color="808080"/>
              <w:right w:val="single" w:sz="8" w:color="808080"/>
            </w:tcBorders>
          </w:tcPr>
          <w:p>
            <w:pPr>
              <w:ind w:left="80"/>
              <w:spacing w:after="0" w:line="115" w:lineRule="exact"/>
              <w:rPr>
                <w:sz w:val="20"/>
                <w:szCs w:val="20"/>
                <w:color w:val="auto"/>
              </w:rPr>
            </w:pPr>
            <w:r>
              <w:rPr>
                <w:rFonts w:ascii="Arial" w:cs="Arial" w:eastAsia="Arial" w:hAnsi="Arial"/>
                <w:sz w:val="11"/>
                <w:szCs w:val="11"/>
                <w:color w:val="auto"/>
              </w:rPr>
              <w:t>Dublin</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00" w:type="dxa"/>
            <w:vAlign w:val="bottom"/>
            <w:vMerge w:val="restart"/>
          </w:tcPr>
          <w:p>
            <w:pPr>
              <w:ind w:left="100"/>
              <w:spacing w:after="0"/>
              <w:rPr>
                <w:sz w:val="20"/>
                <w:szCs w:val="20"/>
                <w:color w:val="auto"/>
              </w:rPr>
            </w:pPr>
            <w:r>
              <w:rPr>
                <w:rFonts w:ascii="Arial" w:cs="Arial" w:eastAsia="Arial" w:hAnsi="Arial"/>
                <w:sz w:val="11"/>
                <w:szCs w:val="11"/>
                <w:b w:val="1"/>
                <w:bCs w:val="1"/>
                <w:color w:val="000066"/>
              </w:rPr>
              <w:t>County/State/Province</w:t>
            </w:r>
          </w:p>
        </w:tc>
        <w:tc>
          <w:tcPr>
            <w:tcW w:w="1920" w:type="dxa"/>
            <w:vAlign w:val="bottom"/>
            <w:tcBorders>
              <w:bottom w:val="single" w:sz="8" w:color="808080"/>
            </w:tcBorders>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920" w:type="dxa"/>
            <w:vAlign w:val="bottom"/>
            <w:tcBorders>
              <w:left w:val="single" w:sz="8" w:color="808080"/>
              <w:bottom w:val="single" w:sz="8" w:color="808080"/>
              <w:right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00" w:type="dxa"/>
            <w:vAlign w:val="bottom"/>
            <w:vMerge w:val="restart"/>
          </w:tcPr>
          <w:p>
            <w:pPr>
              <w:ind w:left="100"/>
              <w:spacing w:after="0"/>
              <w:rPr>
                <w:sz w:val="20"/>
                <w:szCs w:val="20"/>
                <w:color w:val="auto"/>
              </w:rPr>
            </w:pPr>
            <w:r>
              <w:rPr>
                <w:rFonts w:ascii="Arial" w:cs="Arial" w:eastAsia="Arial" w:hAnsi="Arial"/>
                <w:sz w:val="11"/>
                <w:szCs w:val="11"/>
                <w:b w:val="1"/>
                <w:bCs w:val="1"/>
                <w:color w:val="000066"/>
              </w:rPr>
              <w:t>Post Code *</w:t>
            </w:r>
          </w:p>
        </w:tc>
        <w:tc>
          <w:tcPr>
            <w:tcW w:w="1920" w:type="dxa"/>
            <w:vAlign w:val="bottom"/>
            <w:tcBorders>
              <w:bottom w:val="single" w:sz="8" w:color="808080"/>
            </w:tcBorders>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920" w:type="dxa"/>
            <w:vAlign w:val="bottom"/>
            <w:tcBorders>
              <w:left w:val="single" w:sz="8" w:color="808080"/>
              <w:bottom w:val="single" w:sz="8" w:color="808080"/>
              <w:right w:val="single" w:sz="8" w:color="808080"/>
            </w:tcBorders>
          </w:tcPr>
          <w:p>
            <w:pPr>
              <w:ind w:left="80"/>
              <w:spacing w:after="0" w:line="115" w:lineRule="exact"/>
              <w:rPr>
                <w:sz w:val="20"/>
                <w:szCs w:val="20"/>
                <w:color w:val="auto"/>
              </w:rPr>
            </w:pPr>
            <w:r>
              <w:rPr>
                <w:rFonts w:ascii="Arial" w:cs="Arial" w:eastAsia="Arial" w:hAnsi="Arial"/>
                <w:sz w:val="11"/>
                <w:szCs w:val="11"/>
                <w:color w:val="auto"/>
              </w:rPr>
              <w:t>D4</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00" w:type="dxa"/>
            <w:vAlign w:val="bottom"/>
            <w:vMerge w:val="restart"/>
          </w:tcPr>
          <w:p>
            <w:pPr>
              <w:ind w:left="100"/>
              <w:spacing w:after="0"/>
              <w:rPr>
                <w:sz w:val="20"/>
                <w:szCs w:val="20"/>
                <w:color w:val="auto"/>
              </w:rPr>
            </w:pPr>
            <w:r>
              <w:rPr>
                <w:rFonts w:ascii="Arial" w:cs="Arial" w:eastAsia="Arial" w:hAnsi="Arial"/>
                <w:sz w:val="11"/>
                <w:szCs w:val="11"/>
                <w:b w:val="1"/>
                <w:bCs w:val="1"/>
                <w:color w:val="000066"/>
              </w:rPr>
              <w:t>Country *</w:t>
            </w:r>
          </w:p>
        </w:tc>
        <w:tc>
          <w:tcPr>
            <w:tcW w:w="1920" w:type="dxa"/>
            <w:vAlign w:val="bottom"/>
            <w:tcBorders>
              <w:bottom w:val="single" w:sz="8" w:color="808080"/>
            </w:tcBorders>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920" w:type="dxa"/>
            <w:vAlign w:val="bottom"/>
            <w:tcBorders>
              <w:left w:val="single" w:sz="8" w:color="808080"/>
              <w:bottom w:val="single" w:sz="8" w:color="808080"/>
              <w:right w:val="single" w:sz="8" w:color="808080"/>
            </w:tcBorders>
          </w:tcPr>
          <w:p>
            <w:pPr>
              <w:ind w:left="80"/>
              <w:spacing w:after="0" w:line="115" w:lineRule="exact"/>
              <w:rPr>
                <w:sz w:val="20"/>
                <w:szCs w:val="20"/>
                <w:color w:val="auto"/>
              </w:rPr>
            </w:pPr>
            <w:r>
              <w:rPr>
                <w:rFonts w:ascii="Arial" w:cs="Arial" w:eastAsia="Arial" w:hAnsi="Arial"/>
                <w:sz w:val="11"/>
                <w:szCs w:val="11"/>
                <w:color w:val="auto"/>
              </w:rPr>
              <w:t>Republic of Ireland</w:t>
            </w: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7023735"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23735" cy="411480"/>
                    </a:xfrm>
                    <a:prstGeom prst="rect">
                      <a:avLst/>
                    </a:prstGeom>
                    <a:noFill/>
                  </pic:spPr>
                </pic:pic>
              </a:graphicData>
            </a:graphic>
          </wp:anchor>
        </w:drawing>
      </w:r>
    </w:p>
    <w:p>
      <w:pPr>
        <w:spacing w:after="0" w:line="26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000066"/>
        </w:rPr>
        <w:t>Office Payment Details (exc. tax and exc. services)</w:t>
      </w:r>
    </w:p>
    <w:p>
      <w:pPr>
        <w:spacing w:after="0" w:line="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60" w:type="dxa"/>
            <w:vAlign w:val="bottom"/>
            <w:tcBorders>
              <w:top w:val="single" w:sz="8" w:color="808080"/>
              <w:bottom w:val="single" w:sz="8" w:color="E7E7E7"/>
              <w:right w:val="single" w:sz="8" w:color="808080"/>
            </w:tcBorders>
            <w:shd w:val="clear" w:color="auto" w:fill="E7E7E7"/>
          </w:tcPr>
          <w:p>
            <w:pPr>
              <w:jc w:val="center"/>
              <w:spacing w:after="0"/>
              <w:rPr>
                <w:sz w:val="20"/>
                <w:szCs w:val="20"/>
                <w:color w:val="auto"/>
              </w:rPr>
            </w:pPr>
            <w:r>
              <w:rPr>
                <w:rFonts w:ascii="Arial" w:cs="Arial" w:eastAsia="Arial" w:hAnsi="Arial"/>
                <w:sz w:val="12"/>
                <w:szCs w:val="12"/>
                <w:b w:val="1"/>
                <w:bCs w:val="1"/>
                <w:color w:val="000066"/>
                <w:w w:val="96"/>
              </w:rPr>
              <w:t>Office Number</w:t>
            </w:r>
          </w:p>
        </w:tc>
        <w:tc>
          <w:tcPr>
            <w:tcW w:w="2220" w:type="dxa"/>
            <w:vAlign w:val="bottom"/>
            <w:tcBorders>
              <w:top w:val="single" w:sz="8" w:color="808080"/>
              <w:bottom w:val="single" w:sz="8" w:color="E7E7E7"/>
            </w:tcBorders>
            <w:gridSpan w:val="2"/>
            <w:shd w:val="clear" w:color="auto" w:fill="E7E7E7"/>
          </w:tcPr>
          <w:p>
            <w:pPr>
              <w:jc w:val="center"/>
              <w:ind w:left="682"/>
              <w:spacing w:after="0"/>
              <w:rPr>
                <w:sz w:val="20"/>
                <w:szCs w:val="20"/>
                <w:color w:val="auto"/>
              </w:rPr>
            </w:pPr>
            <w:r>
              <w:rPr>
                <w:rFonts w:ascii="Arial" w:cs="Arial" w:eastAsia="Arial" w:hAnsi="Arial"/>
                <w:sz w:val="12"/>
                <w:szCs w:val="12"/>
                <w:b w:val="1"/>
                <w:bCs w:val="1"/>
                <w:color w:val="000066"/>
                <w:w w:val="98"/>
              </w:rPr>
              <w:t>Price per Person per Day</w:t>
            </w:r>
          </w:p>
        </w:tc>
        <w:tc>
          <w:tcPr>
            <w:tcW w:w="740" w:type="dxa"/>
            <w:vAlign w:val="bottom"/>
            <w:tcBorders>
              <w:top w:val="single" w:sz="8" w:color="808080"/>
              <w:bottom w:val="single" w:sz="8" w:color="E7E7E7"/>
              <w:right w:val="single" w:sz="8" w:color="808080"/>
            </w:tcBorders>
            <w:shd w:val="clear" w:color="auto" w:fill="E7E7E7"/>
          </w:tcPr>
          <w:p>
            <w:pPr>
              <w:spacing w:after="0"/>
              <w:rPr>
                <w:sz w:val="19"/>
                <w:szCs w:val="19"/>
                <w:color w:val="auto"/>
              </w:rPr>
            </w:pPr>
          </w:p>
        </w:tc>
        <w:tc>
          <w:tcPr>
            <w:tcW w:w="2360" w:type="dxa"/>
            <w:vAlign w:val="bottom"/>
            <w:tcBorders>
              <w:top w:val="single" w:sz="8" w:color="808080"/>
              <w:bottom w:val="single" w:sz="8" w:color="E7E7E7"/>
              <w:right w:val="single" w:sz="8" w:color="808080"/>
            </w:tcBorders>
            <w:gridSpan w:val="2"/>
            <w:shd w:val="clear" w:color="auto" w:fill="E7E7E7"/>
          </w:tcPr>
          <w:p>
            <w:pPr>
              <w:ind w:left="940"/>
              <w:spacing w:after="0"/>
              <w:rPr>
                <w:sz w:val="20"/>
                <w:szCs w:val="20"/>
                <w:color w:val="auto"/>
              </w:rPr>
            </w:pPr>
            <w:r>
              <w:rPr>
                <w:rFonts w:ascii="Arial" w:cs="Arial" w:eastAsia="Arial" w:hAnsi="Arial"/>
                <w:sz w:val="12"/>
                <w:szCs w:val="12"/>
                <w:b w:val="1"/>
                <w:bCs w:val="1"/>
                <w:color w:val="000066"/>
              </w:rPr>
              <w:t>x People</w:t>
            </w:r>
          </w:p>
        </w:tc>
        <w:tc>
          <w:tcPr>
            <w:tcW w:w="2760" w:type="dxa"/>
            <w:vAlign w:val="bottom"/>
            <w:tcBorders>
              <w:top w:val="single" w:sz="8" w:color="808080"/>
              <w:bottom w:val="single" w:sz="8" w:color="E7E7E7"/>
            </w:tcBorders>
            <w:shd w:val="clear" w:color="auto" w:fill="E7E7E7"/>
          </w:tcPr>
          <w:p>
            <w:pPr>
              <w:jc w:val="center"/>
              <w:spacing w:after="0"/>
              <w:rPr>
                <w:sz w:val="20"/>
                <w:szCs w:val="20"/>
                <w:color w:val="auto"/>
              </w:rPr>
            </w:pPr>
            <w:r>
              <w:rPr>
                <w:rFonts w:ascii="Arial" w:cs="Arial" w:eastAsia="Arial" w:hAnsi="Arial"/>
                <w:sz w:val="12"/>
                <w:szCs w:val="12"/>
                <w:b w:val="1"/>
                <w:bCs w:val="1"/>
                <w:color w:val="000066"/>
                <w:w w:val="96"/>
              </w:rPr>
              <w:t>Price per Office per Day</w:t>
            </w:r>
          </w:p>
        </w:tc>
        <w:tc>
          <w:tcPr>
            <w:tcW w:w="40" w:type="dxa"/>
            <w:vAlign w:val="bottom"/>
            <w:tcBorders>
              <w:top w:val="single" w:sz="8" w:color="808080"/>
            </w:tcBorders>
          </w:tcPr>
          <w:p>
            <w:pPr>
              <w:spacing w:after="0"/>
              <w:rPr>
                <w:sz w:val="19"/>
                <w:szCs w:val="19"/>
                <w:color w:val="auto"/>
              </w:rPr>
            </w:pPr>
          </w:p>
        </w:tc>
      </w:tr>
      <w:tr>
        <w:trPr>
          <w:trHeight w:val="149"/>
        </w:trPr>
        <w:tc>
          <w:tcPr>
            <w:tcW w:w="2960" w:type="dxa"/>
            <w:vAlign w:val="bottom"/>
            <w:tcBorders>
              <w:top w:val="single" w:sz="8" w:color="808080"/>
              <w:bottom w:val="single" w:sz="8" w:color="808080"/>
              <w:right w:val="single" w:sz="8" w:color="808080"/>
            </w:tcBorders>
          </w:tcPr>
          <w:p>
            <w:pPr>
              <w:jc w:val="right"/>
              <w:ind w:right="1324"/>
              <w:spacing w:after="0"/>
              <w:rPr>
                <w:sz w:val="20"/>
                <w:szCs w:val="20"/>
                <w:color w:val="auto"/>
              </w:rPr>
            </w:pPr>
            <w:r>
              <w:rPr>
                <w:rFonts w:ascii="Arial" w:cs="Arial" w:eastAsia="Arial" w:hAnsi="Arial"/>
                <w:sz w:val="11"/>
                <w:szCs w:val="11"/>
                <w:color w:val="auto"/>
              </w:rPr>
              <w:t>105</w:t>
            </w:r>
          </w:p>
        </w:tc>
        <w:tc>
          <w:tcPr>
            <w:tcW w:w="1280" w:type="dxa"/>
            <w:vAlign w:val="bottom"/>
            <w:tcBorders>
              <w:top w:val="single" w:sz="8" w:color="808080"/>
              <w:bottom w:val="single" w:sz="8" w:color="808080"/>
            </w:tcBorders>
          </w:tcPr>
          <w:p>
            <w:pPr>
              <w:spacing w:after="0"/>
              <w:rPr>
                <w:sz w:val="12"/>
                <w:szCs w:val="12"/>
                <w:color w:val="auto"/>
              </w:rPr>
            </w:pPr>
          </w:p>
        </w:tc>
        <w:tc>
          <w:tcPr>
            <w:tcW w:w="940" w:type="dxa"/>
            <w:vAlign w:val="bottom"/>
            <w:tcBorders>
              <w:top w:val="single" w:sz="8" w:color="808080"/>
              <w:bottom w:val="single" w:sz="8" w:color="808080"/>
            </w:tcBorders>
          </w:tcPr>
          <w:p>
            <w:pPr>
              <w:jc w:val="center"/>
              <w:ind w:right="486"/>
              <w:spacing w:after="0"/>
              <w:rPr>
                <w:sz w:val="20"/>
                <w:szCs w:val="20"/>
                <w:color w:val="auto"/>
              </w:rPr>
            </w:pPr>
            <w:r>
              <w:rPr>
                <w:rFonts w:ascii="Arial" w:cs="Arial" w:eastAsia="Arial" w:hAnsi="Arial"/>
                <w:sz w:val="11"/>
                <w:szCs w:val="11"/>
                <w:color w:val="auto"/>
                <w:w w:val="97"/>
              </w:rPr>
              <w:t>€ 16.32</w:t>
            </w:r>
          </w:p>
        </w:tc>
        <w:tc>
          <w:tcPr>
            <w:tcW w:w="740" w:type="dxa"/>
            <w:vAlign w:val="bottom"/>
            <w:tcBorders>
              <w:top w:val="single" w:sz="8" w:color="808080"/>
              <w:bottom w:val="single" w:sz="8" w:color="808080"/>
              <w:right w:val="single" w:sz="8" w:color="808080"/>
            </w:tcBorders>
          </w:tcPr>
          <w:p>
            <w:pPr>
              <w:spacing w:after="0"/>
              <w:rPr>
                <w:sz w:val="12"/>
                <w:szCs w:val="12"/>
                <w:color w:val="auto"/>
              </w:rPr>
            </w:pPr>
          </w:p>
        </w:tc>
        <w:tc>
          <w:tcPr>
            <w:tcW w:w="2140" w:type="dxa"/>
            <w:vAlign w:val="bottom"/>
            <w:tcBorders>
              <w:top w:val="single" w:sz="8" w:color="808080"/>
              <w:bottom w:val="single" w:sz="8" w:color="808080"/>
            </w:tcBorders>
          </w:tcPr>
          <w:p>
            <w:pPr>
              <w:jc w:val="right"/>
              <w:ind w:right="883"/>
              <w:spacing w:after="0"/>
              <w:rPr>
                <w:sz w:val="20"/>
                <w:szCs w:val="20"/>
                <w:color w:val="auto"/>
              </w:rPr>
            </w:pPr>
            <w:r>
              <w:rPr>
                <w:rFonts w:ascii="Arial" w:cs="Arial" w:eastAsia="Arial" w:hAnsi="Arial"/>
                <w:sz w:val="11"/>
                <w:szCs w:val="11"/>
                <w:color w:val="auto"/>
              </w:rPr>
              <w:t>2</w:t>
            </w:r>
          </w:p>
        </w:tc>
        <w:tc>
          <w:tcPr>
            <w:tcW w:w="220" w:type="dxa"/>
            <w:vAlign w:val="bottom"/>
            <w:tcBorders>
              <w:top w:val="single" w:sz="8" w:color="808080"/>
              <w:bottom w:val="single" w:sz="8" w:color="808080"/>
              <w:right w:val="single" w:sz="8" w:color="808080"/>
            </w:tcBorders>
          </w:tcPr>
          <w:p>
            <w:pPr>
              <w:spacing w:after="0"/>
              <w:rPr>
                <w:sz w:val="12"/>
                <w:szCs w:val="12"/>
                <w:color w:val="auto"/>
              </w:rPr>
            </w:pPr>
          </w:p>
        </w:tc>
        <w:tc>
          <w:tcPr>
            <w:tcW w:w="2760" w:type="dxa"/>
            <w:vAlign w:val="bottom"/>
            <w:tcBorders>
              <w:top w:val="single" w:sz="8" w:color="808080"/>
              <w:bottom w:val="single" w:sz="8" w:color="808080"/>
            </w:tcBorders>
          </w:tcPr>
          <w:p>
            <w:pPr>
              <w:jc w:val="center"/>
              <w:spacing w:after="0"/>
              <w:rPr>
                <w:sz w:val="20"/>
                <w:szCs w:val="20"/>
                <w:color w:val="auto"/>
              </w:rPr>
            </w:pPr>
            <w:r>
              <w:rPr>
                <w:rFonts w:ascii="Arial" w:cs="Arial" w:eastAsia="Arial" w:hAnsi="Arial"/>
                <w:sz w:val="11"/>
                <w:szCs w:val="11"/>
                <w:color w:val="auto"/>
                <w:w w:val="97"/>
              </w:rPr>
              <w:t>€ 32.63</w:t>
            </w:r>
          </w:p>
        </w:tc>
        <w:tc>
          <w:tcPr>
            <w:tcW w:w="40" w:type="dxa"/>
            <w:vAlign w:val="bottom"/>
            <w:tcBorders>
              <w:top w:val="single" w:sz="8" w:color="808080"/>
              <w:bottom w:val="single" w:sz="8" w:color="808080"/>
            </w:tcBorders>
          </w:tcPr>
          <w:p>
            <w:pPr>
              <w:spacing w:after="0"/>
              <w:rPr>
                <w:sz w:val="12"/>
                <w:szCs w:val="12"/>
                <w:color w:val="auto"/>
              </w:rPr>
            </w:pPr>
          </w:p>
        </w:tc>
      </w:tr>
      <w:tr>
        <w:trPr>
          <w:trHeight w:val="216"/>
        </w:trPr>
        <w:tc>
          <w:tcPr>
            <w:tcW w:w="2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3"/>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198"/>
        </w:trPr>
        <w:tc>
          <w:tcPr>
            <w:tcW w:w="2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shd w:val="clear" w:color="auto" w:fill="530066"/>
          </w:tcPr>
          <w:p>
            <w:pPr>
              <w:spacing w:after="0"/>
              <w:rPr>
                <w:sz w:val="17"/>
                <w:szCs w:val="17"/>
                <w:color w:val="auto"/>
              </w:rPr>
            </w:pPr>
          </w:p>
        </w:tc>
        <w:tc>
          <w:tcPr>
            <w:tcW w:w="2880" w:type="dxa"/>
            <w:vAlign w:val="bottom"/>
            <w:gridSpan w:val="2"/>
            <w:shd w:val="clear" w:color="auto" w:fill="530066"/>
          </w:tcPr>
          <w:p>
            <w:pPr>
              <w:jc w:val="right"/>
              <w:spacing w:after="0"/>
              <w:rPr>
                <w:sz w:val="20"/>
                <w:szCs w:val="20"/>
                <w:color w:val="auto"/>
              </w:rPr>
            </w:pPr>
            <w:r>
              <w:rPr>
                <w:rFonts w:ascii="Arial" w:cs="Arial" w:eastAsia="Arial" w:hAnsi="Arial"/>
                <w:sz w:val="12"/>
                <w:szCs w:val="12"/>
                <w:b w:val="1"/>
                <w:bCs w:val="1"/>
                <w:color w:val="FFFFFF"/>
                <w:w w:val="97"/>
              </w:rPr>
              <w:t>Total Average Monthly Price per Person per Month</w:t>
            </w:r>
          </w:p>
        </w:tc>
        <w:tc>
          <w:tcPr>
            <w:tcW w:w="220" w:type="dxa"/>
            <w:vAlign w:val="bottom"/>
          </w:tcPr>
          <w:p>
            <w:pPr>
              <w:spacing w:after="0"/>
              <w:rPr>
                <w:sz w:val="17"/>
                <w:szCs w:val="17"/>
                <w:color w:val="auto"/>
              </w:rPr>
            </w:pPr>
          </w:p>
        </w:tc>
        <w:tc>
          <w:tcPr>
            <w:tcW w:w="2760" w:type="dxa"/>
            <w:vAlign w:val="bottom"/>
          </w:tcPr>
          <w:p>
            <w:pPr>
              <w:ind w:left="2080"/>
              <w:spacing w:after="0"/>
              <w:rPr>
                <w:sz w:val="20"/>
                <w:szCs w:val="20"/>
                <w:color w:val="auto"/>
              </w:rPr>
            </w:pPr>
            <w:r>
              <w:rPr>
                <w:rFonts w:ascii="Arial" w:cs="Arial" w:eastAsia="Arial" w:hAnsi="Arial"/>
                <w:sz w:val="12"/>
                <w:szCs w:val="12"/>
                <w:b w:val="1"/>
                <w:bCs w:val="1"/>
                <w:color w:val="auto"/>
              </w:rPr>
              <w:t>€ 489.50</w:t>
            </w:r>
          </w:p>
        </w:tc>
        <w:tc>
          <w:tcPr>
            <w:tcW w:w="40" w:type="dxa"/>
            <w:vAlign w:val="bottom"/>
            <w:tcBorders>
              <w:right w:val="single" w:sz="8" w:color="auto"/>
            </w:tcBorders>
          </w:tcPr>
          <w:p>
            <w:pPr>
              <w:spacing w:after="0"/>
              <w:rPr>
                <w:sz w:val="17"/>
                <w:szCs w:val="17"/>
                <w:color w:val="auto"/>
              </w:rPr>
            </w:pPr>
          </w:p>
        </w:tc>
      </w:tr>
      <w:tr>
        <w:trPr>
          <w:trHeight w:val="39"/>
        </w:trPr>
        <w:tc>
          <w:tcPr>
            <w:tcW w:w="29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40" w:type="dxa"/>
            <w:vAlign w:val="bottom"/>
            <w:tcBorders>
              <w:bottom w:val="single" w:sz="8" w:color="530066"/>
            </w:tcBorders>
            <w:shd w:val="clear" w:color="auto" w:fill="530066"/>
          </w:tcPr>
          <w:p>
            <w:pPr>
              <w:spacing w:after="0"/>
              <w:rPr>
                <w:sz w:val="3"/>
                <w:szCs w:val="3"/>
                <w:color w:val="auto"/>
              </w:rPr>
            </w:pPr>
          </w:p>
        </w:tc>
        <w:tc>
          <w:tcPr>
            <w:tcW w:w="740" w:type="dxa"/>
            <w:vAlign w:val="bottom"/>
            <w:tcBorders>
              <w:bottom w:val="single" w:sz="8" w:color="530066"/>
              <w:right w:val="single" w:sz="8" w:color="530066"/>
            </w:tcBorders>
            <w:shd w:val="clear" w:color="auto" w:fill="530066"/>
          </w:tcPr>
          <w:p>
            <w:pPr>
              <w:spacing w:after="0"/>
              <w:rPr>
                <w:sz w:val="3"/>
                <w:szCs w:val="3"/>
                <w:color w:val="auto"/>
              </w:rPr>
            </w:pPr>
          </w:p>
        </w:tc>
        <w:tc>
          <w:tcPr>
            <w:tcW w:w="2140" w:type="dxa"/>
            <w:vAlign w:val="bottom"/>
            <w:tcBorders>
              <w:bottom w:val="single" w:sz="8" w:color="530066"/>
            </w:tcBorders>
            <w:shd w:val="clear" w:color="auto" w:fill="530066"/>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r>
      <w:tr>
        <w:trPr>
          <w:trHeight w:val="198"/>
        </w:trPr>
        <w:tc>
          <w:tcPr>
            <w:tcW w:w="2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shd w:val="clear" w:color="auto" w:fill="530066"/>
          </w:tcPr>
          <w:p>
            <w:pPr>
              <w:spacing w:after="0"/>
              <w:rPr>
                <w:sz w:val="17"/>
                <w:szCs w:val="17"/>
                <w:color w:val="auto"/>
              </w:rPr>
            </w:pPr>
          </w:p>
        </w:tc>
        <w:tc>
          <w:tcPr>
            <w:tcW w:w="740" w:type="dxa"/>
            <w:vAlign w:val="bottom"/>
            <w:tcBorders>
              <w:right w:val="single" w:sz="8" w:color="530066"/>
            </w:tcBorders>
            <w:shd w:val="clear" w:color="auto" w:fill="530066"/>
          </w:tcPr>
          <w:p>
            <w:pPr>
              <w:spacing w:after="0"/>
              <w:rPr>
                <w:sz w:val="17"/>
                <w:szCs w:val="17"/>
                <w:color w:val="auto"/>
              </w:rPr>
            </w:pPr>
          </w:p>
        </w:tc>
        <w:tc>
          <w:tcPr>
            <w:tcW w:w="2140" w:type="dxa"/>
            <w:vAlign w:val="bottom"/>
            <w:shd w:val="clear" w:color="auto" w:fill="530066"/>
          </w:tcPr>
          <w:p>
            <w:pPr>
              <w:jc w:val="right"/>
              <w:spacing w:after="0"/>
              <w:rPr>
                <w:sz w:val="20"/>
                <w:szCs w:val="20"/>
                <w:color w:val="auto"/>
              </w:rPr>
            </w:pPr>
            <w:r>
              <w:rPr>
                <w:rFonts w:ascii="Arial" w:cs="Arial" w:eastAsia="Arial" w:hAnsi="Arial"/>
                <w:sz w:val="12"/>
                <w:szCs w:val="12"/>
                <w:b w:val="1"/>
                <w:bCs w:val="1"/>
                <w:color w:val="FFFFFF"/>
              </w:rPr>
              <w:t>Total Monthly Price</w:t>
            </w:r>
          </w:p>
        </w:tc>
        <w:tc>
          <w:tcPr>
            <w:tcW w:w="220" w:type="dxa"/>
            <w:vAlign w:val="bottom"/>
          </w:tcPr>
          <w:p>
            <w:pPr>
              <w:spacing w:after="0"/>
              <w:rPr>
                <w:sz w:val="17"/>
                <w:szCs w:val="17"/>
                <w:color w:val="auto"/>
              </w:rPr>
            </w:pPr>
          </w:p>
        </w:tc>
        <w:tc>
          <w:tcPr>
            <w:tcW w:w="2760" w:type="dxa"/>
            <w:vAlign w:val="bottom"/>
          </w:tcPr>
          <w:p>
            <w:pPr>
              <w:ind w:left="2080"/>
              <w:spacing w:after="0"/>
              <w:rPr>
                <w:sz w:val="20"/>
                <w:szCs w:val="20"/>
                <w:color w:val="auto"/>
              </w:rPr>
            </w:pPr>
            <w:r>
              <w:rPr>
                <w:rFonts w:ascii="Arial" w:cs="Arial" w:eastAsia="Arial" w:hAnsi="Arial"/>
                <w:sz w:val="12"/>
                <w:szCs w:val="12"/>
                <w:b w:val="1"/>
                <w:bCs w:val="1"/>
                <w:color w:val="auto"/>
              </w:rPr>
              <w:t>€ 979.00</w:t>
            </w:r>
          </w:p>
        </w:tc>
        <w:tc>
          <w:tcPr>
            <w:tcW w:w="40" w:type="dxa"/>
            <w:vAlign w:val="bottom"/>
          </w:tcPr>
          <w:p>
            <w:pPr>
              <w:spacing w:after="0"/>
              <w:rPr>
                <w:sz w:val="17"/>
                <w:szCs w:val="17"/>
                <w:color w:val="auto"/>
              </w:rPr>
            </w:pPr>
          </w:p>
        </w:tc>
      </w:tr>
      <w:tr>
        <w:trPr>
          <w:trHeight w:val="39"/>
        </w:trPr>
        <w:tc>
          <w:tcPr>
            <w:tcW w:w="29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40" w:type="dxa"/>
            <w:vAlign w:val="bottom"/>
            <w:shd w:val="clear" w:color="auto" w:fill="530066"/>
          </w:tcPr>
          <w:p>
            <w:pPr>
              <w:spacing w:after="0"/>
              <w:rPr>
                <w:sz w:val="3"/>
                <w:szCs w:val="3"/>
                <w:color w:val="auto"/>
              </w:rPr>
            </w:pPr>
          </w:p>
        </w:tc>
        <w:tc>
          <w:tcPr>
            <w:tcW w:w="740" w:type="dxa"/>
            <w:vAlign w:val="bottom"/>
            <w:tcBorders>
              <w:right w:val="single" w:sz="8" w:color="530066"/>
            </w:tcBorders>
            <w:shd w:val="clear" w:color="auto" w:fill="530066"/>
          </w:tcPr>
          <w:p>
            <w:pPr>
              <w:spacing w:after="0"/>
              <w:rPr>
                <w:sz w:val="3"/>
                <w:szCs w:val="3"/>
                <w:color w:val="auto"/>
              </w:rPr>
            </w:pPr>
          </w:p>
        </w:tc>
        <w:tc>
          <w:tcPr>
            <w:tcW w:w="2140" w:type="dxa"/>
            <w:vAlign w:val="bottom"/>
            <w:shd w:val="clear" w:color="auto" w:fill="530066"/>
          </w:tcPr>
          <w:p>
            <w:pPr>
              <w:spacing w:after="0"/>
              <w:rPr>
                <w:sz w:val="3"/>
                <w:szCs w:val="3"/>
                <w:color w:val="auto"/>
              </w:rPr>
            </w:pPr>
          </w:p>
        </w:tc>
        <w:tc>
          <w:tcPr>
            <w:tcW w:w="2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-325120</wp:posOffset>
            </wp:positionV>
            <wp:extent cx="243522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35225" cy="171450"/>
                    </a:xfrm>
                    <a:prstGeom prst="rect">
                      <a:avLst/>
                    </a:prstGeom>
                    <a:noFill/>
                  </pic:spPr>
                </pic:pic>
              </a:graphicData>
            </a:graphic>
          </wp:anchor>
        </w:drawing>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96"/>
        </w:trPr>
        <w:tc>
          <w:tcPr>
            <w:tcW w:w="2720" w:type="dxa"/>
            <w:vAlign w:val="bottom"/>
            <w:tcBorders>
              <w:top w:val="single" w:sz="8" w:color="808080"/>
              <w:bottom w:val="single" w:sz="8" w:color="F3F7FC"/>
              <w:right w:val="single" w:sz="8" w:color="808080"/>
            </w:tcBorders>
            <w:shd w:val="clear" w:color="auto" w:fill="F3F7FC"/>
          </w:tcPr>
          <w:p>
            <w:pPr>
              <w:ind w:left="60"/>
              <w:spacing w:after="0"/>
              <w:rPr>
                <w:sz w:val="20"/>
                <w:szCs w:val="20"/>
                <w:color w:val="auto"/>
              </w:rPr>
            </w:pPr>
            <w:r>
              <w:rPr>
                <w:rFonts w:ascii="Arial" w:cs="Arial" w:eastAsia="Arial" w:hAnsi="Arial"/>
                <w:sz w:val="13"/>
                <w:szCs w:val="13"/>
                <w:b w:val="1"/>
                <w:bCs w:val="1"/>
                <w:color w:val="auto"/>
              </w:rPr>
              <w:t>Service Provision:</w:t>
            </w:r>
          </w:p>
        </w:tc>
        <w:tc>
          <w:tcPr>
            <w:tcW w:w="2580" w:type="dxa"/>
            <w:vAlign w:val="bottom"/>
            <w:tcBorders>
              <w:top w:val="single" w:sz="8" w:color="808080"/>
              <w:bottom w:val="single" w:sz="8" w:color="E7E7E7"/>
              <w:right w:val="single" w:sz="8" w:color="808080"/>
            </w:tcBorders>
            <w:shd w:val="clear" w:color="auto" w:fill="E7E7E7"/>
          </w:tcPr>
          <w:p>
            <w:pPr>
              <w:ind w:left="60"/>
              <w:spacing w:after="0"/>
              <w:rPr>
                <w:sz w:val="20"/>
                <w:szCs w:val="20"/>
                <w:color w:val="auto"/>
              </w:rPr>
            </w:pPr>
            <w:r>
              <w:rPr>
                <w:rFonts w:ascii="Arial" w:cs="Arial" w:eastAsia="Arial" w:hAnsi="Arial"/>
                <w:sz w:val="13"/>
                <w:szCs w:val="13"/>
                <w:b w:val="1"/>
                <w:bCs w:val="1"/>
                <w:color w:val="auto"/>
              </w:rPr>
              <w:t>Start Date</w:t>
            </w:r>
          </w:p>
        </w:tc>
        <w:tc>
          <w:tcPr>
            <w:tcW w:w="1720" w:type="dxa"/>
            <w:vAlign w:val="bottom"/>
            <w:tcBorders>
              <w:top w:val="single" w:sz="8" w:color="808080"/>
              <w:right w:val="single" w:sz="8" w:color="808080"/>
            </w:tcBorders>
          </w:tcPr>
          <w:p>
            <w:pPr>
              <w:ind w:left="60"/>
              <w:spacing w:after="0"/>
              <w:rPr>
                <w:sz w:val="20"/>
                <w:szCs w:val="20"/>
                <w:color w:val="auto"/>
              </w:rPr>
            </w:pPr>
            <w:r>
              <w:rPr>
                <w:rFonts w:ascii="Arial" w:cs="Arial" w:eastAsia="Arial" w:hAnsi="Arial"/>
                <w:sz w:val="13"/>
                <w:szCs w:val="13"/>
                <w:color w:val="auto"/>
              </w:rPr>
              <w:t>May 1, 2019</w:t>
            </w:r>
          </w:p>
        </w:tc>
        <w:tc>
          <w:tcPr>
            <w:tcW w:w="1820" w:type="dxa"/>
            <w:vAlign w:val="bottom"/>
            <w:tcBorders>
              <w:top w:val="single" w:sz="8" w:color="808080"/>
              <w:right w:val="single" w:sz="8" w:color="808080"/>
            </w:tcBorders>
          </w:tcPr>
          <w:p>
            <w:pPr>
              <w:ind w:left="60"/>
              <w:spacing w:after="0"/>
              <w:rPr>
                <w:sz w:val="20"/>
                <w:szCs w:val="20"/>
                <w:color w:val="auto"/>
              </w:rPr>
            </w:pPr>
            <w:r>
              <w:rPr>
                <w:rFonts w:ascii="Arial" w:cs="Arial" w:eastAsia="Arial" w:hAnsi="Arial"/>
                <w:sz w:val="13"/>
                <w:szCs w:val="13"/>
                <w:b w:val="1"/>
                <w:bCs w:val="1"/>
                <w:color w:val="auto"/>
              </w:rPr>
              <w:t>End Date</w:t>
            </w:r>
          </w:p>
        </w:tc>
        <w:tc>
          <w:tcPr>
            <w:tcW w:w="2120" w:type="dxa"/>
            <w:vAlign w:val="bottom"/>
            <w:tcBorders>
              <w:top w:val="single" w:sz="8" w:color="808080"/>
              <w:right w:val="single" w:sz="8" w:color="808080"/>
            </w:tcBorders>
          </w:tcPr>
          <w:p>
            <w:pPr>
              <w:ind w:left="60"/>
              <w:spacing w:after="0"/>
              <w:rPr>
                <w:sz w:val="20"/>
                <w:szCs w:val="20"/>
                <w:color w:val="auto"/>
              </w:rPr>
            </w:pPr>
            <w:r>
              <w:rPr>
                <w:rFonts w:ascii="Arial" w:cs="Arial" w:eastAsia="Arial" w:hAnsi="Arial"/>
                <w:sz w:val="13"/>
                <w:szCs w:val="13"/>
                <w:color w:val="auto"/>
              </w:rPr>
              <w:t>April 30, 2020</w:t>
            </w:r>
          </w:p>
        </w:tc>
      </w:tr>
      <w:tr>
        <w:trPr>
          <w:trHeight w:val="20"/>
        </w:trPr>
        <w:tc>
          <w:tcPr>
            <w:tcW w:w="2720" w:type="dxa"/>
            <w:vAlign w:val="bottom"/>
            <w:tcBorders>
              <w:right w:val="single" w:sz="8" w:color="808080"/>
            </w:tcBorders>
            <w:shd w:val="clear" w:color="auto" w:fill="808080"/>
          </w:tcPr>
          <w:p>
            <w:pPr>
              <w:spacing w:after="0" w:line="20" w:lineRule="exact"/>
              <w:rPr>
                <w:sz w:val="1"/>
                <w:szCs w:val="1"/>
                <w:color w:val="auto"/>
              </w:rPr>
            </w:pPr>
          </w:p>
        </w:tc>
        <w:tc>
          <w:tcPr>
            <w:tcW w:w="2580" w:type="dxa"/>
            <w:vAlign w:val="bottom"/>
            <w:tcBorders>
              <w:right w:val="single" w:sz="8" w:color="808080"/>
            </w:tcBorders>
            <w:shd w:val="clear" w:color="auto" w:fill="808080"/>
          </w:tcPr>
          <w:p>
            <w:pPr>
              <w:spacing w:after="0" w:line="20" w:lineRule="exact"/>
              <w:rPr>
                <w:sz w:val="1"/>
                <w:szCs w:val="1"/>
                <w:color w:val="auto"/>
              </w:rPr>
            </w:pPr>
          </w:p>
        </w:tc>
        <w:tc>
          <w:tcPr>
            <w:tcW w:w="1720" w:type="dxa"/>
            <w:vAlign w:val="bottom"/>
            <w:tcBorders>
              <w:right w:val="single" w:sz="8" w:color="808080"/>
            </w:tcBorders>
            <w:shd w:val="clear" w:color="auto" w:fill="808080"/>
          </w:tcPr>
          <w:p>
            <w:pPr>
              <w:spacing w:after="0" w:line="20" w:lineRule="exact"/>
              <w:rPr>
                <w:sz w:val="1"/>
                <w:szCs w:val="1"/>
                <w:color w:val="auto"/>
              </w:rPr>
            </w:pPr>
          </w:p>
        </w:tc>
        <w:tc>
          <w:tcPr>
            <w:tcW w:w="1820" w:type="dxa"/>
            <w:vAlign w:val="bottom"/>
            <w:tcBorders>
              <w:right w:val="single" w:sz="8" w:color="808080"/>
            </w:tcBorders>
            <w:shd w:val="clear" w:color="auto" w:fill="808080"/>
          </w:tcPr>
          <w:p>
            <w:pPr>
              <w:spacing w:after="0" w:line="20" w:lineRule="exact"/>
              <w:rPr>
                <w:sz w:val="1"/>
                <w:szCs w:val="1"/>
                <w:color w:val="auto"/>
              </w:rPr>
            </w:pPr>
          </w:p>
        </w:tc>
        <w:tc>
          <w:tcPr>
            <w:tcW w:w="2120" w:type="dxa"/>
            <w:vAlign w:val="bottom"/>
            <w:tcBorders>
              <w:right w:val="single" w:sz="8" w:color="808080"/>
            </w:tcBorders>
            <w:shd w:val="clear" w:color="auto" w:fill="808080"/>
          </w:tcPr>
          <w:p>
            <w:pPr>
              <w:spacing w:after="0" w:line="20" w:lineRule="exact"/>
              <w:rPr>
                <w:sz w:val="1"/>
                <w:szCs w:val="1"/>
                <w:color w:val="auto"/>
              </w:rPr>
            </w:pPr>
          </w:p>
        </w:tc>
      </w:tr>
    </w:tbl>
    <w:p>
      <w:pPr>
        <w:spacing w:after="0" w:line="91" w:lineRule="exact"/>
        <w:rPr>
          <w:sz w:val="20"/>
          <w:szCs w:val="20"/>
          <w:color w:val="auto"/>
        </w:rPr>
      </w:pPr>
    </w:p>
    <w:p>
      <w:pPr>
        <w:ind w:left="680" w:hanging="159"/>
        <w:spacing w:after="0"/>
        <w:tabs>
          <w:tab w:leader="none" w:pos="680" w:val="left"/>
        </w:tabs>
        <w:numPr>
          <w:ilvl w:val="0"/>
          <w:numId w:val="57"/>
        </w:numPr>
        <w:rPr>
          <w:rFonts w:ascii="Times New Roman" w:cs="Times New Roman" w:eastAsia="Times New Roman" w:hAnsi="Times New Roman"/>
          <w:sz w:val="11"/>
          <w:szCs w:val="11"/>
          <w:color w:val="auto"/>
        </w:rPr>
      </w:pPr>
      <w:r>
        <w:rPr>
          <w:rFonts w:ascii="Arial" w:cs="Arial" w:eastAsia="Arial" w:hAnsi="Arial"/>
          <w:sz w:val="11"/>
          <w:szCs w:val="11"/>
          <w:color w:val="auto"/>
        </w:rPr>
        <w:t>Invoices/Fees are charged on a monthly basis which is calculated based on a 30 day month *</w:t>
      </w:r>
    </w:p>
    <w:p>
      <w:pPr>
        <w:spacing w:after="0" w:line="102" w:lineRule="exact"/>
        <w:rPr>
          <w:rFonts w:ascii="Times New Roman" w:cs="Times New Roman" w:eastAsia="Times New Roman" w:hAnsi="Times New Roman"/>
          <w:sz w:val="11"/>
          <w:szCs w:val="11"/>
          <w:color w:val="auto"/>
        </w:rPr>
      </w:pPr>
    </w:p>
    <w:p>
      <w:pPr>
        <w:ind w:left="680" w:hanging="162"/>
        <w:spacing w:after="0"/>
        <w:tabs>
          <w:tab w:leader="none" w:pos="680" w:val="left"/>
        </w:tabs>
        <w:numPr>
          <w:ilvl w:val="0"/>
          <w:numId w:val="57"/>
        </w:numPr>
        <w:rPr>
          <w:rFonts w:ascii="Times New Roman" w:cs="Times New Roman" w:eastAsia="Times New Roman" w:hAnsi="Times New Roman"/>
          <w:sz w:val="11"/>
          <w:szCs w:val="11"/>
          <w:color w:val="auto"/>
        </w:rPr>
      </w:pPr>
      <w:r>
        <w:rPr>
          <w:rFonts w:ascii="Arial" w:cs="Arial" w:eastAsia="Arial" w:hAnsi="Arial"/>
          <w:sz w:val="11"/>
          <w:szCs w:val="11"/>
          <w:color w:val="auto"/>
        </w:rPr>
        <w:t>All agreements end on the last calendar day of the month. * *</w:t>
      </w:r>
    </w:p>
    <w:p>
      <w:pPr>
        <w:spacing w:after="0" w:line="102" w:lineRule="exact"/>
        <w:rPr>
          <w:rFonts w:ascii="Times New Roman" w:cs="Times New Roman" w:eastAsia="Times New Roman" w:hAnsi="Times New Roman"/>
          <w:sz w:val="11"/>
          <w:szCs w:val="11"/>
          <w:color w:val="auto"/>
        </w:rPr>
      </w:pPr>
    </w:p>
    <w:p>
      <w:pPr>
        <w:ind w:left="680" w:hanging="162"/>
        <w:spacing w:after="0"/>
        <w:tabs>
          <w:tab w:leader="none" w:pos="680" w:val="left"/>
        </w:tabs>
        <w:numPr>
          <w:ilvl w:val="0"/>
          <w:numId w:val="57"/>
        </w:numPr>
        <w:rPr>
          <w:rFonts w:ascii="Times New Roman" w:cs="Times New Roman" w:eastAsia="Times New Roman" w:hAnsi="Times New Roman"/>
          <w:sz w:val="11"/>
          <w:szCs w:val="11"/>
          <w:color w:val="auto"/>
        </w:rPr>
      </w:pPr>
      <w:r>
        <w:rPr>
          <w:rFonts w:ascii="Arial" w:cs="Arial" w:eastAsia="Arial" w:hAnsi="Arial"/>
          <w:sz w:val="11"/>
          <w:szCs w:val="11"/>
          <w:color w:val="auto"/>
        </w:rPr>
        <w:t>A refundable service retainer equivalent to 2 x monthly office fee will be payable. * * *</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1"/>
          <w:szCs w:val="11"/>
          <w:color w:val="auto"/>
        </w:rPr>
        <w:t>Please enter your VAT number, so that we can process your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-68580</wp:posOffset>
            </wp:positionV>
            <wp:extent cx="155194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51940" cy="94615"/>
                    </a:xfrm>
                    <a:prstGeom prst="rect">
                      <a:avLst/>
                    </a:prstGeom>
                    <a:noFill/>
                  </pic:spPr>
                </pic:pic>
              </a:graphicData>
            </a:graphic>
          </wp:anchor>
        </w:drawing>
      </w:r>
    </w:p>
    <w:p>
      <w:pPr>
        <w:spacing w:after="0" w:line="111" w:lineRule="exact"/>
        <w:rPr>
          <w:sz w:val="20"/>
          <w:szCs w:val="20"/>
          <w:color w:val="auto"/>
        </w:rPr>
      </w:pPr>
    </w:p>
    <w:p>
      <w:pPr>
        <w:ind w:left="540"/>
        <w:spacing w:after="0" w:line="127" w:lineRule="exact"/>
        <w:rPr>
          <w:sz w:val="20"/>
          <w:szCs w:val="20"/>
          <w:color w:val="auto"/>
        </w:rPr>
      </w:pPr>
      <w:r>
        <w:rPr>
          <w:rFonts w:ascii="Arial" w:cs="Arial" w:eastAsia="Arial" w:hAnsi="Arial"/>
          <w:sz w:val="11"/>
          <w:szCs w:val="11"/>
          <w:color w:val="auto"/>
        </w:rPr>
        <w:t xml:space="preserve">Not VAT Registered: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153035</wp:posOffset>
            </wp:positionV>
            <wp:extent cx="697230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72300" cy="154305"/>
                    </a:xfrm>
                    <a:prstGeom prst="rect">
                      <a:avLst/>
                    </a:prstGeom>
                    <a:noFill/>
                  </pic:spPr>
                </pic:pic>
              </a:graphicData>
            </a:graphic>
          </wp:anchor>
        </w:drawing>
      </w:r>
    </w:p>
    <w:p>
      <w:pPr>
        <w:spacing w:after="0" w:line="251"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000066"/>
        </w:rPr>
        <w:t>Terms and Conditions</w:t>
      </w:r>
    </w:p>
    <w:p>
      <w:pPr>
        <w:spacing w:after="0" w:line="168" w:lineRule="exact"/>
        <w:rPr>
          <w:sz w:val="20"/>
          <w:szCs w:val="20"/>
          <w:color w:val="auto"/>
        </w:rPr>
      </w:pPr>
    </w:p>
    <w:p>
      <w:pPr>
        <w:jc w:val="both"/>
        <w:ind w:left="520" w:right="100"/>
        <w:spacing w:after="0" w:line="248" w:lineRule="auto"/>
        <w:rPr>
          <w:sz w:val="20"/>
          <w:szCs w:val="20"/>
          <w:color w:val="auto"/>
        </w:rPr>
      </w:pPr>
      <w:r>
        <w:rPr>
          <w:rFonts w:ascii="Arial" w:cs="Arial" w:eastAsia="Arial" w:hAnsi="Arial"/>
          <w:sz w:val="11"/>
          <w:szCs w:val="11"/>
          <w:color w:val="auto"/>
        </w:rPr>
        <w:t>We are Regus CME Ireland Limited . This Agreement incorporates our terms of business set out on attached Terms and Conditions, attached House Rules and Service Price Guide (where available) which you confirm you have read and understood. We both agree to comply with those terms and our obligations as set out in them. This agreement is binding from the agreement date and may not be terminated once it is made, except in accordance with its terms. Note that the Agreement does not come to an end automatically. See “Automatic Renewal” section of your terms and conditions for the notice terms if you wish to end your agreement.</w:t>
      </w:r>
    </w:p>
    <w:p>
      <w:pPr>
        <w:spacing w:after="0" w:line="314"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1740" w:type="dxa"/>
            <w:vAlign w:val="bottom"/>
          </w:tcPr>
          <w:p>
            <w:pPr>
              <w:spacing w:after="0"/>
              <w:rPr>
                <w:sz w:val="20"/>
                <w:szCs w:val="20"/>
                <w:color w:val="auto"/>
              </w:rPr>
            </w:pPr>
            <w:r>
              <w:rPr>
                <w:rFonts w:ascii="Arial" w:cs="Arial" w:eastAsia="Arial" w:hAnsi="Arial"/>
                <w:sz w:val="14"/>
                <w:szCs w:val="14"/>
                <w:color w:val="auto"/>
              </w:rPr>
              <w:t>Name (Printed):</w:t>
            </w: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Tom Maher</w:t>
            </w:r>
          </w:p>
        </w:tc>
      </w:tr>
      <w:tr>
        <w:trPr>
          <w:trHeight w:val="304"/>
        </w:trPr>
        <w:tc>
          <w:tcPr>
            <w:tcW w:w="1740" w:type="dxa"/>
            <w:vAlign w:val="bottom"/>
          </w:tcPr>
          <w:p>
            <w:pPr>
              <w:spacing w:after="0"/>
              <w:rPr>
                <w:sz w:val="20"/>
                <w:szCs w:val="20"/>
                <w:color w:val="auto"/>
              </w:rPr>
            </w:pPr>
            <w:r>
              <w:rPr>
                <w:rFonts w:ascii="Arial" w:cs="Arial" w:eastAsia="Arial" w:hAnsi="Arial"/>
                <w:sz w:val="14"/>
                <w:szCs w:val="14"/>
                <w:color w:val="auto"/>
              </w:rPr>
              <w:t>Title (Printed):</w:t>
            </w: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Chief Operations Officer</w:t>
            </w:r>
          </w:p>
        </w:tc>
      </w:tr>
      <w:tr>
        <w:trPr>
          <w:trHeight w:val="304"/>
        </w:trPr>
        <w:tc>
          <w:tcPr>
            <w:tcW w:w="1740" w:type="dxa"/>
            <w:vAlign w:val="bottom"/>
          </w:tcPr>
          <w:p>
            <w:pPr>
              <w:spacing w:after="0"/>
              <w:rPr>
                <w:sz w:val="20"/>
                <w:szCs w:val="20"/>
                <w:color w:val="auto"/>
              </w:rPr>
            </w:pPr>
            <w:r>
              <w:rPr>
                <w:rFonts w:ascii="Arial" w:cs="Arial" w:eastAsia="Arial" w:hAnsi="Arial"/>
                <w:sz w:val="14"/>
                <w:szCs w:val="14"/>
                <w:color w:val="auto"/>
              </w:rPr>
              <w:t>Date:</w:t>
            </w: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12/4/2019</w:t>
            </w:r>
          </w:p>
        </w:tc>
      </w:tr>
    </w:tbl>
    <w:p>
      <w:pPr>
        <w:spacing w:after="0" w:line="13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SIGNED on your behalf (Client)</w:t>
      </w:r>
    </w:p>
    <w:p>
      <w:pPr>
        <w:spacing w:after="0" w:line="152"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/s/ Tom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8890</wp:posOffset>
            </wp:positionV>
            <wp:extent cx="36791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315" w:lineRule="exact"/>
        <w:rPr>
          <w:sz w:val="20"/>
          <w:szCs w:val="20"/>
          <w:color w:val="auto"/>
        </w:rPr>
      </w:pPr>
    </w:p>
    <w:p>
      <w:pPr>
        <w:ind w:left="460" w:hanging="126"/>
        <w:spacing w:after="0"/>
        <w:tabs>
          <w:tab w:leader="none" w:pos="460" w:val="left"/>
        </w:tabs>
        <w:numPr>
          <w:ilvl w:val="0"/>
          <w:numId w:val="58"/>
        </w:numPr>
        <w:rPr>
          <w:rFonts w:ascii="Arial" w:cs="Arial" w:eastAsia="Arial" w:hAnsi="Arial"/>
          <w:sz w:val="11"/>
          <w:szCs w:val="11"/>
          <w:color w:val="auto"/>
        </w:rPr>
      </w:pPr>
      <w:r>
        <w:rPr>
          <w:rFonts w:ascii="Arial" w:cs="Arial" w:eastAsia="Arial" w:hAnsi="Arial"/>
          <w:sz w:val="11"/>
          <w:szCs w:val="11"/>
          <w:color w:val="auto"/>
        </w:rPr>
        <w:t>We realise that not all months have 30 days, but for convenience we use 30 days to calculate the monthly price so the amount you pay each month is the same over the term.</w:t>
      </w:r>
    </w:p>
    <w:p>
      <w:pPr>
        <w:spacing w:after="0" w:line="103" w:lineRule="exact"/>
        <w:rPr>
          <w:rFonts w:ascii="Arial" w:cs="Arial" w:eastAsia="Arial" w:hAnsi="Arial"/>
          <w:sz w:val="11"/>
          <w:szCs w:val="11"/>
          <w:color w:val="auto"/>
        </w:rPr>
      </w:pPr>
    </w:p>
    <w:p>
      <w:pPr>
        <w:ind w:left="400" w:hanging="66"/>
        <w:spacing w:after="0"/>
        <w:tabs>
          <w:tab w:leader="none" w:pos="400" w:val="left"/>
        </w:tabs>
        <w:numPr>
          <w:ilvl w:val="0"/>
          <w:numId w:val="58"/>
        </w:numPr>
        <w:rPr>
          <w:rFonts w:ascii="Arial" w:cs="Arial" w:eastAsia="Arial" w:hAnsi="Arial"/>
          <w:sz w:val="11"/>
          <w:szCs w:val="11"/>
          <w:color w:val="auto"/>
        </w:rPr>
      </w:pPr>
      <w:r>
        <w:rPr>
          <w:rFonts w:ascii="Arial" w:cs="Arial" w:eastAsia="Arial" w:hAnsi="Arial"/>
          <w:sz w:val="11"/>
          <w:szCs w:val="11"/>
          <w:color w:val="auto"/>
        </w:rPr>
        <w:t>*  You can start your agreement on any day during the month and we will pro rate the monthly fee for that month. For simplicity and clarity of invoicing, we end all agreements on the last calendar day of the month.</w:t>
      </w:r>
    </w:p>
    <w:p>
      <w:pPr>
        <w:spacing w:after="0" w:line="103" w:lineRule="exact"/>
        <w:rPr>
          <w:rFonts w:ascii="Arial" w:cs="Arial" w:eastAsia="Arial" w:hAnsi="Arial"/>
          <w:sz w:val="11"/>
          <w:szCs w:val="11"/>
          <w:color w:val="auto"/>
        </w:rPr>
      </w:pPr>
    </w:p>
    <w:p>
      <w:pPr>
        <w:ind w:left="340" w:right="1220" w:hanging="6"/>
        <w:spacing w:after="0" w:line="267" w:lineRule="auto"/>
        <w:tabs>
          <w:tab w:leader="none" w:pos="412" w:val="left"/>
        </w:tabs>
        <w:numPr>
          <w:ilvl w:val="0"/>
          <w:numId w:val="58"/>
        </w:numPr>
        <w:rPr>
          <w:rFonts w:ascii="Arial" w:cs="Arial" w:eastAsia="Arial" w:hAnsi="Arial"/>
          <w:sz w:val="11"/>
          <w:szCs w:val="11"/>
          <w:color w:val="auto"/>
        </w:rPr>
      </w:pPr>
      <w:r>
        <w:rPr>
          <w:rFonts w:ascii="Arial" w:cs="Arial" w:eastAsia="Arial" w:hAnsi="Arial"/>
          <w:sz w:val="11"/>
          <w:szCs w:val="11"/>
          <w:color w:val="auto"/>
        </w:rPr>
        <w:t>* * Your Service Retainer is held to cover the services that you will be using (i.e. phone calls, copies, administration support, couriers) during the month. The retainer is refunded after all invoices have been cleared 60 days after the end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1"/>
          <w:szCs w:val="11"/>
          <w:color w:val="003081"/>
        </w:rPr>
        <w:t>Copyright ©Regus Group Companies 2009. All rights reserved. Reproduction in whole or in part in any form or medium without express written permission of Regus plc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226695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1" w:name="page82"/>
    <w:bookmarkEnd w:id="81"/>
    <w:p>
      <w:pPr>
        <w:ind w:right="1000"/>
        <w:spacing w:after="0" w:line="289" w:lineRule="auto"/>
        <w:rPr>
          <w:sz w:val="20"/>
          <w:szCs w:val="20"/>
          <w:color w:val="auto"/>
        </w:rPr>
      </w:pPr>
      <w:r>
        <w:rPr>
          <w:rFonts w:ascii="Arial" w:cs="Arial" w:eastAsia="Arial" w:hAnsi="Arial"/>
          <w:sz w:val="18"/>
          <w:szCs w:val="18"/>
          <w:b w:val="1"/>
          <w:bCs w:val="1"/>
          <w:color w:val="auto"/>
        </w:rPr>
        <w:t>These General Terms and Conditions apply to Office/Co-Working, Virtual Office and Membership agreements for services We supply to You.</w:t>
      </w:r>
    </w:p>
    <w:p>
      <w:pPr>
        <w:spacing w:after="0" w:line="85"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Agreement</w:t>
      </w:r>
    </w:p>
    <w:p>
      <w:pPr>
        <w:spacing w:after="0" w:line="171" w:lineRule="exact"/>
        <w:rPr>
          <w:rFonts w:ascii="Arial" w:cs="Arial" w:eastAsia="Arial" w:hAnsi="Arial"/>
          <w:sz w:val="18"/>
          <w:szCs w:val="18"/>
          <w:color w:val="auto"/>
        </w:rPr>
      </w:pPr>
    </w:p>
    <w:p>
      <w:pPr>
        <w:jc w:val="both"/>
        <w:ind w:left="900" w:hanging="486"/>
        <w:spacing w:after="0" w:line="248" w:lineRule="auto"/>
        <w:rPr>
          <w:rFonts w:ascii="Arial" w:cs="Arial" w:eastAsia="Arial" w:hAnsi="Arial"/>
          <w:sz w:val="18"/>
          <w:szCs w:val="18"/>
          <w:color w:val="auto"/>
        </w:rPr>
      </w:pPr>
      <w:r>
        <w:rPr>
          <w:rFonts w:ascii="Arial" w:cs="Arial" w:eastAsia="Arial" w:hAnsi="Arial"/>
          <w:sz w:val="18"/>
          <w:szCs w:val="18"/>
          <w:color w:val="auto"/>
        </w:rPr>
        <w:t>1.1. Nature of an agreement: At all times, each Centre remains in Our possession and control. YOU ACCEPT THAT AN AGREEMENT CREATES NO TENANCY INTEREST, LEASEHOLD ESTATE OR OTHER REAL PROPERTY INTEREST IN YOUR FAVOUR WITH RESPECT TO THE ACCOMMODATION. Occupation by You is the commercial equivalent of an agreement for accommodation in a hotel. We are giving You the right to share the use of the Centre with Us and other clients.</w:t>
      </w:r>
    </w:p>
    <w:p>
      <w:pPr>
        <w:spacing w:after="0" w:line="170" w:lineRule="exact"/>
        <w:rPr>
          <w:rFonts w:ascii="Arial" w:cs="Arial" w:eastAsia="Arial" w:hAnsi="Arial"/>
          <w:sz w:val="18"/>
          <w:szCs w:val="18"/>
          <w:color w:val="auto"/>
        </w:rPr>
      </w:pPr>
    </w:p>
    <w:p>
      <w:pPr>
        <w:ind w:left="900" w:right="440" w:hanging="486"/>
        <w:spacing w:after="0" w:line="276" w:lineRule="auto"/>
        <w:rPr>
          <w:rFonts w:ascii="Arial" w:cs="Arial" w:eastAsia="Arial" w:hAnsi="Arial"/>
          <w:sz w:val="18"/>
          <w:szCs w:val="18"/>
          <w:color w:val="auto"/>
        </w:rPr>
      </w:pPr>
      <w:r>
        <w:rPr>
          <w:rFonts w:ascii="Arial" w:cs="Arial" w:eastAsia="Arial" w:hAnsi="Arial"/>
          <w:sz w:val="18"/>
          <w:szCs w:val="18"/>
          <w:color w:val="auto"/>
        </w:rPr>
        <w:t>1.2. House Rules: The House Rules, which are incorporated into these terms and conditions, are primarily in place and enforced to ensure that all clients have a professional environment to work in.</w:t>
      </w:r>
    </w:p>
    <w:p>
      <w:pPr>
        <w:spacing w:after="0" w:line="145" w:lineRule="exact"/>
        <w:rPr>
          <w:rFonts w:ascii="Arial" w:cs="Arial" w:eastAsia="Arial" w:hAnsi="Arial"/>
          <w:sz w:val="18"/>
          <w:szCs w:val="18"/>
          <w:color w:val="auto"/>
        </w:rPr>
      </w:pPr>
    </w:p>
    <w:p>
      <w:pPr>
        <w:ind w:left="900" w:right="100" w:hanging="486"/>
        <w:spacing w:after="0" w:line="255" w:lineRule="auto"/>
        <w:rPr>
          <w:rFonts w:ascii="Arial" w:cs="Arial" w:eastAsia="Arial" w:hAnsi="Arial"/>
          <w:sz w:val="18"/>
          <w:szCs w:val="18"/>
          <w:color w:val="auto"/>
        </w:rPr>
      </w:pPr>
      <w:r>
        <w:rPr>
          <w:rFonts w:ascii="Arial" w:cs="Arial" w:eastAsia="Arial" w:hAnsi="Arial"/>
          <w:sz w:val="18"/>
          <w:szCs w:val="18"/>
          <w:color w:val="auto"/>
        </w:rPr>
        <w:t>1.3. Availability at the start of an agreement: If for any unfortunate reason We cannot provide the services or accommodation in the Centre stated in an agreement by the start date, We will have no liability to You for any loss or damage but You may either move to one of Our other Centres (subject to availability), delay the start of the agreement or cancel it.</w:t>
      </w:r>
    </w:p>
    <w:p>
      <w:pPr>
        <w:spacing w:after="0" w:line="162" w:lineRule="exact"/>
        <w:rPr>
          <w:rFonts w:ascii="Arial" w:cs="Arial" w:eastAsia="Arial" w:hAnsi="Arial"/>
          <w:sz w:val="18"/>
          <w:szCs w:val="18"/>
          <w:color w:val="auto"/>
        </w:rPr>
      </w:pPr>
    </w:p>
    <w:p>
      <w:pPr>
        <w:ind w:left="900" w:hanging="486"/>
        <w:spacing w:after="0" w:line="241" w:lineRule="auto"/>
        <w:rPr>
          <w:rFonts w:ascii="Arial" w:cs="Arial" w:eastAsia="Arial" w:hAnsi="Arial"/>
          <w:sz w:val="18"/>
          <w:szCs w:val="18"/>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AUTOMATIC RENEWAL:</w:t>
      </w:r>
      <w:r>
        <w:rPr>
          <w:rFonts w:ascii="Arial" w:cs="Arial" w:eastAsia="Arial" w:hAnsi="Arial"/>
          <w:sz w:val="18"/>
          <w:szCs w:val="18"/>
          <w:color w:val="auto"/>
        </w:rPr>
        <w:t xml:space="preserve"> SO THAT WE CAN MANAGE YOUR SERVICES EFFECTIVELY AND TO ENSURE SEAMLESS CONTINUITY OF THOSE SERVICES, ALL AGREEMENTS WILL RENEW AUTOMATICALLY FOR SUCCESSIVE PERIODS EQUAL TO THE CURRENT TERM UNTIL BROUGHT TO AN END BY YOU OR US. ALL PERIODS SHALL RUN TO THE LAST DAY OF THE MONTH IN WHICH THEY WOULD OTHERWISE EXPIRE. THE FEES ON ANY RENEWAL WILL BE AT THE THEN PREVAILING MARKET RATE. </w:t>
      </w:r>
      <w:r>
        <w:rPr>
          <w:rFonts w:ascii="Arial" w:cs="Arial" w:eastAsia="Arial" w:hAnsi="Arial"/>
          <w:sz w:val="18"/>
          <w:szCs w:val="18"/>
          <w:u w:val="single" w:color="auto"/>
          <w:color w:val="auto"/>
        </w:rPr>
        <w:t>IF YOU DO NOT WISH FOR AN AGREEMENT TO RENEW THEN YOU CAN CANCEL IT EASILY</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 EFFECT FROM THE END DATE STATED IN THE AGREEMENT, OR AT THE END OF ANY EXTENSION OR RENEWAL PERIOD, BY GIVING US PRIOR NOTICE. NOTICE MUST BE GIVEN THROUGH YOUR ONLINE ACCOUNT OR THROUGH THE APP. THE NOTICE PERIODS REQUIRED ARE AS FOLLOWS:</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Arial" w:cs="Arial" w:eastAsia="Arial" w:hAnsi="Arial"/>
                <w:sz w:val="18"/>
                <w:szCs w:val="18"/>
                <w:color w:val="auto"/>
              </w:rPr>
              <w:t>Term</w:t>
            </w:r>
          </w:p>
        </w:tc>
        <w:tc>
          <w:tcPr>
            <w:tcW w:w="5880" w:type="dxa"/>
            <w:vAlign w:val="bottom"/>
            <w:gridSpan w:val="3"/>
          </w:tcPr>
          <w:p>
            <w:pPr>
              <w:ind w:left="400"/>
              <w:spacing w:after="0"/>
              <w:rPr>
                <w:sz w:val="20"/>
                <w:szCs w:val="20"/>
                <w:color w:val="auto"/>
              </w:rPr>
            </w:pPr>
            <w:r>
              <w:rPr>
                <w:rFonts w:ascii="Arial" w:cs="Arial" w:eastAsia="Arial" w:hAnsi="Arial"/>
                <w:sz w:val="18"/>
                <w:szCs w:val="18"/>
                <w:color w:val="auto"/>
              </w:rPr>
              <w:t>Notice Period</w:t>
            </w:r>
          </w:p>
        </w:tc>
      </w:tr>
      <w:tr>
        <w:trPr>
          <w:trHeight w:val="20"/>
        </w:trPr>
        <w:tc>
          <w:tcPr>
            <w:tcW w:w="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35"/>
        </w:trPr>
        <w:tc>
          <w:tcPr>
            <w:tcW w:w="2000" w:type="dxa"/>
            <w:vAlign w:val="bottom"/>
            <w:gridSpan w:val="2"/>
          </w:tcPr>
          <w:p>
            <w:pPr>
              <w:spacing w:after="0"/>
              <w:rPr>
                <w:sz w:val="20"/>
                <w:szCs w:val="20"/>
                <w:color w:val="auto"/>
              </w:rPr>
            </w:pPr>
            <w:r>
              <w:rPr>
                <w:rFonts w:ascii="Arial" w:cs="Arial" w:eastAsia="Arial" w:hAnsi="Arial"/>
                <w:sz w:val="18"/>
                <w:szCs w:val="18"/>
                <w:color w:val="auto"/>
              </w:rPr>
              <w:t>Month-to-Month</w:t>
            </w:r>
          </w:p>
        </w:tc>
        <w:tc>
          <w:tcPr>
            <w:tcW w:w="5880" w:type="dxa"/>
            <w:vAlign w:val="bottom"/>
            <w:gridSpan w:val="3"/>
          </w:tcPr>
          <w:p>
            <w:pPr>
              <w:ind w:left="400"/>
              <w:spacing w:after="0"/>
              <w:rPr>
                <w:sz w:val="20"/>
                <w:szCs w:val="20"/>
                <w:color w:val="auto"/>
              </w:rPr>
            </w:pPr>
            <w:r>
              <w:rPr>
                <w:rFonts w:ascii="Arial" w:cs="Arial" w:eastAsia="Arial" w:hAnsi="Arial"/>
                <w:sz w:val="18"/>
                <w:szCs w:val="18"/>
                <w:color w:val="auto"/>
                <w:w w:val="99"/>
              </w:rPr>
              <w:t>no less than 1 month’s notice from the 1</w:t>
            </w:r>
            <w:r>
              <w:rPr>
                <w:rFonts w:ascii="Arial" w:cs="Arial" w:eastAsia="Arial" w:hAnsi="Arial"/>
                <w:sz w:val="15"/>
                <w:szCs w:val="15"/>
                <w:color w:val="auto"/>
                <w:w w:val="99"/>
              </w:rPr>
              <w:t>st</w:t>
            </w:r>
            <w:r>
              <w:rPr>
                <w:rFonts w:ascii="Arial" w:cs="Arial" w:eastAsia="Arial" w:hAnsi="Arial"/>
                <w:sz w:val="18"/>
                <w:szCs w:val="18"/>
                <w:color w:val="auto"/>
                <w:w w:val="99"/>
              </w:rPr>
              <w:t xml:space="preserve"> day of any calendar month</w:t>
            </w:r>
          </w:p>
        </w:tc>
      </w:tr>
      <w:tr>
        <w:trPr>
          <w:trHeight w:val="311"/>
        </w:trPr>
        <w:tc>
          <w:tcPr>
            <w:tcW w:w="200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5880" w:type="dxa"/>
            <w:vAlign w:val="bottom"/>
            <w:gridSpan w:val="3"/>
          </w:tcPr>
          <w:p>
            <w:pPr>
              <w:ind w:left="400"/>
              <w:spacing w:after="0"/>
              <w:rPr>
                <w:sz w:val="20"/>
                <w:szCs w:val="20"/>
                <w:color w:val="auto"/>
              </w:rPr>
            </w:pPr>
            <w:r>
              <w:rPr>
                <w:rFonts w:ascii="Arial" w:cs="Arial" w:eastAsia="Arial" w:hAnsi="Arial"/>
                <w:sz w:val="18"/>
                <w:szCs w:val="18"/>
                <w:color w:val="auto"/>
              </w:rPr>
              <w:t>no less than 2 months’ notice prior to the end of the term</w:t>
            </w:r>
          </w:p>
        </w:tc>
      </w:tr>
      <w:tr>
        <w:trPr>
          <w:trHeight w:val="311"/>
        </w:trPr>
        <w:tc>
          <w:tcPr>
            <w:tcW w:w="2000" w:type="dxa"/>
            <w:vAlign w:val="bottom"/>
            <w:gridSpan w:val="2"/>
          </w:tcPr>
          <w:p>
            <w:pPr>
              <w:spacing w:after="0"/>
              <w:rPr>
                <w:sz w:val="20"/>
                <w:szCs w:val="20"/>
                <w:color w:val="auto"/>
              </w:rPr>
            </w:pPr>
            <w:r>
              <w:rPr>
                <w:rFonts w:ascii="Arial" w:cs="Arial" w:eastAsia="Arial" w:hAnsi="Arial"/>
                <w:sz w:val="18"/>
                <w:szCs w:val="18"/>
                <w:color w:val="auto"/>
              </w:rPr>
              <w:t>More than 3 months</w:t>
            </w:r>
          </w:p>
        </w:tc>
        <w:tc>
          <w:tcPr>
            <w:tcW w:w="5880" w:type="dxa"/>
            <w:vAlign w:val="bottom"/>
            <w:gridSpan w:val="3"/>
          </w:tcPr>
          <w:p>
            <w:pPr>
              <w:ind w:left="400"/>
              <w:spacing w:after="0"/>
              <w:rPr>
                <w:sz w:val="20"/>
                <w:szCs w:val="20"/>
                <w:color w:val="auto"/>
              </w:rPr>
            </w:pPr>
            <w:r>
              <w:rPr>
                <w:rFonts w:ascii="Arial" w:cs="Arial" w:eastAsia="Arial" w:hAnsi="Arial"/>
                <w:sz w:val="18"/>
                <w:szCs w:val="18"/>
                <w:color w:val="auto"/>
              </w:rPr>
              <w:t>no less than 3 months’ notice prior to the end of the term</w:t>
            </w:r>
          </w:p>
        </w:tc>
      </w:tr>
    </w:tbl>
    <w:p>
      <w:pPr>
        <w:spacing w:after="0" w:line="176" w:lineRule="exact"/>
        <w:rPr>
          <w:sz w:val="20"/>
          <w:szCs w:val="20"/>
          <w:color w:val="auto"/>
        </w:rPr>
      </w:pPr>
    </w:p>
    <w:p>
      <w:pPr>
        <w:ind w:left="900" w:right="140" w:hanging="485"/>
        <w:spacing w:after="0" w:line="276" w:lineRule="auto"/>
        <w:tabs>
          <w:tab w:leader="none" w:pos="880" w:val="left"/>
        </w:tabs>
        <w:rPr>
          <w:sz w:val="20"/>
          <w:szCs w:val="20"/>
          <w:color w:val="auto"/>
        </w:rPr>
      </w:pPr>
      <w:r>
        <w:rPr>
          <w:rFonts w:ascii="Arial" w:cs="Arial" w:eastAsia="Arial" w:hAnsi="Arial"/>
          <w:sz w:val="18"/>
          <w:szCs w:val="18"/>
          <w:color w:val="auto"/>
        </w:rPr>
        <w:t>1.5.</w:t>
        <w:tab/>
        <w:t>We may elect not to renew an agreement. If so, We will inform You by email, through the App or Your online account, following the same notice periods specified above.</w:t>
      </w:r>
    </w:p>
    <w:p>
      <w:pPr>
        <w:spacing w:after="0" w:line="145" w:lineRule="exact"/>
        <w:rPr>
          <w:sz w:val="20"/>
          <w:szCs w:val="20"/>
          <w:color w:val="auto"/>
        </w:rPr>
      </w:pPr>
    </w:p>
    <w:p>
      <w:pPr>
        <w:ind w:left="900" w:hanging="485"/>
        <w:spacing w:after="0" w:line="248" w:lineRule="auto"/>
        <w:tabs>
          <w:tab w:leader="none" w:pos="880" w:val="left"/>
        </w:tabs>
        <w:rPr>
          <w:sz w:val="20"/>
          <w:szCs w:val="20"/>
          <w:color w:val="auto"/>
        </w:rPr>
      </w:pPr>
      <w:r>
        <w:rPr>
          <w:rFonts w:ascii="Arial" w:cs="Arial" w:eastAsia="Arial" w:hAnsi="Arial"/>
          <w:sz w:val="18"/>
          <w:szCs w:val="18"/>
          <w:color w:val="auto"/>
        </w:rPr>
        <w:t>1.6.</w:t>
        <w:tab/>
        <w:t>If the Centre is no longer available: In the event that We are permanently unable to provide the services and accommodation at the Centre stated in an agreement, We will offer You accommodation in one of Our other centres. In the unlikely event we unable to find an alternative accommodation that is acceptable to You, Your agreement will end and You will only have to pay monthly fees up to that date and for any additional services You have used.</w:t>
      </w:r>
    </w:p>
    <w:p>
      <w:pPr>
        <w:spacing w:after="0" w:line="171" w:lineRule="exact"/>
        <w:rPr>
          <w:sz w:val="20"/>
          <w:szCs w:val="20"/>
          <w:color w:val="auto"/>
        </w:rPr>
      </w:pPr>
    </w:p>
    <w:p>
      <w:pPr>
        <w:ind w:left="900" w:right="20" w:hanging="485"/>
        <w:spacing w:after="0"/>
        <w:tabs>
          <w:tab w:leader="none" w:pos="880" w:val="left"/>
        </w:tabs>
        <w:rPr>
          <w:sz w:val="20"/>
          <w:szCs w:val="20"/>
          <w:color w:val="auto"/>
        </w:rPr>
      </w:pPr>
      <w:r>
        <w:rPr>
          <w:rFonts w:ascii="Arial" w:cs="Arial" w:eastAsia="Arial" w:hAnsi="Arial"/>
          <w:sz w:val="18"/>
          <w:szCs w:val="18"/>
          <w:color w:val="auto"/>
        </w:rPr>
        <w:t>1.7.</w:t>
        <w:tab/>
        <w:t>Ending an agreement immediately: We may put an end to an agreement immediately by giving You notice if (a) You become insolvent or bankrupt; or (b) You breach one of your obligations which cannot be put right, or which We have given You notice to put right and which You have failed to put right within 14 days of that notice; or (c) Your conduct, or that of someone at the Centre with Your permission or invitation, is incompatible with ordinary office use and, (i) that conduct continues despite You having been given notice, or (ii) that conduct is material enough (in Our reasonable opinion) to warrant immediate termination; or (d) You are in breach of the “Compliance With Law” clause below. If We put an end to an agreement for any of the reasons referred to in this clause it does not put an end to any of Your financial obligations, including, without limitation, for the remainder of the period for which Your agreement would have lasted if We had not terminated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82" w:name="page83"/>
    <w:bookmarkEnd w:id="82"/>
    <w:p>
      <w:pPr>
        <w:ind w:left="892" w:hanging="485"/>
        <w:spacing w:after="0" w:line="241" w:lineRule="auto"/>
        <w:tabs>
          <w:tab w:leader="none" w:pos="872" w:val="left"/>
        </w:tabs>
        <w:rPr>
          <w:sz w:val="20"/>
          <w:szCs w:val="20"/>
          <w:color w:val="auto"/>
        </w:rPr>
      </w:pPr>
      <w:r>
        <w:rPr>
          <w:rFonts w:ascii="Arial" w:cs="Arial" w:eastAsia="Arial" w:hAnsi="Arial"/>
          <w:sz w:val="18"/>
          <w:szCs w:val="18"/>
          <w:color w:val="auto"/>
        </w:rPr>
        <w:t>1.8.</w:t>
        <w:tab/>
        <w:t>When an Office agreement ends: When an agreement ends You must vacate Your accommodation immediately, leaving it in the same state and condition as it was when You took it. Upon Your departure or if You choose to relocate to a different room within a Centre, We will charge a fixed office restoration service fee to cover normal cleaning and any costs incurred to return the accommodation to its original condition and state. This fee will differ by country and is listed in the House Rules. We reserve the right to charge additional reasonable fees for any repairs needed above and beyond normal wear and tear. If You leave any property in the Centre We may dispose of it at Your cost in any way, We choose without owing You any responsibility for it or any proceeds of sale. If You continue to use the accommodation when an agreement has ended, You are responsible for any loss, claim or liability We may incur as a result of Your failure to vacate on time.</w:t>
      </w:r>
    </w:p>
    <w:p>
      <w:pPr>
        <w:spacing w:after="0" w:line="175" w:lineRule="exact"/>
        <w:rPr>
          <w:sz w:val="20"/>
          <w:szCs w:val="20"/>
          <w:color w:val="auto"/>
        </w:rPr>
      </w:pPr>
    </w:p>
    <w:p>
      <w:pPr>
        <w:ind w:left="412" w:hanging="412"/>
        <w:spacing w:after="0"/>
        <w:tabs>
          <w:tab w:leader="none" w:pos="4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Use of the Centres:</w:t>
      </w:r>
    </w:p>
    <w:p>
      <w:pPr>
        <w:spacing w:after="0" w:line="211" w:lineRule="exact"/>
        <w:rPr>
          <w:rFonts w:ascii="Arial" w:cs="Arial" w:eastAsia="Arial" w:hAnsi="Arial"/>
          <w:sz w:val="18"/>
          <w:szCs w:val="18"/>
          <w:color w:val="auto"/>
        </w:rPr>
      </w:pPr>
    </w:p>
    <w:p>
      <w:pPr>
        <w:ind w:left="892" w:hanging="486"/>
        <w:spacing w:after="0" w:line="241" w:lineRule="auto"/>
        <w:rPr>
          <w:rFonts w:ascii="Arial" w:cs="Arial" w:eastAsia="Arial" w:hAnsi="Arial"/>
          <w:sz w:val="18"/>
          <w:szCs w:val="18"/>
          <w:color w:val="auto"/>
        </w:rPr>
      </w:pPr>
      <w:r>
        <w:rPr>
          <w:rFonts w:ascii="Arial" w:cs="Arial" w:eastAsia="Arial" w:hAnsi="Arial"/>
          <w:sz w:val="18"/>
          <w:szCs w:val="18"/>
          <w:color w:val="auto"/>
        </w:rPr>
        <w:t>2.1. Business Operations: You may not carry on a business that competes with Our business of providing serviced offices and flexible working. You may not use Our name (or that of Our affiliates) in any way in connection with Your business. You are only permitted to use the address of a Centre as Your registered office address if it is permitted by both law and if We have given You prior written consent (given the additional administration there is an additional fee chargeable for this service). You must only use the accommodation for office business purposes. If We decide that a request for any particular service is excessive, We reserve the right to charge an additional fee. In order to ensure that the Centre provides a great working environment for all, We kindly ask you to limit any excessive visits by members of the public.</w:t>
      </w:r>
    </w:p>
    <w:p>
      <w:pPr>
        <w:spacing w:after="0" w:line="179" w:lineRule="exact"/>
        <w:rPr>
          <w:rFonts w:ascii="Arial" w:cs="Arial" w:eastAsia="Arial" w:hAnsi="Arial"/>
          <w:sz w:val="18"/>
          <w:szCs w:val="18"/>
          <w:color w:val="auto"/>
        </w:rPr>
      </w:pPr>
    </w:p>
    <w:p>
      <w:pPr>
        <w:ind w:left="412"/>
        <w:spacing w:after="0"/>
        <w:rPr>
          <w:rFonts w:ascii="Arial" w:cs="Arial" w:eastAsia="Arial" w:hAnsi="Arial"/>
          <w:sz w:val="18"/>
          <w:szCs w:val="18"/>
          <w:color w:val="auto"/>
        </w:rPr>
      </w:pPr>
      <w:r>
        <w:rPr>
          <w:rFonts w:ascii="Arial" w:cs="Arial" w:eastAsia="Arial" w:hAnsi="Arial"/>
          <w:sz w:val="18"/>
          <w:szCs w:val="18"/>
          <w:color w:val="auto"/>
        </w:rPr>
        <w:t>2.2.  Accommodation</w:t>
      </w:r>
    </w:p>
    <w:p>
      <w:pPr>
        <w:spacing w:after="0" w:line="212" w:lineRule="exact"/>
        <w:rPr>
          <w:sz w:val="20"/>
          <w:szCs w:val="20"/>
          <w:color w:val="auto"/>
        </w:rPr>
      </w:pPr>
    </w:p>
    <w:p>
      <w:pPr>
        <w:ind w:left="1372" w:right="280" w:hanging="566"/>
        <w:spacing w:after="0" w:line="276" w:lineRule="auto"/>
        <w:rPr>
          <w:sz w:val="20"/>
          <w:szCs w:val="20"/>
          <w:color w:val="auto"/>
        </w:rPr>
      </w:pPr>
      <w:r>
        <w:rPr>
          <w:rFonts w:ascii="Arial" w:cs="Arial" w:eastAsia="Arial" w:hAnsi="Arial"/>
          <w:sz w:val="18"/>
          <w:szCs w:val="18"/>
          <w:color w:val="auto"/>
        </w:rPr>
        <w:t>2.2.1. Alterations or Damage: You are liable for any damage caused by You or those in the Centre with Your permission, whether express or implied, including but not limited to all employees, contractors and/or agents.</w:t>
      </w:r>
    </w:p>
    <w:p>
      <w:pPr>
        <w:spacing w:after="0" w:line="145" w:lineRule="exact"/>
        <w:rPr>
          <w:sz w:val="20"/>
          <w:szCs w:val="20"/>
          <w:color w:val="auto"/>
        </w:rPr>
      </w:pPr>
    </w:p>
    <w:p>
      <w:pPr>
        <w:ind w:left="1372" w:right="60" w:hanging="566"/>
        <w:spacing w:after="0" w:line="245" w:lineRule="auto"/>
        <w:rPr>
          <w:sz w:val="20"/>
          <w:szCs w:val="20"/>
          <w:color w:val="auto"/>
        </w:rPr>
      </w:pPr>
      <w:r>
        <w:rPr>
          <w:rFonts w:ascii="Arial" w:cs="Arial" w:eastAsia="Arial" w:hAnsi="Arial"/>
          <w:sz w:val="18"/>
          <w:szCs w:val="18"/>
          <w:color w:val="auto"/>
        </w:rPr>
        <w:t>2.2.2. IT Installations: We take great pride in Our IT infrastructure and its upkeep and therefore You must not install any cabling, IT or telecom connections without Our consent, which We may refuse in our absolute discretion. As a condition to Our consent, You must permit Us to oversee any installations (for example IT or electrical systems) and to verify that such installations do not interfere with the use of the accommodation by other clients or Us or any landlord of the building. Fees for installation and deinstallation will be at Your cost.</w:t>
      </w:r>
    </w:p>
    <w:p>
      <w:pPr>
        <w:spacing w:after="0" w:line="172" w:lineRule="exact"/>
        <w:rPr>
          <w:sz w:val="20"/>
          <w:szCs w:val="20"/>
          <w:color w:val="auto"/>
        </w:rPr>
      </w:pPr>
    </w:p>
    <w:p>
      <w:pPr>
        <w:ind w:left="1372" w:right="140" w:hanging="566"/>
        <w:spacing w:after="0" w:line="248" w:lineRule="auto"/>
        <w:rPr>
          <w:sz w:val="20"/>
          <w:szCs w:val="20"/>
          <w:color w:val="auto"/>
        </w:rPr>
      </w:pPr>
      <w:r>
        <w:rPr>
          <w:rFonts w:ascii="Arial" w:cs="Arial" w:eastAsia="Arial" w:hAnsi="Arial"/>
          <w:sz w:val="18"/>
          <w:szCs w:val="18"/>
          <w:color w:val="auto"/>
        </w:rPr>
        <w:t>2.2.3. Use of the Accommodation: An agreement will list the accommodation We initially allocate for Your use. You will have a non-exclusive right to the rooms allocated to You. Occasionally to ensure the efficient running of the Centre, We may need to allocate different accommodation to You, but it will be of reasonably equivalent size and We will notify You with respect to such different accommodation in advance.</w:t>
      </w:r>
    </w:p>
    <w:p>
      <w:pPr>
        <w:spacing w:after="0" w:line="171" w:lineRule="exact"/>
        <w:rPr>
          <w:sz w:val="20"/>
          <w:szCs w:val="20"/>
          <w:color w:val="auto"/>
        </w:rPr>
      </w:pPr>
    </w:p>
    <w:p>
      <w:pPr>
        <w:ind w:left="1372" w:right="20" w:hanging="566"/>
        <w:spacing w:after="0" w:line="248" w:lineRule="auto"/>
        <w:rPr>
          <w:sz w:val="20"/>
          <w:szCs w:val="20"/>
          <w:color w:val="auto"/>
        </w:rPr>
      </w:pPr>
      <w:r>
        <w:rPr>
          <w:rFonts w:ascii="Arial" w:cs="Arial" w:eastAsia="Arial" w:hAnsi="Arial"/>
          <w:sz w:val="18"/>
          <w:szCs w:val="18"/>
          <w:color w:val="auto"/>
        </w:rPr>
        <w:t>2.2.4. Access to the Accommodation: In order to maintain a high level of service, We may need to enter Your accommodation and may do so at any time, including without limitation, in an emergency, for cleaning and inspection or in order to resell the space if You have given notice to terminate. We will always endeavour to respect any of Your reasonable security procedures to protect the confidentiality of Your business.</w:t>
      </w:r>
    </w:p>
    <w:p>
      <w:pPr>
        <w:spacing w:after="0" w:line="171" w:lineRule="exact"/>
        <w:rPr>
          <w:sz w:val="20"/>
          <w:szCs w:val="20"/>
          <w:color w:val="auto"/>
        </w:rPr>
      </w:pPr>
    </w:p>
    <w:p>
      <w:pPr>
        <w:ind w:left="412"/>
        <w:spacing w:after="0"/>
        <w:tabs>
          <w:tab w:leader="none" w:pos="8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Membership:</w:t>
      </w:r>
    </w:p>
    <w:p>
      <w:pPr>
        <w:spacing w:after="0" w:line="212" w:lineRule="exact"/>
        <w:rPr>
          <w:sz w:val="20"/>
          <w:szCs w:val="20"/>
          <w:color w:val="auto"/>
        </w:rPr>
      </w:pPr>
    </w:p>
    <w:p>
      <w:pPr>
        <w:ind w:left="1372" w:right="680" w:hanging="566"/>
        <w:spacing w:after="0" w:line="276" w:lineRule="auto"/>
        <w:rPr>
          <w:sz w:val="20"/>
          <w:szCs w:val="20"/>
          <w:color w:val="auto"/>
        </w:rPr>
      </w:pPr>
      <w:r>
        <w:rPr>
          <w:rFonts w:ascii="Arial" w:cs="Arial" w:eastAsia="Arial" w:hAnsi="Arial"/>
          <w:sz w:val="18"/>
          <w:szCs w:val="18"/>
          <w:color w:val="auto"/>
        </w:rPr>
        <w:t>2.3.1. If You have subscribed to a Membership Agreement You will have access to all participating centres worldwide during standard business working hours and subject to availability.</w:t>
      </w:r>
    </w:p>
    <w:p>
      <w:pPr>
        <w:spacing w:after="0" w:line="145" w:lineRule="exact"/>
        <w:rPr>
          <w:sz w:val="20"/>
          <w:szCs w:val="20"/>
          <w:color w:val="auto"/>
        </w:rPr>
      </w:pPr>
    </w:p>
    <w:p>
      <w:pPr>
        <w:ind w:left="1372" w:right="120" w:hanging="566"/>
        <w:spacing w:after="0" w:line="263" w:lineRule="auto"/>
        <w:rPr>
          <w:sz w:val="20"/>
          <w:szCs w:val="20"/>
          <w:color w:val="auto"/>
        </w:rPr>
      </w:pPr>
      <w:r>
        <w:rPr>
          <w:rFonts w:ascii="Arial" w:cs="Arial" w:eastAsia="Arial" w:hAnsi="Arial"/>
          <w:sz w:val="17"/>
          <w:szCs w:val="17"/>
          <w:color w:val="auto"/>
        </w:rPr>
        <w:t>2.3.2. Membership Usage: Usage is measured in whole days and unused days cannot be carried over to the following month. A membership is not intended to be a replacement for a full -time workspace and all workspaces must be cleared at the end of each day. You are solely responsible for Your belongings at the centre at all times. We are not responsible for any property that is left unattended. Should You use more than Your membership entitlement, We will charge You an additional usage fee. You may bring in 1 guest free of charge (subject to fair usage). Any further guests will be required to purchase a day pass.</w:t>
      </w:r>
    </w:p>
    <w:p>
      <w:pPr>
        <w:spacing w:after="0" w:line="158" w:lineRule="exact"/>
        <w:rPr>
          <w:sz w:val="20"/>
          <w:szCs w:val="20"/>
          <w:color w:val="auto"/>
        </w:rPr>
      </w:pPr>
    </w:p>
    <w:p>
      <w:pPr>
        <w:ind w:left="1372" w:right="340" w:hanging="566"/>
        <w:spacing w:after="0" w:line="255" w:lineRule="auto"/>
        <w:rPr>
          <w:sz w:val="20"/>
          <w:szCs w:val="20"/>
          <w:color w:val="auto"/>
        </w:rPr>
      </w:pPr>
      <w:r>
        <w:rPr>
          <w:rFonts w:ascii="Arial" w:cs="Arial" w:eastAsia="Arial" w:hAnsi="Arial"/>
          <w:sz w:val="18"/>
          <w:szCs w:val="18"/>
          <w:color w:val="auto"/>
        </w:rPr>
        <w:t>2.3.3. As a Member, You may not use any Centre as Your business address without an accompanying office or virtual office agreement in place. Any use of the Centre address in such a way will result in an automatic enrolment in the Virtual Office product for the same term as Your membership and You will be invoiced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174625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15" w:right="259" w:bottom="1440" w:gutter="0" w:footer="0" w:header="0"/>
        </w:sectPr>
      </w:pPr>
    </w:p>
    <w:bookmarkStart w:id="83" w:name="page84"/>
    <w:bookmarkEnd w:id="83"/>
    <w:p>
      <w:pPr>
        <w:ind w:left="892" w:right="160" w:hanging="485"/>
        <w:spacing w:after="0" w:line="258" w:lineRule="auto"/>
        <w:tabs>
          <w:tab w:leader="none" w:pos="8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Compliance with Law: You must comply with all relevant laws and regulations in the conduct of Your business. You must not do anything that may interfere with the use of the Centre by Us or by others (including but not limited to political campaigning or immoral activity), cause any nuisance or annoyance, or cause loss or damage to Us (including damage to reputation) or to the owner of any interest in the building. If We have been advised by any government authority or other legislative body that it has reasonable suspicion that You are conducting criminal activities from the Centre, or You are or become subject to any government sanctions, then We shall be entitled to terminate any and all of Your agreements with immediate effect. You acknowledge that any breach by You of this clause shall constitute a material default, entitling Us to terminate Your agreement without further notice.</w:t>
      </w:r>
    </w:p>
    <w:p>
      <w:pPr>
        <w:spacing w:after="0" w:line="164" w:lineRule="exact"/>
        <w:rPr>
          <w:sz w:val="20"/>
          <w:szCs w:val="20"/>
          <w:color w:val="auto"/>
        </w:rPr>
      </w:pPr>
    </w:p>
    <w:p>
      <w:pPr>
        <w:ind w:left="412"/>
        <w:spacing w:after="0"/>
        <w:tabs>
          <w:tab w:leader="none" w:pos="8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Ethical Trading: Both We and You shall comply at all times with all relevant anti-slavery, anti-bribery and anticorruption laws.</w:t>
      </w:r>
    </w:p>
    <w:p>
      <w:pPr>
        <w:spacing w:after="0" w:line="212" w:lineRule="exact"/>
        <w:rPr>
          <w:sz w:val="20"/>
          <w:szCs w:val="20"/>
          <w:color w:val="auto"/>
        </w:rPr>
      </w:pPr>
    </w:p>
    <w:p>
      <w:pPr>
        <w:ind w:left="892" w:right="220" w:hanging="485"/>
        <w:spacing w:after="0" w:line="268" w:lineRule="auto"/>
        <w:tabs>
          <w:tab w:leader="none" w:pos="87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Data protection: You acknowledge that We may collect and process personal data from You and Your employees as strictly necessary to ensure compliance with applicable laws and regulations and to enable Us effectively to provide services to You. You acknowledge and accept that such personal data may be transferred or made accessible to other entities in our group, wherever located, for the purposes of providing the services, in each case in accordance with all applicable data protection legislation.</w:t>
      </w:r>
    </w:p>
    <w:p>
      <w:pPr>
        <w:spacing w:after="0" w:line="153" w:lineRule="exact"/>
        <w:rPr>
          <w:sz w:val="20"/>
          <w:szCs w:val="20"/>
          <w:color w:val="auto"/>
        </w:rPr>
      </w:pPr>
    </w:p>
    <w:p>
      <w:pPr>
        <w:ind w:left="892" w:right="80" w:hanging="485"/>
        <w:spacing w:after="0" w:line="248" w:lineRule="auto"/>
        <w:tabs>
          <w:tab w:leader="none" w:pos="872" w:val="left"/>
        </w:tabs>
        <w:rPr>
          <w:sz w:val="20"/>
          <w:szCs w:val="20"/>
          <w:color w:val="auto"/>
        </w:rPr>
      </w:pPr>
      <w:r>
        <w:rPr>
          <w:rFonts w:ascii="Arial" w:cs="Arial" w:eastAsia="Arial" w:hAnsi="Arial"/>
          <w:sz w:val="18"/>
          <w:szCs w:val="18"/>
          <w:color w:val="auto"/>
        </w:rPr>
        <w:t>2.7.</w:t>
        <w:tab/>
        <w:t>Employees: We will both have invested a great deal in training Our staff, therefore, neither of us may knowingly solicit or offer employment to the other’s staff employed in the Centre (or for 3 months after they have left their employment). To recompense the other for staff training and investment costs, if either of us breaches this clause the breaching party will pay upon demand the other the equivalent of 6 months’ salary of any employee concerned.</w:t>
      </w:r>
    </w:p>
    <w:p>
      <w:pPr>
        <w:spacing w:after="0" w:line="171" w:lineRule="exact"/>
        <w:rPr>
          <w:sz w:val="20"/>
          <w:szCs w:val="20"/>
          <w:color w:val="auto"/>
        </w:rPr>
      </w:pPr>
    </w:p>
    <w:p>
      <w:pPr>
        <w:jc w:val="center"/>
        <w:ind w:left="280" w:right="380"/>
        <w:spacing w:after="0" w:line="276" w:lineRule="auto"/>
        <w:rPr>
          <w:sz w:val="20"/>
          <w:szCs w:val="20"/>
          <w:color w:val="auto"/>
        </w:rPr>
      </w:pPr>
      <w:r>
        <w:rPr>
          <w:rFonts w:ascii="Arial" w:cs="Arial" w:eastAsia="Arial" w:hAnsi="Arial"/>
          <w:sz w:val="18"/>
          <w:szCs w:val="18"/>
          <w:color w:val="auto"/>
        </w:rPr>
        <w:t>2.8.  Confidentiality: The terms of an agreement are confidential. Neither of us may disclose them without the other’s consent unless required to do so by law or an official authority. This obligation continues for a period of 3 years after an agreement ends.</w:t>
      </w:r>
    </w:p>
    <w:p>
      <w:pPr>
        <w:spacing w:after="0" w:line="145" w:lineRule="exact"/>
        <w:rPr>
          <w:sz w:val="20"/>
          <w:szCs w:val="20"/>
          <w:color w:val="auto"/>
        </w:rPr>
      </w:pPr>
    </w:p>
    <w:p>
      <w:pPr>
        <w:ind w:left="892" w:right="120" w:hanging="485"/>
        <w:spacing w:after="0" w:line="248" w:lineRule="auto"/>
        <w:tabs>
          <w:tab w:leader="none" w:pos="872" w:val="left"/>
        </w:tabs>
        <w:rPr>
          <w:sz w:val="20"/>
          <w:szCs w:val="20"/>
          <w:color w:val="auto"/>
        </w:rPr>
      </w:pPr>
      <w:r>
        <w:rPr>
          <w:rFonts w:ascii="Arial" w:cs="Arial" w:eastAsia="Arial" w:hAnsi="Arial"/>
          <w:sz w:val="18"/>
          <w:szCs w:val="18"/>
          <w:color w:val="auto"/>
        </w:rPr>
        <w:t>2.9.</w:t>
        <w:tab/>
        <w:t>Assignment: An agreement is personal to You and cannot be transferred to anyone else without prior consent from Us unless such transfer is required by law. However, We will not unreasonably withhold our consent to assignment to an affiliate provided that You execute our standard form of assignment. We may transfer any agreement and any and all amounts payable by You under an agreement to any other member of Our group.</w:t>
      </w:r>
    </w:p>
    <w:p>
      <w:pPr>
        <w:spacing w:after="0" w:line="171" w:lineRule="exact"/>
        <w:rPr>
          <w:sz w:val="20"/>
          <w:szCs w:val="20"/>
          <w:color w:val="auto"/>
        </w:rPr>
      </w:pPr>
    </w:p>
    <w:p>
      <w:pPr>
        <w:ind w:left="892" w:right="60" w:hanging="485"/>
        <w:spacing w:after="0" w:line="248" w:lineRule="auto"/>
        <w:rPr>
          <w:sz w:val="20"/>
          <w:szCs w:val="20"/>
          <w:color w:val="auto"/>
        </w:rPr>
      </w:pPr>
      <w:r>
        <w:rPr>
          <w:rFonts w:ascii="Arial" w:cs="Arial" w:eastAsia="Arial" w:hAnsi="Arial"/>
          <w:sz w:val="18"/>
          <w:szCs w:val="18"/>
          <w:color w:val="auto"/>
        </w:rPr>
        <w:t>2.10. Applicable law: An agreement is interpreted and enforced in accordance with the law of the place where the Centre is located other than in a few specific jurisdictions which are detailed in the House Rules. We and You both accept the exclusive jurisdiction of the courts of that jurisdiction. If any provision of these terms and conditions is held void or unenforceable under the applicable law, the other provisions shall remain in force.</w:t>
      </w:r>
    </w:p>
    <w:p>
      <w:pPr>
        <w:spacing w:after="0" w:line="171" w:lineRule="exact"/>
        <w:rPr>
          <w:sz w:val="20"/>
          <w:szCs w:val="20"/>
          <w:color w:val="auto"/>
        </w:rPr>
      </w:pPr>
    </w:p>
    <w:p>
      <w:pPr>
        <w:ind w:left="412" w:hanging="412"/>
        <w:spacing w:after="0"/>
        <w:tabs>
          <w:tab w:leader="none" w:pos="4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liability to You and Insurance</w:t>
      </w:r>
    </w:p>
    <w:p>
      <w:pPr>
        <w:spacing w:after="0" w:line="211" w:lineRule="exact"/>
        <w:rPr>
          <w:rFonts w:ascii="Arial" w:cs="Arial" w:eastAsia="Arial" w:hAnsi="Arial"/>
          <w:sz w:val="18"/>
          <w:szCs w:val="18"/>
          <w:color w:val="auto"/>
        </w:rPr>
      </w:pPr>
    </w:p>
    <w:p>
      <w:pPr>
        <w:ind w:left="892" w:right="20" w:hanging="486"/>
        <w:spacing w:after="0" w:line="241" w:lineRule="auto"/>
        <w:rPr>
          <w:rFonts w:ascii="Arial" w:cs="Arial" w:eastAsia="Arial" w:hAnsi="Arial"/>
          <w:sz w:val="18"/>
          <w:szCs w:val="18"/>
          <w:color w:val="auto"/>
        </w:rPr>
      </w:pPr>
      <w:r>
        <w:rPr>
          <w:rFonts w:ascii="Arial" w:cs="Arial" w:eastAsia="Arial" w:hAnsi="Arial"/>
          <w:sz w:val="18"/>
          <w:szCs w:val="18"/>
          <w:color w:val="auto"/>
        </w:rPr>
        <w:t>3.1. The extent of Our liability: To the maximum extent permitted by applicable law, We are not liable to You in respect of any loss or damage You suffer in connection with an agreement, including without limitation any loss or damage arising as a result of our failure to provide a service as a result of mechanical breakdown, strike or other event outside of Our reasonable control otherwise unless We have acted deliberately or have been negligent. In no event shall We be liable for any loss or damage until You provide written notice and give Us a reasonable time to put it right. If We are liable for failing to provide You with any service under an agreement then, subject to the exclusions and limits set out immediately below, We will pay any actual and the reasonable additional expense You have incurred in obtaining the same or similar service from elsewhere.</w:t>
      </w:r>
    </w:p>
    <w:p>
      <w:pPr>
        <w:spacing w:after="0" w:line="179" w:lineRule="exact"/>
        <w:rPr>
          <w:rFonts w:ascii="Arial" w:cs="Arial" w:eastAsia="Arial" w:hAnsi="Arial"/>
          <w:sz w:val="18"/>
          <w:szCs w:val="18"/>
          <w:color w:val="auto"/>
        </w:rPr>
      </w:pPr>
    </w:p>
    <w:p>
      <w:pPr>
        <w:ind w:left="892" w:right="80" w:hanging="486"/>
        <w:spacing w:after="0" w:line="255" w:lineRule="auto"/>
        <w:rPr>
          <w:rFonts w:ascii="Arial" w:cs="Arial" w:eastAsia="Arial" w:hAnsi="Arial"/>
          <w:sz w:val="18"/>
          <w:szCs w:val="18"/>
          <w:color w:val="auto"/>
        </w:rPr>
      </w:pPr>
      <w:r>
        <w:rPr>
          <w:rFonts w:ascii="Arial" w:cs="Arial" w:eastAsia="Arial" w:hAnsi="Arial"/>
          <w:sz w:val="18"/>
          <w:szCs w:val="18"/>
          <w:color w:val="auto"/>
        </w:rPr>
        <w:t>3.2. Your Insurance: It is Your responsibility to arrange insurance for property which You bring in to the Centre, for any post You send or receive and for Your own liability to your employees and to third parties. We strongly recommend that You put such insurance in place.</w:t>
      </w:r>
    </w:p>
    <w:p>
      <w:pPr>
        <w:spacing w:after="0" w:line="164" w:lineRule="exact"/>
        <w:rPr>
          <w:rFonts w:ascii="Arial" w:cs="Arial" w:eastAsia="Arial" w:hAnsi="Arial"/>
          <w:sz w:val="18"/>
          <w:szCs w:val="18"/>
          <w:color w:val="auto"/>
        </w:rPr>
      </w:pPr>
    </w:p>
    <w:p>
      <w:pPr>
        <w:ind w:left="412"/>
        <w:spacing w:after="0"/>
        <w:rPr>
          <w:rFonts w:ascii="Arial" w:cs="Arial" w:eastAsia="Arial" w:hAnsi="Arial"/>
          <w:sz w:val="18"/>
          <w:szCs w:val="18"/>
          <w:color w:val="auto"/>
        </w:rPr>
      </w:pPr>
      <w:r>
        <w:rPr>
          <w:rFonts w:ascii="Arial" w:cs="Arial" w:eastAsia="Arial" w:hAnsi="Arial"/>
          <w:sz w:val="18"/>
          <w:szCs w:val="18"/>
          <w:color w:val="auto"/>
        </w:rPr>
        <w:t>3.3.  IT Services and Obligations: Whilst We have security internet protocols in place and strive to provide seamless internet connectivity,</w:t>
      </w:r>
    </w:p>
    <w:p>
      <w:pPr>
        <w:spacing w:after="0" w:line="17" w:lineRule="exact"/>
        <w:rPr>
          <w:rFonts w:ascii="Arial" w:cs="Arial" w:eastAsia="Arial" w:hAnsi="Arial"/>
          <w:sz w:val="18"/>
          <w:szCs w:val="18"/>
          <w:color w:val="auto"/>
        </w:rPr>
      </w:pPr>
    </w:p>
    <w:p>
      <w:pPr>
        <w:ind w:left="892" w:right="40"/>
        <w:spacing w:after="0" w:line="239" w:lineRule="auto"/>
        <w:rPr>
          <w:rFonts w:ascii="Arial" w:cs="Arial" w:eastAsia="Arial" w:hAnsi="Arial"/>
          <w:sz w:val="18"/>
          <w:szCs w:val="18"/>
          <w:color w:val="auto"/>
        </w:rPr>
      </w:pPr>
      <w:r>
        <w:rPr>
          <w:rFonts w:ascii="Arial" w:cs="Arial" w:eastAsia="Arial" w:hAnsi="Arial"/>
          <w:sz w:val="18"/>
          <w:szCs w:val="18"/>
          <w:color w:val="auto"/>
        </w:rPr>
        <w:t>WE DO NOT MAKE ANY REPRESENTATION AND CANNOT GUARANTEE ANY MAINTAINED LEVEL OF CONNECTIVITY TO OUR NETWORK OR TO THE INTERNET, NOR THE LEVEL OF SECURITY OF IT INFORMATION AND DATA THAT YOU PLACE ON IT. You should adopt whatever security measures (such as encryption) You believe are appropriate to Your business. Your sole and exclusive remedy in relation to issues of reduced connectivity which are within Our reasonable control shall be for Us to rectify the issue within a reasonable time following notice from You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115" w:right="279" w:bottom="1440" w:gutter="0" w:footer="0" w:header="0"/>
        </w:sectPr>
      </w:pPr>
    </w:p>
    <w:bookmarkStart w:id="84" w:name="page85"/>
    <w:bookmarkEnd w:id="84"/>
    <w:p>
      <w:pPr>
        <w:ind w:left="892" w:right="20" w:hanging="485"/>
        <w:spacing w:after="0" w:line="249" w:lineRule="auto"/>
        <w:tabs>
          <w:tab w:leader="none" w:pos="872" w:val="left"/>
        </w:tabs>
        <w:rPr>
          <w:sz w:val="20"/>
          <w:szCs w:val="20"/>
          <w:color w:val="auto"/>
        </w:rPr>
      </w:pPr>
      <w:r>
        <w:rPr>
          <w:rFonts w:ascii="Arial" w:cs="Arial" w:eastAsia="Arial" w:hAnsi="Arial"/>
          <w:sz w:val="18"/>
          <w:szCs w:val="18"/>
          <w:color w:val="auto"/>
        </w:rPr>
        <w:t>3.4.</w:t>
        <w:tab/>
        <w:t>EXCLUSION OF CONSEQUENTIAL LOSSES: WE WILL NOT IN ANY CIRCUMSTANCES HAVE ANY LIABILITY TO YOU FOR LOSS OF BUSINESS, LOSS OF PROFITS, LOSS OF ANTICIPATED SAVINGS, LOSS OF OR DAMAGE TO DATA, THIRD PARTY CLAIMS OR ANY CONSEQUENTIAL LOSS. WE STRONGLY RECOMMEND THAT YOU INSURE AGAINST ALL SUCH POTENTIAL LOSS, DAMAGE, EXPENSE OR LIABILITY.</w:t>
      </w:r>
    </w:p>
    <w:p>
      <w:pPr>
        <w:spacing w:after="0" w:line="169" w:lineRule="exact"/>
        <w:rPr>
          <w:sz w:val="20"/>
          <w:szCs w:val="20"/>
          <w:color w:val="auto"/>
        </w:rPr>
      </w:pPr>
    </w:p>
    <w:p>
      <w:pPr>
        <w:ind w:left="412"/>
        <w:spacing w:after="0"/>
        <w:tabs>
          <w:tab w:leader="none" w:pos="87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Financial limits to our liability: In all cases, our liability to You is subject to the following limits:</w:t>
      </w:r>
    </w:p>
    <w:p>
      <w:pPr>
        <w:spacing w:after="0" w:line="212" w:lineRule="exact"/>
        <w:rPr>
          <w:sz w:val="20"/>
          <w:szCs w:val="20"/>
          <w:color w:val="auto"/>
        </w:rPr>
      </w:pPr>
    </w:p>
    <w:p>
      <w:pPr>
        <w:ind w:left="812"/>
        <w:spacing w:after="0"/>
        <w:rPr>
          <w:sz w:val="20"/>
          <w:szCs w:val="20"/>
          <w:color w:val="auto"/>
        </w:rPr>
      </w:pPr>
      <w:r>
        <w:rPr>
          <w:rFonts w:ascii="Arial" w:cs="Arial" w:eastAsia="Arial" w:hAnsi="Arial"/>
          <w:sz w:val="18"/>
          <w:szCs w:val="18"/>
          <w:color w:val="auto"/>
        </w:rPr>
        <w:t>3.5.1. without limit for personal injury or death;</w:t>
      </w:r>
    </w:p>
    <w:p>
      <w:pPr>
        <w:spacing w:after="0" w:line="212" w:lineRule="exact"/>
        <w:rPr>
          <w:sz w:val="20"/>
          <w:szCs w:val="20"/>
          <w:color w:val="auto"/>
        </w:rPr>
      </w:pPr>
    </w:p>
    <w:p>
      <w:pPr>
        <w:ind w:left="1372" w:hanging="566"/>
        <w:spacing w:after="0" w:line="276" w:lineRule="auto"/>
        <w:rPr>
          <w:sz w:val="20"/>
          <w:szCs w:val="20"/>
          <w:color w:val="auto"/>
        </w:rPr>
      </w:pPr>
      <w:r>
        <w:rPr>
          <w:rFonts w:ascii="Arial" w:cs="Arial" w:eastAsia="Arial" w:hAnsi="Arial"/>
          <w:sz w:val="18"/>
          <w:szCs w:val="18"/>
          <w:color w:val="auto"/>
        </w:rPr>
        <w:t>3.5.2. up to a maximum of GBP 1 million (or USD 1.5 million or EUR 1 million or other local equivalent) for any one event or series of connected events for damage to Your personal property; and</w:t>
      </w:r>
    </w:p>
    <w:p>
      <w:pPr>
        <w:spacing w:after="0" w:line="145" w:lineRule="exact"/>
        <w:rPr>
          <w:sz w:val="20"/>
          <w:szCs w:val="20"/>
          <w:color w:val="auto"/>
        </w:rPr>
      </w:pPr>
    </w:p>
    <w:p>
      <w:pPr>
        <w:ind w:left="1372" w:right="200" w:hanging="566"/>
        <w:spacing w:after="0" w:line="243" w:lineRule="auto"/>
        <w:rPr>
          <w:sz w:val="20"/>
          <w:szCs w:val="20"/>
          <w:color w:val="auto"/>
        </w:rPr>
      </w:pPr>
      <w:r>
        <w:rPr>
          <w:rFonts w:ascii="Arial" w:cs="Arial" w:eastAsia="Arial" w:hAnsi="Arial"/>
          <w:sz w:val="18"/>
          <w:szCs w:val="18"/>
          <w:color w:val="auto"/>
        </w:rPr>
        <w:t>3.5.3. in respect of any other loss or damage, up to a maximum equal to 125% of the total fees paid between the date services under an agreement commenced and the date on which the claim in question arises; or if higher, for office agreements only, GBP 50,000 / USD 100,000 / EUR 66,000 (or local equivalent).</w:t>
      </w:r>
    </w:p>
    <w:p>
      <w:pPr>
        <w:spacing w:after="0" w:line="1" w:lineRule="exact"/>
        <w:rPr>
          <w:sz w:val="20"/>
          <w:szCs w:val="20"/>
          <w:color w:val="auto"/>
        </w:rPr>
      </w:pPr>
    </w:p>
    <w:p>
      <w:pPr>
        <w:ind w:left="412" w:hanging="412"/>
        <w:spacing w:after="0"/>
        <w:tabs>
          <w:tab w:leader="none" w:pos="4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Fees</w:t>
      </w:r>
    </w:p>
    <w:p>
      <w:pPr>
        <w:spacing w:after="0" w:line="189" w:lineRule="exact"/>
        <w:rPr>
          <w:rFonts w:ascii="Arial" w:cs="Arial" w:eastAsia="Arial" w:hAnsi="Arial"/>
          <w:sz w:val="18"/>
          <w:szCs w:val="18"/>
          <w:color w:val="auto"/>
        </w:rPr>
      </w:pPr>
    </w:p>
    <w:p>
      <w:pPr>
        <w:ind w:left="892" w:right="20" w:hanging="486"/>
        <w:spacing w:after="0" w:line="243" w:lineRule="auto"/>
        <w:rPr>
          <w:rFonts w:ascii="Arial" w:cs="Arial" w:eastAsia="Arial" w:hAnsi="Arial"/>
          <w:sz w:val="18"/>
          <w:szCs w:val="18"/>
          <w:color w:val="auto"/>
        </w:rPr>
      </w:pPr>
      <w:r>
        <w:rPr>
          <w:rFonts w:ascii="Arial" w:cs="Arial" w:eastAsia="Arial" w:hAnsi="Arial"/>
          <w:sz w:val="18"/>
          <w:szCs w:val="18"/>
          <w:color w:val="auto"/>
        </w:rPr>
        <w:t>4.1. Service Retainer/Deposit: Your service retainer / deposit will be held by Us without generating interest as security for performance of all Your obligations under an agreement. All requests for the return must be made through Your online account or App after which the service retainer/deposit or any balance will be returned within 30 days to You once your agreement has ended and when You have settled Your account. We will deduct any outstanding fees and other costs due to Us before returning the balance to You. We may require You to pay an increased retainer if the monthly office or virtual office fee increases upon renewal, outstanding fees exceed the service retainer/deposit held and/or You frequently fail to pay invoices when due.</w:t>
      </w:r>
    </w:p>
    <w:p>
      <w:pPr>
        <w:spacing w:after="0" w:line="174" w:lineRule="exact"/>
        <w:rPr>
          <w:rFonts w:ascii="Arial" w:cs="Arial" w:eastAsia="Arial" w:hAnsi="Arial"/>
          <w:sz w:val="18"/>
          <w:szCs w:val="18"/>
          <w:color w:val="auto"/>
        </w:rPr>
      </w:pPr>
    </w:p>
    <w:p>
      <w:pPr>
        <w:ind w:left="892" w:right="40" w:hanging="486"/>
        <w:spacing w:after="0" w:line="245" w:lineRule="auto"/>
        <w:rPr>
          <w:rFonts w:ascii="Arial" w:cs="Arial" w:eastAsia="Arial" w:hAnsi="Arial"/>
          <w:sz w:val="18"/>
          <w:szCs w:val="18"/>
          <w:color w:val="auto"/>
        </w:rPr>
      </w:pPr>
      <w:r>
        <w:rPr>
          <w:rFonts w:ascii="Arial" w:cs="Arial" w:eastAsia="Arial" w:hAnsi="Arial"/>
          <w:sz w:val="18"/>
          <w:szCs w:val="18"/>
          <w:color w:val="auto"/>
        </w:rPr>
        <w:t>4.2. Taxes and duty charges: You agree to pay promptly (i) all sales, use, excise, consumption and any other taxes and license fees which You are required to pay to any governmental authority (and, at Our request, You will provide to Us evidence of such payment) and (ii) any taxes paid by Us to any governmental authority that are attributable to Your accommodation, where applicable, including, without limitation, any gross receipts, rent and occupancy taxes, tangible personal property taxes, stamp tax/duty or other documentary taxes and fees.</w:t>
      </w:r>
    </w:p>
    <w:p>
      <w:pPr>
        <w:spacing w:after="0" w:line="172" w:lineRule="exact"/>
        <w:rPr>
          <w:rFonts w:ascii="Arial" w:cs="Arial" w:eastAsia="Arial" w:hAnsi="Arial"/>
          <w:sz w:val="18"/>
          <w:szCs w:val="18"/>
          <w:color w:val="auto"/>
        </w:rPr>
      </w:pPr>
    </w:p>
    <w:p>
      <w:pPr>
        <w:ind w:left="892" w:right="20" w:hanging="486"/>
        <w:spacing w:after="0" w:line="255" w:lineRule="auto"/>
        <w:rPr>
          <w:rFonts w:ascii="Arial" w:cs="Arial" w:eastAsia="Arial" w:hAnsi="Arial"/>
          <w:sz w:val="18"/>
          <w:szCs w:val="18"/>
          <w:color w:val="auto"/>
        </w:rPr>
      </w:pPr>
      <w:r>
        <w:rPr>
          <w:rFonts w:ascii="Arial" w:cs="Arial" w:eastAsia="Arial" w:hAnsi="Arial"/>
          <w:sz w:val="18"/>
          <w:szCs w:val="18"/>
          <w:color w:val="auto"/>
        </w:rPr>
        <w:t>4.3. Payment: We are continually striving to reduce our environmental impact and support You in doing the same. Therefore, We will send all invoices electronically and You will make payments via an automated method such as Direct Debit or Credit Card, wherever local banking systems permit.</w:t>
      </w:r>
    </w:p>
    <w:p>
      <w:pPr>
        <w:spacing w:after="0" w:line="164" w:lineRule="exact"/>
        <w:rPr>
          <w:rFonts w:ascii="Arial" w:cs="Arial" w:eastAsia="Arial" w:hAnsi="Arial"/>
          <w:sz w:val="18"/>
          <w:szCs w:val="18"/>
          <w:color w:val="auto"/>
        </w:rPr>
      </w:pPr>
    </w:p>
    <w:p>
      <w:pPr>
        <w:ind w:left="892" w:hanging="486"/>
        <w:spacing w:after="0" w:line="248" w:lineRule="auto"/>
        <w:rPr>
          <w:rFonts w:ascii="Arial" w:cs="Arial" w:eastAsia="Arial" w:hAnsi="Arial"/>
          <w:sz w:val="18"/>
          <w:szCs w:val="18"/>
          <w:color w:val="auto"/>
        </w:rPr>
      </w:pPr>
      <w:r>
        <w:rPr>
          <w:rFonts w:ascii="Arial" w:cs="Arial" w:eastAsia="Arial" w:hAnsi="Arial"/>
          <w:sz w:val="18"/>
          <w:szCs w:val="18"/>
          <w:color w:val="auto"/>
        </w:rPr>
        <w:t>4.4. Late payment: If You do not pay fees when due, a fee will be charged on all overdue balances. This fee will differ by country and is listed in the House Rules. If You dispute any part of an invoice You must pay the amount not in dispute by the due date or be subject to late fees. We also reserve the right to withhold services (including for the avoidance of doubt, denying You access to the Centre where applicable) while there are any outstanding fees and/or interest, or You are in breach of an agreement.</w:t>
      </w:r>
    </w:p>
    <w:p>
      <w:pPr>
        <w:spacing w:after="0" w:line="170" w:lineRule="exact"/>
        <w:rPr>
          <w:rFonts w:ascii="Arial" w:cs="Arial" w:eastAsia="Arial" w:hAnsi="Arial"/>
          <w:sz w:val="18"/>
          <w:szCs w:val="18"/>
          <w:color w:val="auto"/>
        </w:rPr>
      </w:pPr>
    </w:p>
    <w:p>
      <w:pPr>
        <w:ind w:left="892" w:right="360" w:hanging="486"/>
        <w:spacing w:after="0" w:line="276" w:lineRule="auto"/>
        <w:rPr>
          <w:rFonts w:ascii="Arial" w:cs="Arial" w:eastAsia="Arial" w:hAnsi="Arial"/>
          <w:sz w:val="18"/>
          <w:szCs w:val="18"/>
          <w:color w:val="auto"/>
        </w:rPr>
      </w:pPr>
      <w:r>
        <w:rPr>
          <w:rFonts w:ascii="Arial" w:cs="Arial" w:eastAsia="Arial" w:hAnsi="Arial"/>
          <w:sz w:val="18"/>
          <w:szCs w:val="18"/>
          <w:color w:val="auto"/>
        </w:rPr>
        <w:t>4.5. Insufficient Funds: Due to the additional administration We incur You will pay a fee for any returned or declined payments due to insufficient funds. This fee will differ by country and is listed in the House Rules.</w:t>
      </w:r>
    </w:p>
    <w:p>
      <w:pPr>
        <w:spacing w:after="0" w:line="145" w:lineRule="exact"/>
        <w:rPr>
          <w:rFonts w:ascii="Arial" w:cs="Arial" w:eastAsia="Arial" w:hAnsi="Arial"/>
          <w:sz w:val="18"/>
          <w:szCs w:val="18"/>
          <w:color w:val="auto"/>
        </w:rPr>
      </w:pPr>
    </w:p>
    <w:p>
      <w:pPr>
        <w:ind w:left="892" w:right="120" w:hanging="486"/>
        <w:spacing w:after="0" w:line="276" w:lineRule="auto"/>
        <w:rPr>
          <w:rFonts w:ascii="Arial" w:cs="Arial" w:eastAsia="Arial" w:hAnsi="Arial"/>
          <w:sz w:val="18"/>
          <w:szCs w:val="18"/>
          <w:color w:val="auto"/>
        </w:rPr>
      </w:pPr>
      <w:r>
        <w:rPr>
          <w:rFonts w:ascii="Arial" w:cs="Arial" w:eastAsia="Arial" w:hAnsi="Arial"/>
          <w:sz w:val="18"/>
          <w:szCs w:val="18"/>
          <w:color w:val="auto"/>
        </w:rPr>
        <w:t>4.6. Indexation: If an agreement is for a term of more than 12 months, We will increase the monthly fee on each anniversary of the start date in line with the relevant inflation index detailed in the House Rules.</w:t>
      </w:r>
    </w:p>
    <w:p>
      <w:pPr>
        <w:spacing w:after="0" w:line="145" w:lineRule="exact"/>
        <w:rPr>
          <w:rFonts w:ascii="Arial" w:cs="Arial" w:eastAsia="Arial" w:hAnsi="Arial"/>
          <w:sz w:val="18"/>
          <w:szCs w:val="18"/>
          <w:color w:val="auto"/>
        </w:rPr>
      </w:pPr>
    </w:p>
    <w:p>
      <w:pPr>
        <w:ind w:left="892" w:right="80" w:hanging="486"/>
        <w:spacing w:after="0" w:line="255" w:lineRule="auto"/>
        <w:rPr>
          <w:rFonts w:ascii="Arial" w:cs="Arial" w:eastAsia="Arial" w:hAnsi="Arial"/>
          <w:sz w:val="18"/>
          <w:szCs w:val="18"/>
          <w:color w:val="auto"/>
        </w:rPr>
      </w:pPr>
      <w:r>
        <w:rPr>
          <w:rFonts w:ascii="Arial" w:cs="Arial" w:eastAsia="Arial" w:hAnsi="Arial"/>
          <w:sz w:val="18"/>
          <w:szCs w:val="18"/>
          <w:color w:val="auto"/>
        </w:rPr>
        <w:t>4.7. Standard services: Monthly fees, plus applicable taxes, and any recurring services requested by You are payable monthly in advance. Where a daily rate applies, the charge for any such month will be 30 times the daily fee. For a period of less than a month the fee will be applied on a daily basis.</w:t>
      </w:r>
    </w:p>
    <w:p>
      <w:pPr>
        <w:spacing w:after="0" w:line="164" w:lineRule="exact"/>
        <w:rPr>
          <w:rFonts w:ascii="Arial" w:cs="Arial" w:eastAsia="Arial" w:hAnsi="Arial"/>
          <w:sz w:val="18"/>
          <w:szCs w:val="18"/>
          <w:color w:val="auto"/>
        </w:rPr>
      </w:pPr>
    </w:p>
    <w:p>
      <w:pPr>
        <w:ind w:left="892" w:right="180" w:hanging="486"/>
        <w:spacing w:after="0" w:line="276" w:lineRule="auto"/>
        <w:rPr>
          <w:rFonts w:ascii="Arial" w:cs="Arial" w:eastAsia="Arial" w:hAnsi="Arial"/>
          <w:sz w:val="18"/>
          <w:szCs w:val="18"/>
          <w:color w:val="auto"/>
        </w:rPr>
      </w:pPr>
      <w:r>
        <w:rPr>
          <w:rFonts w:ascii="Arial" w:cs="Arial" w:eastAsia="Arial" w:hAnsi="Arial"/>
          <w:sz w:val="18"/>
          <w:szCs w:val="18"/>
          <w:color w:val="auto"/>
        </w:rPr>
        <w:t>4.8. Pay-as-you-use and Additional Variable Services: Fees for pay-as-you-use services, plus applicable taxes, are payable monthly in arears at our standard rates which may change from time to time and are available on request.</w:t>
      </w:r>
    </w:p>
    <w:p>
      <w:pPr>
        <w:spacing w:after="0" w:line="145" w:lineRule="exact"/>
        <w:rPr>
          <w:rFonts w:ascii="Arial" w:cs="Arial" w:eastAsia="Arial" w:hAnsi="Arial"/>
          <w:sz w:val="18"/>
          <w:szCs w:val="18"/>
          <w:color w:val="auto"/>
        </w:rPr>
      </w:pPr>
    </w:p>
    <w:p>
      <w:pPr>
        <w:ind w:left="892" w:right="340" w:hanging="486"/>
        <w:spacing w:after="0" w:line="276" w:lineRule="auto"/>
        <w:rPr>
          <w:rFonts w:ascii="Arial" w:cs="Arial" w:eastAsia="Arial" w:hAnsi="Arial"/>
          <w:sz w:val="18"/>
          <w:szCs w:val="18"/>
          <w:color w:val="auto"/>
        </w:rPr>
      </w:pPr>
      <w:r>
        <w:rPr>
          <w:rFonts w:ascii="Arial" w:cs="Arial" w:eastAsia="Arial" w:hAnsi="Arial"/>
          <w:sz w:val="18"/>
          <w:szCs w:val="18"/>
          <w:color w:val="auto"/>
        </w:rPr>
        <w:t>4.9. Discounts, Promotions and Offers: If You benefited from a special discount, promotion or offer, We will discontinue that discount, promotion or offer without notice if You materially breach Your agreement.</w:t>
      </w:r>
    </w:p>
    <w:p>
      <w:pPr>
        <w:spacing w:after="0" w:line="145" w:lineRule="exact"/>
        <w:rPr>
          <w:sz w:val="20"/>
          <w:szCs w:val="20"/>
          <w:color w:val="auto"/>
        </w:rPr>
      </w:pPr>
    </w:p>
    <w:p>
      <w:pPr>
        <w:ind w:left="9392"/>
        <w:spacing w:after="0"/>
        <w:rPr>
          <w:sz w:val="20"/>
          <w:szCs w:val="20"/>
          <w:color w:val="auto"/>
        </w:rPr>
      </w:pPr>
      <w:r>
        <w:rPr>
          <w:rFonts w:ascii="Arial" w:cs="Arial" w:eastAsia="Arial" w:hAnsi="Arial"/>
          <w:sz w:val="18"/>
          <w:szCs w:val="18"/>
          <w:color w:val="7E7E7E"/>
        </w:rPr>
        <w:t>Global Terms Feb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5" w:right="2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Exhibit_10.3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210820</wp:posOffset>
            </wp:positionV>
            <wp:extent cx="7246620" cy="5657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3"/>
          <w:szCs w:val="23"/>
          <w:color w:val="auto"/>
        </w:rPr>
        <w:t>Office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105410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8" w:lineRule="exact"/>
        <w:rPr>
          <w:sz w:val="20"/>
          <w:szCs w:val="20"/>
          <w:color w:val="auto"/>
        </w:rPr>
      </w:pPr>
    </w:p>
    <w:tbl>
      <w:tblPr>
        <w:tblLayout w:type="fixed"/>
        <w:tblInd w:w="16" w:type="dxa"/>
        <w:tblCellMar>
          <w:top w:w="0" w:type="dxa"/>
          <w:left w:w="0" w:type="dxa"/>
          <w:bottom w:w="0" w:type="dxa"/>
          <w:right w:w="0" w:type="dxa"/>
        </w:tblCellMar>
      </w:tblPr>
      <w:tr>
        <w:trPr>
          <w:trHeight w:val="295"/>
        </w:trPr>
        <w:tc>
          <w:tcPr>
            <w:tcW w:w="2760" w:type="dxa"/>
            <w:vAlign w:val="bottom"/>
            <w:tcBorders>
              <w:top w:val="single" w:sz="8" w:color="808080"/>
              <w:left w:val="single" w:sz="8" w:color="808080"/>
              <w:right w:val="single" w:sz="8" w:color="808080"/>
            </w:tcBorders>
          </w:tcPr>
          <w:p>
            <w:pPr>
              <w:ind w:left="140"/>
              <w:spacing w:after="0"/>
              <w:rPr>
                <w:sz w:val="20"/>
                <w:szCs w:val="20"/>
                <w:color w:val="auto"/>
              </w:rPr>
            </w:pPr>
            <w:r>
              <w:rPr>
                <w:rFonts w:ascii="Arial" w:cs="Arial" w:eastAsia="Arial" w:hAnsi="Arial"/>
                <w:sz w:val="14"/>
                <w:szCs w:val="14"/>
                <w:b w:val="1"/>
                <w:bCs w:val="1"/>
                <w:color w:val="auto"/>
              </w:rPr>
              <w:t xml:space="preserve">Agreement Date </w:t>
            </w:r>
            <w:r>
              <w:rPr>
                <w:rFonts w:ascii="Arial" w:cs="Arial" w:eastAsia="Arial" w:hAnsi="Arial"/>
                <w:sz w:val="14"/>
                <w:szCs w:val="14"/>
                <w:color w:val="auto"/>
              </w:rPr>
              <w:t>(dd/mm/yy):</w:t>
            </w:r>
          </w:p>
        </w:tc>
        <w:tc>
          <w:tcPr>
            <w:tcW w:w="2700" w:type="dxa"/>
            <w:vAlign w:val="bottom"/>
            <w:tcBorders>
              <w:top w:val="single" w:sz="8" w:color="808080"/>
              <w:right w:val="single" w:sz="8" w:color="808080"/>
            </w:tcBorders>
          </w:tcPr>
          <w:p>
            <w:pPr>
              <w:ind w:left="120"/>
              <w:spacing w:after="0"/>
              <w:rPr>
                <w:sz w:val="20"/>
                <w:szCs w:val="20"/>
                <w:color w:val="auto"/>
              </w:rPr>
            </w:pPr>
            <w:r>
              <w:rPr>
                <w:rFonts w:ascii="Arial" w:cs="Arial" w:eastAsia="Arial" w:hAnsi="Arial"/>
                <w:sz w:val="14"/>
                <w:szCs w:val="14"/>
                <w:color w:val="auto"/>
              </w:rPr>
              <w:t>12 April 2019</w:t>
            </w:r>
          </w:p>
        </w:tc>
        <w:tc>
          <w:tcPr>
            <w:tcW w:w="2120" w:type="dxa"/>
            <w:vAlign w:val="bottom"/>
            <w:tcBorders>
              <w:top w:val="single" w:sz="8" w:color="808080"/>
              <w:right w:val="single" w:sz="8" w:color="808080"/>
            </w:tcBorders>
          </w:tcPr>
          <w:p>
            <w:pPr>
              <w:ind w:left="120"/>
              <w:spacing w:after="0"/>
              <w:rPr>
                <w:sz w:val="20"/>
                <w:szCs w:val="20"/>
                <w:color w:val="auto"/>
              </w:rPr>
            </w:pPr>
            <w:r>
              <w:rPr>
                <w:rFonts w:ascii="Arial" w:cs="Arial" w:eastAsia="Arial" w:hAnsi="Arial"/>
                <w:sz w:val="14"/>
                <w:szCs w:val="14"/>
                <w:b w:val="1"/>
                <w:bCs w:val="1"/>
                <w:color w:val="auto"/>
              </w:rPr>
              <w:t>Reference No.:</w:t>
            </w:r>
          </w:p>
        </w:tc>
        <w:tc>
          <w:tcPr>
            <w:tcW w:w="3240" w:type="dxa"/>
            <w:vAlign w:val="bottom"/>
            <w:tcBorders>
              <w:top w:val="single" w:sz="8" w:color="808080"/>
              <w:right w:val="single" w:sz="8" w:color="808080"/>
            </w:tcBorders>
          </w:tcPr>
          <w:p>
            <w:pPr>
              <w:spacing w:after="0"/>
              <w:rPr>
                <w:sz w:val="24"/>
                <w:szCs w:val="24"/>
                <w:color w:val="auto"/>
              </w:rPr>
            </w:pPr>
          </w:p>
        </w:tc>
      </w:tr>
      <w:tr>
        <w:trPr>
          <w:trHeight w:val="83"/>
        </w:trPr>
        <w:tc>
          <w:tcPr>
            <w:tcW w:w="2760" w:type="dxa"/>
            <w:vAlign w:val="bottom"/>
            <w:tcBorders>
              <w:left w:val="single" w:sz="8" w:color="808080"/>
              <w:bottom w:val="single" w:sz="8" w:color="808080"/>
              <w:right w:val="single" w:sz="8" w:color="808080"/>
            </w:tcBorders>
          </w:tcPr>
          <w:p>
            <w:pPr>
              <w:spacing w:after="0"/>
              <w:rPr>
                <w:sz w:val="7"/>
                <w:szCs w:val="7"/>
                <w:color w:val="auto"/>
              </w:rPr>
            </w:pPr>
          </w:p>
        </w:tc>
        <w:tc>
          <w:tcPr>
            <w:tcW w:w="2700" w:type="dxa"/>
            <w:vAlign w:val="bottom"/>
            <w:tcBorders>
              <w:bottom w:val="single" w:sz="8" w:color="808080"/>
              <w:right w:val="single" w:sz="8" w:color="808080"/>
            </w:tcBorders>
          </w:tcPr>
          <w:p>
            <w:pPr>
              <w:spacing w:after="0"/>
              <w:rPr>
                <w:sz w:val="7"/>
                <w:szCs w:val="7"/>
                <w:color w:val="auto"/>
              </w:rPr>
            </w:pPr>
          </w:p>
        </w:tc>
        <w:tc>
          <w:tcPr>
            <w:tcW w:w="2120" w:type="dxa"/>
            <w:vAlign w:val="bottom"/>
            <w:tcBorders>
              <w:bottom w:val="single" w:sz="8" w:color="808080"/>
              <w:right w:val="single" w:sz="8" w:color="808080"/>
            </w:tcBorders>
          </w:tcPr>
          <w:p>
            <w:pPr>
              <w:spacing w:after="0"/>
              <w:rPr>
                <w:sz w:val="7"/>
                <w:szCs w:val="7"/>
                <w:color w:val="auto"/>
              </w:rPr>
            </w:pPr>
          </w:p>
        </w:tc>
        <w:tc>
          <w:tcPr>
            <w:tcW w:w="3240" w:type="dxa"/>
            <w:vAlign w:val="bottom"/>
            <w:tcBorders>
              <w:bottom w:val="single" w:sz="8" w:color="808080"/>
              <w:right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6877685" cy="1054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77685" cy="1054735"/>
                    </a:xfrm>
                    <a:prstGeom prst="rect">
                      <a:avLst/>
                    </a:prstGeom>
                    <a:noFill/>
                  </pic:spPr>
                </pic:pic>
              </a:graphicData>
            </a:graphic>
          </wp:anchor>
        </w:drawing>
      </w:r>
    </w:p>
    <w:p>
      <w:pPr>
        <w:sectPr>
          <w:pgSz w:w="11900" w:h="16838" w:orient="portrait"/>
          <w:cols w:equalWidth="0" w:num="1">
            <w:col w:w="11086"/>
          </w:cols>
          <w:pgMar w:left="574" w:top="114" w:right="239" w:bottom="1440" w:gutter="0" w:footer="0" w:header="0"/>
        </w:sectPr>
      </w:pPr>
    </w:p>
    <w:p>
      <w:pPr>
        <w:spacing w:after="0" w:line="147" w:lineRule="exact"/>
        <w:rPr>
          <w:sz w:val="20"/>
          <w:szCs w:val="20"/>
          <w:color w:val="auto"/>
        </w:rPr>
      </w:pPr>
    </w:p>
    <w:p>
      <w:pPr>
        <w:ind w:left="146"/>
        <w:spacing w:after="0"/>
        <w:rPr>
          <w:sz w:val="20"/>
          <w:szCs w:val="20"/>
          <w:color w:val="auto"/>
        </w:rPr>
      </w:pPr>
      <w:r>
        <w:rPr>
          <w:rFonts w:ascii="Arial" w:cs="Arial" w:eastAsia="Arial" w:hAnsi="Arial"/>
          <w:sz w:val="14"/>
          <w:szCs w:val="14"/>
          <w:b w:val="1"/>
          <w:bCs w:val="1"/>
          <w:color w:val="auto"/>
        </w:rPr>
        <w:t>Business Centre Address:</w:t>
      </w:r>
    </w:p>
    <w:p>
      <w:pPr>
        <w:spacing w:after="0" w:line="138" w:lineRule="exact"/>
        <w:rPr>
          <w:sz w:val="20"/>
          <w:szCs w:val="20"/>
          <w:color w:val="auto"/>
        </w:rPr>
      </w:pPr>
    </w:p>
    <w:p>
      <w:pPr>
        <w:ind w:left="146"/>
        <w:spacing w:after="0"/>
        <w:rPr>
          <w:sz w:val="20"/>
          <w:szCs w:val="20"/>
          <w:color w:val="auto"/>
        </w:rPr>
      </w:pPr>
      <w:r>
        <w:rPr>
          <w:rFonts w:ascii="Arial" w:cs="Arial" w:eastAsia="Arial" w:hAnsi="Arial"/>
          <w:sz w:val="14"/>
          <w:szCs w:val="14"/>
          <w:color w:val="auto"/>
        </w:rPr>
        <w:t>Spaces</w:t>
      </w:r>
    </w:p>
    <w:p>
      <w:pPr>
        <w:spacing w:after="0" w:line="123" w:lineRule="exact"/>
        <w:rPr>
          <w:sz w:val="20"/>
          <w:szCs w:val="20"/>
          <w:color w:val="auto"/>
        </w:rPr>
      </w:pPr>
    </w:p>
    <w:p>
      <w:pPr>
        <w:ind w:left="146"/>
        <w:spacing w:after="0"/>
        <w:rPr>
          <w:sz w:val="20"/>
          <w:szCs w:val="20"/>
          <w:color w:val="auto"/>
        </w:rPr>
      </w:pPr>
      <w:r>
        <w:rPr>
          <w:rFonts w:ascii="Arial" w:cs="Arial" w:eastAsia="Arial" w:hAnsi="Arial"/>
          <w:sz w:val="14"/>
          <w:szCs w:val="14"/>
          <w:color w:val="auto"/>
        </w:rPr>
        <w:t>77 Sir John Rogersons Quay</w:t>
      </w:r>
    </w:p>
    <w:p>
      <w:pPr>
        <w:spacing w:after="0" w:line="123" w:lineRule="exact"/>
        <w:rPr>
          <w:sz w:val="20"/>
          <w:szCs w:val="20"/>
          <w:color w:val="auto"/>
        </w:rPr>
      </w:pPr>
    </w:p>
    <w:p>
      <w:pPr>
        <w:ind w:left="146"/>
        <w:spacing w:after="0"/>
        <w:rPr>
          <w:sz w:val="20"/>
          <w:szCs w:val="20"/>
          <w:color w:val="auto"/>
        </w:rPr>
      </w:pPr>
      <w:r>
        <w:rPr>
          <w:rFonts w:ascii="Arial" w:cs="Arial" w:eastAsia="Arial" w:hAnsi="Arial"/>
          <w:sz w:val="14"/>
          <w:szCs w:val="14"/>
          <w:color w:val="auto"/>
        </w:rPr>
        <w:t>Dublin 2</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Client Address (Not a Business Centre Address):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920" w:type="dxa"/>
            <w:vAlign w:val="bottom"/>
            <w:tcBorders>
              <w:top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Company Name:</w:t>
            </w:r>
          </w:p>
        </w:tc>
        <w:tc>
          <w:tcPr>
            <w:tcW w:w="3240" w:type="dxa"/>
            <w:vAlign w:val="bottom"/>
            <w:tcBorders>
              <w:top w:val="single" w:sz="8" w:color="808080"/>
            </w:tcBorders>
          </w:tcPr>
          <w:p>
            <w:pPr>
              <w:ind w:left="140"/>
              <w:spacing w:after="0"/>
              <w:rPr>
                <w:sz w:val="20"/>
                <w:szCs w:val="20"/>
                <w:color w:val="auto"/>
              </w:rPr>
            </w:pPr>
            <w:r>
              <w:rPr>
                <w:rFonts w:ascii="Arial" w:cs="Arial" w:eastAsia="Arial" w:hAnsi="Arial"/>
                <w:sz w:val="14"/>
                <w:szCs w:val="14"/>
                <w:color w:val="auto"/>
              </w:rPr>
              <w:t>Amarin Pharmaceuticals Ireland Ltd</w:t>
            </w:r>
          </w:p>
        </w:tc>
      </w:tr>
      <w:tr>
        <w:trPr>
          <w:trHeight w:val="35"/>
        </w:trPr>
        <w:tc>
          <w:tcPr>
            <w:tcW w:w="1920" w:type="dxa"/>
            <w:vAlign w:val="bottom"/>
            <w:tcBorders>
              <w:bottom w:val="single" w:sz="8" w:color="808080"/>
              <w:right w:val="single" w:sz="8" w:color="808080"/>
            </w:tcBorders>
          </w:tcPr>
          <w:p>
            <w:pPr>
              <w:spacing w:after="0"/>
              <w:rPr>
                <w:sz w:val="3"/>
                <w:szCs w:val="3"/>
                <w:color w:val="auto"/>
              </w:rPr>
            </w:pPr>
          </w:p>
        </w:tc>
        <w:tc>
          <w:tcPr>
            <w:tcW w:w="3240" w:type="dxa"/>
            <w:vAlign w:val="bottom"/>
            <w:tcBorders>
              <w:bottom w:val="single" w:sz="8" w:color="808080"/>
            </w:tcBorders>
          </w:tcPr>
          <w:p>
            <w:pPr>
              <w:spacing w:after="0"/>
              <w:rPr>
                <w:sz w:val="3"/>
                <w:szCs w:val="3"/>
                <w:color w:val="auto"/>
              </w:rPr>
            </w:pPr>
          </w:p>
        </w:tc>
      </w:tr>
      <w:tr>
        <w:trPr>
          <w:trHeight w:val="229"/>
        </w:trPr>
        <w:tc>
          <w:tcPr>
            <w:tcW w:w="192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Contact Name:</w:t>
            </w:r>
          </w:p>
        </w:tc>
        <w:tc>
          <w:tcPr>
            <w:tcW w:w="3240" w:type="dxa"/>
            <w:vAlign w:val="bottom"/>
          </w:tcPr>
          <w:p>
            <w:pPr>
              <w:ind w:left="140"/>
              <w:spacing w:after="0"/>
              <w:rPr>
                <w:sz w:val="20"/>
                <w:szCs w:val="20"/>
                <w:color w:val="auto"/>
              </w:rPr>
            </w:pPr>
            <w:r>
              <w:rPr>
                <w:rFonts w:ascii="Arial" w:cs="Arial" w:eastAsia="Arial" w:hAnsi="Arial"/>
                <w:sz w:val="14"/>
                <w:szCs w:val="14"/>
                <w:color w:val="auto"/>
              </w:rPr>
              <w:t>Tom Maher</w:t>
            </w:r>
          </w:p>
        </w:tc>
      </w:tr>
      <w:tr>
        <w:trPr>
          <w:trHeight w:val="49"/>
        </w:trPr>
        <w:tc>
          <w:tcPr>
            <w:tcW w:w="1920" w:type="dxa"/>
            <w:vAlign w:val="bottom"/>
            <w:tcBorders>
              <w:bottom w:val="single" w:sz="8" w:color="808080"/>
              <w:right w:val="single" w:sz="8" w:color="808080"/>
            </w:tcBorders>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r>
      <w:tr>
        <w:trPr>
          <w:trHeight w:val="215"/>
        </w:trPr>
        <w:tc>
          <w:tcPr>
            <w:tcW w:w="192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Address:</w:t>
            </w:r>
          </w:p>
        </w:tc>
        <w:tc>
          <w:tcPr>
            <w:tcW w:w="3240" w:type="dxa"/>
            <w:vAlign w:val="bottom"/>
          </w:tcPr>
          <w:p>
            <w:pPr>
              <w:ind w:left="140"/>
              <w:spacing w:after="0"/>
              <w:rPr>
                <w:sz w:val="20"/>
                <w:szCs w:val="20"/>
                <w:color w:val="auto"/>
              </w:rPr>
            </w:pPr>
            <w:r>
              <w:rPr>
                <w:rFonts w:ascii="Arial" w:cs="Arial" w:eastAsia="Arial" w:hAnsi="Arial"/>
                <w:sz w:val="14"/>
                <w:szCs w:val="14"/>
                <w:color w:val="auto"/>
              </w:rPr>
              <w:t>88 Harcourt Street</w:t>
            </w:r>
          </w:p>
        </w:tc>
      </w:tr>
      <w:tr>
        <w:trPr>
          <w:trHeight w:val="22"/>
        </w:trPr>
        <w:tc>
          <w:tcPr>
            <w:tcW w:w="1920" w:type="dxa"/>
            <w:vAlign w:val="bottom"/>
            <w:tcBorders>
              <w:bottom w:val="single" w:sz="8" w:color="808080"/>
              <w:right w:val="single" w:sz="8" w:color="808080"/>
            </w:tcBorders>
          </w:tcPr>
          <w:p>
            <w:pPr>
              <w:spacing w:after="0" w:line="20" w:lineRule="exact"/>
              <w:rPr>
                <w:sz w:val="1"/>
                <w:szCs w:val="1"/>
                <w:color w:val="auto"/>
              </w:rPr>
            </w:pPr>
          </w:p>
        </w:tc>
        <w:tc>
          <w:tcPr>
            <w:tcW w:w="3240" w:type="dxa"/>
            <w:vAlign w:val="bottom"/>
            <w:tcBorders>
              <w:bottom w:val="single" w:sz="8" w:color="808080"/>
            </w:tcBorders>
          </w:tcPr>
          <w:p>
            <w:pPr>
              <w:spacing w:after="0" w:line="20" w:lineRule="exact"/>
              <w:rPr>
                <w:sz w:val="1"/>
                <w:szCs w:val="1"/>
                <w:color w:val="auto"/>
              </w:rPr>
            </w:pPr>
          </w:p>
        </w:tc>
      </w:tr>
      <w:tr>
        <w:trPr>
          <w:trHeight w:val="215"/>
        </w:trPr>
        <w:tc>
          <w:tcPr>
            <w:tcW w:w="192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Address:</w:t>
            </w:r>
          </w:p>
        </w:tc>
        <w:tc>
          <w:tcPr>
            <w:tcW w:w="3240" w:type="dxa"/>
            <w:vAlign w:val="bottom"/>
          </w:tcPr>
          <w:p>
            <w:pPr>
              <w:ind w:left="140"/>
              <w:spacing w:after="0"/>
              <w:rPr>
                <w:sz w:val="20"/>
                <w:szCs w:val="20"/>
                <w:color w:val="auto"/>
              </w:rPr>
            </w:pPr>
            <w:r>
              <w:rPr>
                <w:rFonts w:ascii="Arial" w:cs="Arial" w:eastAsia="Arial" w:hAnsi="Arial"/>
                <w:sz w:val="14"/>
                <w:szCs w:val="14"/>
                <w:color w:val="auto"/>
              </w:rPr>
              <w:t>Dublin 2</w:t>
            </w:r>
          </w:p>
        </w:tc>
      </w:tr>
      <w:tr>
        <w:trPr>
          <w:trHeight w:val="22"/>
        </w:trPr>
        <w:tc>
          <w:tcPr>
            <w:tcW w:w="1920" w:type="dxa"/>
            <w:vAlign w:val="bottom"/>
            <w:tcBorders>
              <w:bottom w:val="single" w:sz="8" w:color="808080"/>
              <w:right w:val="single" w:sz="8" w:color="808080"/>
            </w:tcBorders>
          </w:tcPr>
          <w:p>
            <w:pPr>
              <w:spacing w:after="0" w:line="20" w:lineRule="exact"/>
              <w:rPr>
                <w:sz w:val="1"/>
                <w:szCs w:val="1"/>
                <w:color w:val="auto"/>
              </w:rPr>
            </w:pPr>
          </w:p>
        </w:tc>
        <w:tc>
          <w:tcPr>
            <w:tcW w:w="3240" w:type="dxa"/>
            <w:vAlign w:val="bottom"/>
            <w:tcBorders>
              <w:bottom w:val="single" w:sz="8" w:color="808080"/>
            </w:tcBorders>
          </w:tcPr>
          <w:p>
            <w:pPr>
              <w:spacing w:after="0" w:line="20" w:lineRule="exact"/>
              <w:rPr>
                <w:sz w:val="1"/>
                <w:szCs w:val="1"/>
                <w:color w:val="auto"/>
              </w:rPr>
            </w:pPr>
          </w:p>
        </w:tc>
      </w:tr>
      <w:tr>
        <w:trPr>
          <w:trHeight w:val="215"/>
        </w:trPr>
        <w:tc>
          <w:tcPr>
            <w:tcW w:w="192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Phone &amp; Email:</w:t>
            </w:r>
          </w:p>
        </w:tc>
        <w:tc>
          <w:tcPr>
            <w:tcW w:w="3240" w:type="dxa"/>
            <w:vAlign w:val="bottom"/>
          </w:tcPr>
          <w:p>
            <w:pPr>
              <w:ind w:left="140"/>
              <w:spacing w:after="0"/>
              <w:rPr>
                <w:sz w:val="20"/>
                <w:szCs w:val="20"/>
                <w:color w:val="auto"/>
              </w:rPr>
            </w:pPr>
            <w:r>
              <w:rPr>
                <w:rFonts w:ascii="Arial" w:cs="Arial" w:eastAsia="Arial" w:hAnsi="Arial"/>
                <w:sz w:val="14"/>
                <w:szCs w:val="14"/>
                <w:color w:val="auto"/>
              </w:rPr>
              <w:t>tomaher@me.com</w:t>
            </w:r>
          </w:p>
        </w:tc>
      </w:tr>
      <w:tr>
        <w:trPr>
          <w:trHeight w:val="22"/>
        </w:trPr>
        <w:tc>
          <w:tcPr>
            <w:tcW w:w="1920" w:type="dxa"/>
            <w:vAlign w:val="bottom"/>
            <w:tcBorders>
              <w:bottom w:val="single" w:sz="8" w:color="808080"/>
              <w:right w:val="single" w:sz="8" w:color="808080"/>
            </w:tcBorders>
          </w:tcPr>
          <w:p>
            <w:pPr>
              <w:spacing w:after="0" w:line="20" w:lineRule="exact"/>
              <w:rPr>
                <w:sz w:val="1"/>
                <w:szCs w:val="1"/>
                <w:color w:val="auto"/>
              </w:rPr>
            </w:pPr>
          </w:p>
        </w:tc>
        <w:tc>
          <w:tcPr>
            <w:tcW w:w="3240" w:type="dxa"/>
            <w:vAlign w:val="bottom"/>
            <w:tcBorders>
              <w:bottom w:val="single" w:sz="8" w:color="808080"/>
            </w:tcBorders>
          </w:tcPr>
          <w:p>
            <w:pPr>
              <w:spacing w:after="0" w:line="20" w:lineRule="exact"/>
              <w:rPr>
                <w:sz w:val="1"/>
                <w:szCs w:val="1"/>
                <w:color w:val="auto"/>
              </w:rPr>
            </w:pPr>
          </w:p>
        </w:tc>
      </w:tr>
    </w:tbl>
    <w:p>
      <w:pPr>
        <w:spacing w:after="0" w:line="75" w:lineRule="exact"/>
        <w:rPr>
          <w:sz w:val="20"/>
          <w:szCs w:val="20"/>
          <w:color w:val="auto"/>
        </w:rPr>
      </w:pPr>
    </w:p>
    <w:p>
      <w:pPr>
        <w:sectPr>
          <w:pgSz w:w="11900" w:h="16838" w:orient="portrait"/>
          <w:cols w:equalWidth="0" w:num="2">
            <w:col w:w="4946" w:space="720"/>
            <w:col w:w="5420"/>
          </w:cols>
          <w:pgMar w:left="574" w:top="114" w:right="239" w:bottom="1440" w:gutter="0" w:footer="0" w:header="0"/>
          <w:type w:val="continuous"/>
        </w:sectPr>
      </w:pPr>
    </w:p>
    <w:tbl>
      <w:tblPr>
        <w:tblLayout w:type="fixed"/>
        <w:tblInd w:w="16" w:type="dxa"/>
        <w:tblCellMar>
          <w:top w:w="0" w:type="dxa"/>
          <w:left w:w="0" w:type="dxa"/>
          <w:bottom w:w="0" w:type="dxa"/>
          <w:right w:w="0" w:type="dxa"/>
        </w:tblCellMar>
      </w:tblPr>
      <w:tr>
        <w:trPr>
          <w:trHeight w:val="262"/>
        </w:trPr>
        <w:tc>
          <w:tcPr>
            <w:tcW w:w="4560" w:type="dxa"/>
            <w:vAlign w:val="bottom"/>
            <w:tcBorders>
              <w:top w:val="single" w:sz="8" w:color="808080"/>
              <w:left w:val="single" w:sz="8" w:color="808080"/>
            </w:tcBorders>
            <w:gridSpan w:val="3"/>
          </w:tcPr>
          <w:p>
            <w:pPr>
              <w:ind w:left="140"/>
              <w:spacing w:after="0"/>
              <w:rPr>
                <w:sz w:val="20"/>
                <w:szCs w:val="20"/>
                <w:color w:val="auto"/>
              </w:rPr>
            </w:pPr>
            <w:r>
              <w:rPr>
                <w:rFonts w:ascii="Arial" w:cs="Arial" w:eastAsia="Arial" w:hAnsi="Arial"/>
                <w:sz w:val="14"/>
                <w:szCs w:val="14"/>
                <w:color w:val="auto"/>
              </w:rPr>
              <w:t>Office Payment Details (excluding tax/GST and excluding services)</w:t>
            </w:r>
          </w:p>
        </w:tc>
        <w:tc>
          <w:tcPr>
            <w:tcW w:w="40" w:type="dxa"/>
            <w:vAlign w:val="bottom"/>
            <w:tcBorders>
              <w:top w:val="single" w:sz="8" w:color="808080"/>
            </w:tcBorders>
          </w:tcPr>
          <w:p>
            <w:pPr>
              <w:spacing w:after="0"/>
              <w:rPr>
                <w:sz w:val="22"/>
                <w:szCs w:val="22"/>
                <w:color w:val="auto"/>
              </w:rPr>
            </w:pPr>
          </w:p>
        </w:tc>
        <w:tc>
          <w:tcPr>
            <w:tcW w:w="2260" w:type="dxa"/>
            <w:vAlign w:val="bottom"/>
            <w:tcBorders>
              <w:top w:val="single" w:sz="8" w:color="808080"/>
            </w:tcBorders>
          </w:tcPr>
          <w:p>
            <w:pPr>
              <w:spacing w:after="0"/>
              <w:rPr>
                <w:sz w:val="22"/>
                <w:szCs w:val="22"/>
                <w:color w:val="auto"/>
              </w:rPr>
            </w:pPr>
          </w:p>
        </w:tc>
        <w:tc>
          <w:tcPr>
            <w:tcW w:w="800" w:type="dxa"/>
            <w:vAlign w:val="bottom"/>
            <w:tcBorders>
              <w:top w:val="single" w:sz="8" w:color="808080"/>
            </w:tcBorders>
          </w:tcPr>
          <w:p>
            <w:pPr>
              <w:spacing w:after="0"/>
              <w:rPr>
                <w:sz w:val="22"/>
                <w:szCs w:val="22"/>
                <w:color w:val="auto"/>
              </w:rPr>
            </w:pPr>
          </w:p>
        </w:tc>
        <w:tc>
          <w:tcPr>
            <w:tcW w:w="1480" w:type="dxa"/>
            <w:vAlign w:val="bottom"/>
            <w:tcBorders>
              <w:top w:val="single" w:sz="8" w:color="808080"/>
              <w:right w:val="single" w:sz="8" w:color="808080"/>
            </w:tcBorders>
          </w:tcPr>
          <w:p>
            <w:pPr>
              <w:spacing w:after="0"/>
              <w:rPr>
                <w:sz w:val="22"/>
                <w:szCs w:val="22"/>
                <w:color w:val="auto"/>
              </w:rPr>
            </w:pPr>
          </w:p>
        </w:tc>
        <w:tc>
          <w:tcPr>
            <w:tcW w:w="1680" w:type="dxa"/>
            <w:vAlign w:val="bottom"/>
          </w:tcPr>
          <w:p>
            <w:pPr>
              <w:spacing w:after="0"/>
              <w:rPr>
                <w:sz w:val="22"/>
                <w:szCs w:val="22"/>
                <w:color w:val="auto"/>
              </w:rPr>
            </w:pPr>
          </w:p>
        </w:tc>
      </w:tr>
      <w:tr>
        <w:trPr>
          <w:trHeight w:val="49"/>
        </w:trPr>
        <w:tc>
          <w:tcPr>
            <w:tcW w:w="2280" w:type="dxa"/>
            <w:vAlign w:val="bottom"/>
            <w:tcBorders>
              <w:left w:val="single" w:sz="8" w:color="808080"/>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right w:val="single" w:sz="8" w:color="808080"/>
            </w:tcBorders>
          </w:tcPr>
          <w:p>
            <w:pPr>
              <w:spacing w:after="0"/>
              <w:rPr>
                <w:sz w:val="4"/>
                <w:szCs w:val="4"/>
                <w:color w:val="auto"/>
              </w:rPr>
            </w:pPr>
          </w:p>
        </w:tc>
        <w:tc>
          <w:tcPr>
            <w:tcW w:w="1680" w:type="dxa"/>
            <w:vAlign w:val="bottom"/>
          </w:tcPr>
          <w:p>
            <w:pPr>
              <w:spacing w:after="0"/>
              <w:rPr>
                <w:sz w:val="4"/>
                <w:szCs w:val="4"/>
                <w:color w:val="auto"/>
              </w:rPr>
            </w:pPr>
          </w:p>
        </w:tc>
      </w:tr>
      <w:tr>
        <w:trPr>
          <w:trHeight w:val="242"/>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Office Number</w:t>
            </w:r>
          </w:p>
        </w:tc>
        <w:tc>
          <w:tcPr>
            <w:tcW w:w="40" w:type="dxa"/>
            <w:vAlign w:val="bottom"/>
          </w:tcPr>
          <w:p>
            <w:pPr>
              <w:spacing w:after="0"/>
              <w:rPr>
                <w:sz w:val="21"/>
                <w:szCs w:val="21"/>
                <w:color w:val="auto"/>
              </w:rPr>
            </w:pPr>
          </w:p>
        </w:tc>
        <w:tc>
          <w:tcPr>
            <w:tcW w:w="2240" w:type="dxa"/>
            <w:vAlign w:val="bottom"/>
            <w:tcBorders>
              <w:right w:val="single" w:sz="8" w:color="808080"/>
            </w:tcBorders>
          </w:tcPr>
          <w:p>
            <w:pPr>
              <w:jc w:val="center"/>
              <w:spacing w:after="0"/>
              <w:rPr>
                <w:sz w:val="20"/>
                <w:szCs w:val="20"/>
                <w:color w:val="auto"/>
              </w:rPr>
            </w:pPr>
            <w:r>
              <w:rPr>
                <w:rFonts w:ascii="Arial" w:cs="Arial" w:eastAsia="Arial" w:hAnsi="Arial"/>
                <w:sz w:val="14"/>
                <w:szCs w:val="14"/>
                <w:color w:val="auto"/>
              </w:rPr>
              <w:t>No. of People</w:t>
            </w:r>
          </w:p>
        </w:tc>
        <w:tc>
          <w:tcPr>
            <w:tcW w:w="40" w:type="dxa"/>
            <w:vAlign w:val="bottom"/>
          </w:tcPr>
          <w:p>
            <w:pPr>
              <w:spacing w:after="0"/>
              <w:rPr>
                <w:sz w:val="21"/>
                <w:szCs w:val="21"/>
                <w:color w:val="auto"/>
              </w:rPr>
            </w:pPr>
          </w:p>
        </w:tc>
        <w:tc>
          <w:tcPr>
            <w:tcW w:w="2260" w:type="dxa"/>
            <w:vAlign w:val="bottom"/>
            <w:tcBorders>
              <w:right w:val="single" w:sz="8" w:color="808080"/>
            </w:tcBorders>
          </w:tcPr>
          <w:p>
            <w:pPr>
              <w:ind w:left="500"/>
              <w:spacing w:after="0"/>
              <w:rPr>
                <w:sz w:val="20"/>
                <w:szCs w:val="20"/>
                <w:color w:val="auto"/>
              </w:rPr>
            </w:pPr>
            <w:r>
              <w:rPr>
                <w:rFonts w:ascii="Arial" w:cs="Arial" w:eastAsia="Arial" w:hAnsi="Arial"/>
                <w:sz w:val="14"/>
                <w:szCs w:val="14"/>
                <w:color w:val="auto"/>
              </w:rPr>
              <w:t>Monthly Office Fee</w:t>
            </w:r>
          </w:p>
        </w:tc>
        <w:tc>
          <w:tcPr>
            <w:tcW w:w="800" w:type="dxa"/>
            <w:vAlign w:val="bottom"/>
          </w:tcPr>
          <w:p>
            <w:pPr>
              <w:spacing w:after="0"/>
              <w:rPr>
                <w:sz w:val="21"/>
                <w:szCs w:val="21"/>
                <w:color w:val="auto"/>
              </w:rPr>
            </w:pPr>
          </w:p>
        </w:tc>
        <w:tc>
          <w:tcPr>
            <w:tcW w:w="1480" w:type="dxa"/>
            <w:vAlign w:val="bottom"/>
            <w:tcBorders>
              <w:right w:val="single" w:sz="8" w:color="808080"/>
            </w:tcBorders>
          </w:tcPr>
          <w:p>
            <w:pPr>
              <w:jc w:val="right"/>
              <w:ind w:right="808"/>
              <w:spacing w:after="0"/>
              <w:rPr>
                <w:sz w:val="20"/>
                <w:szCs w:val="20"/>
                <w:color w:val="auto"/>
              </w:rPr>
            </w:pPr>
            <w:r>
              <w:rPr>
                <w:rFonts w:ascii="Arial" w:cs="Arial" w:eastAsia="Arial" w:hAnsi="Arial"/>
                <w:sz w:val="14"/>
                <w:szCs w:val="14"/>
                <w:color w:val="auto"/>
              </w:rPr>
              <w:t>Currency</w:t>
            </w:r>
          </w:p>
        </w:tc>
        <w:tc>
          <w:tcPr>
            <w:tcW w:w="1680" w:type="dxa"/>
            <w:vAlign w:val="bottom"/>
          </w:tcPr>
          <w:p>
            <w:pPr>
              <w:spacing w:after="0"/>
              <w:rPr>
                <w:sz w:val="21"/>
                <w:szCs w:val="21"/>
                <w:color w:val="auto"/>
              </w:rPr>
            </w:pPr>
          </w:p>
        </w:tc>
      </w:tr>
      <w:tr>
        <w:trPr>
          <w:trHeight w:val="49"/>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60" w:type="dxa"/>
            <w:vAlign w:val="bottom"/>
            <w:tcBorders>
              <w:bottom w:val="single" w:sz="8" w:color="808080"/>
              <w:right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right w:val="single" w:sz="8" w:color="808080"/>
            </w:tcBorders>
          </w:tcPr>
          <w:p>
            <w:pPr>
              <w:spacing w:after="0"/>
              <w:rPr>
                <w:sz w:val="4"/>
                <w:szCs w:val="4"/>
                <w:color w:val="auto"/>
              </w:rPr>
            </w:pPr>
          </w:p>
        </w:tc>
        <w:tc>
          <w:tcPr>
            <w:tcW w:w="1680" w:type="dxa"/>
            <w:vAlign w:val="bottom"/>
          </w:tcPr>
          <w:p>
            <w:pPr>
              <w:spacing w:after="0"/>
              <w:rPr>
                <w:sz w:val="4"/>
                <w:szCs w:val="4"/>
                <w:color w:val="auto"/>
              </w:rPr>
            </w:pPr>
          </w:p>
        </w:tc>
      </w:tr>
      <w:tr>
        <w:trPr>
          <w:trHeight w:val="242"/>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101</w:t>
            </w:r>
          </w:p>
        </w:tc>
        <w:tc>
          <w:tcPr>
            <w:tcW w:w="2280" w:type="dxa"/>
            <w:vAlign w:val="bottom"/>
            <w:tcBorders>
              <w:right w:val="single" w:sz="8" w:color="808080"/>
            </w:tcBorders>
            <w:gridSpan w:val="2"/>
          </w:tcPr>
          <w:p>
            <w:pPr>
              <w:jc w:val="center"/>
              <w:spacing w:after="0"/>
              <w:rPr>
                <w:sz w:val="20"/>
                <w:szCs w:val="20"/>
                <w:color w:val="auto"/>
              </w:rPr>
            </w:pPr>
            <w:r>
              <w:rPr>
                <w:rFonts w:ascii="Arial" w:cs="Arial" w:eastAsia="Arial" w:hAnsi="Arial"/>
                <w:sz w:val="14"/>
                <w:szCs w:val="14"/>
                <w:color w:val="auto"/>
              </w:rPr>
              <w:t>4</w:t>
            </w:r>
          </w:p>
        </w:tc>
        <w:tc>
          <w:tcPr>
            <w:tcW w:w="2300" w:type="dxa"/>
            <w:vAlign w:val="bottom"/>
            <w:tcBorders>
              <w:right w:val="single" w:sz="8" w:color="808080"/>
            </w:tcBorders>
            <w:gridSpan w:val="2"/>
          </w:tcPr>
          <w:p>
            <w:pPr>
              <w:jc w:val="center"/>
              <w:spacing w:after="0"/>
              <w:rPr>
                <w:sz w:val="20"/>
                <w:szCs w:val="20"/>
                <w:color w:val="auto"/>
              </w:rPr>
            </w:pPr>
            <w:r>
              <w:rPr>
                <w:rFonts w:ascii="Arial" w:cs="Arial" w:eastAsia="Arial" w:hAnsi="Arial"/>
                <w:sz w:val="14"/>
                <w:szCs w:val="14"/>
                <w:color w:val="auto"/>
              </w:rPr>
              <w:t>3,079</w:t>
            </w:r>
          </w:p>
        </w:tc>
        <w:tc>
          <w:tcPr>
            <w:tcW w:w="800" w:type="dxa"/>
            <w:vAlign w:val="bottom"/>
          </w:tcPr>
          <w:p>
            <w:pPr>
              <w:spacing w:after="0"/>
              <w:rPr>
                <w:sz w:val="21"/>
                <w:szCs w:val="21"/>
                <w:color w:val="auto"/>
              </w:rPr>
            </w:pPr>
          </w:p>
        </w:tc>
        <w:tc>
          <w:tcPr>
            <w:tcW w:w="1480" w:type="dxa"/>
            <w:vAlign w:val="bottom"/>
            <w:tcBorders>
              <w:right w:val="single" w:sz="8" w:color="808080"/>
            </w:tcBorders>
          </w:tcPr>
          <w:p>
            <w:pPr>
              <w:spacing w:after="0"/>
              <w:rPr>
                <w:sz w:val="21"/>
                <w:szCs w:val="21"/>
                <w:color w:val="auto"/>
              </w:rPr>
            </w:pPr>
          </w:p>
        </w:tc>
        <w:tc>
          <w:tcPr>
            <w:tcW w:w="1680" w:type="dxa"/>
            <w:vAlign w:val="bottom"/>
          </w:tcPr>
          <w:p>
            <w:pPr>
              <w:spacing w:after="0"/>
              <w:rPr>
                <w:sz w:val="21"/>
                <w:szCs w:val="21"/>
                <w:color w:val="auto"/>
              </w:rPr>
            </w:pPr>
          </w:p>
        </w:tc>
      </w:tr>
      <w:tr>
        <w:trPr>
          <w:trHeight w:val="49"/>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60" w:type="dxa"/>
            <w:vAlign w:val="bottom"/>
            <w:tcBorders>
              <w:bottom w:val="single" w:sz="8" w:color="808080"/>
              <w:right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right w:val="single" w:sz="8" w:color="808080"/>
            </w:tcBorders>
          </w:tcPr>
          <w:p>
            <w:pPr>
              <w:spacing w:after="0"/>
              <w:rPr>
                <w:sz w:val="4"/>
                <w:szCs w:val="4"/>
                <w:color w:val="auto"/>
              </w:rPr>
            </w:pPr>
          </w:p>
        </w:tc>
        <w:tc>
          <w:tcPr>
            <w:tcW w:w="1680" w:type="dxa"/>
            <w:vAlign w:val="bottom"/>
          </w:tcPr>
          <w:p>
            <w:pPr>
              <w:spacing w:after="0"/>
              <w:rPr>
                <w:sz w:val="4"/>
                <w:szCs w:val="4"/>
                <w:color w:val="auto"/>
              </w:rPr>
            </w:pPr>
          </w:p>
        </w:tc>
      </w:tr>
      <w:tr>
        <w:trPr>
          <w:trHeight w:val="291"/>
        </w:trPr>
        <w:tc>
          <w:tcPr>
            <w:tcW w:w="2280" w:type="dxa"/>
            <w:vAlign w:val="bottom"/>
            <w:tcBorders>
              <w:left w:val="single" w:sz="8" w:color="808080"/>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right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right w:val="single" w:sz="8" w:color="808080"/>
            </w:tcBorders>
          </w:tcPr>
          <w:p>
            <w:pPr>
              <w:spacing w:after="0"/>
              <w:rPr>
                <w:sz w:val="24"/>
                <w:szCs w:val="24"/>
                <w:color w:val="auto"/>
              </w:rPr>
            </w:pPr>
          </w:p>
        </w:tc>
        <w:tc>
          <w:tcPr>
            <w:tcW w:w="1680" w:type="dxa"/>
            <w:vAlign w:val="bottom"/>
          </w:tcPr>
          <w:p>
            <w:pPr>
              <w:spacing w:after="0"/>
              <w:rPr>
                <w:sz w:val="24"/>
                <w:szCs w:val="24"/>
                <w:color w:val="auto"/>
              </w:rPr>
            </w:pPr>
          </w:p>
        </w:tc>
      </w:tr>
      <w:tr>
        <w:trPr>
          <w:trHeight w:val="291"/>
        </w:trPr>
        <w:tc>
          <w:tcPr>
            <w:tcW w:w="2280" w:type="dxa"/>
            <w:vAlign w:val="bottom"/>
            <w:tcBorders>
              <w:left w:val="single" w:sz="8" w:color="808080"/>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right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right w:val="single" w:sz="8" w:color="808080"/>
            </w:tcBorders>
          </w:tcPr>
          <w:p>
            <w:pPr>
              <w:spacing w:after="0"/>
              <w:rPr>
                <w:sz w:val="24"/>
                <w:szCs w:val="24"/>
                <w:color w:val="auto"/>
              </w:rPr>
            </w:pPr>
          </w:p>
        </w:tc>
        <w:tc>
          <w:tcPr>
            <w:tcW w:w="1680" w:type="dxa"/>
            <w:vAlign w:val="bottom"/>
          </w:tcPr>
          <w:p>
            <w:pPr>
              <w:spacing w:after="0"/>
              <w:rPr>
                <w:sz w:val="24"/>
                <w:szCs w:val="24"/>
                <w:color w:val="auto"/>
              </w:rPr>
            </w:pPr>
          </w:p>
        </w:tc>
      </w:tr>
      <w:tr>
        <w:trPr>
          <w:trHeight w:val="291"/>
        </w:trPr>
        <w:tc>
          <w:tcPr>
            <w:tcW w:w="2280" w:type="dxa"/>
            <w:vAlign w:val="bottom"/>
            <w:tcBorders>
              <w:left w:val="single" w:sz="8" w:color="808080"/>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right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right w:val="single" w:sz="8" w:color="808080"/>
            </w:tcBorders>
          </w:tcPr>
          <w:p>
            <w:pPr>
              <w:spacing w:after="0"/>
              <w:rPr>
                <w:sz w:val="24"/>
                <w:szCs w:val="24"/>
                <w:color w:val="auto"/>
              </w:rPr>
            </w:pPr>
          </w:p>
        </w:tc>
        <w:tc>
          <w:tcPr>
            <w:tcW w:w="1680" w:type="dxa"/>
            <w:vAlign w:val="bottom"/>
          </w:tcPr>
          <w:p>
            <w:pPr>
              <w:spacing w:after="0"/>
              <w:rPr>
                <w:sz w:val="24"/>
                <w:szCs w:val="24"/>
                <w:color w:val="auto"/>
              </w:rPr>
            </w:pPr>
          </w:p>
        </w:tc>
      </w:tr>
      <w:tr>
        <w:trPr>
          <w:trHeight w:val="291"/>
        </w:trPr>
        <w:tc>
          <w:tcPr>
            <w:tcW w:w="2280" w:type="dxa"/>
            <w:vAlign w:val="bottom"/>
            <w:tcBorders>
              <w:left w:val="single" w:sz="8" w:color="808080"/>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right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right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right w:val="single" w:sz="8" w:color="808080"/>
            </w:tcBorders>
          </w:tcPr>
          <w:p>
            <w:pPr>
              <w:spacing w:after="0"/>
              <w:rPr>
                <w:sz w:val="24"/>
                <w:szCs w:val="24"/>
                <w:color w:val="auto"/>
              </w:rPr>
            </w:pPr>
          </w:p>
        </w:tc>
        <w:tc>
          <w:tcPr>
            <w:tcW w:w="1680" w:type="dxa"/>
            <w:vAlign w:val="bottom"/>
          </w:tcPr>
          <w:p>
            <w:pPr>
              <w:spacing w:after="0"/>
              <w:rPr>
                <w:sz w:val="24"/>
                <w:szCs w:val="24"/>
                <w:color w:val="auto"/>
              </w:rPr>
            </w:pPr>
          </w:p>
        </w:tc>
      </w:tr>
      <w:tr>
        <w:trPr>
          <w:trHeight w:val="242"/>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Total per Month</w:t>
            </w:r>
          </w:p>
        </w:tc>
        <w:tc>
          <w:tcPr>
            <w:tcW w:w="2280" w:type="dxa"/>
            <w:vAlign w:val="bottom"/>
            <w:tcBorders>
              <w:right w:val="single" w:sz="8" w:color="808080"/>
            </w:tcBorders>
            <w:gridSpan w:val="2"/>
          </w:tcPr>
          <w:p>
            <w:pPr>
              <w:jc w:val="center"/>
              <w:spacing w:after="0"/>
              <w:rPr>
                <w:sz w:val="20"/>
                <w:szCs w:val="20"/>
                <w:color w:val="auto"/>
              </w:rPr>
            </w:pPr>
            <w:r>
              <w:rPr>
                <w:rFonts w:ascii="Arial" w:cs="Arial" w:eastAsia="Arial" w:hAnsi="Arial"/>
                <w:sz w:val="14"/>
                <w:szCs w:val="14"/>
                <w:color w:val="auto"/>
              </w:rPr>
              <w:t>4</w:t>
            </w:r>
          </w:p>
        </w:tc>
        <w:tc>
          <w:tcPr>
            <w:tcW w:w="2300" w:type="dxa"/>
            <w:vAlign w:val="bottom"/>
            <w:tcBorders>
              <w:right w:val="single" w:sz="8" w:color="808080"/>
            </w:tcBorders>
            <w:gridSpan w:val="2"/>
          </w:tcPr>
          <w:p>
            <w:pPr>
              <w:jc w:val="center"/>
              <w:spacing w:after="0"/>
              <w:rPr>
                <w:sz w:val="20"/>
                <w:szCs w:val="20"/>
                <w:color w:val="auto"/>
              </w:rPr>
            </w:pPr>
            <w:r>
              <w:rPr>
                <w:rFonts w:ascii="Arial" w:cs="Arial" w:eastAsia="Arial" w:hAnsi="Arial"/>
                <w:sz w:val="14"/>
                <w:szCs w:val="14"/>
                <w:color w:val="auto"/>
              </w:rPr>
              <w:t>3,079</w:t>
            </w:r>
          </w:p>
        </w:tc>
        <w:tc>
          <w:tcPr>
            <w:tcW w:w="800" w:type="dxa"/>
            <w:vAlign w:val="bottom"/>
          </w:tcPr>
          <w:p>
            <w:pPr>
              <w:spacing w:after="0"/>
              <w:rPr>
                <w:sz w:val="21"/>
                <w:szCs w:val="21"/>
                <w:color w:val="auto"/>
              </w:rPr>
            </w:pPr>
          </w:p>
        </w:tc>
        <w:tc>
          <w:tcPr>
            <w:tcW w:w="1480" w:type="dxa"/>
            <w:vAlign w:val="bottom"/>
            <w:tcBorders>
              <w:right w:val="single" w:sz="8" w:color="808080"/>
            </w:tcBorders>
          </w:tcPr>
          <w:p>
            <w:pPr>
              <w:spacing w:after="0"/>
              <w:rPr>
                <w:sz w:val="21"/>
                <w:szCs w:val="21"/>
                <w:color w:val="auto"/>
              </w:rPr>
            </w:pPr>
          </w:p>
        </w:tc>
        <w:tc>
          <w:tcPr>
            <w:tcW w:w="1680" w:type="dxa"/>
            <w:vAlign w:val="bottom"/>
          </w:tcPr>
          <w:p>
            <w:pPr>
              <w:spacing w:after="0"/>
              <w:rPr>
                <w:sz w:val="21"/>
                <w:szCs w:val="21"/>
                <w:color w:val="auto"/>
              </w:rPr>
            </w:pPr>
          </w:p>
        </w:tc>
      </w:tr>
      <w:tr>
        <w:trPr>
          <w:trHeight w:val="49"/>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60" w:type="dxa"/>
            <w:vAlign w:val="bottom"/>
            <w:tcBorders>
              <w:bottom w:val="single" w:sz="8" w:color="808080"/>
              <w:right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right w:val="single" w:sz="8" w:color="808080"/>
            </w:tcBorders>
          </w:tcPr>
          <w:p>
            <w:pPr>
              <w:spacing w:after="0"/>
              <w:rPr>
                <w:sz w:val="4"/>
                <w:szCs w:val="4"/>
                <w:color w:val="auto"/>
              </w:rPr>
            </w:pPr>
          </w:p>
        </w:tc>
        <w:tc>
          <w:tcPr>
            <w:tcW w:w="1680" w:type="dxa"/>
            <w:vAlign w:val="bottom"/>
          </w:tcPr>
          <w:p>
            <w:pPr>
              <w:spacing w:after="0"/>
              <w:rPr>
                <w:sz w:val="4"/>
                <w:szCs w:val="4"/>
                <w:color w:val="auto"/>
              </w:rPr>
            </w:pPr>
          </w:p>
        </w:tc>
      </w:tr>
      <w:tr>
        <w:trPr>
          <w:trHeight w:val="115"/>
        </w:trPr>
        <w:tc>
          <w:tcPr>
            <w:tcW w:w="22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80" w:type="dxa"/>
            <w:vAlign w:val="bottom"/>
          </w:tcPr>
          <w:p>
            <w:pPr>
              <w:spacing w:after="0"/>
              <w:rPr>
                <w:sz w:val="10"/>
                <w:szCs w:val="10"/>
                <w:color w:val="auto"/>
              </w:rPr>
            </w:pPr>
          </w:p>
        </w:tc>
      </w:tr>
      <w:tr>
        <w:trPr>
          <w:trHeight w:val="242"/>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Initial Payment</w:t>
            </w:r>
          </w:p>
        </w:tc>
        <w:tc>
          <w:tcPr>
            <w:tcW w:w="40" w:type="dxa"/>
            <w:vAlign w:val="bottom"/>
          </w:tcPr>
          <w:p>
            <w:pPr>
              <w:spacing w:after="0"/>
              <w:rPr>
                <w:sz w:val="21"/>
                <w:szCs w:val="21"/>
                <w:color w:val="auto"/>
              </w:rPr>
            </w:pPr>
          </w:p>
        </w:tc>
        <w:tc>
          <w:tcPr>
            <w:tcW w:w="2240" w:type="dxa"/>
            <w:vAlign w:val="bottom"/>
          </w:tcPr>
          <w:p>
            <w:pPr>
              <w:ind w:left="20"/>
              <w:spacing w:after="0"/>
              <w:rPr>
                <w:sz w:val="20"/>
                <w:szCs w:val="20"/>
                <w:color w:val="auto"/>
              </w:rPr>
            </w:pPr>
            <w:r>
              <w:rPr>
                <w:rFonts w:ascii="Arial" w:cs="Arial" w:eastAsia="Arial" w:hAnsi="Arial"/>
                <w:sz w:val="14"/>
                <w:szCs w:val="14"/>
                <w:color w:val="auto"/>
              </w:rPr>
              <w:t>First Month’s Fee</w:t>
            </w:r>
          </w:p>
        </w:tc>
        <w:tc>
          <w:tcPr>
            <w:tcW w:w="40" w:type="dxa"/>
            <w:vAlign w:val="bottom"/>
          </w:tcPr>
          <w:p>
            <w:pPr>
              <w:spacing w:after="0"/>
              <w:rPr>
                <w:sz w:val="21"/>
                <w:szCs w:val="21"/>
                <w:color w:val="auto"/>
              </w:rPr>
            </w:pPr>
          </w:p>
        </w:tc>
        <w:tc>
          <w:tcPr>
            <w:tcW w:w="2260" w:type="dxa"/>
            <w:vAlign w:val="bottom"/>
            <w:tcBorders>
              <w:right w:val="single" w:sz="8" w:color="808080"/>
            </w:tcBorders>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3079.00</w:t>
            </w:r>
          </w:p>
        </w:tc>
        <w:tc>
          <w:tcPr>
            <w:tcW w:w="1680" w:type="dxa"/>
            <w:vAlign w:val="bottom"/>
          </w:tcPr>
          <w:p>
            <w:pPr>
              <w:spacing w:after="0"/>
              <w:rPr>
                <w:sz w:val="21"/>
                <w:szCs w:val="21"/>
                <w:color w:val="auto"/>
              </w:rPr>
            </w:pPr>
          </w:p>
        </w:tc>
      </w:tr>
      <w:tr>
        <w:trPr>
          <w:trHeight w:val="49"/>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60" w:type="dxa"/>
            <w:vAlign w:val="bottom"/>
            <w:tcBorders>
              <w:bottom w:val="single" w:sz="8" w:color="808080"/>
              <w:right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right w:val="single" w:sz="8" w:color="808080"/>
            </w:tcBorders>
          </w:tcPr>
          <w:p>
            <w:pPr>
              <w:spacing w:after="0"/>
              <w:rPr>
                <w:sz w:val="4"/>
                <w:szCs w:val="4"/>
                <w:color w:val="auto"/>
              </w:rPr>
            </w:pPr>
          </w:p>
        </w:tc>
        <w:tc>
          <w:tcPr>
            <w:tcW w:w="1680" w:type="dxa"/>
            <w:vAlign w:val="bottom"/>
          </w:tcPr>
          <w:p>
            <w:pPr>
              <w:spacing w:after="0"/>
              <w:rPr>
                <w:sz w:val="4"/>
                <w:szCs w:val="4"/>
                <w:color w:val="auto"/>
              </w:rPr>
            </w:pPr>
          </w:p>
        </w:tc>
      </w:tr>
      <w:tr>
        <w:trPr>
          <w:trHeight w:val="242"/>
        </w:trPr>
        <w:tc>
          <w:tcPr>
            <w:tcW w:w="2280" w:type="dxa"/>
            <w:vAlign w:val="bottom"/>
            <w:tcBorders>
              <w:left w:val="single" w:sz="8" w:color="808080"/>
              <w:right w:val="single" w:sz="8" w:color="808080"/>
            </w:tcBorders>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tcBorders>
              <w:right w:val="single" w:sz="8" w:color="808080"/>
            </w:tcBorders>
          </w:tcPr>
          <w:p>
            <w:pPr>
              <w:ind w:left="20"/>
              <w:spacing w:after="0"/>
              <w:rPr>
                <w:sz w:val="20"/>
                <w:szCs w:val="20"/>
                <w:color w:val="auto"/>
              </w:rPr>
            </w:pPr>
            <w:r>
              <w:rPr>
                <w:rFonts w:ascii="Arial" w:cs="Arial" w:eastAsia="Arial" w:hAnsi="Arial"/>
                <w:sz w:val="14"/>
                <w:szCs w:val="14"/>
                <w:color w:val="auto"/>
              </w:rPr>
              <w:t>Service Retainer</w:t>
            </w:r>
          </w:p>
        </w:tc>
        <w:tc>
          <w:tcPr>
            <w:tcW w:w="2300" w:type="dxa"/>
            <w:vAlign w:val="bottom"/>
            <w:tcBorders>
              <w:right w:val="single" w:sz="8" w:color="808080"/>
            </w:tcBorders>
            <w:gridSpan w:val="2"/>
          </w:tcPr>
          <w:p>
            <w:pPr>
              <w:jc w:val="center"/>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21"/>
                <w:szCs w:val="21"/>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3,079</w:t>
            </w:r>
          </w:p>
        </w:tc>
        <w:tc>
          <w:tcPr>
            <w:tcW w:w="1680" w:type="dxa"/>
            <w:vAlign w:val="bottom"/>
          </w:tcPr>
          <w:p>
            <w:pPr>
              <w:spacing w:after="0"/>
              <w:rPr>
                <w:sz w:val="21"/>
                <w:szCs w:val="21"/>
                <w:color w:val="auto"/>
              </w:rPr>
            </w:pPr>
          </w:p>
        </w:tc>
      </w:tr>
      <w:tr>
        <w:trPr>
          <w:trHeight w:val="49"/>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60" w:type="dxa"/>
            <w:vAlign w:val="bottom"/>
            <w:tcBorders>
              <w:bottom w:val="single" w:sz="8" w:color="808080"/>
              <w:right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right w:val="single" w:sz="8" w:color="808080"/>
            </w:tcBorders>
          </w:tcPr>
          <w:p>
            <w:pPr>
              <w:spacing w:after="0"/>
              <w:rPr>
                <w:sz w:val="4"/>
                <w:szCs w:val="4"/>
                <w:color w:val="auto"/>
              </w:rPr>
            </w:pPr>
          </w:p>
        </w:tc>
        <w:tc>
          <w:tcPr>
            <w:tcW w:w="1680" w:type="dxa"/>
            <w:vAlign w:val="bottom"/>
          </w:tcPr>
          <w:p>
            <w:pPr>
              <w:spacing w:after="0"/>
              <w:rPr>
                <w:sz w:val="4"/>
                <w:szCs w:val="4"/>
                <w:color w:val="auto"/>
              </w:rPr>
            </w:pPr>
          </w:p>
        </w:tc>
      </w:tr>
      <w:tr>
        <w:trPr>
          <w:trHeight w:val="242"/>
        </w:trPr>
        <w:tc>
          <w:tcPr>
            <w:tcW w:w="2280" w:type="dxa"/>
            <w:vAlign w:val="bottom"/>
            <w:tcBorders>
              <w:left w:val="single" w:sz="8" w:color="808080"/>
              <w:right w:val="single" w:sz="8" w:color="808080"/>
            </w:tcBorders>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tcBorders>
              <w:right w:val="single" w:sz="8" w:color="808080"/>
            </w:tcBorders>
          </w:tcPr>
          <w:p>
            <w:pPr>
              <w:ind w:left="20"/>
              <w:spacing w:after="0"/>
              <w:rPr>
                <w:sz w:val="20"/>
                <w:szCs w:val="20"/>
                <w:color w:val="auto"/>
              </w:rPr>
            </w:pPr>
            <w:r>
              <w:rPr>
                <w:rFonts w:ascii="Arial" w:cs="Arial" w:eastAsia="Arial" w:hAnsi="Arial"/>
                <w:sz w:val="14"/>
                <w:szCs w:val="14"/>
                <w:color w:val="auto"/>
              </w:rPr>
              <w:t>Total Initial Payment</w:t>
            </w:r>
          </w:p>
        </w:tc>
        <w:tc>
          <w:tcPr>
            <w:tcW w:w="40" w:type="dxa"/>
            <w:vAlign w:val="bottom"/>
          </w:tcPr>
          <w:p>
            <w:pPr>
              <w:spacing w:after="0"/>
              <w:rPr>
                <w:sz w:val="21"/>
                <w:szCs w:val="21"/>
                <w:color w:val="auto"/>
              </w:rPr>
            </w:pPr>
          </w:p>
        </w:tc>
        <w:tc>
          <w:tcPr>
            <w:tcW w:w="2260" w:type="dxa"/>
            <w:vAlign w:val="bottom"/>
            <w:tcBorders>
              <w:right w:val="single" w:sz="8" w:color="808080"/>
            </w:tcBorders>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6158.00</w:t>
            </w:r>
          </w:p>
        </w:tc>
        <w:tc>
          <w:tcPr>
            <w:tcW w:w="1680" w:type="dxa"/>
            <w:vAlign w:val="bottom"/>
          </w:tcPr>
          <w:p>
            <w:pPr>
              <w:spacing w:after="0"/>
              <w:rPr>
                <w:sz w:val="21"/>
                <w:szCs w:val="21"/>
                <w:color w:val="auto"/>
              </w:rPr>
            </w:pPr>
          </w:p>
        </w:tc>
      </w:tr>
      <w:tr>
        <w:trPr>
          <w:trHeight w:val="49"/>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60" w:type="dxa"/>
            <w:vAlign w:val="bottom"/>
            <w:tcBorders>
              <w:bottom w:val="single" w:sz="8" w:color="808080"/>
              <w:right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right w:val="single" w:sz="8" w:color="808080"/>
            </w:tcBorders>
          </w:tcPr>
          <w:p>
            <w:pPr>
              <w:spacing w:after="0"/>
              <w:rPr>
                <w:sz w:val="4"/>
                <w:szCs w:val="4"/>
                <w:color w:val="auto"/>
              </w:rPr>
            </w:pPr>
          </w:p>
        </w:tc>
        <w:tc>
          <w:tcPr>
            <w:tcW w:w="1680" w:type="dxa"/>
            <w:vAlign w:val="bottom"/>
          </w:tcPr>
          <w:p>
            <w:pPr>
              <w:spacing w:after="0"/>
              <w:rPr>
                <w:sz w:val="4"/>
                <w:szCs w:val="4"/>
                <w:color w:val="auto"/>
              </w:rPr>
            </w:pPr>
          </w:p>
        </w:tc>
      </w:tr>
      <w:tr>
        <w:trPr>
          <w:trHeight w:val="115"/>
        </w:trPr>
        <w:tc>
          <w:tcPr>
            <w:tcW w:w="22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80" w:type="dxa"/>
            <w:vAlign w:val="bottom"/>
          </w:tcPr>
          <w:p>
            <w:pPr>
              <w:spacing w:after="0"/>
              <w:rPr>
                <w:sz w:val="10"/>
                <w:szCs w:val="10"/>
                <w:color w:val="auto"/>
              </w:rPr>
            </w:pPr>
          </w:p>
        </w:tc>
      </w:tr>
      <w:tr>
        <w:trPr>
          <w:trHeight w:val="242"/>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Monthly Payment</w:t>
            </w:r>
          </w:p>
        </w:tc>
        <w:tc>
          <w:tcPr>
            <w:tcW w:w="2280" w:type="dxa"/>
            <w:vAlign w:val="bottom"/>
            <w:gridSpan w:val="2"/>
          </w:tcPr>
          <w:p>
            <w:pPr>
              <w:spacing w:after="0"/>
              <w:rPr>
                <w:sz w:val="20"/>
                <w:szCs w:val="20"/>
                <w:color w:val="auto"/>
              </w:rPr>
            </w:pPr>
            <w:r>
              <w:rPr>
                <w:rFonts w:ascii="Arial" w:cs="Arial" w:eastAsia="Arial" w:hAnsi="Arial"/>
                <w:sz w:val="14"/>
                <w:szCs w:val="14"/>
                <w:color w:val="auto"/>
              </w:rPr>
              <w:t>Total Monthly Payment Thereafter</w:t>
            </w:r>
          </w:p>
        </w:tc>
        <w:tc>
          <w:tcPr>
            <w:tcW w:w="40" w:type="dxa"/>
            <w:vAlign w:val="bottom"/>
          </w:tcPr>
          <w:p>
            <w:pPr>
              <w:spacing w:after="0"/>
              <w:rPr>
                <w:sz w:val="21"/>
                <w:szCs w:val="21"/>
                <w:color w:val="auto"/>
              </w:rPr>
            </w:pPr>
          </w:p>
        </w:tc>
        <w:tc>
          <w:tcPr>
            <w:tcW w:w="2260" w:type="dxa"/>
            <w:vAlign w:val="bottom"/>
            <w:tcBorders>
              <w:right w:val="single" w:sz="8" w:color="808080"/>
            </w:tcBorders>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3,079</w:t>
            </w:r>
          </w:p>
        </w:tc>
        <w:tc>
          <w:tcPr>
            <w:tcW w:w="1680" w:type="dxa"/>
            <w:vAlign w:val="bottom"/>
          </w:tcPr>
          <w:p>
            <w:pPr>
              <w:spacing w:after="0"/>
              <w:rPr>
                <w:sz w:val="21"/>
                <w:szCs w:val="21"/>
                <w:color w:val="auto"/>
              </w:rPr>
            </w:pPr>
          </w:p>
        </w:tc>
      </w:tr>
      <w:tr>
        <w:trPr>
          <w:trHeight w:val="49"/>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60" w:type="dxa"/>
            <w:vAlign w:val="bottom"/>
            <w:tcBorders>
              <w:bottom w:val="single" w:sz="8" w:color="808080"/>
              <w:right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right w:val="single" w:sz="8" w:color="808080"/>
            </w:tcBorders>
          </w:tcPr>
          <w:p>
            <w:pPr>
              <w:spacing w:after="0"/>
              <w:rPr>
                <w:sz w:val="4"/>
                <w:szCs w:val="4"/>
                <w:color w:val="auto"/>
              </w:rPr>
            </w:pPr>
          </w:p>
        </w:tc>
        <w:tc>
          <w:tcPr>
            <w:tcW w:w="1680" w:type="dxa"/>
            <w:vAlign w:val="bottom"/>
          </w:tcPr>
          <w:p>
            <w:pPr>
              <w:spacing w:after="0"/>
              <w:rPr>
                <w:sz w:val="4"/>
                <w:szCs w:val="4"/>
                <w:color w:val="auto"/>
              </w:rPr>
            </w:pPr>
          </w:p>
        </w:tc>
      </w:tr>
      <w:tr>
        <w:trPr>
          <w:trHeight w:val="88"/>
        </w:trPr>
        <w:tc>
          <w:tcPr>
            <w:tcW w:w="22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480" w:type="dxa"/>
            <w:vAlign w:val="bottom"/>
            <w:tcBorders>
              <w:bottom w:val="single" w:sz="8" w:color="808080"/>
            </w:tcBorders>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r>
      <w:tr>
        <w:trPr>
          <w:trHeight w:val="235"/>
        </w:trPr>
        <w:tc>
          <w:tcPr>
            <w:tcW w:w="2280" w:type="dxa"/>
            <w:vAlign w:val="bottom"/>
            <w:tcBorders>
              <w:left w:val="single" w:sz="8" w:color="808080"/>
            </w:tcBorders>
          </w:tcPr>
          <w:p>
            <w:pPr>
              <w:ind w:left="140"/>
              <w:spacing w:after="0"/>
              <w:rPr>
                <w:sz w:val="20"/>
                <w:szCs w:val="20"/>
                <w:color w:val="auto"/>
              </w:rPr>
            </w:pPr>
            <w:r>
              <w:rPr>
                <w:rFonts w:ascii="Arial" w:cs="Arial" w:eastAsia="Arial" w:hAnsi="Arial"/>
                <w:sz w:val="14"/>
                <w:szCs w:val="14"/>
                <w:b w:val="1"/>
                <w:bCs w:val="1"/>
                <w:color w:val="auto"/>
              </w:rPr>
              <w:t>Service Provision</w:t>
            </w:r>
          </w:p>
        </w:tc>
        <w:tc>
          <w:tcPr>
            <w:tcW w:w="40" w:type="dxa"/>
            <w:vAlign w:val="bottom"/>
            <w:tcBorders>
              <w:right w:val="single" w:sz="8" w:color="808080"/>
            </w:tcBorders>
          </w:tcPr>
          <w:p>
            <w:pPr>
              <w:spacing w:after="0"/>
              <w:rPr>
                <w:sz w:val="20"/>
                <w:szCs w:val="20"/>
                <w:color w:val="auto"/>
              </w:rPr>
            </w:pPr>
          </w:p>
        </w:tc>
        <w:tc>
          <w:tcPr>
            <w:tcW w:w="2240" w:type="dxa"/>
            <w:vAlign w:val="bottom"/>
          </w:tcPr>
          <w:p>
            <w:pPr>
              <w:ind w:left="120"/>
              <w:spacing w:after="0"/>
              <w:rPr>
                <w:sz w:val="20"/>
                <w:szCs w:val="20"/>
                <w:color w:val="auto"/>
              </w:rPr>
            </w:pPr>
            <w:r>
              <w:rPr>
                <w:rFonts w:ascii="Arial" w:cs="Arial" w:eastAsia="Arial" w:hAnsi="Arial"/>
                <w:sz w:val="14"/>
                <w:szCs w:val="14"/>
                <w:color w:val="auto"/>
              </w:rPr>
              <w:t>Start Date</w:t>
            </w:r>
          </w:p>
        </w:tc>
        <w:tc>
          <w:tcPr>
            <w:tcW w:w="40" w:type="dxa"/>
            <w:vAlign w:val="bottom"/>
            <w:tcBorders>
              <w:right w:val="single" w:sz="8" w:color="808080"/>
            </w:tcBorders>
          </w:tcPr>
          <w:p>
            <w:pPr>
              <w:spacing w:after="0"/>
              <w:rPr>
                <w:sz w:val="20"/>
                <w:szCs w:val="20"/>
                <w:color w:val="auto"/>
              </w:rPr>
            </w:pPr>
          </w:p>
        </w:tc>
        <w:tc>
          <w:tcPr>
            <w:tcW w:w="2260" w:type="dxa"/>
            <w:vAlign w:val="bottom"/>
            <w:tcBorders>
              <w:right w:val="single" w:sz="8" w:color="808080"/>
            </w:tcBorders>
          </w:tcPr>
          <w:p>
            <w:pPr>
              <w:ind w:left="120"/>
              <w:spacing w:after="0"/>
              <w:rPr>
                <w:sz w:val="20"/>
                <w:szCs w:val="20"/>
                <w:color w:val="auto"/>
              </w:rPr>
            </w:pPr>
            <w:r>
              <w:rPr>
                <w:rFonts w:ascii="Arial" w:cs="Arial" w:eastAsia="Arial" w:hAnsi="Arial"/>
                <w:sz w:val="14"/>
                <w:szCs w:val="14"/>
                <w:color w:val="auto"/>
              </w:rPr>
              <w:t>01 May 2019</w:t>
            </w:r>
          </w:p>
        </w:tc>
        <w:tc>
          <w:tcPr>
            <w:tcW w:w="800" w:type="dxa"/>
            <w:vAlign w:val="bottom"/>
          </w:tcPr>
          <w:p>
            <w:pPr>
              <w:ind w:left="140"/>
              <w:spacing w:after="0"/>
              <w:rPr>
                <w:sz w:val="20"/>
                <w:szCs w:val="20"/>
                <w:color w:val="auto"/>
              </w:rPr>
            </w:pPr>
            <w:r>
              <w:rPr>
                <w:rFonts w:ascii="Arial" w:cs="Arial" w:eastAsia="Arial" w:hAnsi="Arial"/>
                <w:sz w:val="14"/>
                <w:szCs w:val="14"/>
                <w:color w:val="auto"/>
              </w:rPr>
              <w:t>End Date*</w:t>
            </w:r>
          </w:p>
        </w:tc>
        <w:tc>
          <w:tcPr>
            <w:tcW w:w="1480" w:type="dxa"/>
            <w:vAlign w:val="bottom"/>
            <w:tcBorders>
              <w:right w:val="single" w:sz="8" w:color="808080"/>
            </w:tcBorders>
          </w:tcPr>
          <w:p>
            <w:pPr>
              <w:spacing w:after="0"/>
              <w:rPr>
                <w:sz w:val="20"/>
                <w:szCs w:val="20"/>
                <w:color w:val="auto"/>
              </w:rPr>
            </w:pPr>
          </w:p>
        </w:tc>
        <w:tc>
          <w:tcPr>
            <w:tcW w:w="168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30 April 2020</w:t>
            </w:r>
          </w:p>
        </w:tc>
      </w:tr>
      <w:tr>
        <w:trPr>
          <w:trHeight w:val="43"/>
        </w:trPr>
        <w:tc>
          <w:tcPr>
            <w:tcW w:w="2280" w:type="dxa"/>
            <w:vAlign w:val="bottom"/>
            <w:tcBorders>
              <w:left w:val="single" w:sz="8" w:color="808080"/>
              <w:bottom w:val="single" w:sz="8" w:color="808080"/>
            </w:tcBorders>
          </w:tcPr>
          <w:p>
            <w:pPr>
              <w:spacing w:after="0"/>
              <w:rPr>
                <w:sz w:val="3"/>
                <w:szCs w:val="3"/>
                <w:color w:val="auto"/>
              </w:rPr>
            </w:pPr>
          </w:p>
        </w:tc>
        <w:tc>
          <w:tcPr>
            <w:tcW w:w="40" w:type="dxa"/>
            <w:vAlign w:val="bottom"/>
            <w:tcBorders>
              <w:bottom w:val="single" w:sz="8" w:color="808080"/>
              <w:right w:val="single" w:sz="8" w:color="808080"/>
            </w:tcBorders>
          </w:tcPr>
          <w:p>
            <w:pPr>
              <w:spacing w:after="0"/>
              <w:rPr>
                <w:sz w:val="3"/>
                <w:szCs w:val="3"/>
                <w:color w:val="auto"/>
              </w:rPr>
            </w:pPr>
          </w:p>
        </w:tc>
        <w:tc>
          <w:tcPr>
            <w:tcW w:w="2240" w:type="dxa"/>
            <w:vAlign w:val="bottom"/>
            <w:tcBorders>
              <w:bottom w:val="single" w:sz="8" w:color="808080"/>
            </w:tcBorders>
          </w:tcPr>
          <w:p>
            <w:pPr>
              <w:spacing w:after="0"/>
              <w:rPr>
                <w:sz w:val="3"/>
                <w:szCs w:val="3"/>
                <w:color w:val="auto"/>
              </w:rPr>
            </w:pPr>
          </w:p>
        </w:tc>
        <w:tc>
          <w:tcPr>
            <w:tcW w:w="40" w:type="dxa"/>
            <w:vAlign w:val="bottom"/>
            <w:tcBorders>
              <w:bottom w:val="single" w:sz="8" w:color="808080"/>
              <w:right w:val="single" w:sz="8" w:color="808080"/>
            </w:tcBorders>
          </w:tcPr>
          <w:p>
            <w:pPr>
              <w:spacing w:after="0"/>
              <w:rPr>
                <w:sz w:val="3"/>
                <w:szCs w:val="3"/>
                <w:color w:val="auto"/>
              </w:rPr>
            </w:pPr>
          </w:p>
        </w:tc>
        <w:tc>
          <w:tcPr>
            <w:tcW w:w="2260" w:type="dxa"/>
            <w:vAlign w:val="bottom"/>
            <w:tcBorders>
              <w:bottom w:val="single" w:sz="8" w:color="808080"/>
              <w:right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480" w:type="dxa"/>
            <w:vAlign w:val="bottom"/>
            <w:tcBorders>
              <w:bottom w:val="single" w:sz="8" w:color="808080"/>
              <w:right w:val="single" w:sz="8" w:color="808080"/>
            </w:tcBorders>
          </w:tcPr>
          <w:p>
            <w:pPr>
              <w:spacing w:after="0"/>
              <w:rPr>
                <w:sz w:val="3"/>
                <w:szCs w:val="3"/>
                <w:color w:val="auto"/>
              </w:rPr>
            </w:pPr>
          </w:p>
        </w:tc>
        <w:tc>
          <w:tcPr>
            <w:tcW w:w="1680" w:type="dxa"/>
            <w:vAlign w:val="bottom"/>
            <w:tcBorders>
              <w:bottom w:val="single" w:sz="8" w:color="808080"/>
              <w:right w:val="single" w:sz="8" w:color="808080"/>
            </w:tcBorders>
          </w:tcPr>
          <w:p>
            <w:pPr>
              <w:spacing w:after="0"/>
              <w:rPr>
                <w:sz w:val="3"/>
                <w:szCs w:val="3"/>
                <w:color w:val="auto"/>
              </w:rPr>
            </w:pPr>
          </w:p>
        </w:tc>
      </w:tr>
    </w:tbl>
    <w:p>
      <w:pPr>
        <w:spacing w:after="0" w:line="81" w:lineRule="exact"/>
        <w:rPr>
          <w:sz w:val="20"/>
          <w:szCs w:val="20"/>
          <w:color w:val="auto"/>
        </w:rPr>
      </w:pPr>
    </w:p>
    <w:p>
      <w:pPr>
        <w:ind w:left="6"/>
        <w:spacing w:after="0"/>
        <w:rPr>
          <w:sz w:val="20"/>
          <w:szCs w:val="20"/>
          <w:color w:val="auto"/>
        </w:rPr>
      </w:pPr>
      <w:r>
        <w:rPr>
          <w:rFonts w:ascii="Arial" w:cs="Arial" w:eastAsia="Arial" w:hAnsi="Arial"/>
          <w:sz w:val="14"/>
          <w:szCs w:val="14"/>
          <w:b w:val="1"/>
          <w:bCs w:val="1"/>
          <w:i w:val="1"/>
          <w:iCs w:val="1"/>
          <w:color w:val="auto"/>
        </w:rPr>
        <w:t>*  All agreements end on the last calendar day of the month.</w:t>
      </w:r>
    </w:p>
    <w:p>
      <w:pPr>
        <w:spacing w:after="0" w:line="109" w:lineRule="exact"/>
        <w:rPr>
          <w:sz w:val="20"/>
          <w:szCs w:val="20"/>
          <w:color w:val="auto"/>
        </w:rPr>
      </w:pPr>
    </w:p>
    <w:p>
      <w:pPr>
        <w:ind w:left="6"/>
        <w:spacing w:after="0"/>
        <w:rPr>
          <w:sz w:val="20"/>
          <w:szCs w:val="20"/>
          <w:color w:val="auto"/>
        </w:rPr>
      </w:pPr>
      <w:r>
        <w:rPr>
          <w:rFonts w:ascii="Arial" w:cs="Arial" w:eastAsia="Arial" w:hAnsi="Arial"/>
          <w:sz w:val="14"/>
          <w:szCs w:val="14"/>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877685" cy="4457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77685" cy="445770"/>
                    </a:xfrm>
                    <a:prstGeom prst="rect">
                      <a:avLst/>
                    </a:prstGeom>
                    <a:noFill/>
                  </pic:spPr>
                </pic:pic>
              </a:graphicData>
            </a:graphic>
          </wp:anchor>
        </w:drawing>
      </w:r>
    </w:p>
    <w:p>
      <w:pPr>
        <w:spacing w:after="0" w:line="62" w:lineRule="exact"/>
        <w:rPr>
          <w:sz w:val="20"/>
          <w:szCs w:val="20"/>
          <w:color w:val="auto"/>
        </w:rPr>
      </w:pPr>
    </w:p>
    <w:p>
      <w:pPr>
        <w:ind w:left="46"/>
        <w:spacing w:after="0"/>
        <w:rPr>
          <w:sz w:val="20"/>
          <w:szCs w:val="20"/>
          <w:color w:val="auto"/>
        </w:rPr>
      </w:pPr>
      <w:r>
        <w:rPr>
          <w:rFonts w:ascii="Arial" w:cs="Arial" w:eastAsia="Arial" w:hAnsi="Arial"/>
          <w:sz w:val="14"/>
          <w:szCs w:val="14"/>
          <w:b w:val="1"/>
          <w:bCs w:val="1"/>
          <w:i w:val="1"/>
          <w:iCs w:val="1"/>
          <w:color w:val="auto"/>
        </w:rPr>
        <w:t>Client moving from Pembroke street offices 308 &amp; 309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4"/>
          <w:szCs w:val="14"/>
          <w:color w:val="auto"/>
        </w:rPr>
        <w:t>We are [Regus CME Ireland LTD], (“the Provider”).</w:t>
      </w:r>
    </w:p>
    <w:p>
      <w:pPr>
        <w:spacing w:after="0" w:line="19" w:lineRule="exact"/>
        <w:rPr>
          <w:sz w:val="20"/>
          <w:szCs w:val="20"/>
          <w:color w:val="auto"/>
        </w:rPr>
      </w:pPr>
    </w:p>
    <w:p>
      <w:pPr>
        <w:ind w:left="6" w:right="60"/>
        <w:spacing w:after="0" w:line="252" w:lineRule="auto"/>
        <w:rPr>
          <w:sz w:val="20"/>
          <w:szCs w:val="20"/>
          <w:color w:val="auto"/>
        </w:rPr>
      </w:pPr>
      <w:r>
        <w:rPr>
          <w:rFonts w:ascii="Arial" w:cs="Arial" w:eastAsia="Arial" w:hAnsi="Arial"/>
          <w:sz w:val="14"/>
          <w:szCs w:val="14"/>
          <w:color w:val="auto"/>
        </w:rPr>
        <w:t xml:space="preserve">This Agreement incorporates our terms of business set out on attached Terms and Conditions which you confirm you have read and understood. We both agree to comply with those terms and our obligations as set out in them. This agreement is binding from the agreement date and may not be terminated once it is made, except in accordance with its terms. </w:t>
      </w:r>
      <w:r>
        <w:rPr>
          <w:rFonts w:ascii="Arial" w:cs="Arial" w:eastAsia="Arial" w:hAnsi="Arial"/>
          <w:sz w:val="14"/>
          <w:szCs w:val="14"/>
          <w:i w:val="1"/>
          <w:iCs w:val="1"/>
          <w:color w:val="auto"/>
        </w:rPr>
        <w:t>Note that the Agreement does not come to an end automatically. See “CANCELLATION” section in the terms and conditions.</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Arial" w:cs="Arial" w:eastAsia="Arial" w:hAnsi="Arial"/>
                <w:sz w:val="14"/>
                <w:szCs w:val="14"/>
                <w:color w:val="auto"/>
              </w:rPr>
              <w:t>Name (Printed):</w:t>
            </w: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Tom Maher</w:t>
            </w:r>
          </w:p>
        </w:tc>
        <w:tc>
          <w:tcPr>
            <w:tcW w:w="44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4"/>
                <w:szCs w:val="14"/>
                <w:color w:val="auto"/>
              </w:rPr>
              <w:t>Name (Printed):</w:t>
            </w:r>
          </w:p>
        </w:tc>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Craig Maguire</w:t>
            </w:r>
          </w:p>
        </w:tc>
      </w:tr>
      <w:tr>
        <w:trPr>
          <w:trHeight w:val="304"/>
        </w:trPr>
        <w:tc>
          <w:tcPr>
            <w:tcW w:w="1860" w:type="dxa"/>
            <w:vAlign w:val="bottom"/>
          </w:tcPr>
          <w:p>
            <w:pPr>
              <w:spacing w:after="0"/>
              <w:rPr>
                <w:sz w:val="20"/>
                <w:szCs w:val="20"/>
                <w:color w:val="auto"/>
              </w:rPr>
            </w:pPr>
            <w:r>
              <w:rPr>
                <w:rFonts w:ascii="Arial" w:cs="Arial" w:eastAsia="Arial" w:hAnsi="Arial"/>
                <w:sz w:val="14"/>
                <w:szCs w:val="14"/>
                <w:color w:val="auto"/>
              </w:rPr>
              <w:t>Title (Printed):</w:t>
            </w:r>
          </w:p>
        </w:tc>
        <w:tc>
          <w:tcPr>
            <w:tcW w:w="4020" w:type="dxa"/>
            <w:vAlign w:val="bottom"/>
            <w:gridSpan w:val="2"/>
          </w:tcPr>
          <w:p>
            <w:pPr>
              <w:spacing w:after="0"/>
              <w:rPr>
                <w:sz w:val="20"/>
                <w:szCs w:val="20"/>
                <w:color w:val="auto"/>
              </w:rPr>
            </w:pPr>
            <w:r>
              <w:rPr>
                <w:rFonts w:ascii="Arial" w:cs="Arial" w:eastAsia="Arial" w:hAnsi="Arial"/>
                <w:sz w:val="14"/>
                <w:szCs w:val="14"/>
                <w:color w:val="auto"/>
              </w:rPr>
              <w:t>Chief of Operations</w:t>
            </w:r>
          </w:p>
        </w:tc>
        <w:tc>
          <w:tcPr>
            <w:tcW w:w="1920" w:type="dxa"/>
            <w:vAlign w:val="bottom"/>
          </w:tcPr>
          <w:p>
            <w:pPr>
              <w:spacing w:after="0"/>
              <w:rPr>
                <w:sz w:val="20"/>
                <w:szCs w:val="20"/>
                <w:color w:val="auto"/>
              </w:rPr>
            </w:pPr>
            <w:r>
              <w:rPr>
                <w:rFonts w:ascii="Arial" w:cs="Arial" w:eastAsia="Arial" w:hAnsi="Arial"/>
                <w:sz w:val="14"/>
                <w:szCs w:val="14"/>
                <w:color w:val="auto"/>
              </w:rPr>
              <w:t>Title (Printed):</w:t>
            </w:r>
          </w:p>
        </w:tc>
        <w:tc>
          <w:tcPr>
            <w:tcW w:w="3020" w:type="dxa"/>
            <w:vAlign w:val="bottom"/>
          </w:tcPr>
          <w:p>
            <w:pPr>
              <w:spacing w:after="0"/>
              <w:rPr>
                <w:sz w:val="20"/>
                <w:szCs w:val="20"/>
                <w:color w:val="auto"/>
              </w:rPr>
            </w:pPr>
            <w:r>
              <w:rPr>
                <w:rFonts w:ascii="Arial" w:cs="Arial" w:eastAsia="Arial" w:hAnsi="Arial"/>
                <w:sz w:val="14"/>
                <w:szCs w:val="14"/>
                <w:color w:val="auto"/>
              </w:rPr>
              <w:t>Area Manager</w:t>
            </w:r>
          </w:p>
        </w:tc>
      </w:tr>
      <w:tr>
        <w:trPr>
          <w:trHeight w:val="304"/>
        </w:trPr>
        <w:tc>
          <w:tcPr>
            <w:tcW w:w="1860" w:type="dxa"/>
            <w:vAlign w:val="bottom"/>
          </w:tcPr>
          <w:p>
            <w:pPr>
              <w:spacing w:after="0"/>
              <w:rPr>
                <w:sz w:val="20"/>
                <w:szCs w:val="20"/>
                <w:color w:val="auto"/>
              </w:rPr>
            </w:pPr>
            <w:r>
              <w:rPr>
                <w:rFonts w:ascii="Arial" w:cs="Arial" w:eastAsia="Arial" w:hAnsi="Arial"/>
                <w:sz w:val="14"/>
                <w:szCs w:val="14"/>
                <w:color w:val="auto"/>
              </w:rPr>
              <w:t>Date:</w:t>
            </w:r>
          </w:p>
        </w:tc>
        <w:tc>
          <w:tcPr>
            <w:tcW w:w="3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12/4/2019</w:t>
            </w:r>
          </w:p>
        </w:tc>
        <w:tc>
          <w:tcPr>
            <w:tcW w:w="44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4"/>
                <w:szCs w:val="14"/>
                <w:color w:val="auto"/>
              </w:rPr>
              <w:t>Date:</w:t>
            </w:r>
          </w:p>
        </w:tc>
        <w:tc>
          <w:tcPr>
            <w:tcW w:w="3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12 April 2019</w:t>
            </w:r>
          </w:p>
        </w:tc>
      </w:tr>
      <w:tr>
        <w:trPr>
          <w:trHeight w:val="329"/>
        </w:trPr>
        <w:tc>
          <w:tcPr>
            <w:tcW w:w="5880" w:type="dxa"/>
            <w:vAlign w:val="bottom"/>
            <w:gridSpan w:val="3"/>
          </w:tcPr>
          <w:p>
            <w:pPr>
              <w:spacing w:after="0"/>
              <w:rPr>
                <w:sz w:val="20"/>
                <w:szCs w:val="20"/>
                <w:color w:val="auto"/>
              </w:rPr>
            </w:pPr>
            <w:r>
              <w:rPr>
                <w:rFonts w:ascii="Arial" w:cs="Arial" w:eastAsia="Arial" w:hAnsi="Arial"/>
                <w:sz w:val="14"/>
                <w:szCs w:val="14"/>
                <w:b w:val="1"/>
                <w:bCs w:val="1"/>
                <w:color w:val="auto"/>
              </w:rPr>
              <w:t>SIGNED on your behalf (Client)</w:t>
            </w:r>
          </w:p>
        </w:tc>
        <w:tc>
          <w:tcPr>
            <w:tcW w:w="1920" w:type="dxa"/>
            <w:vAlign w:val="bottom"/>
          </w:tcPr>
          <w:p>
            <w:pPr>
              <w:spacing w:after="0"/>
              <w:rPr>
                <w:sz w:val="20"/>
                <w:szCs w:val="20"/>
                <w:color w:val="auto"/>
              </w:rPr>
            </w:pPr>
            <w:r>
              <w:rPr>
                <w:rFonts w:ascii="Arial" w:cs="Arial" w:eastAsia="Arial" w:hAnsi="Arial"/>
                <w:sz w:val="14"/>
                <w:szCs w:val="14"/>
                <w:b w:val="1"/>
                <w:bCs w:val="1"/>
                <w:color w:val="auto"/>
              </w:rPr>
              <w:t>SIGNED on your behalf</w:t>
            </w:r>
          </w:p>
        </w:tc>
        <w:tc>
          <w:tcPr>
            <w:tcW w:w="3020" w:type="dxa"/>
            <w:vAlign w:val="bottom"/>
          </w:tcPr>
          <w:p>
            <w:pPr>
              <w:spacing w:after="0"/>
              <w:rPr>
                <w:sz w:val="24"/>
                <w:szCs w:val="24"/>
                <w:color w:val="auto"/>
              </w:rPr>
            </w:pPr>
          </w:p>
        </w:tc>
      </w:tr>
      <w:tr>
        <w:trPr>
          <w:trHeight w:val="286"/>
        </w:trPr>
        <w:tc>
          <w:tcPr>
            <w:tcW w:w="1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Tom Maher</w:t>
            </w:r>
          </w:p>
        </w:tc>
        <w:tc>
          <w:tcPr>
            <w:tcW w:w="44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Craig Maguire</w:t>
            </w:r>
          </w:p>
        </w:tc>
      </w:tr>
    </w:tbl>
    <w:p>
      <w:pPr>
        <w:spacing w:after="0" w:line="135" w:lineRule="exact"/>
        <w:rPr>
          <w:sz w:val="20"/>
          <w:szCs w:val="20"/>
          <w:color w:val="auto"/>
        </w:rPr>
      </w:pPr>
    </w:p>
    <w:p>
      <w:pPr>
        <w:ind w:left="6" w:right="2420" w:hanging="6"/>
        <w:spacing w:after="0" w:line="311" w:lineRule="auto"/>
        <w:tabs>
          <w:tab w:leader="none" w:pos="261" w:val="left"/>
        </w:tabs>
        <w:numPr>
          <w:ilvl w:val="0"/>
          <w:numId w:val="63"/>
        </w:numPr>
        <w:rPr>
          <w:rFonts w:ascii="MS PGothic" w:cs="MS PGothic" w:eastAsia="MS PGothic" w:hAnsi="MS PGothic"/>
          <w:sz w:val="14"/>
          <w:szCs w:val="14"/>
          <w:color w:val="auto"/>
        </w:rPr>
      </w:pPr>
      <w:r>
        <w:rPr>
          <w:rFonts w:ascii="Arial" w:cs="Arial" w:eastAsia="Arial" w:hAnsi="Arial"/>
          <w:sz w:val="14"/>
          <w:szCs w:val="14"/>
          <w:color w:val="auto"/>
        </w:rPr>
        <w:t>‘e would like to keep you informed of the latest product news, special offers and other marketing information from preferred partners. If you would like to receive this information then select this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202565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6"/>
          </w:cols>
          <w:pgMar w:left="574" w:top="114" w:right="23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TERMS AND CONDITIONS</w:t>
      </w:r>
    </w:p>
    <w:p>
      <w:pPr>
        <w:spacing w:after="0" w:line="213" w:lineRule="exact"/>
        <w:rPr>
          <w:sz w:val="20"/>
          <w:szCs w:val="20"/>
          <w:color w:val="auto"/>
        </w:rPr>
      </w:pPr>
    </w:p>
    <w:p>
      <w:pPr>
        <w:ind w:left="880" w:hanging="872"/>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This Agreement</w:t>
      </w:r>
    </w:p>
    <w:p>
      <w:pPr>
        <w:spacing w:after="0" w:line="65" w:lineRule="exact"/>
        <w:rPr>
          <w:sz w:val="20"/>
          <w:szCs w:val="20"/>
          <w:color w:val="auto"/>
        </w:rPr>
      </w:pPr>
    </w:p>
    <w:p>
      <w:pPr>
        <w:ind w:left="880" w:right="100" w:hanging="863"/>
        <w:spacing w:after="0" w:line="239" w:lineRule="auto"/>
        <w:tabs>
          <w:tab w:leader="none" w:pos="8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Nature of this agreement. This agreement is the commercial equivalent of an agreement for accommodation(s) in a hotel. The whole of the Centre remains in the Provider’s possession and control. THE CLIENT ACCEPTS THAT THIS AGREEMENT CREATES NO TENANCY INTEREST, LEASEHOLD ESTATE OR OTHER REAL PROPERTY INTEREST IN THE CLIENTS FAVOURWITH RESPECT TO THE ACCOMMODATION(S). The provider is giving the client the right to share with the Provider the use of the Centre on these terms and conditions, as supplemented by the House Rules, so that the Provider can provide the services to the Client. This Agreement is personal to the Client and cannot be transferred to anyone else without prior consent from the Provider unless such transfer is required by law. The Provider will not unreasonably withhold its consent to assignment to a parent, subsidiary or affiliate of Client provided that client and assignee execute the Provider’s form of Assignment of License Agreement which will require assignee to assume all Client obligations and will not release the Client. This agreement is composed of the front page describing the accommodation(s), the present terms and conditions, the House Rules and the Service Price Guide (where available).</w:t>
      </w:r>
    </w:p>
    <w:p>
      <w:pPr>
        <w:spacing w:after="0" w:line="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Comply with House Rules: The Client must comply with any House Rules which the Provider imposes generally on users of the</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Centre. The House Rules vary from country to country and from Centre to Centre and these can be requested locally.</w:t>
      </w:r>
    </w:p>
    <w:p>
      <w:pPr>
        <w:spacing w:after="0" w:line="39" w:lineRule="exact"/>
        <w:rPr>
          <w:sz w:val="20"/>
          <w:szCs w:val="20"/>
          <w:color w:val="auto"/>
        </w:rPr>
      </w:pPr>
    </w:p>
    <w:p>
      <w:pPr>
        <w:ind w:left="880" w:right="40" w:hanging="863"/>
        <w:spacing w:after="0" w:line="243" w:lineRule="auto"/>
        <w:tabs>
          <w:tab w:leader="none" w:pos="8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 xml:space="preserve">AUTOMATIC RENEWAL: THIS AGREEMENT LASTS FOR THE PERIOD STATED IN IT AND THEN </w:t>
      </w:r>
      <w:r>
        <w:rPr>
          <w:rFonts w:ascii="Arial" w:cs="Arial" w:eastAsia="Arial" w:hAnsi="Arial"/>
          <w:sz w:val="18"/>
          <w:szCs w:val="18"/>
          <w:b w:val="1"/>
          <w:bCs w:val="1"/>
          <w:color w:val="auto"/>
        </w:rPr>
        <w:t>WILL BE EXTENDED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AUTOMATICALLY FOR SUCCESSIVE PERIODS EQUAL TO THE CURRENT TERM BUT NO LESS THAN 3 MONTHS </w:t>
      </w:r>
      <w:r>
        <w:rPr>
          <w:rFonts w:ascii="Arial" w:cs="Arial" w:eastAsia="Arial" w:hAnsi="Arial"/>
          <w:sz w:val="18"/>
          <w:szCs w:val="18"/>
          <w:color w:val="auto"/>
        </w:rPr>
        <w:t>(UNLESS</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RENEWAL TERM LIMITS APPLY) UNTIL TERMINATED BY THE CLIENT OR BY THE PROVIDER PERSUANT TO SECTION 1.4. ALL PERIODS SHALL RUN TO THE LAST DAY OF THE MONTH IN WHICH THEY WOULD OTHERWISE EXPIRE. THE FEES ON ANY RENEWAL WILL BE AT THE THEN PREVAILING MARKET RATE. THIS CALUSE DOES NOT APPLY TO MONTH TO MONTH AGREEMENTS.</w:t>
      </w:r>
    </w:p>
    <w:p>
      <w:pPr>
        <w:spacing w:after="0" w:line="26" w:lineRule="exact"/>
        <w:rPr>
          <w:sz w:val="20"/>
          <w:szCs w:val="20"/>
          <w:color w:val="auto"/>
        </w:rPr>
      </w:pPr>
    </w:p>
    <w:p>
      <w:pPr>
        <w:ind w:left="880" w:hanging="863"/>
        <w:spacing w:after="0" w:line="241" w:lineRule="auto"/>
        <w:tabs>
          <w:tab w:leader="none" w:pos="8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auto"/>
        </w:rPr>
        <w:t xml:space="preserve">CANCELLATION: </w:t>
      </w:r>
      <w:r>
        <w:rPr>
          <w:rFonts w:ascii="Arial" w:cs="Arial" w:eastAsia="Arial" w:hAnsi="Arial"/>
          <w:sz w:val="18"/>
          <w:szCs w:val="18"/>
          <w:color w:val="auto"/>
        </w:rPr>
        <w:t>EITHER THE PROVIER OR THE CLIENT CAN TERMINATE THIS AGREEMENT AT THE END DATE STATED</w:t>
      </w:r>
      <w:r>
        <w:rPr>
          <w:rFonts w:ascii="Arial" w:cs="Arial" w:eastAsia="Arial" w:hAnsi="Arial"/>
          <w:sz w:val="18"/>
          <w:szCs w:val="18"/>
          <w:b w:val="1"/>
          <w:bCs w:val="1"/>
          <w:color w:val="auto"/>
        </w:rPr>
        <w:t xml:space="preserve"> </w:t>
      </w:r>
      <w:r>
        <w:rPr>
          <w:rFonts w:ascii="Arial" w:cs="Arial" w:eastAsia="Arial" w:hAnsi="Arial"/>
          <w:sz w:val="18"/>
          <w:szCs w:val="18"/>
          <w:color w:val="auto"/>
        </w:rPr>
        <w:t>IN IT, OR AT THE END OF ANY EXTENSION OR RENEWAL PERIOD, BY GIVING AT LEAST THREE MONTHS WRITTEN NOTICE TO THE OTHER. HOWEVER, IF THIS AGREEMENT, EXTENSION OR RENEWAL IS FOR THREE MONTHS OR LESS AND EITHER THE PROVIDER OR THE CLIENT WISHES TO TERMINATE IT, THE NOTICE PERIOD IS TWO MONTHS. IF THIS AGREMEENT, EXTENSION OR RENEWAL IS FOR TWO MONTHS OR LESS, NOTICE MUST BE GIVEN WITHIN ONE WEEK OF THE START DATE OF THE CURRENT TERM IF THE CLIENT IS ON A MONTH TO MONTH AGREEMENT EITHER PARTY MAY TERMINATE THIS AGREEMENT BY GIVING NO LESS THAN ONE MONTHS’ NOTICE TO THE OTHER (EFFECTIVE FROM THE START OF ANY CALENDAR MONTH).</w:t>
      </w:r>
    </w:p>
    <w:p>
      <w:pPr>
        <w:spacing w:after="0" w:line="27" w:lineRule="exact"/>
        <w:rPr>
          <w:sz w:val="20"/>
          <w:szCs w:val="20"/>
          <w:color w:val="auto"/>
        </w:rPr>
      </w:pPr>
    </w:p>
    <w:p>
      <w:pPr>
        <w:ind w:left="880" w:right="20" w:hanging="863"/>
        <w:spacing w:after="0" w:line="239" w:lineRule="auto"/>
        <w:tabs>
          <w:tab w:leader="none" w:pos="8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Ending this agreement immediately. To the maximum extent permitted under applicable law, the Provider may put an end to this agreement immediately by giving the Client notice and without need to follow any additional procedures if (a) the client becomes insolvent, bankrupt, goes into liquidation or becomes unable to pay its debts as they fall due, or (b) the Client is in breach of one of its obligations which cannot be put right or which the Provider have given the Client notice to put right and which the Client has failed to put right within fourteen (14) days of that notice or (c) the conduct, or that of someone at the Centre with its permission or invitation, compatible with ordinary office use and (i) such conduct is repeated despite the Client having given a warning or (ii) such conduct is material enough (in the Provider’s opinion) to warrant immediate termination. If the Provider puts an end to this agreement for any of these reasons and does not put an end to any outstanding obligations, including additional services used, requested or required under the agreement and the monthly office fee for the remainder of the period for which this agreement would have lasted if the Provider had not ended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8" w:name="page89"/>
    <w:bookmarkEnd w:id="88"/>
    <w:p>
      <w:pPr>
        <w:ind w:left="880" w:right="200" w:hanging="863"/>
        <w:spacing w:after="0" w:line="249" w:lineRule="auto"/>
        <w:tabs>
          <w:tab w:leader="none" w:pos="8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If the Centre is no longer available: In the event that the Provider is permanently unable to provide the services and accommodation(s) at the Centre stated in this agreement then this agreement will end and the Client will only have to pay monthly office fees up to the date it ends and for the additional services the Client has used. The Provider will try to find suitable alternative accommodation(s) for the Client at another Provider Centre,</w:t>
      </w:r>
    </w:p>
    <w:p>
      <w:pPr>
        <w:spacing w:after="0" w:line="20" w:lineRule="exact"/>
        <w:rPr>
          <w:sz w:val="20"/>
          <w:szCs w:val="20"/>
          <w:color w:val="auto"/>
        </w:rPr>
      </w:pPr>
    </w:p>
    <w:p>
      <w:pPr>
        <w:ind w:left="880" w:hanging="863"/>
        <w:spacing w:after="0" w:line="239" w:lineRule="auto"/>
        <w:tabs>
          <w:tab w:leader="none" w:pos="8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When this agreement ends the Client is to vacate the accommodations immediately, leave the accommodation(s) in the same conditions as the Client took it. Upon the Client’s departure or if the Client, chooses to relocate to different rooms within the Centre, the Pro at its the Provider will charge an Office Restoration Service fee to cover normal cleaning and moving and to return the Client’s accommodation(s) to its original slate. This fee will differ by country and is listed in the House Rules. The Provider reserves the transfer by country and is listed in the House Rules. The Provider reserves the right to charge additional reasonable fees for any repairs needed above and beyond normal wear and tear. If the Client leaves any property in the Centre the Provider may dispose of it at the Client’s cost in any way the Provider chooses without owing the Client any responsibility for it or any proceeds of sale. If the Client continues to use the accommodation(s) when this agreement has ended the Client is responsible for any loss, damage or liability the Provider incurs as a result of the Client’s failure to vacate on time. The Provider may, at its discretion, permit the Client an extension subject to a subcharge on the monthly office fee.</w:t>
      </w:r>
    </w:p>
    <w:p>
      <w:pPr>
        <w:spacing w:after="0" w:line="32" w:lineRule="exact"/>
        <w:rPr>
          <w:sz w:val="20"/>
          <w:szCs w:val="20"/>
          <w:color w:val="auto"/>
        </w:rPr>
      </w:pPr>
    </w:p>
    <w:p>
      <w:pPr>
        <w:ind w:left="880" w:right="380" w:hanging="863"/>
        <w:spacing w:after="0" w:line="243" w:lineRule="auto"/>
        <w:tabs>
          <w:tab w:leader="none" w:pos="8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Employees: While this agreement is in force and for a period of six months after it ends, neither the Provider nor the Client may knowingly solicit or offer employment to any of the other’s staff employed in the Centre. This obligation applies to any employee employed at the Centre up to that employee’s termination of employment at the Centre, and for three months thereafter. It is stipulated that the breaching party shall pay the non breaching party the equivalent of six months salary for any employee concerned. Nothing in this clause shall prevent either party from employing an individual who responds in good faith and independently to an advertisement which is made to the public at large.</w:t>
      </w:r>
    </w:p>
    <w:p>
      <w:pPr>
        <w:spacing w:after="0" w:line="2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Notices: All formal notices must be in writing, which may include by email, to the address first written above.</w:t>
      </w:r>
    </w:p>
    <w:p>
      <w:pPr>
        <w:spacing w:after="0" w:line="63" w:lineRule="exact"/>
        <w:rPr>
          <w:sz w:val="20"/>
          <w:szCs w:val="20"/>
          <w:color w:val="auto"/>
        </w:rPr>
      </w:pPr>
    </w:p>
    <w:p>
      <w:pPr>
        <w:jc w:val="both"/>
        <w:ind w:left="880" w:right="400" w:hanging="863"/>
        <w:spacing w:after="0" w:line="255" w:lineRule="auto"/>
        <w:tabs>
          <w:tab w:leader="none" w:pos="8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Confidentiality: The terms of this agreement are confidential. Neither the Provider nor the Client must disclose them without the other’s consent unless required to do so by law or an official authority. This obligation continues for a period of 3 years after the agreement ends.</w:t>
      </w:r>
    </w:p>
    <w:p>
      <w:pPr>
        <w:spacing w:after="0" w:line="15" w:lineRule="exact"/>
        <w:rPr>
          <w:sz w:val="20"/>
          <w:szCs w:val="20"/>
          <w:color w:val="auto"/>
        </w:rPr>
      </w:pPr>
    </w:p>
    <w:p>
      <w:pPr>
        <w:ind w:left="880" w:right="160" w:hanging="863"/>
        <w:spacing w:after="0" w:line="245" w:lineRule="auto"/>
        <w:tabs>
          <w:tab w:leader="none" w:pos="8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Applicable law: This agreement is interpreted and enforced in accordance with the law of the place where the relevant Centre is located. All dispute resolution proceedings will be conducted in the country, state or province where the Centre is located. If any provision of these terms and conditions is held, void or unenforceable under the applicable law, the other provisions shall remain in force. In the case of Japan, all agreements will be interpreted and enforced by the Tokyo District Court, and in the case of France, any dispute regarding this agreement will be settled by the relevant courts of the Pans jurisdiction.</w:t>
      </w:r>
    </w:p>
    <w:p>
      <w:pPr>
        <w:spacing w:after="0" w:line="170" w:lineRule="exact"/>
        <w:rPr>
          <w:sz w:val="20"/>
          <w:szCs w:val="20"/>
          <w:color w:val="auto"/>
        </w:rPr>
      </w:pPr>
    </w:p>
    <w:p>
      <w:pPr>
        <w:ind w:left="880" w:hanging="872"/>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Services and Obligations</w:t>
      </w:r>
    </w:p>
    <w:p>
      <w:pPr>
        <w:spacing w:after="0" w:line="65" w:lineRule="exact"/>
        <w:rPr>
          <w:sz w:val="20"/>
          <w:szCs w:val="20"/>
          <w:color w:val="auto"/>
        </w:rPr>
      </w:pPr>
    </w:p>
    <w:p>
      <w:pPr>
        <w:ind w:left="880" w:right="80" w:hanging="863"/>
        <w:spacing w:after="0" w:line="245" w:lineRule="auto"/>
        <w:tabs>
          <w:tab w:leader="none" w:pos="8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Office accommodation(s): The Provider is to provide the number of serviced office accommodation(s) for which the Client has agreed to pay in the Centre stated in this agreement. This agreement lists the accommodation(s) the Provider has initially allocated for the Client’s use. The Client will have a non-exclusive right to the rooms allocated to it. Occasionally the Provider may need to allocate different accommodation(s), but these accommodation(s) will be of reasonably equivalent size and the Provider will notify the Client with respect to such different accommodation(s) in advance.</w:t>
      </w:r>
    </w:p>
    <w:p>
      <w:pPr>
        <w:spacing w:after="0" w:line="24" w:lineRule="exact"/>
        <w:rPr>
          <w:sz w:val="20"/>
          <w:szCs w:val="20"/>
          <w:color w:val="auto"/>
        </w:rPr>
      </w:pPr>
    </w:p>
    <w:p>
      <w:pPr>
        <w:ind w:left="880" w:right="280" w:hanging="863"/>
        <w:spacing w:after="0" w:line="255" w:lineRule="auto"/>
        <w:tabs>
          <w:tab w:leader="none" w:pos="8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Office Services: The Provider is to provide during normal operating hours the services, if requested, described in the relevant service description (which is available on request). If the Provider decides that a request for any particular service is excessive, it reserves the right to charge an additional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9" w:name="page90"/>
    <w:bookmarkEnd w:id="89"/>
    <w:p>
      <w:pPr>
        <w:ind w:left="880" w:right="100" w:hanging="863"/>
        <w:spacing w:after="0" w:line="243" w:lineRule="auto"/>
        <w:tabs>
          <w:tab w:leader="none" w:pos="8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PROVIDER’S IT: WHILST THE PROVIDER HAS INTERENT SECURITY PROTOCOLS, THE PROVIDER DOES NOT MAKE ANY REPRESENTATIONS AS TO THE SECURITY OF THE PROVIDER’S NETWORK (OR THE INTERNET) OR OF ANY INFORMATION THAT THE CLIENT PLACES ON IT. The Client should adopt whatever security measures (such as encryption) it believes are appropriate to its circumstances. The Provider cannot guarantee that a particular degree of availability will be attained in connection with the Client’s use of the Provider’s network (or the internet). The Client’s sole and exclusive remedy shall be the remedy of such failure by the Provider within a reasonable time after written notice.</w:t>
      </w:r>
    </w:p>
    <w:p>
      <w:pPr>
        <w:spacing w:after="0" w:line="173" w:lineRule="exact"/>
        <w:rPr>
          <w:sz w:val="20"/>
          <w:szCs w:val="20"/>
          <w:color w:val="auto"/>
        </w:rPr>
      </w:pPr>
    </w:p>
    <w:p>
      <w:pPr>
        <w:ind w:left="880" w:hanging="872"/>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Providing the Services</w:t>
      </w:r>
    </w:p>
    <w:p>
      <w:pPr>
        <w:spacing w:after="0" w:line="6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Access to the accommodation(s): The Provider may need to enter the Client’s accommodation(s) and may do so at any</w:t>
      </w:r>
    </w:p>
    <w:p>
      <w:pPr>
        <w:spacing w:after="0" w:line="18" w:lineRule="exact"/>
        <w:rPr>
          <w:sz w:val="20"/>
          <w:szCs w:val="20"/>
          <w:color w:val="auto"/>
        </w:rPr>
      </w:pPr>
    </w:p>
    <w:p>
      <w:pPr>
        <w:ind w:left="880" w:right="20"/>
        <w:spacing w:after="0"/>
        <w:rPr>
          <w:sz w:val="20"/>
          <w:szCs w:val="20"/>
          <w:color w:val="auto"/>
        </w:rPr>
      </w:pPr>
      <w:r>
        <w:rPr>
          <w:rFonts w:ascii="Arial" w:cs="Arial" w:eastAsia="Arial" w:hAnsi="Arial"/>
          <w:sz w:val="18"/>
          <w:szCs w:val="18"/>
          <w:color w:val="auto"/>
        </w:rPr>
        <w:t>time. However, unless there is an emergency or the Client has given notice to terminate, the Provider will attempt to notify the Client verbally or electronically in advance when the Provider needs access to carry out testing, repair or works other than routine inspection, cleaning and maintenance. The Provider will also endeavor to respect reasonable security procedures to protect the confidentiality of the Client’s business.</w:t>
      </w:r>
    </w:p>
    <w:p>
      <w:pPr>
        <w:spacing w:after="0" w:line="28" w:lineRule="exact"/>
        <w:rPr>
          <w:sz w:val="20"/>
          <w:szCs w:val="20"/>
          <w:color w:val="auto"/>
        </w:rPr>
      </w:pPr>
    </w:p>
    <w:p>
      <w:pPr>
        <w:ind w:left="880" w:hanging="863"/>
        <w:spacing w:after="0" w:line="245" w:lineRule="auto"/>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Availability at the start of this agreement: If for any reason he Provider cannot provide the accommodation(s) stated in this agreement by the date when this agreement is due to start it has no liability to the Client for any loss or damages but the Client may cancel this agreement without penalty. The Provider will not charge the Client the monthly office fee for accommodation(s) the Client cannot use until it become available. The Provider may delay the start date of this agreement provided it provides to the Client alternative accommodation(s) that shall be at least of equivalent size to the accommodation(s) stated in this agreement.</w:t>
      </w:r>
    </w:p>
    <w:p>
      <w:pPr>
        <w:spacing w:after="0" w:line="170" w:lineRule="exact"/>
        <w:rPr>
          <w:sz w:val="20"/>
          <w:szCs w:val="20"/>
          <w:color w:val="auto"/>
        </w:rPr>
      </w:pPr>
    </w:p>
    <w:p>
      <w:pPr>
        <w:ind w:left="880" w:hanging="872"/>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Accommodation(s)</w:t>
      </w:r>
    </w:p>
    <w:p>
      <w:pPr>
        <w:spacing w:after="0" w:line="65" w:lineRule="exact"/>
        <w:rPr>
          <w:sz w:val="20"/>
          <w:szCs w:val="20"/>
          <w:color w:val="auto"/>
        </w:rPr>
      </w:pPr>
    </w:p>
    <w:p>
      <w:pPr>
        <w:ind w:left="880" w:right="240" w:hanging="863"/>
        <w:spacing w:after="0" w:line="248" w:lineRule="auto"/>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Client must not alter any part of its accommodation and must take good care of all parts of the Centre, its equipment, fixtures, fittings and furnishings which the Client uses. The Client is liable for any damage caused by it or these in the Centre with the Client’s permission or at the Clients invitation whether express or implied, including but not limited to all employees, contractors, agents, or other persons present on the premises.</w:t>
      </w:r>
    </w:p>
    <w:p>
      <w:pPr>
        <w:spacing w:after="0" w:line="22" w:lineRule="exact"/>
        <w:rPr>
          <w:sz w:val="20"/>
          <w:szCs w:val="20"/>
          <w:color w:val="auto"/>
        </w:rPr>
      </w:pPr>
    </w:p>
    <w:p>
      <w:pPr>
        <w:ind w:left="880" w:right="540" w:hanging="863"/>
        <w:spacing w:after="0" w:line="274" w:lineRule="auto"/>
        <w:tabs>
          <w:tab w:leader="none" w:pos="8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Office equipment: The Client must not install any cooling, IT or telecom connections without the Provider’s consent, which the Provider may refuse at its absolute discretion.</w:t>
      </w:r>
    </w:p>
    <w:p>
      <w:pPr>
        <w:ind w:left="880" w:right="140"/>
        <w:spacing w:after="0" w:line="255" w:lineRule="auto"/>
        <w:rPr>
          <w:sz w:val="20"/>
          <w:szCs w:val="20"/>
          <w:color w:val="auto"/>
        </w:rPr>
      </w:pPr>
      <w:r>
        <w:rPr>
          <w:rFonts w:ascii="Arial" w:cs="Arial" w:eastAsia="Arial" w:hAnsi="Arial"/>
          <w:sz w:val="18"/>
          <w:szCs w:val="18"/>
          <w:color w:val="auto"/>
        </w:rPr>
        <w:t>As a condition to the Provider’s consent, the Client must permit the Provider to oversee any installations (for example, IT or electrical systems) and to verify that such installations do not interfere with the use of the accommodation(s) by other Clients or the Provider or any landlord of the building.</w:t>
      </w:r>
    </w:p>
    <w:p>
      <w:pPr>
        <w:spacing w:after="0" w:line="29" w:lineRule="exact"/>
        <w:rPr>
          <w:sz w:val="20"/>
          <w:szCs w:val="20"/>
          <w:color w:val="auto"/>
        </w:rPr>
      </w:pPr>
    </w:p>
    <w:p>
      <w:pPr>
        <w:ind w:left="880" w:right="520" w:hanging="863"/>
        <w:spacing w:after="0" w:line="276" w:lineRule="auto"/>
        <w:tabs>
          <w:tab w:leader="none" w:pos="8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Insurance: It is the Client’s responsibility to arrange insurance for its own property which it brings to the Centre and for its own liability to its employees and to third parties. The Provider strongly recommends that the Client put such insurance in place.</w:t>
      </w:r>
    </w:p>
    <w:p>
      <w:pPr>
        <w:spacing w:after="0" w:line="130" w:lineRule="exact"/>
        <w:rPr>
          <w:sz w:val="20"/>
          <w:szCs w:val="20"/>
          <w:color w:val="auto"/>
        </w:rPr>
      </w:pPr>
    </w:p>
    <w:p>
      <w:pPr>
        <w:ind w:left="880" w:hanging="872"/>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Use</w:t>
      </w:r>
    </w:p>
    <w:p>
      <w:pPr>
        <w:spacing w:after="0" w:line="79" w:lineRule="exact"/>
        <w:rPr>
          <w:sz w:val="20"/>
          <w:szCs w:val="20"/>
          <w:color w:val="auto"/>
        </w:rPr>
      </w:pPr>
    </w:p>
    <w:p>
      <w:pPr>
        <w:ind w:left="880" w:right="260" w:hanging="863"/>
        <w:spacing w:after="0" w:line="274" w:lineRule="auto"/>
        <w:tabs>
          <w:tab w:leader="none" w:pos="8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Client must only use the accommodation(s) for office purposes. Office use of a “retail” or “medical” nature, involving frequent visit by members of the public is not permitted</w:t>
      </w:r>
    </w:p>
    <w:p>
      <w:pPr>
        <w:ind w:left="880" w:right="200" w:hanging="863"/>
        <w:spacing w:after="0" w:line="274" w:lineRule="auto"/>
        <w:tabs>
          <w:tab w:leader="none" w:pos="8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Client must not carry on a business that competes with the Provider’s business of providing serviced office accommodation(s) or its ancillary services.</w:t>
      </w:r>
    </w:p>
    <w:p>
      <w:pPr>
        <w:ind w:left="880" w:right="560" w:hanging="863"/>
        <w:spacing w:after="0" w:line="274" w:lineRule="auto"/>
        <w:tabs>
          <w:tab w:leader="none" w:pos="8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Client’s name and address: The Client may only carry on that business in its name or some other name that the Provider previously agrees.</w:t>
      </w:r>
    </w:p>
    <w:p>
      <w:pPr>
        <w:ind w:left="880" w:right="120" w:hanging="863"/>
        <w:spacing w:after="0" w:line="276" w:lineRule="auto"/>
        <w:tabs>
          <w:tab w:leader="none" w:pos="8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Use of the Centre Address: The Client may use the Centre address as its business address. Any other uses are prohibited without the Provider’s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0" w:name="page91"/>
    <w:bookmarkEnd w:id="90"/>
    <w:p>
      <w:pPr>
        <w:ind w:left="880" w:hanging="872"/>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w:t>
      </w:r>
    </w:p>
    <w:p>
      <w:pPr>
        <w:spacing w:after="0" w:line="66" w:lineRule="exact"/>
        <w:rPr>
          <w:sz w:val="20"/>
          <w:szCs w:val="20"/>
          <w:color w:val="auto"/>
        </w:rPr>
      </w:pPr>
    </w:p>
    <w:p>
      <w:pPr>
        <w:ind w:left="880" w:right="40" w:hanging="863"/>
        <w:spacing w:after="0" w:line="241" w:lineRule="auto"/>
        <w:tabs>
          <w:tab w:leader="none" w:pos="8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Comply with the law: The Client and the Provider must comply with ll relevant laws and regulations in the conduct of its business in relation to this agreement. The Client must do nothing illegal in connection with its use of the Business Centre. The Client must not do anything that may interfere with the use of the Centre by the Provider or by others, (including but not limited to political campaigning or immoral activity) cause any nuisance or annoyance, increase the insurance premiums the Provider has to pay, or cause loss or damage to the Provider (including damage to reputation) or to the owner of any interest in the building which contains the Centre the Client is using. Both the Client and the Provider shall comply at all times with all relevant anti-bribery and anti-corruption laws.</w:t>
      </w:r>
    </w:p>
    <w:p>
      <w:pPr>
        <w:spacing w:after="0" w:line="31" w:lineRule="exact"/>
        <w:rPr>
          <w:sz w:val="20"/>
          <w:szCs w:val="20"/>
          <w:color w:val="auto"/>
        </w:rPr>
      </w:pPr>
    </w:p>
    <w:p>
      <w:pPr>
        <w:ind w:left="880" w:right="20" w:hanging="863"/>
        <w:spacing w:after="0" w:line="248" w:lineRule="auto"/>
        <w:tabs>
          <w:tab w:leader="none" w:pos="8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If the Provider has been advised by any government authority or other legislative body that it has reasonable suspicion that the Client is conducting criminal activities from the Centre then the Provider shall be entitled to terminate this agreement with immediate effect. The Provider confirms that in providing the services it has not employed or used any labour in contravention of the requirements of any anti-slavery laws.</w:t>
      </w:r>
    </w:p>
    <w:p>
      <w:pPr>
        <w:spacing w:after="0" w:line="22" w:lineRule="exact"/>
        <w:rPr>
          <w:sz w:val="20"/>
          <w:szCs w:val="20"/>
          <w:color w:val="auto"/>
        </w:rPr>
      </w:pPr>
    </w:p>
    <w:p>
      <w:pPr>
        <w:jc w:val="both"/>
        <w:ind w:left="880" w:right="220" w:hanging="863"/>
        <w:spacing w:after="0" w:line="255" w:lineRule="auto"/>
        <w:tabs>
          <w:tab w:leader="none" w:pos="8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Client acknowledges that (a) the terms of this clause are a material inducement in the Provider’s execution of this agreement and (b) any violation by the Client of this clause shall constitute a material default by the Client hereunder, entitling the Provider to terminate this agreement, without further notice or procedure.</w:t>
      </w:r>
    </w:p>
    <w:p>
      <w:pPr>
        <w:spacing w:after="0" w:line="15" w:lineRule="exact"/>
        <w:rPr>
          <w:sz w:val="20"/>
          <w:szCs w:val="20"/>
          <w:color w:val="auto"/>
        </w:rPr>
      </w:pPr>
    </w:p>
    <w:p>
      <w:pPr>
        <w:ind w:left="880" w:hanging="863"/>
        <w:spacing w:after="0" w:line="248" w:lineRule="auto"/>
        <w:tabs>
          <w:tab w:leader="none" w:pos="8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The Provider may collect and process personal data from and of the Client to administer contractual relationship, ensure compliance with applicable laws and regulations, and enable the Provider to provide its services and to manage its business. The Client acknowledges and accepts that such personal data may be transferred or made accessible to all entities of the Provider’s group, wherever located, for the purposes of providing the services herein.</w:t>
      </w:r>
    </w:p>
    <w:p>
      <w:pPr>
        <w:spacing w:after="0" w:line="169" w:lineRule="exact"/>
        <w:rPr>
          <w:sz w:val="20"/>
          <w:szCs w:val="20"/>
          <w:color w:val="auto"/>
        </w:rPr>
      </w:pPr>
    </w:p>
    <w:p>
      <w:pPr>
        <w:ind w:left="880" w:hanging="872"/>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The Provider’s Liability</w:t>
      </w:r>
    </w:p>
    <w:p>
      <w:pPr>
        <w:spacing w:after="0" w:line="65" w:lineRule="exact"/>
        <w:rPr>
          <w:sz w:val="20"/>
          <w:szCs w:val="20"/>
          <w:color w:val="auto"/>
        </w:rPr>
      </w:pPr>
    </w:p>
    <w:p>
      <w:pPr>
        <w:ind w:left="880" w:right="40" w:hanging="863"/>
        <w:spacing w:after="0" w:line="239" w:lineRule="auto"/>
        <w:tabs>
          <w:tab w:leader="none" w:pos="8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extent of the Provider’s liability: To the maximum extent permitted by applicable law, the Provider is not liable to the Client in respect of any loss or damage the Client suffers in connection with this agreement, with the services or with the Client’s accommodation(s) unless the Provider has acted deliberately or negligently in causing that loss or damage. The Provider is not liable for any loss as a result of the Provider’s failure to provide a service as a result of mechanical breakdown, strike, termination of the Provider’s interest in the building containing the Centre or otherwise unless the Provider does so deliberately or is negligent. In no event shall the Provider be liable for any loss or damage until the Client provides the Provider written notice and gives the Provider a reasonable time to put it right. If the Provider is liable for failing to provide the Client with any service under this agreement then subject to the exclusions and limits set out immediately below the Provider will pay any actual and reasonable expenses the Client has incurred in obtaining the service from an alternative source. If the Client believes the Provider has failed to deliver a service consistent with these terms and conditions the Client shall provide the Provider written notice of such failure and give the Provider a reasonable period to put it right.</w:t>
      </w:r>
    </w:p>
    <w:p>
      <w:pPr>
        <w:spacing w:after="0" w:line="29" w:lineRule="exact"/>
        <w:rPr>
          <w:sz w:val="20"/>
          <w:szCs w:val="20"/>
          <w:color w:val="auto"/>
        </w:rPr>
      </w:pPr>
    </w:p>
    <w:p>
      <w:pPr>
        <w:ind w:left="880" w:right="100" w:hanging="863"/>
        <w:spacing w:after="0" w:line="245" w:lineRule="auto"/>
        <w:tabs>
          <w:tab w:leader="none" w:pos="8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 xml:space="preserve">EXCLUSION OF CONSEQUENTIAL LOSSES, ETC.: </w:t>
      </w:r>
      <w:r>
        <w:rPr>
          <w:rFonts w:ascii="Arial" w:cs="Arial" w:eastAsia="Arial" w:hAnsi="Arial"/>
          <w:sz w:val="18"/>
          <w:szCs w:val="18"/>
          <w:u w:val="single" w:color="auto"/>
          <w:color w:val="auto"/>
        </w:rPr>
        <w:t>THE PROVIDER WILL NOT IN ANY CIRCUMSTANCES HAVE 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LIABILITY FOR LOSS OF BUSINESS, LOSS OF PROFITS, LOSS OF ANTICIPATED SAVINGS, LOSS OF OR DAMAGE TO DATA, THIRD PARTY CLAIMS OR ANY CONSEQUENTIAL LOSS UNLESS THE PROVIDER OTHERWISE AGREES IN WRITING. THE PROVIDER STRONGLY ADVISES TE CLIENT TO INSURE AGAINST ALL SUCH POTENTIAL LOSS, DAMAGE, EXPENSE OR LIABILITY.</w:t>
      </w:r>
    </w:p>
    <w:p>
      <w:pPr>
        <w:spacing w:after="0" w:line="2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Financial limits to the Provider’s liability: In all cases, the Provider’s liability to the Client is subject to the following limits:</w:t>
      </w:r>
    </w:p>
    <w:p>
      <w:pPr>
        <w:spacing w:after="0" w:line="63" w:lineRule="exact"/>
        <w:rPr>
          <w:sz w:val="20"/>
          <w:szCs w:val="20"/>
          <w:color w:val="auto"/>
        </w:rPr>
      </w:pPr>
    </w:p>
    <w:p>
      <w:pPr>
        <w:ind w:left="940" w:hanging="432"/>
        <w:spacing w:after="0"/>
        <w:tabs>
          <w:tab w:leader="none" w:pos="9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Without limit for personal injury or death;</w:t>
      </w:r>
    </w:p>
    <w:p>
      <w:pPr>
        <w:spacing w:after="0" w:line="75" w:lineRule="exact"/>
        <w:rPr>
          <w:rFonts w:ascii="Times New Roman" w:cs="Times New Roman" w:eastAsia="Times New Roman" w:hAnsi="Times New Roman"/>
          <w:sz w:val="18"/>
          <w:szCs w:val="18"/>
          <w:color w:val="auto"/>
        </w:rPr>
      </w:pPr>
    </w:p>
    <w:p>
      <w:pPr>
        <w:ind w:left="940" w:hanging="432"/>
        <w:spacing w:after="0" w:line="275" w:lineRule="auto"/>
        <w:tabs>
          <w:tab w:leader="none" w:pos="9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Up to a maximum of £1 million / USD$2 million / €1.3 million (or local equivalent for any one event or series of connected events for damage to the Client’s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91" w:name="page92"/>
    <w:bookmarkEnd w:id="91"/>
    <w:p>
      <w:pPr>
        <w:jc w:val="both"/>
        <w:ind w:left="940" w:right="180" w:hanging="432"/>
        <w:spacing w:after="0" w:line="255" w:lineRule="auto"/>
        <w:tabs>
          <w:tab w:leader="none" w:pos="940" w:val="left"/>
        </w:tabs>
        <w:numPr>
          <w:ilvl w:val="1"/>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Up to a maximum equal to 125% of the total fees paid between the date the Client moved into its accommodation(s) and the date on which the claim in question arises or £50,000 / USD$100,000 / €66,000 (or local equivalent) whichever is the higher, in respect of any other loss or damage.</w:t>
      </w:r>
    </w:p>
    <w:p>
      <w:pPr>
        <w:spacing w:after="0" w:line="162"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Fees</w:t>
      </w:r>
    </w:p>
    <w:p>
      <w:pPr>
        <w:spacing w:after="0" w:line="65" w:lineRule="exact"/>
        <w:rPr>
          <w:sz w:val="20"/>
          <w:szCs w:val="20"/>
          <w:color w:val="auto"/>
        </w:rPr>
      </w:pPr>
    </w:p>
    <w:p>
      <w:pPr>
        <w:ind w:left="880" w:right="60" w:hanging="863"/>
        <w:spacing w:after="0" w:line="245" w:lineRule="auto"/>
        <w:tabs>
          <w:tab w:leader="none" w:pos="8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Taxes and duty charges: The Client agrees to pay promptly (i) all sales, use, excise, consumption and any other taxes and license fees which it is required to pay to any governmental authority (and, at the Provider’s request, will provide to the Provider evidence of such payment) and (ii) any taxes paid by the Provider to any governmental authority that are attributable to the accommodation(s), including without limitation any gross receipts, rent and occupancy taxes, tangible personal property taxes, stamp tax or other documentary taxes and fees.</w:t>
      </w:r>
    </w:p>
    <w:p>
      <w:pPr>
        <w:spacing w:after="0" w:line="24" w:lineRule="exact"/>
        <w:rPr>
          <w:sz w:val="20"/>
          <w:szCs w:val="20"/>
          <w:color w:val="auto"/>
        </w:rPr>
      </w:pPr>
    </w:p>
    <w:p>
      <w:pPr>
        <w:ind w:left="880" w:right="320" w:hanging="863"/>
        <w:spacing w:after="0" w:line="245" w:lineRule="auto"/>
        <w:tabs>
          <w:tab w:leader="none" w:pos="8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Service Retainer/Deposit: The Client will be required to pay a service retainer/deposit equivalent to two months’ or the monthly office fee (plus VAT/Tax where applicable) upon entering into this agreement unless a different amount is specified on the front of this agreement. This will be held by the Provider without generating interest as security for performance of all the Client’s obligations under this agreement. The service retainer/deposit or any balance will be returned to the Client when the Client has settled is account which includes deducting outstanding fees and other costs due to the Provider.</w:t>
      </w:r>
    </w:p>
    <w:p>
      <w:pPr>
        <w:spacing w:after="0" w:line="24" w:lineRule="exact"/>
        <w:rPr>
          <w:sz w:val="20"/>
          <w:szCs w:val="20"/>
          <w:color w:val="auto"/>
        </w:rPr>
      </w:pPr>
    </w:p>
    <w:p>
      <w:pPr>
        <w:ind w:left="880" w:right="120" w:hanging="863"/>
        <w:spacing w:after="0" w:line="274" w:lineRule="auto"/>
        <w:tabs>
          <w:tab w:leader="none" w:pos="8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Provider may require the Client to pay an increased retainer if outstanding fees exceed the service retainer/deposit held and/or the Client frequently fails to pay the Provider when due.</w:t>
      </w:r>
    </w:p>
    <w:p>
      <w:pPr>
        <w:spacing w:after="0"/>
        <w:tabs>
          <w:tab w:leader="none" w:pos="8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Payment: The Provider is continually striving to reduce its environmental impact and supports its clients in doing the</w:t>
      </w:r>
    </w:p>
    <w:p>
      <w:pPr>
        <w:spacing w:after="0" w:line="18" w:lineRule="exact"/>
        <w:rPr>
          <w:sz w:val="20"/>
          <w:szCs w:val="20"/>
          <w:color w:val="auto"/>
        </w:rPr>
      </w:pPr>
    </w:p>
    <w:p>
      <w:pPr>
        <w:jc w:val="both"/>
        <w:ind w:left="880" w:right="160"/>
        <w:spacing w:after="0" w:line="242" w:lineRule="auto"/>
        <w:rPr>
          <w:sz w:val="20"/>
          <w:szCs w:val="20"/>
          <w:color w:val="auto"/>
        </w:rPr>
      </w:pPr>
      <w:r>
        <w:rPr>
          <w:rFonts w:ascii="Arial" w:cs="Arial" w:eastAsia="Arial" w:hAnsi="Arial"/>
          <w:sz w:val="18"/>
          <w:szCs w:val="18"/>
          <w:color w:val="auto"/>
        </w:rPr>
        <w:t>same. Therefore, the Provider will send all invoices electronically (where allowed by law) and the Client will make payments via an automated method such as Direct Debit or Credit Card, wherever local banking systems permit unless another form of payment is offered to the Client as a qualified and current Key Account.</w:t>
      </w:r>
    </w:p>
    <w:p>
      <w:pPr>
        <w:spacing w:after="0" w:line="27" w:lineRule="exact"/>
        <w:rPr>
          <w:sz w:val="20"/>
          <w:szCs w:val="20"/>
          <w:color w:val="auto"/>
        </w:rPr>
      </w:pPr>
    </w:p>
    <w:p>
      <w:pPr>
        <w:ind w:left="880" w:right="180" w:hanging="863"/>
        <w:spacing w:after="0" w:line="245" w:lineRule="auto"/>
        <w:tabs>
          <w:tab w:leader="none" w:pos="8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Late payment: If the Client does not pay fees when due, a fee will be charged on all overdue balances. This fee will differ by country and is listed in the House Rules. If the Client disputes any part of an invoice the Client must pay the amount not in dispute by the due date or be subject to late fees. The Provider also reserves the right to withhold services (including, for the avoidance of dout, denying the Client access to its accommodation(s) while there are any outstanding fees and/or interest or the Client is in breach of this agreement.</w:t>
      </w:r>
    </w:p>
    <w:p>
      <w:pPr>
        <w:spacing w:after="0" w:line="24" w:lineRule="exact"/>
        <w:rPr>
          <w:sz w:val="20"/>
          <w:szCs w:val="20"/>
          <w:color w:val="auto"/>
        </w:rPr>
      </w:pPr>
    </w:p>
    <w:p>
      <w:pPr>
        <w:ind w:left="880" w:right="80" w:hanging="863"/>
        <w:spacing w:after="0" w:line="274" w:lineRule="auto"/>
        <w:tabs>
          <w:tab w:leader="none" w:pos="8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Insufficient Funds: The Client will pay a fee, for any returned cheque or any other declined payments due to insufficient funds. This fee will differ by country and is listed in the House Rules.</w:t>
      </w:r>
    </w:p>
    <w:p>
      <w:pPr>
        <w:ind w:left="880" w:hanging="863"/>
        <w:spacing w:after="0" w:line="245" w:lineRule="auto"/>
        <w:tabs>
          <w:tab w:leader="none" w:pos="8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If this agreement is for a term of more than 12 months, the Provider will increase the monthly office fee on each anniversary of the start date. This increase will be by the local Consumer Price Index or such other broadly equivalent index where a consumer price index is not available locally. If there is a negative index rate, prices will not be decreased. Renewals are calculated separately from annual indexation increases, Month to Month agreements will use the above stated index or the current month to month office price, whichever is the greater.</w:t>
      </w:r>
    </w:p>
    <w:p>
      <w:pPr>
        <w:spacing w:after="0" w:line="2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Standard services: The monthly office fee and any recurring services requested by the Client are payable monthly in</w:t>
      </w:r>
    </w:p>
    <w:p>
      <w:pPr>
        <w:spacing w:after="0" w:line="18" w:lineRule="exact"/>
        <w:rPr>
          <w:sz w:val="20"/>
          <w:szCs w:val="20"/>
          <w:color w:val="auto"/>
        </w:rPr>
      </w:pPr>
    </w:p>
    <w:p>
      <w:pPr>
        <w:ind w:left="880" w:right="140"/>
        <w:spacing w:after="0" w:line="234" w:lineRule="auto"/>
        <w:rPr>
          <w:sz w:val="20"/>
          <w:szCs w:val="20"/>
          <w:color w:val="auto"/>
        </w:rPr>
      </w:pPr>
      <w:r>
        <w:rPr>
          <w:rFonts w:ascii="Arial" w:cs="Arial" w:eastAsia="Arial" w:hAnsi="Arial"/>
          <w:sz w:val="18"/>
          <w:szCs w:val="18"/>
          <w:color w:val="auto"/>
        </w:rPr>
        <w:t>advance. Unless otherwise agreed in writing, these recurring services will be provided by the Provider at the specified rates for the duration of this Agreement (including any renewals). Specific due dates will differ by country and are listed in the House</w:t>
      </w:r>
    </w:p>
    <w:p>
      <w:pPr>
        <w:spacing w:after="0" w:line="2" w:lineRule="exact"/>
        <w:rPr>
          <w:sz w:val="20"/>
          <w:szCs w:val="20"/>
          <w:color w:val="auto"/>
        </w:rPr>
      </w:pPr>
    </w:p>
    <w:p>
      <w:pPr>
        <w:ind w:left="880" w:right="240"/>
        <w:spacing w:after="0" w:line="251" w:lineRule="auto"/>
        <w:rPr>
          <w:sz w:val="20"/>
          <w:szCs w:val="20"/>
          <w:color w:val="auto"/>
        </w:rPr>
      </w:pPr>
      <w:r>
        <w:rPr>
          <w:rFonts w:ascii="Arial" w:cs="Arial" w:eastAsia="Arial" w:hAnsi="Arial"/>
          <w:sz w:val="18"/>
          <w:szCs w:val="18"/>
          <w:color w:val="auto"/>
        </w:rPr>
        <w:t>Rules. Where a daily rate applies, the charge for any such month will be 30 times the daily fee. For a period of less than a month the fee will be applied on a daily basis.</w:t>
      </w:r>
    </w:p>
    <w:p>
      <w:pPr>
        <w:spacing w:after="0" w:line="18" w:lineRule="exact"/>
        <w:rPr>
          <w:sz w:val="20"/>
          <w:szCs w:val="20"/>
          <w:color w:val="auto"/>
        </w:rPr>
      </w:pPr>
    </w:p>
    <w:p>
      <w:pPr>
        <w:ind w:left="880" w:right="160" w:hanging="863"/>
        <w:spacing w:after="0" w:line="248" w:lineRule="auto"/>
        <w:tabs>
          <w:tab w:leader="none" w:pos="8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Pay as you use and Additional Variable Services: Fees for pay-as-you-use services, plus applicable taxes, in accordance with the Provider’s published rates which may change from time to time, are invoiced in arrears and payable the month following the calendar month in which the additional services were provided. Specific due dates will differ by country and are listed in the House Rules.</w:t>
      </w:r>
    </w:p>
    <w:p>
      <w:pPr>
        <w:spacing w:after="0" w:line="22" w:lineRule="exact"/>
        <w:rPr>
          <w:sz w:val="20"/>
          <w:szCs w:val="20"/>
          <w:color w:val="auto"/>
        </w:rPr>
      </w:pPr>
    </w:p>
    <w:p>
      <w:pPr>
        <w:ind w:left="880" w:right="180" w:hanging="863"/>
        <w:spacing w:after="0" w:line="276" w:lineRule="auto"/>
        <w:tabs>
          <w:tab w:leader="none" w:pos="8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color w:val="auto"/>
        </w:rPr>
        <w:t>Discounts, Promotions and Offers: If the Client benefited from a special discount, promotion or offer, the Provider may discontinue that discount, promotion or offer without notice if the Client materially breaches these terms and conditions.</w:t>
      </w:r>
    </w:p>
    <w:p>
      <w:pPr>
        <w:sectPr>
          <w:pgSz w:w="11900" w:h="16838" w:orient="portrait"/>
          <w:cols w:equalWidth="0" w:num="1">
            <w:col w:w="11420"/>
          </w:cols>
          <w:pgMar w:left="240" w:top="11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Exhibit_10.4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3"/>
          </w:tcPr>
          <w:p>
            <w:pPr>
              <w:jc w:val="right"/>
              <w:spacing w:after="0"/>
              <w:rPr>
                <w:sz w:val="20"/>
                <w:szCs w:val="20"/>
                <w:color w:val="auto"/>
              </w:rPr>
            </w:pPr>
            <w:r>
              <w:rPr>
                <w:rFonts w:ascii="Arial" w:cs="Arial" w:eastAsia="Arial" w:hAnsi="Arial"/>
                <w:sz w:val="23"/>
                <w:szCs w:val="23"/>
                <w:color w:val="000066"/>
              </w:rPr>
              <w:t>Online Office Agreement</w:t>
            </w:r>
          </w:p>
        </w:tc>
        <w:tc>
          <w:tcPr>
            <w:tcW w:w="0" w:type="dxa"/>
            <w:vAlign w:val="bottom"/>
          </w:tcPr>
          <w:p>
            <w:pPr>
              <w:spacing w:after="0"/>
              <w:rPr>
                <w:sz w:val="1"/>
                <w:szCs w:val="1"/>
                <w:color w:val="auto"/>
              </w:rPr>
            </w:pPr>
          </w:p>
        </w:tc>
      </w:tr>
      <w:tr>
        <w:trPr>
          <w:trHeight w:val="122"/>
        </w:trPr>
        <w:tc>
          <w:tcPr>
            <w:tcW w:w="460" w:type="dxa"/>
            <w:vAlign w:val="bottom"/>
            <w:tcBorders>
              <w:bottom w:val="single" w:sz="8" w:color="C00000"/>
            </w:tcBorders>
          </w:tcPr>
          <w:p>
            <w:pPr>
              <w:spacing w:after="0"/>
              <w:rPr>
                <w:sz w:val="10"/>
                <w:szCs w:val="10"/>
                <w:color w:val="auto"/>
              </w:rPr>
            </w:pPr>
          </w:p>
        </w:tc>
        <w:tc>
          <w:tcPr>
            <w:tcW w:w="1060" w:type="dxa"/>
            <w:vAlign w:val="bottom"/>
            <w:tcBorders>
              <w:bottom w:val="single" w:sz="8" w:color="C00000"/>
            </w:tcBorders>
          </w:tcPr>
          <w:p>
            <w:pPr>
              <w:spacing w:after="0"/>
              <w:rPr>
                <w:sz w:val="10"/>
                <w:szCs w:val="10"/>
                <w:color w:val="auto"/>
              </w:rPr>
            </w:pPr>
          </w:p>
        </w:tc>
        <w:tc>
          <w:tcPr>
            <w:tcW w:w="780" w:type="dxa"/>
            <w:vAlign w:val="bottom"/>
            <w:tcBorders>
              <w:bottom w:val="single" w:sz="8" w:color="C00000"/>
            </w:tcBorders>
          </w:tcPr>
          <w:p>
            <w:pPr>
              <w:spacing w:after="0"/>
              <w:rPr>
                <w:sz w:val="10"/>
                <w:szCs w:val="10"/>
                <w:color w:val="auto"/>
              </w:rPr>
            </w:pPr>
          </w:p>
        </w:tc>
        <w:tc>
          <w:tcPr>
            <w:tcW w:w="860" w:type="dxa"/>
            <w:vAlign w:val="bottom"/>
            <w:tcBorders>
              <w:bottom w:val="single" w:sz="8" w:color="C00000"/>
            </w:tcBorders>
          </w:tcPr>
          <w:p>
            <w:pPr>
              <w:spacing w:after="0"/>
              <w:rPr>
                <w:sz w:val="10"/>
                <w:szCs w:val="10"/>
                <w:color w:val="auto"/>
              </w:rPr>
            </w:pPr>
          </w:p>
        </w:tc>
        <w:tc>
          <w:tcPr>
            <w:tcW w:w="880" w:type="dxa"/>
            <w:vAlign w:val="bottom"/>
            <w:tcBorders>
              <w:bottom w:val="single" w:sz="8" w:color="C00000"/>
            </w:tcBorders>
          </w:tcPr>
          <w:p>
            <w:pPr>
              <w:spacing w:after="0"/>
              <w:rPr>
                <w:sz w:val="10"/>
                <w:szCs w:val="10"/>
                <w:color w:val="auto"/>
              </w:rPr>
            </w:pPr>
          </w:p>
        </w:tc>
        <w:tc>
          <w:tcPr>
            <w:tcW w:w="900" w:type="dxa"/>
            <w:vAlign w:val="bottom"/>
            <w:tcBorders>
              <w:bottom w:val="single" w:sz="8" w:color="C00000"/>
            </w:tcBorders>
          </w:tcPr>
          <w:p>
            <w:pPr>
              <w:spacing w:after="0"/>
              <w:rPr>
                <w:sz w:val="10"/>
                <w:szCs w:val="10"/>
                <w:color w:val="auto"/>
              </w:rPr>
            </w:pPr>
          </w:p>
        </w:tc>
        <w:tc>
          <w:tcPr>
            <w:tcW w:w="220" w:type="dxa"/>
            <w:vAlign w:val="bottom"/>
            <w:tcBorders>
              <w:bottom w:val="single" w:sz="8" w:color="C00000"/>
            </w:tcBorders>
          </w:tcPr>
          <w:p>
            <w:pPr>
              <w:spacing w:after="0"/>
              <w:rPr>
                <w:sz w:val="10"/>
                <w:szCs w:val="10"/>
                <w:color w:val="auto"/>
              </w:rPr>
            </w:pPr>
          </w:p>
        </w:tc>
        <w:tc>
          <w:tcPr>
            <w:tcW w:w="360" w:type="dxa"/>
            <w:vAlign w:val="bottom"/>
            <w:tcBorders>
              <w:bottom w:val="single" w:sz="8" w:color="C00000"/>
            </w:tcBorders>
          </w:tcPr>
          <w:p>
            <w:pPr>
              <w:spacing w:after="0"/>
              <w:rPr>
                <w:sz w:val="10"/>
                <w:szCs w:val="10"/>
                <w:color w:val="auto"/>
              </w:rPr>
            </w:pPr>
          </w:p>
        </w:tc>
        <w:tc>
          <w:tcPr>
            <w:tcW w:w="360" w:type="dxa"/>
            <w:vAlign w:val="bottom"/>
            <w:tcBorders>
              <w:bottom w:val="single" w:sz="8" w:color="C00000"/>
            </w:tcBorders>
          </w:tcPr>
          <w:p>
            <w:pPr>
              <w:spacing w:after="0"/>
              <w:rPr>
                <w:sz w:val="10"/>
                <w:szCs w:val="10"/>
                <w:color w:val="auto"/>
              </w:rPr>
            </w:pPr>
          </w:p>
        </w:tc>
        <w:tc>
          <w:tcPr>
            <w:tcW w:w="1380" w:type="dxa"/>
            <w:vAlign w:val="bottom"/>
            <w:tcBorders>
              <w:bottom w:val="single" w:sz="8" w:color="C00000"/>
            </w:tcBorders>
          </w:tcPr>
          <w:p>
            <w:pPr>
              <w:spacing w:after="0"/>
              <w:rPr>
                <w:sz w:val="10"/>
                <w:szCs w:val="10"/>
                <w:color w:val="auto"/>
              </w:rPr>
            </w:pPr>
          </w:p>
        </w:tc>
        <w:tc>
          <w:tcPr>
            <w:tcW w:w="120" w:type="dxa"/>
            <w:vAlign w:val="bottom"/>
            <w:tcBorders>
              <w:bottom w:val="single" w:sz="8" w:color="C00000"/>
            </w:tcBorders>
          </w:tcPr>
          <w:p>
            <w:pPr>
              <w:spacing w:after="0"/>
              <w:rPr>
                <w:sz w:val="10"/>
                <w:szCs w:val="10"/>
                <w:color w:val="auto"/>
              </w:rPr>
            </w:pPr>
          </w:p>
        </w:tc>
        <w:tc>
          <w:tcPr>
            <w:tcW w:w="100" w:type="dxa"/>
            <w:vAlign w:val="bottom"/>
            <w:tcBorders>
              <w:bottom w:val="single" w:sz="8" w:color="C00000"/>
            </w:tcBorders>
          </w:tcPr>
          <w:p>
            <w:pPr>
              <w:spacing w:after="0"/>
              <w:rPr>
                <w:sz w:val="10"/>
                <w:szCs w:val="10"/>
                <w:color w:val="auto"/>
              </w:rPr>
            </w:pPr>
          </w:p>
        </w:tc>
        <w:tc>
          <w:tcPr>
            <w:tcW w:w="320" w:type="dxa"/>
            <w:vAlign w:val="bottom"/>
            <w:tcBorders>
              <w:bottom w:val="single" w:sz="8" w:color="C00000"/>
            </w:tcBorders>
          </w:tcPr>
          <w:p>
            <w:pPr>
              <w:spacing w:after="0"/>
              <w:rPr>
                <w:sz w:val="10"/>
                <w:szCs w:val="10"/>
                <w:color w:val="auto"/>
              </w:rPr>
            </w:pPr>
          </w:p>
        </w:tc>
        <w:tc>
          <w:tcPr>
            <w:tcW w:w="600" w:type="dxa"/>
            <w:vAlign w:val="bottom"/>
            <w:tcBorders>
              <w:bottom w:val="single" w:sz="8" w:color="C00000"/>
            </w:tcBorders>
          </w:tcPr>
          <w:p>
            <w:pPr>
              <w:spacing w:after="0"/>
              <w:rPr>
                <w:sz w:val="10"/>
                <w:szCs w:val="10"/>
                <w:color w:val="auto"/>
              </w:rPr>
            </w:pPr>
          </w:p>
        </w:tc>
        <w:tc>
          <w:tcPr>
            <w:tcW w:w="280" w:type="dxa"/>
            <w:vAlign w:val="bottom"/>
            <w:tcBorders>
              <w:bottom w:val="single" w:sz="8" w:color="C00000"/>
            </w:tcBorders>
          </w:tcPr>
          <w:p>
            <w:pPr>
              <w:spacing w:after="0"/>
              <w:rPr>
                <w:sz w:val="10"/>
                <w:szCs w:val="10"/>
                <w:color w:val="auto"/>
              </w:rPr>
            </w:pPr>
          </w:p>
        </w:tc>
        <w:tc>
          <w:tcPr>
            <w:tcW w:w="60" w:type="dxa"/>
            <w:vAlign w:val="bottom"/>
            <w:tcBorders>
              <w:bottom w:val="single" w:sz="8" w:color="C00000"/>
            </w:tcBorders>
          </w:tcPr>
          <w:p>
            <w:pPr>
              <w:spacing w:after="0"/>
              <w:rPr>
                <w:sz w:val="10"/>
                <w:szCs w:val="10"/>
                <w:color w:val="auto"/>
              </w:rPr>
            </w:pPr>
          </w:p>
        </w:tc>
        <w:tc>
          <w:tcPr>
            <w:tcW w:w="360" w:type="dxa"/>
            <w:vAlign w:val="bottom"/>
            <w:tcBorders>
              <w:bottom w:val="single" w:sz="8" w:color="C00000"/>
            </w:tcBorders>
          </w:tcPr>
          <w:p>
            <w:pPr>
              <w:spacing w:after="0"/>
              <w:rPr>
                <w:sz w:val="10"/>
                <w:szCs w:val="10"/>
                <w:color w:val="auto"/>
              </w:rPr>
            </w:pPr>
          </w:p>
        </w:tc>
        <w:tc>
          <w:tcPr>
            <w:tcW w:w="600" w:type="dxa"/>
            <w:vAlign w:val="bottom"/>
            <w:tcBorders>
              <w:bottom w:val="single" w:sz="8" w:color="C00000"/>
            </w:tcBorders>
          </w:tcPr>
          <w:p>
            <w:pPr>
              <w:spacing w:after="0"/>
              <w:rPr>
                <w:sz w:val="10"/>
                <w:szCs w:val="10"/>
                <w:color w:val="auto"/>
              </w:rPr>
            </w:pPr>
          </w:p>
        </w:tc>
        <w:tc>
          <w:tcPr>
            <w:tcW w:w="1720" w:type="dxa"/>
            <w:vAlign w:val="bottom"/>
            <w:tcBorders>
              <w:bottom w:val="single" w:sz="8" w:color="C00000"/>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60" w:type="dxa"/>
            <w:vAlign w:val="bottom"/>
            <w:tcBorders>
              <w:right w:val="single" w:sz="8" w:color="808080"/>
            </w:tcBorders>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English (US)</w:t>
            </w:r>
          </w:p>
        </w:tc>
        <w:tc>
          <w:tcPr>
            <w:tcW w:w="780" w:type="dxa"/>
            <w:vAlign w:val="bottom"/>
            <w:tcBorders>
              <w:right w:val="single" w:sz="8" w:color="808080"/>
            </w:tcBorders>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60" w:type="dxa"/>
            <w:vAlign w:val="bottom"/>
            <w:tcBorders>
              <w:right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780" w:type="dxa"/>
            <w:vAlign w:val="bottom"/>
            <w:tcBorders>
              <w:bottom w:val="single" w:sz="8" w:color="808080"/>
              <w:right w:val="single" w:sz="8" w:color="808080"/>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gridSpan w:val="2"/>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460" w:type="dxa"/>
            <w:vAlign w:val="bottom"/>
            <w:tcBorders>
              <w:right w:val="single" w:sz="8" w:color="808080"/>
            </w:tcBorders>
          </w:tcPr>
          <w:p>
            <w:pPr>
              <w:spacing w:after="0"/>
              <w:rPr>
                <w:sz w:val="18"/>
                <w:szCs w:val="18"/>
                <w:color w:val="auto"/>
              </w:rPr>
            </w:pPr>
          </w:p>
        </w:tc>
        <w:tc>
          <w:tcPr>
            <w:tcW w:w="2700" w:type="dxa"/>
            <w:vAlign w:val="bottom"/>
            <w:tcBorders>
              <w:bottom w:val="single" w:sz="8" w:color="808080"/>
              <w:right w:val="single" w:sz="8" w:color="F3F7FC"/>
            </w:tcBorders>
            <w:gridSpan w:val="3"/>
            <w:shd w:val="clear" w:color="auto" w:fill="F3F7FC"/>
          </w:tcPr>
          <w:p>
            <w:pPr>
              <w:spacing w:after="0"/>
              <w:rPr>
                <w:sz w:val="20"/>
                <w:szCs w:val="20"/>
                <w:color w:val="auto"/>
              </w:rPr>
            </w:pPr>
            <w:r>
              <w:rPr>
                <w:rFonts w:ascii="Arial" w:cs="Arial" w:eastAsia="Arial" w:hAnsi="Arial"/>
                <w:sz w:val="14"/>
                <w:szCs w:val="14"/>
                <w:b w:val="1"/>
                <w:bCs w:val="1"/>
                <w:color w:val="000066"/>
              </w:rPr>
              <w:t xml:space="preserve">Agreement Date : </w:t>
            </w:r>
            <w:r>
              <w:rPr>
                <w:rFonts w:ascii="Arial" w:cs="Arial" w:eastAsia="Arial" w:hAnsi="Arial"/>
                <w:sz w:val="14"/>
                <w:szCs w:val="14"/>
                <w:b w:val="1"/>
                <w:bCs w:val="1"/>
                <w:color w:val="000000"/>
              </w:rPr>
              <w:t>July 3, 2019</w:t>
            </w:r>
          </w:p>
        </w:tc>
        <w:tc>
          <w:tcPr>
            <w:tcW w:w="4100" w:type="dxa"/>
            <w:vAlign w:val="bottom"/>
            <w:tcBorders>
              <w:bottom w:val="single" w:sz="8" w:color="808080"/>
            </w:tcBorders>
            <w:gridSpan w:val="6"/>
            <w:shd w:val="clear" w:color="auto" w:fill="F3F7FC"/>
          </w:tcPr>
          <w:p>
            <w:pPr>
              <w:ind w:left="720"/>
              <w:spacing w:after="0"/>
              <w:rPr>
                <w:sz w:val="20"/>
                <w:szCs w:val="20"/>
                <w:color w:val="auto"/>
              </w:rPr>
            </w:pPr>
            <w:r>
              <w:rPr>
                <w:rFonts w:ascii="Arial" w:cs="Arial" w:eastAsia="Arial" w:hAnsi="Arial"/>
                <w:sz w:val="14"/>
                <w:szCs w:val="14"/>
                <w:b w:val="1"/>
                <w:bCs w:val="1"/>
                <w:color w:val="000066"/>
              </w:rPr>
              <w:t xml:space="preserve">Reference No : </w:t>
            </w:r>
            <w:r>
              <w:rPr>
                <w:rFonts w:ascii="Arial" w:cs="Arial" w:eastAsia="Arial" w:hAnsi="Arial"/>
                <w:sz w:val="14"/>
                <w:szCs w:val="14"/>
                <w:b w:val="1"/>
                <w:bCs w:val="1"/>
                <w:color w:val="000000"/>
              </w:rPr>
              <w:t>245761152180</w:t>
            </w:r>
          </w:p>
        </w:tc>
        <w:tc>
          <w:tcPr>
            <w:tcW w:w="120" w:type="dxa"/>
            <w:vAlign w:val="bottom"/>
            <w:tcBorders>
              <w:bottom w:val="single" w:sz="8" w:color="808080"/>
              <w:right w:val="single" w:sz="8" w:color="F3F7FC"/>
            </w:tcBorders>
            <w:shd w:val="clear" w:color="auto" w:fill="F3F7FC"/>
          </w:tcPr>
          <w:p>
            <w:pPr>
              <w:spacing w:after="0"/>
              <w:rPr>
                <w:sz w:val="18"/>
                <w:szCs w:val="18"/>
                <w:color w:val="auto"/>
              </w:rPr>
            </w:pPr>
          </w:p>
        </w:tc>
        <w:tc>
          <w:tcPr>
            <w:tcW w:w="100" w:type="dxa"/>
            <w:vAlign w:val="bottom"/>
            <w:tcBorders>
              <w:bottom w:val="single" w:sz="8" w:color="808080"/>
              <w:right w:val="single" w:sz="8" w:color="F3F7FC"/>
            </w:tcBorders>
            <w:shd w:val="clear" w:color="auto" w:fill="F3F7FC"/>
          </w:tcPr>
          <w:p>
            <w:pPr>
              <w:spacing w:after="0"/>
              <w:rPr>
                <w:sz w:val="18"/>
                <w:szCs w:val="18"/>
                <w:color w:val="auto"/>
              </w:rPr>
            </w:pPr>
          </w:p>
        </w:tc>
        <w:tc>
          <w:tcPr>
            <w:tcW w:w="320" w:type="dxa"/>
            <w:vAlign w:val="bottom"/>
            <w:tcBorders>
              <w:bottom w:val="single" w:sz="8" w:color="808080"/>
              <w:right w:val="single" w:sz="8" w:color="F3F7FC"/>
            </w:tcBorders>
            <w:shd w:val="clear" w:color="auto" w:fill="F3F7FC"/>
          </w:tcPr>
          <w:p>
            <w:pPr>
              <w:spacing w:after="0"/>
              <w:rPr>
                <w:sz w:val="18"/>
                <w:szCs w:val="18"/>
                <w:color w:val="auto"/>
              </w:rPr>
            </w:pPr>
          </w:p>
        </w:tc>
        <w:tc>
          <w:tcPr>
            <w:tcW w:w="600" w:type="dxa"/>
            <w:vAlign w:val="bottom"/>
            <w:tcBorders>
              <w:bottom w:val="single" w:sz="8" w:color="808080"/>
            </w:tcBorders>
            <w:shd w:val="clear" w:color="auto" w:fill="F3F7FC"/>
          </w:tcPr>
          <w:p>
            <w:pPr>
              <w:spacing w:after="0"/>
              <w:rPr>
                <w:sz w:val="18"/>
                <w:szCs w:val="18"/>
                <w:color w:val="auto"/>
              </w:rPr>
            </w:pPr>
          </w:p>
        </w:tc>
        <w:tc>
          <w:tcPr>
            <w:tcW w:w="280" w:type="dxa"/>
            <w:vAlign w:val="bottom"/>
            <w:tcBorders>
              <w:bottom w:val="single" w:sz="8" w:color="808080"/>
              <w:right w:val="single" w:sz="8" w:color="F3F7FC"/>
            </w:tcBorders>
            <w:shd w:val="clear" w:color="auto" w:fill="F3F7FC"/>
          </w:tcPr>
          <w:p>
            <w:pPr>
              <w:spacing w:after="0"/>
              <w:rPr>
                <w:sz w:val="18"/>
                <w:szCs w:val="18"/>
                <w:color w:val="auto"/>
              </w:rPr>
            </w:pPr>
          </w:p>
        </w:tc>
        <w:tc>
          <w:tcPr>
            <w:tcW w:w="60" w:type="dxa"/>
            <w:vAlign w:val="bottom"/>
            <w:tcBorders>
              <w:bottom w:val="single" w:sz="8" w:color="808080"/>
            </w:tcBorders>
            <w:shd w:val="clear" w:color="auto" w:fill="F3F7FC"/>
          </w:tcPr>
          <w:p>
            <w:pPr>
              <w:spacing w:after="0"/>
              <w:rPr>
                <w:sz w:val="18"/>
                <w:szCs w:val="18"/>
                <w:color w:val="auto"/>
              </w:rPr>
            </w:pPr>
          </w:p>
        </w:tc>
        <w:tc>
          <w:tcPr>
            <w:tcW w:w="360" w:type="dxa"/>
            <w:vAlign w:val="bottom"/>
            <w:tcBorders>
              <w:bottom w:val="single" w:sz="8" w:color="808080"/>
              <w:right w:val="single" w:sz="8" w:color="F3F7FC"/>
            </w:tcBorders>
            <w:shd w:val="clear" w:color="auto" w:fill="F3F7FC"/>
          </w:tcPr>
          <w:p>
            <w:pPr>
              <w:spacing w:after="0"/>
              <w:rPr>
                <w:sz w:val="18"/>
                <w:szCs w:val="18"/>
                <w:color w:val="auto"/>
              </w:rPr>
            </w:pPr>
          </w:p>
        </w:tc>
        <w:tc>
          <w:tcPr>
            <w:tcW w:w="600" w:type="dxa"/>
            <w:vAlign w:val="bottom"/>
            <w:tcBorders>
              <w:bottom w:val="single" w:sz="8" w:color="808080"/>
              <w:right w:val="single" w:sz="8" w:color="F3F7FC"/>
            </w:tcBorders>
            <w:shd w:val="clear" w:color="auto" w:fill="F3F7FC"/>
          </w:tcPr>
          <w:p>
            <w:pPr>
              <w:spacing w:after="0"/>
              <w:rPr>
                <w:sz w:val="18"/>
                <w:szCs w:val="18"/>
                <w:color w:val="auto"/>
              </w:rPr>
            </w:pPr>
          </w:p>
        </w:tc>
        <w:tc>
          <w:tcPr>
            <w:tcW w:w="1720" w:type="dxa"/>
            <w:vAlign w:val="bottom"/>
            <w:tcBorders>
              <w:bottom w:val="single" w:sz="8" w:color="808080"/>
              <w:right w:val="single" w:sz="8" w:color="808080"/>
            </w:tcBorders>
            <w:shd w:val="clear" w:color="auto" w:fill="F3F7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gridSpan w:val="2"/>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60" w:type="dxa"/>
            <w:vAlign w:val="bottom"/>
            <w:tcBorders>
              <w:right w:val="single" w:sz="8" w:color="808080"/>
            </w:tcBorders>
          </w:tcPr>
          <w:p>
            <w:pPr>
              <w:spacing w:after="0"/>
              <w:rPr>
                <w:sz w:val="13"/>
                <w:szCs w:val="13"/>
                <w:color w:val="auto"/>
              </w:rPr>
            </w:pPr>
          </w:p>
        </w:tc>
        <w:tc>
          <w:tcPr>
            <w:tcW w:w="2700" w:type="dxa"/>
            <w:vAlign w:val="bottom"/>
            <w:tcBorders>
              <w:bottom w:val="single" w:sz="8" w:color="808080"/>
            </w:tcBorders>
            <w:gridSpan w:val="3"/>
          </w:tcPr>
          <w:p>
            <w:pPr>
              <w:ind w:left="20"/>
              <w:spacing w:after="0" w:line="155" w:lineRule="exact"/>
              <w:rPr>
                <w:sz w:val="20"/>
                <w:szCs w:val="20"/>
                <w:color w:val="auto"/>
              </w:rPr>
            </w:pPr>
            <w:r>
              <w:rPr>
                <w:rFonts w:ascii="Arial" w:cs="Arial" w:eastAsia="Arial" w:hAnsi="Arial"/>
                <w:sz w:val="14"/>
                <w:szCs w:val="14"/>
                <w:b w:val="1"/>
                <w:bCs w:val="1"/>
                <w:color w:val="000066"/>
              </w:rPr>
              <w:t>Business Center Details</w:t>
            </w:r>
          </w:p>
        </w:tc>
        <w:tc>
          <w:tcPr>
            <w:tcW w:w="88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right w:val="single" w:sz="8" w:color="808080"/>
            </w:tcBorders>
          </w:tcPr>
          <w:p>
            <w:pPr>
              <w:spacing w:after="0"/>
              <w:rPr>
                <w:sz w:val="13"/>
                <w:szCs w:val="13"/>
                <w:color w:val="auto"/>
              </w:rPr>
            </w:pPr>
          </w:p>
        </w:tc>
        <w:tc>
          <w:tcPr>
            <w:tcW w:w="360" w:type="dxa"/>
            <w:vAlign w:val="bottom"/>
            <w:tcBorders>
              <w:right w:val="single" w:sz="8" w:color="808080"/>
            </w:tcBorders>
          </w:tcPr>
          <w:p>
            <w:pPr>
              <w:spacing w:after="0"/>
              <w:rPr>
                <w:sz w:val="13"/>
                <w:szCs w:val="13"/>
                <w:color w:val="auto"/>
              </w:rPr>
            </w:pPr>
          </w:p>
        </w:tc>
        <w:tc>
          <w:tcPr>
            <w:tcW w:w="1380" w:type="dxa"/>
            <w:vAlign w:val="bottom"/>
            <w:tcBorders>
              <w:bottom w:val="single" w:sz="8" w:color="808080"/>
            </w:tcBorders>
          </w:tcPr>
          <w:p>
            <w:pPr>
              <w:ind w:left="100"/>
              <w:spacing w:after="0" w:line="155" w:lineRule="exact"/>
              <w:rPr>
                <w:sz w:val="20"/>
                <w:szCs w:val="20"/>
                <w:color w:val="auto"/>
              </w:rPr>
            </w:pPr>
            <w:r>
              <w:rPr>
                <w:rFonts w:ascii="Arial" w:cs="Arial" w:eastAsia="Arial" w:hAnsi="Arial"/>
                <w:sz w:val="14"/>
                <w:szCs w:val="14"/>
                <w:b w:val="1"/>
                <w:bCs w:val="1"/>
                <w:color w:val="000066"/>
              </w:rPr>
              <w:t>Client Details</w:t>
            </w:r>
          </w:p>
        </w:tc>
        <w:tc>
          <w:tcPr>
            <w:tcW w:w="1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720" w:type="dxa"/>
            <w:vAlign w:val="bottom"/>
            <w:tcBorders>
              <w:bottom w:val="single" w:sz="8" w:color="808080"/>
              <w:right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2700" w:type="dxa"/>
            <w:vAlign w:val="bottom"/>
            <w:gridSpan w:val="3"/>
          </w:tcPr>
          <w:p>
            <w:pPr>
              <w:spacing w:after="0"/>
              <w:rPr>
                <w:sz w:val="20"/>
                <w:szCs w:val="20"/>
                <w:color w:val="auto"/>
              </w:rPr>
            </w:pPr>
            <w:r>
              <w:rPr>
                <w:rFonts w:ascii="Arial" w:cs="Arial" w:eastAsia="Arial" w:hAnsi="Arial"/>
                <w:sz w:val="11"/>
                <w:szCs w:val="11"/>
                <w:b w:val="1"/>
                <w:bCs w:val="1"/>
                <w:color w:val="auto"/>
              </w:rPr>
              <w:t>DUBLIN, Spaces South Docklands</w:t>
            </w: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ind w:left="100"/>
              <w:spacing w:after="0"/>
              <w:rPr>
                <w:sz w:val="20"/>
                <w:szCs w:val="20"/>
                <w:color w:val="auto"/>
              </w:rPr>
            </w:pPr>
            <w:r>
              <w:rPr>
                <w:rFonts w:ascii="Arial" w:cs="Arial" w:eastAsia="Arial" w:hAnsi="Arial"/>
                <w:sz w:val="11"/>
                <w:szCs w:val="11"/>
                <w:b w:val="1"/>
                <w:bCs w:val="1"/>
                <w:color w:val="000066"/>
              </w:rPr>
              <w:t>Company Name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20" w:type="dxa"/>
            <w:vAlign w:val="bottom"/>
            <w:gridSpan w:val="6"/>
          </w:tcPr>
          <w:p>
            <w:pPr>
              <w:ind w:left="40"/>
              <w:spacing w:after="0"/>
              <w:rPr>
                <w:sz w:val="20"/>
                <w:szCs w:val="20"/>
                <w:color w:val="auto"/>
              </w:rPr>
            </w:pPr>
            <w:r>
              <w:rPr>
                <w:rFonts w:ascii="Arial" w:cs="Arial" w:eastAsia="Arial" w:hAnsi="Arial"/>
                <w:sz w:val="11"/>
                <w:szCs w:val="11"/>
                <w:color w:val="auto"/>
              </w:rPr>
              <w:t>Amarin Pharmaceuticals Ireland Ltd</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1"/>
                <w:szCs w:val="11"/>
                <w:b w:val="1"/>
                <w:bCs w:val="1"/>
                <w:color w:val="000066"/>
              </w:rPr>
              <w:t>Address</w:t>
            </w:r>
          </w:p>
        </w:tc>
        <w:tc>
          <w:tcPr>
            <w:tcW w:w="1640" w:type="dxa"/>
            <w:vAlign w:val="bottom"/>
            <w:gridSpan w:val="2"/>
          </w:tcPr>
          <w:p>
            <w:pPr>
              <w:ind w:left="60"/>
              <w:spacing w:after="0"/>
              <w:rPr>
                <w:sz w:val="20"/>
                <w:szCs w:val="20"/>
                <w:color w:val="auto"/>
              </w:rPr>
            </w:pPr>
            <w:r>
              <w:rPr>
                <w:rFonts w:ascii="Arial" w:cs="Arial" w:eastAsia="Arial" w:hAnsi="Arial"/>
                <w:sz w:val="11"/>
                <w:szCs w:val="11"/>
                <w:color w:val="auto"/>
              </w:rPr>
              <w:t>77 Sir John Rogerson's Quay</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1"/>
                <w:szCs w:val="11"/>
                <w:b w:val="1"/>
                <w:bCs w:val="1"/>
                <w:color w:val="000066"/>
              </w:rPr>
              <w:t>Contact Name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1"/>
                <w:szCs w:val="11"/>
                <w:color w:val="auto"/>
              </w:rPr>
              <w:t>Tom Maher</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Block C</w:t>
            </w: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ind w:left="60"/>
              <w:spacing w:after="0" w:line="115" w:lineRule="exact"/>
              <w:rPr>
                <w:sz w:val="20"/>
                <w:szCs w:val="20"/>
                <w:color w:val="auto"/>
              </w:rPr>
            </w:pPr>
            <w:r>
              <w:rPr>
                <w:rFonts w:ascii="Arial" w:cs="Arial" w:eastAsia="Arial" w:hAnsi="Arial"/>
                <w:sz w:val="11"/>
                <w:szCs w:val="11"/>
                <w:color w:val="auto"/>
              </w:rPr>
              <w:t>Grand Canal Docklands</w:t>
            </w: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ind w:left="100"/>
              <w:spacing w:after="0" w:line="121" w:lineRule="exact"/>
              <w:rPr>
                <w:sz w:val="20"/>
                <w:szCs w:val="20"/>
                <w:color w:val="auto"/>
              </w:rPr>
            </w:pPr>
            <w:r>
              <w:rPr>
                <w:rFonts w:ascii="Arial" w:cs="Arial" w:eastAsia="Arial" w:hAnsi="Arial"/>
                <w:sz w:val="11"/>
                <w:szCs w:val="11"/>
                <w:b w:val="1"/>
                <w:bCs w:val="1"/>
                <w:color w:val="000066"/>
              </w:rPr>
              <w:t>Address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808080"/>
            </w:tcBorders>
          </w:tcPr>
          <w:p>
            <w:pPr>
              <w:spacing w:after="0"/>
              <w:rPr>
                <w:sz w:val="10"/>
                <w:szCs w:val="10"/>
                <w:color w:val="auto"/>
              </w:rPr>
            </w:pPr>
          </w:p>
        </w:tc>
        <w:tc>
          <w:tcPr>
            <w:tcW w:w="940" w:type="dxa"/>
            <w:vAlign w:val="bottom"/>
            <w:tcBorders>
              <w:bottom w:val="single" w:sz="8" w:color="808080"/>
            </w:tcBorders>
            <w:gridSpan w:val="3"/>
          </w:tcPr>
          <w:p>
            <w:pPr>
              <w:ind w:left="60"/>
              <w:spacing w:after="0" w:line="122" w:lineRule="exact"/>
              <w:rPr>
                <w:sz w:val="20"/>
                <w:szCs w:val="20"/>
                <w:color w:val="auto"/>
              </w:rPr>
            </w:pPr>
            <w:r>
              <w:rPr>
                <w:rFonts w:ascii="Arial" w:cs="Arial" w:eastAsia="Arial" w:hAnsi="Arial"/>
                <w:sz w:val="11"/>
                <w:szCs w:val="11"/>
                <w:color w:val="auto"/>
                <w:w w:val="95"/>
              </w:rPr>
              <w:t>88 Harcourt Street</w:t>
            </w: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right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ind w:left="60"/>
              <w:spacing w:after="0" w:line="115" w:lineRule="exact"/>
              <w:rPr>
                <w:sz w:val="20"/>
                <w:szCs w:val="20"/>
                <w:color w:val="auto"/>
              </w:rPr>
            </w:pPr>
            <w:r>
              <w:rPr>
                <w:rFonts w:ascii="Arial" w:cs="Arial" w:eastAsia="Arial" w:hAnsi="Arial"/>
                <w:sz w:val="11"/>
                <w:szCs w:val="11"/>
                <w:color w:val="auto"/>
              </w:rPr>
              <w:t>Dublin 2</w:t>
            </w: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ind w:left="60"/>
              <w:spacing w:after="0" w:line="115" w:lineRule="exact"/>
              <w:rPr>
                <w:sz w:val="20"/>
                <w:szCs w:val="20"/>
                <w:color w:val="auto"/>
              </w:rPr>
            </w:pPr>
            <w:r>
              <w:rPr>
                <w:rFonts w:ascii="Arial" w:cs="Arial" w:eastAsia="Arial" w:hAnsi="Arial"/>
                <w:sz w:val="11"/>
                <w:szCs w:val="11"/>
                <w:color w:val="auto"/>
              </w:rPr>
              <w:t>D02 VK60</w:t>
            </w: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right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ind w:left="60"/>
              <w:spacing w:after="0" w:line="115" w:lineRule="exact"/>
              <w:rPr>
                <w:sz w:val="20"/>
                <w:szCs w:val="20"/>
                <w:color w:val="auto"/>
              </w:rPr>
            </w:pPr>
            <w:r>
              <w:rPr>
                <w:rFonts w:ascii="Arial" w:cs="Arial" w:eastAsia="Arial" w:hAnsi="Arial"/>
                <w:sz w:val="11"/>
                <w:szCs w:val="11"/>
                <w:color w:val="auto"/>
              </w:rPr>
              <w:t>Republic of Ireland</w:t>
            </w: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vMerge w:val="restart"/>
          </w:tcPr>
          <w:p>
            <w:pPr>
              <w:ind w:left="100"/>
              <w:spacing w:after="0"/>
              <w:rPr>
                <w:sz w:val="20"/>
                <w:szCs w:val="20"/>
                <w:color w:val="auto"/>
              </w:rPr>
            </w:pPr>
            <w:r>
              <w:rPr>
                <w:rFonts w:ascii="Arial" w:cs="Arial" w:eastAsia="Arial" w:hAnsi="Arial"/>
                <w:sz w:val="11"/>
                <w:szCs w:val="11"/>
                <w:b w:val="1"/>
                <w:bCs w:val="1"/>
                <w:color w:val="000066"/>
              </w:rPr>
              <w:t>Town/City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right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808080"/>
            </w:tcBorders>
          </w:tcPr>
          <w:p>
            <w:pPr>
              <w:spacing w:after="0"/>
              <w:rPr>
                <w:sz w:val="10"/>
                <w:szCs w:val="10"/>
                <w:color w:val="auto"/>
              </w:rPr>
            </w:pPr>
          </w:p>
        </w:tc>
        <w:tc>
          <w:tcPr>
            <w:tcW w:w="940" w:type="dxa"/>
            <w:vAlign w:val="bottom"/>
            <w:tcBorders>
              <w:bottom w:val="single" w:sz="8" w:color="808080"/>
            </w:tcBorders>
            <w:gridSpan w:val="3"/>
          </w:tcPr>
          <w:p>
            <w:pPr>
              <w:ind w:left="60"/>
              <w:spacing w:after="0" w:line="115" w:lineRule="exact"/>
              <w:rPr>
                <w:sz w:val="20"/>
                <w:szCs w:val="20"/>
                <w:color w:val="auto"/>
              </w:rPr>
            </w:pPr>
            <w:r>
              <w:rPr>
                <w:rFonts w:ascii="Arial" w:cs="Arial" w:eastAsia="Arial" w:hAnsi="Arial"/>
                <w:sz w:val="11"/>
                <w:szCs w:val="11"/>
                <w:color w:val="auto"/>
              </w:rPr>
              <w:t>Dublin</w:t>
            </w: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right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vMerge w:val="restart"/>
          </w:tcPr>
          <w:p>
            <w:pPr>
              <w:ind w:left="100"/>
              <w:spacing w:after="0"/>
              <w:rPr>
                <w:sz w:val="20"/>
                <w:szCs w:val="20"/>
                <w:color w:val="auto"/>
              </w:rPr>
            </w:pPr>
            <w:r>
              <w:rPr>
                <w:rFonts w:ascii="Arial" w:cs="Arial" w:eastAsia="Arial" w:hAnsi="Arial"/>
                <w:sz w:val="11"/>
                <w:szCs w:val="11"/>
                <w:b w:val="1"/>
                <w:bCs w:val="1"/>
                <w:color w:val="000066"/>
              </w:rPr>
              <w:t>County/State/Province</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right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vMerge w:val="restart"/>
          </w:tcPr>
          <w:p>
            <w:pPr>
              <w:ind w:left="100"/>
              <w:spacing w:after="0"/>
              <w:rPr>
                <w:sz w:val="20"/>
                <w:szCs w:val="20"/>
                <w:color w:val="auto"/>
              </w:rPr>
            </w:pPr>
            <w:r>
              <w:rPr>
                <w:rFonts w:ascii="Arial" w:cs="Arial" w:eastAsia="Arial" w:hAnsi="Arial"/>
                <w:sz w:val="11"/>
                <w:szCs w:val="11"/>
                <w:b w:val="1"/>
                <w:bCs w:val="1"/>
                <w:color w:val="000066"/>
              </w:rPr>
              <w:t>Post Code *</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808080"/>
            </w:tcBorders>
          </w:tcPr>
          <w:p>
            <w:pPr>
              <w:spacing w:after="0"/>
              <w:rPr>
                <w:sz w:val="10"/>
                <w:szCs w:val="10"/>
                <w:color w:val="auto"/>
              </w:rPr>
            </w:pPr>
          </w:p>
        </w:tc>
        <w:tc>
          <w:tcPr>
            <w:tcW w:w="940" w:type="dxa"/>
            <w:vAlign w:val="bottom"/>
            <w:tcBorders>
              <w:bottom w:val="single" w:sz="8" w:color="808080"/>
            </w:tcBorders>
            <w:gridSpan w:val="3"/>
          </w:tcPr>
          <w:p>
            <w:pPr>
              <w:ind w:left="60"/>
              <w:spacing w:after="0" w:line="115" w:lineRule="exact"/>
              <w:rPr>
                <w:sz w:val="20"/>
                <w:szCs w:val="20"/>
                <w:color w:val="auto"/>
              </w:rPr>
            </w:pPr>
            <w:r>
              <w:rPr>
                <w:rFonts w:ascii="Arial" w:cs="Arial" w:eastAsia="Arial" w:hAnsi="Arial"/>
                <w:sz w:val="11"/>
                <w:szCs w:val="11"/>
                <w:color w:val="auto"/>
              </w:rPr>
              <w:t>D2</w:t>
            </w: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right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vMerge w:val="restart"/>
          </w:tcPr>
          <w:p>
            <w:pPr>
              <w:ind w:left="100"/>
              <w:spacing w:after="0"/>
              <w:rPr>
                <w:sz w:val="20"/>
                <w:szCs w:val="20"/>
                <w:color w:val="auto"/>
              </w:rPr>
            </w:pPr>
            <w:r>
              <w:rPr>
                <w:rFonts w:ascii="Arial" w:cs="Arial" w:eastAsia="Arial" w:hAnsi="Arial"/>
                <w:sz w:val="11"/>
                <w:szCs w:val="11"/>
                <w:b w:val="1"/>
                <w:bCs w:val="1"/>
                <w:color w:val="000066"/>
              </w:rPr>
              <w:t>Country *</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808080"/>
            </w:tcBorders>
          </w:tcPr>
          <w:p>
            <w:pPr>
              <w:spacing w:after="0"/>
              <w:rPr>
                <w:sz w:val="10"/>
                <w:szCs w:val="10"/>
                <w:color w:val="auto"/>
              </w:rPr>
            </w:pPr>
          </w:p>
        </w:tc>
        <w:tc>
          <w:tcPr>
            <w:tcW w:w="1900" w:type="dxa"/>
            <w:vAlign w:val="bottom"/>
            <w:tcBorders>
              <w:bottom w:val="single" w:sz="8" w:color="808080"/>
              <w:right w:val="single" w:sz="8" w:color="808080"/>
            </w:tcBorders>
            <w:gridSpan w:val="5"/>
          </w:tcPr>
          <w:p>
            <w:pPr>
              <w:ind w:left="60"/>
              <w:spacing w:after="0" w:line="115" w:lineRule="exact"/>
              <w:rPr>
                <w:sz w:val="20"/>
                <w:szCs w:val="20"/>
                <w:color w:val="auto"/>
              </w:rPr>
            </w:pPr>
            <w:r>
              <w:rPr>
                <w:rFonts w:ascii="Arial" w:cs="Arial" w:eastAsia="Arial" w:hAnsi="Arial"/>
                <w:sz w:val="11"/>
                <w:szCs w:val="11"/>
                <w:color w:val="auto"/>
              </w:rPr>
              <w:t>Republic of Ireland</w:t>
            </w: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1060" w:type="dxa"/>
            <w:vAlign w:val="bottom"/>
            <w:tcBorders>
              <w:bottom w:val="single" w:sz="8" w:color="808080"/>
            </w:tcBorders>
          </w:tcPr>
          <w:p>
            <w:pPr>
              <w:spacing w:after="0"/>
              <w:rPr>
                <w:sz w:val="21"/>
                <w:szCs w:val="21"/>
                <w:color w:val="auto"/>
              </w:rPr>
            </w:pPr>
          </w:p>
        </w:tc>
        <w:tc>
          <w:tcPr>
            <w:tcW w:w="1640" w:type="dxa"/>
            <w:vAlign w:val="bottom"/>
            <w:tcBorders>
              <w:bottom w:val="single" w:sz="8" w:color="808080"/>
            </w:tcBorders>
            <w:gridSpan w:val="2"/>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17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60" w:type="dxa"/>
            <w:vAlign w:val="bottom"/>
            <w:tcBorders>
              <w:right w:val="single" w:sz="8" w:color="808080"/>
            </w:tcBorders>
          </w:tcPr>
          <w:p>
            <w:pPr>
              <w:spacing w:after="0"/>
              <w:rPr>
                <w:sz w:val="18"/>
                <w:szCs w:val="18"/>
                <w:color w:val="auto"/>
              </w:rPr>
            </w:pPr>
          </w:p>
        </w:tc>
        <w:tc>
          <w:tcPr>
            <w:tcW w:w="4480" w:type="dxa"/>
            <w:vAlign w:val="bottom"/>
            <w:tcBorders>
              <w:bottom w:val="single" w:sz="8" w:color="F3F7FC"/>
              <w:right w:val="single" w:sz="8" w:color="F3F7FC"/>
            </w:tcBorders>
            <w:gridSpan w:val="5"/>
            <w:shd w:val="clear" w:color="auto" w:fill="F3F7FC"/>
          </w:tcPr>
          <w:p>
            <w:pPr>
              <w:ind w:left="240"/>
              <w:spacing w:after="0"/>
              <w:rPr>
                <w:sz w:val="20"/>
                <w:szCs w:val="20"/>
                <w:color w:val="auto"/>
              </w:rPr>
            </w:pPr>
            <w:r>
              <w:rPr>
                <w:rFonts w:ascii="Arial" w:cs="Arial" w:eastAsia="Arial" w:hAnsi="Arial"/>
                <w:sz w:val="13"/>
                <w:szCs w:val="13"/>
                <w:b w:val="1"/>
                <w:bCs w:val="1"/>
                <w:color w:val="000066"/>
              </w:rPr>
              <w:t>Office Payment Details (exc. tax and exc. services)</w:t>
            </w:r>
          </w:p>
        </w:tc>
        <w:tc>
          <w:tcPr>
            <w:tcW w:w="220" w:type="dxa"/>
            <w:vAlign w:val="bottom"/>
            <w:tcBorders>
              <w:bottom w:val="single" w:sz="8" w:color="F3F7FC"/>
              <w:right w:val="single" w:sz="8" w:color="F3F7FC"/>
            </w:tcBorders>
            <w:shd w:val="clear" w:color="auto" w:fill="F3F7FC"/>
          </w:tcPr>
          <w:p>
            <w:pPr>
              <w:spacing w:after="0"/>
              <w:rPr>
                <w:sz w:val="18"/>
                <w:szCs w:val="18"/>
                <w:color w:val="auto"/>
              </w:rPr>
            </w:pPr>
          </w:p>
        </w:tc>
        <w:tc>
          <w:tcPr>
            <w:tcW w:w="360" w:type="dxa"/>
            <w:vAlign w:val="bottom"/>
            <w:tcBorders>
              <w:bottom w:val="single" w:sz="8" w:color="F3F7FC"/>
              <w:right w:val="single" w:sz="8" w:color="F3F7FC"/>
            </w:tcBorders>
            <w:shd w:val="clear" w:color="auto" w:fill="F3F7FC"/>
          </w:tcPr>
          <w:p>
            <w:pPr>
              <w:spacing w:after="0"/>
              <w:rPr>
                <w:sz w:val="18"/>
                <w:szCs w:val="18"/>
                <w:color w:val="auto"/>
              </w:rPr>
            </w:pPr>
          </w:p>
        </w:tc>
        <w:tc>
          <w:tcPr>
            <w:tcW w:w="360" w:type="dxa"/>
            <w:vAlign w:val="bottom"/>
            <w:tcBorders>
              <w:bottom w:val="single" w:sz="8" w:color="F3F7FC"/>
              <w:right w:val="single" w:sz="8" w:color="F3F7FC"/>
            </w:tcBorders>
            <w:shd w:val="clear" w:color="auto" w:fill="F3F7FC"/>
          </w:tcPr>
          <w:p>
            <w:pPr>
              <w:spacing w:after="0"/>
              <w:rPr>
                <w:sz w:val="18"/>
                <w:szCs w:val="18"/>
                <w:color w:val="auto"/>
              </w:rPr>
            </w:pPr>
          </w:p>
        </w:tc>
        <w:tc>
          <w:tcPr>
            <w:tcW w:w="1380" w:type="dxa"/>
            <w:vAlign w:val="bottom"/>
            <w:tcBorders>
              <w:bottom w:val="single" w:sz="8" w:color="F3F7FC"/>
            </w:tcBorders>
            <w:shd w:val="clear" w:color="auto" w:fill="F3F7FC"/>
          </w:tcPr>
          <w:p>
            <w:pPr>
              <w:spacing w:after="0"/>
              <w:rPr>
                <w:sz w:val="18"/>
                <w:szCs w:val="18"/>
                <w:color w:val="auto"/>
              </w:rPr>
            </w:pPr>
          </w:p>
        </w:tc>
        <w:tc>
          <w:tcPr>
            <w:tcW w:w="120" w:type="dxa"/>
            <w:vAlign w:val="bottom"/>
            <w:tcBorders>
              <w:bottom w:val="single" w:sz="8" w:color="F3F7FC"/>
              <w:right w:val="single" w:sz="8" w:color="F3F7FC"/>
            </w:tcBorders>
            <w:shd w:val="clear" w:color="auto" w:fill="F3F7FC"/>
          </w:tcPr>
          <w:p>
            <w:pPr>
              <w:spacing w:after="0"/>
              <w:rPr>
                <w:sz w:val="18"/>
                <w:szCs w:val="18"/>
                <w:color w:val="auto"/>
              </w:rPr>
            </w:pPr>
          </w:p>
        </w:tc>
        <w:tc>
          <w:tcPr>
            <w:tcW w:w="100" w:type="dxa"/>
            <w:vAlign w:val="bottom"/>
            <w:tcBorders>
              <w:bottom w:val="single" w:sz="8" w:color="F3F7FC"/>
              <w:right w:val="single" w:sz="8" w:color="F3F7FC"/>
            </w:tcBorders>
            <w:shd w:val="clear" w:color="auto" w:fill="F3F7FC"/>
          </w:tcPr>
          <w:p>
            <w:pPr>
              <w:spacing w:after="0"/>
              <w:rPr>
                <w:sz w:val="18"/>
                <w:szCs w:val="18"/>
                <w:color w:val="auto"/>
              </w:rPr>
            </w:pPr>
          </w:p>
        </w:tc>
        <w:tc>
          <w:tcPr>
            <w:tcW w:w="320" w:type="dxa"/>
            <w:vAlign w:val="bottom"/>
            <w:tcBorders>
              <w:bottom w:val="single" w:sz="8" w:color="F3F7FC"/>
              <w:right w:val="single" w:sz="8" w:color="F3F7FC"/>
            </w:tcBorders>
            <w:shd w:val="clear" w:color="auto" w:fill="F3F7FC"/>
          </w:tcPr>
          <w:p>
            <w:pPr>
              <w:spacing w:after="0"/>
              <w:rPr>
                <w:sz w:val="18"/>
                <w:szCs w:val="18"/>
                <w:color w:val="auto"/>
              </w:rPr>
            </w:pPr>
          </w:p>
        </w:tc>
        <w:tc>
          <w:tcPr>
            <w:tcW w:w="600" w:type="dxa"/>
            <w:vAlign w:val="bottom"/>
            <w:tcBorders>
              <w:bottom w:val="single" w:sz="8" w:color="F3F7FC"/>
            </w:tcBorders>
            <w:shd w:val="clear" w:color="auto" w:fill="F3F7FC"/>
          </w:tcPr>
          <w:p>
            <w:pPr>
              <w:spacing w:after="0"/>
              <w:rPr>
                <w:sz w:val="18"/>
                <w:szCs w:val="18"/>
                <w:color w:val="auto"/>
              </w:rPr>
            </w:pPr>
          </w:p>
        </w:tc>
        <w:tc>
          <w:tcPr>
            <w:tcW w:w="280" w:type="dxa"/>
            <w:vAlign w:val="bottom"/>
            <w:tcBorders>
              <w:bottom w:val="single" w:sz="8" w:color="F3F7FC"/>
              <w:right w:val="single" w:sz="8" w:color="F3F7FC"/>
            </w:tcBorders>
            <w:shd w:val="clear" w:color="auto" w:fill="F3F7FC"/>
          </w:tcPr>
          <w:p>
            <w:pPr>
              <w:spacing w:after="0"/>
              <w:rPr>
                <w:sz w:val="18"/>
                <w:szCs w:val="18"/>
                <w:color w:val="auto"/>
              </w:rPr>
            </w:pPr>
          </w:p>
        </w:tc>
        <w:tc>
          <w:tcPr>
            <w:tcW w:w="60" w:type="dxa"/>
            <w:vAlign w:val="bottom"/>
            <w:tcBorders>
              <w:bottom w:val="single" w:sz="8" w:color="F3F7FC"/>
            </w:tcBorders>
            <w:shd w:val="clear" w:color="auto" w:fill="F3F7FC"/>
          </w:tcPr>
          <w:p>
            <w:pPr>
              <w:spacing w:after="0"/>
              <w:rPr>
                <w:sz w:val="18"/>
                <w:szCs w:val="18"/>
                <w:color w:val="auto"/>
              </w:rPr>
            </w:pPr>
          </w:p>
        </w:tc>
        <w:tc>
          <w:tcPr>
            <w:tcW w:w="360" w:type="dxa"/>
            <w:vAlign w:val="bottom"/>
            <w:tcBorders>
              <w:bottom w:val="single" w:sz="8" w:color="F3F7FC"/>
              <w:right w:val="single" w:sz="8" w:color="F3F7FC"/>
            </w:tcBorders>
            <w:shd w:val="clear" w:color="auto" w:fill="F3F7FC"/>
          </w:tcPr>
          <w:p>
            <w:pPr>
              <w:spacing w:after="0"/>
              <w:rPr>
                <w:sz w:val="18"/>
                <w:szCs w:val="18"/>
                <w:color w:val="auto"/>
              </w:rPr>
            </w:pPr>
          </w:p>
        </w:tc>
        <w:tc>
          <w:tcPr>
            <w:tcW w:w="600" w:type="dxa"/>
            <w:vAlign w:val="bottom"/>
            <w:tcBorders>
              <w:bottom w:val="single" w:sz="8" w:color="F3F7FC"/>
              <w:right w:val="single" w:sz="8" w:color="F3F7FC"/>
            </w:tcBorders>
            <w:shd w:val="clear" w:color="auto" w:fill="F3F7FC"/>
          </w:tcPr>
          <w:p>
            <w:pPr>
              <w:spacing w:after="0"/>
              <w:rPr>
                <w:sz w:val="18"/>
                <w:szCs w:val="18"/>
                <w:color w:val="auto"/>
              </w:rPr>
            </w:pPr>
          </w:p>
        </w:tc>
        <w:tc>
          <w:tcPr>
            <w:tcW w:w="1720" w:type="dxa"/>
            <w:vAlign w:val="bottom"/>
            <w:tcBorders>
              <w:bottom w:val="single" w:sz="8" w:color="F3F7FC"/>
              <w:right w:val="single" w:sz="8" w:color="808080"/>
            </w:tcBorders>
            <w:shd w:val="clear" w:color="auto" w:fill="F3F7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Borders>
              <w:right w:val="single" w:sz="8" w:color="808080"/>
            </w:tcBorders>
          </w:tcPr>
          <w:p>
            <w:pPr>
              <w:spacing w:after="0"/>
              <w:rPr>
                <w:sz w:val="18"/>
                <w:szCs w:val="18"/>
                <w:color w:val="auto"/>
              </w:rPr>
            </w:pPr>
          </w:p>
        </w:tc>
        <w:tc>
          <w:tcPr>
            <w:tcW w:w="1060" w:type="dxa"/>
            <w:vAlign w:val="bottom"/>
            <w:tcBorders>
              <w:top w:val="single" w:sz="8" w:color="808080"/>
              <w:bottom w:val="single" w:sz="8" w:color="E7E7E7"/>
              <w:right w:val="single" w:sz="8" w:color="808080"/>
            </w:tcBorders>
            <w:shd w:val="clear" w:color="auto" w:fill="E7E7E7"/>
          </w:tcPr>
          <w:p>
            <w:pPr>
              <w:jc w:val="center"/>
              <w:ind w:right="38"/>
              <w:spacing w:after="0"/>
              <w:rPr>
                <w:sz w:val="20"/>
                <w:szCs w:val="20"/>
                <w:color w:val="auto"/>
              </w:rPr>
            </w:pPr>
            <w:r>
              <w:rPr>
                <w:rFonts w:ascii="Arial" w:cs="Arial" w:eastAsia="Arial" w:hAnsi="Arial"/>
                <w:sz w:val="12"/>
                <w:szCs w:val="12"/>
                <w:b w:val="1"/>
                <w:bCs w:val="1"/>
                <w:color w:val="000066"/>
                <w:w w:val="96"/>
              </w:rPr>
              <w:t>Office Number</w:t>
            </w:r>
          </w:p>
        </w:tc>
        <w:tc>
          <w:tcPr>
            <w:tcW w:w="1640" w:type="dxa"/>
            <w:vAlign w:val="bottom"/>
            <w:tcBorders>
              <w:top w:val="single" w:sz="8" w:color="808080"/>
              <w:bottom w:val="single" w:sz="8" w:color="E7E7E7"/>
              <w:right w:val="single" w:sz="8" w:color="808080"/>
            </w:tcBorders>
            <w:gridSpan w:val="2"/>
            <w:shd w:val="clear" w:color="auto" w:fill="E7E7E7"/>
          </w:tcPr>
          <w:p>
            <w:pPr>
              <w:ind w:left="80"/>
              <w:spacing w:after="0"/>
              <w:rPr>
                <w:sz w:val="20"/>
                <w:szCs w:val="20"/>
                <w:color w:val="auto"/>
              </w:rPr>
            </w:pPr>
            <w:r>
              <w:rPr>
                <w:rFonts w:ascii="Arial" w:cs="Arial" w:eastAsia="Arial" w:hAnsi="Arial"/>
                <w:sz w:val="12"/>
                <w:szCs w:val="12"/>
                <w:b w:val="1"/>
                <w:bCs w:val="1"/>
                <w:color w:val="000066"/>
              </w:rPr>
              <w:t>Price per Person per Day</w:t>
            </w:r>
          </w:p>
        </w:tc>
        <w:tc>
          <w:tcPr>
            <w:tcW w:w="1780" w:type="dxa"/>
            <w:vAlign w:val="bottom"/>
            <w:tcBorders>
              <w:top w:val="single" w:sz="8" w:color="808080"/>
              <w:bottom w:val="single" w:sz="8" w:color="E7E7E7"/>
              <w:right w:val="single" w:sz="8" w:color="808080"/>
            </w:tcBorders>
            <w:gridSpan w:val="2"/>
            <w:shd w:val="clear" w:color="auto" w:fill="E7E7E7"/>
          </w:tcPr>
          <w:p>
            <w:pPr>
              <w:jc w:val="center"/>
              <w:ind w:right="60"/>
              <w:spacing w:after="0"/>
              <w:rPr>
                <w:sz w:val="20"/>
                <w:szCs w:val="20"/>
                <w:color w:val="auto"/>
              </w:rPr>
            </w:pPr>
            <w:r>
              <w:rPr>
                <w:rFonts w:ascii="Arial" w:cs="Arial" w:eastAsia="Arial" w:hAnsi="Arial"/>
                <w:sz w:val="12"/>
                <w:szCs w:val="12"/>
                <w:b w:val="1"/>
                <w:bCs w:val="1"/>
                <w:color w:val="000066"/>
                <w:w w:val="96"/>
              </w:rPr>
              <w:t>Discount on Initial Term</w:t>
            </w:r>
          </w:p>
        </w:tc>
        <w:tc>
          <w:tcPr>
            <w:tcW w:w="220" w:type="dxa"/>
            <w:vAlign w:val="bottom"/>
            <w:tcBorders>
              <w:top w:val="single" w:sz="8" w:color="808080"/>
              <w:bottom w:val="single" w:sz="8" w:color="E7E7E7"/>
              <w:right w:val="single" w:sz="8" w:color="E7E7E7"/>
            </w:tcBorders>
            <w:shd w:val="clear" w:color="auto" w:fill="E7E7E7"/>
          </w:tcPr>
          <w:p>
            <w:pPr>
              <w:spacing w:after="0"/>
              <w:rPr>
                <w:sz w:val="18"/>
                <w:szCs w:val="18"/>
                <w:color w:val="auto"/>
              </w:rPr>
            </w:pPr>
          </w:p>
        </w:tc>
        <w:tc>
          <w:tcPr>
            <w:tcW w:w="2100" w:type="dxa"/>
            <w:vAlign w:val="bottom"/>
            <w:tcBorders>
              <w:top w:val="single" w:sz="8" w:color="808080"/>
              <w:bottom w:val="single" w:sz="8" w:color="E7E7E7"/>
            </w:tcBorders>
            <w:gridSpan w:val="3"/>
            <w:shd w:val="clear" w:color="auto" w:fill="E7E7E7"/>
          </w:tcPr>
          <w:p>
            <w:pPr>
              <w:ind w:left="20"/>
              <w:spacing w:after="0"/>
              <w:rPr>
                <w:sz w:val="20"/>
                <w:szCs w:val="20"/>
                <w:color w:val="auto"/>
              </w:rPr>
            </w:pPr>
            <w:r>
              <w:rPr>
                <w:rFonts w:ascii="Arial" w:cs="Arial" w:eastAsia="Arial" w:hAnsi="Arial"/>
                <w:sz w:val="12"/>
                <w:szCs w:val="12"/>
                <w:b w:val="1"/>
                <w:bCs w:val="1"/>
                <w:color w:val="000066"/>
                <w:w w:val="97"/>
              </w:rPr>
              <w:t>Discounted Price per Person per Day</w:t>
            </w:r>
          </w:p>
        </w:tc>
        <w:tc>
          <w:tcPr>
            <w:tcW w:w="120" w:type="dxa"/>
            <w:vAlign w:val="bottom"/>
            <w:tcBorders>
              <w:top w:val="single" w:sz="8" w:color="808080"/>
              <w:bottom w:val="single" w:sz="8" w:color="E7E7E7"/>
              <w:right w:val="single" w:sz="8" w:color="E7E7E7"/>
            </w:tcBorders>
            <w:shd w:val="clear" w:color="auto" w:fill="E7E7E7"/>
          </w:tcPr>
          <w:p>
            <w:pPr>
              <w:spacing w:after="0"/>
              <w:rPr>
                <w:sz w:val="18"/>
                <w:szCs w:val="18"/>
                <w:color w:val="auto"/>
              </w:rPr>
            </w:pPr>
          </w:p>
        </w:tc>
        <w:tc>
          <w:tcPr>
            <w:tcW w:w="100" w:type="dxa"/>
            <w:vAlign w:val="bottom"/>
            <w:tcBorders>
              <w:top w:val="single" w:sz="8" w:color="808080"/>
              <w:bottom w:val="single" w:sz="8" w:color="E7E7E7"/>
              <w:right w:val="single" w:sz="8" w:color="808080"/>
            </w:tcBorders>
            <w:shd w:val="clear" w:color="auto" w:fill="E7E7E7"/>
          </w:tcPr>
          <w:p>
            <w:pPr>
              <w:spacing w:after="0"/>
              <w:rPr>
                <w:sz w:val="18"/>
                <w:szCs w:val="18"/>
                <w:color w:val="auto"/>
              </w:rPr>
            </w:pPr>
          </w:p>
        </w:tc>
        <w:tc>
          <w:tcPr>
            <w:tcW w:w="320" w:type="dxa"/>
            <w:vAlign w:val="bottom"/>
            <w:tcBorders>
              <w:top w:val="single" w:sz="8" w:color="808080"/>
              <w:bottom w:val="single" w:sz="8" w:color="E7E7E7"/>
              <w:right w:val="single" w:sz="8" w:color="E7E7E7"/>
            </w:tcBorders>
            <w:shd w:val="clear" w:color="auto" w:fill="E7E7E7"/>
          </w:tcPr>
          <w:p>
            <w:pPr>
              <w:spacing w:after="0"/>
              <w:rPr>
                <w:sz w:val="18"/>
                <w:szCs w:val="18"/>
                <w:color w:val="auto"/>
              </w:rPr>
            </w:pPr>
          </w:p>
        </w:tc>
        <w:tc>
          <w:tcPr>
            <w:tcW w:w="940" w:type="dxa"/>
            <w:vAlign w:val="bottom"/>
            <w:tcBorders>
              <w:top w:val="single" w:sz="8" w:color="808080"/>
              <w:bottom w:val="single" w:sz="8" w:color="E7E7E7"/>
            </w:tcBorders>
            <w:gridSpan w:val="3"/>
            <w:shd w:val="clear" w:color="auto" w:fill="E7E7E7"/>
          </w:tcPr>
          <w:p>
            <w:pPr>
              <w:jc w:val="center"/>
              <w:spacing w:after="0"/>
              <w:rPr>
                <w:sz w:val="20"/>
                <w:szCs w:val="20"/>
                <w:color w:val="auto"/>
              </w:rPr>
            </w:pPr>
            <w:r>
              <w:rPr>
                <w:rFonts w:ascii="Arial" w:cs="Arial" w:eastAsia="Arial" w:hAnsi="Arial"/>
                <w:sz w:val="12"/>
                <w:szCs w:val="12"/>
                <w:b w:val="1"/>
                <w:bCs w:val="1"/>
                <w:color w:val="000066"/>
                <w:w w:val="97"/>
              </w:rPr>
              <w:t>x People</w:t>
            </w:r>
          </w:p>
        </w:tc>
        <w:tc>
          <w:tcPr>
            <w:tcW w:w="360" w:type="dxa"/>
            <w:vAlign w:val="bottom"/>
            <w:tcBorders>
              <w:top w:val="single" w:sz="8" w:color="808080"/>
              <w:bottom w:val="single" w:sz="8" w:color="E7E7E7"/>
              <w:right w:val="single" w:sz="8" w:color="808080"/>
            </w:tcBorders>
            <w:shd w:val="clear" w:color="auto" w:fill="E7E7E7"/>
          </w:tcPr>
          <w:p>
            <w:pPr>
              <w:spacing w:after="0"/>
              <w:rPr>
                <w:sz w:val="18"/>
                <w:szCs w:val="18"/>
                <w:color w:val="auto"/>
              </w:rPr>
            </w:pPr>
          </w:p>
        </w:tc>
        <w:tc>
          <w:tcPr>
            <w:tcW w:w="2320" w:type="dxa"/>
            <w:vAlign w:val="bottom"/>
            <w:tcBorders>
              <w:top w:val="single" w:sz="8" w:color="808080"/>
              <w:bottom w:val="single" w:sz="8" w:color="E7E7E7"/>
              <w:right w:val="single" w:sz="8" w:color="808080"/>
            </w:tcBorders>
            <w:gridSpan w:val="2"/>
            <w:shd w:val="clear" w:color="auto" w:fill="E7E7E7"/>
          </w:tcPr>
          <w:p>
            <w:pPr>
              <w:jc w:val="right"/>
              <w:ind w:right="124"/>
              <w:spacing w:after="0"/>
              <w:rPr>
                <w:sz w:val="20"/>
                <w:szCs w:val="20"/>
                <w:color w:val="auto"/>
              </w:rPr>
            </w:pPr>
            <w:r>
              <w:rPr>
                <w:rFonts w:ascii="Arial" w:cs="Arial" w:eastAsia="Arial" w:hAnsi="Arial"/>
                <w:sz w:val="12"/>
                <w:szCs w:val="12"/>
                <w:b w:val="1"/>
                <w:bCs w:val="1"/>
                <w:color w:val="000066"/>
              </w:rPr>
              <w:t>Discounted Price per Office per Day</w:t>
            </w:r>
          </w:p>
        </w:tc>
        <w:tc>
          <w:tcPr>
            <w:tcW w:w="0" w:type="dxa"/>
            <w:vAlign w:val="bottom"/>
          </w:tcPr>
          <w:p>
            <w:pPr>
              <w:spacing w:after="0"/>
              <w:rPr>
                <w:sz w:val="1"/>
                <w:szCs w:val="1"/>
                <w:color w:val="auto"/>
              </w:rPr>
            </w:pPr>
          </w:p>
        </w:tc>
      </w:tr>
      <w:tr>
        <w:trPr>
          <w:trHeight w:val="149"/>
        </w:trPr>
        <w:tc>
          <w:tcPr>
            <w:tcW w:w="460" w:type="dxa"/>
            <w:vAlign w:val="bottom"/>
            <w:tcBorders>
              <w:right w:val="single" w:sz="8" w:color="808080"/>
            </w:tcBorders>
          </w:tcPr>
          <w:p>
            <w:pPr>
              <w:spacing w:after="0"/>
              <w:rPr>
                <w:sz w:val="12"/>
                <w:szCs w:val="12"/>
                <w:color w:val="auto"/>
              </w:rPr>
            </w:pPr>
          </w:p>
        </w:tc>
        <w:tc>
          <w:tcPr>
            <w:tcW w:w="1060" w:type="dxa"/>
            <w:vAlign w:val="bottom"/>
            <w:tcBorders>
              <w:top w:val="single" w:sz="8" w:color="808080"/>
              <w:bottom w:val="single" w:sz="8" w:color="808080"/>
              <w:right w:val="single" w:sz="8" w:color="808080"/>
            </w:tcBorders>
          </w:tcPr>
          <w:p>
            <w:pPr>
              <w:jc w:val="center"/>
              <w:ind w:right="58"/>
              <w:spacing w:after="0"/>
              <w:rPr>
                <w:sz w:val="20"/>
                <w:szCs w:val="20"/>
                <w:color w:val="auto"/>
              </w:rPr>
            </w:pPr>
            <w:r>
              <w:rPr>
                <w:rFonts w:ascii="Arial" w:cs="Arial" w:eastAsia="Arial" w:hAnsi="Arial"/>
                <w:sz w:val="11"/>
                <w:szCs w:val="11"/>
                <w:color w:val="auto"/>
                <w:w w:val="97"/>
              </w:rPr>
              <w:t>114</w:t>
            </w:r>
          </w:p>
        </w:tc>
        <w:tc>
          <w:tcPr>
            <w:tcW w:w="1640" w:type="dxa"/>
            <w:vAlign w:val="bottom"/>
            <w:tcBorders>
              <w:top w:val="single" w:sz="8" w:color="808080"/>
              <w:bottom w:val="single" w:sz="8" w:color="808080"/>
              <w:right w:val="single" w:sz="8" w:color="808080"/>
            </w:tcBorders>
            <w:gridSpan w:val="2"/>
          </w:tcPr>
          <w:p>
            <w:pPr>
              <w:ind w:left="600"/>
              <w:spacing w:after="0"/>
              <w:rPr>
                <w:sz w:val="20"/>
                <w:szCs w:val="20"/>
                <w:color w:val="auto"/>
              </w:rPr>
            </w:pPr>
            <w:r>
              <w:rPr>
                <w:rFonts w:ascii="Arial" w:cs="Arial" w:eastAsia="Arial" w:hAnsi="Arial"/>
                <w:sz w:val="11"/>
                <w:szCs w:val="11"/>
                <w:color w:val="auto"/>
              </w:rPr>
              <w:t>€ 20.74</w:t>
            </w:r>
          </w:p>
        </w:tc>
        <w:tc>
          <w:tcPr>
            <w:tcW w:w="1780" w:type="dxa"/>
            <w:vAlign w:val="bottom"/>
            <w:tcBorders>
              <w:top w:val="single" w:sz="8" w:color="808080"/>
              <w:bottom w:val="single" w:sz="8" w:color="808080"/>
              <w:right w:val="single" w:sz="8" w:color="808080"/>
            </w:tcBorders>
            <w:gridSpan w:val="2"/>
          </w:tcPr>
          <w:p>
            <w:pPr>
              <w:jc w:val="center"/>
              <w:ind w:right="60"/>
              <w:spacing w:after="0"/>
              <w:rPr>
                <w:sz w:val="20"/>
                <w:szCs w:val="20"/>
                <w:color w:val="auto"/>
              </w:rPr>
            </w:pPr>
            <w:r>
              <w:rPr>
                <w:rFonts w:ascii="Arial" w:cs="Arial" w:eastAsia="Arial" w:hAnsi="Arial"/>
                <w:sz w:val="11"/>
                <w:szCs w:val="11"/>
                <w:color w:val="auto"/>
                <w:w w:val="98"/>
              </w:rPr>
              <w:t>9.252 %</w:t>
            </w:r>
          </w:p>
        </w:tc>
        <w:tc>
          <w:tcPr>
            <w:tcW w:w="220" w:type="dxa"/>
            <w:vAlign w:val="bottom"/>
            <w:tcBorders>
              <w:top w:val="single" w:sz="8" w:color="808080"/>
              <w:bottom w:val="single" w:sz="8" w:color="808080"/>
            </w:tcBorders>
          </w:tcPr>
          <w:p>
            <w:pPr>
              <w:spacing w:after="0"/>
              <w:rPr>
                <w:sz w:val="12"/>
                <w:szCs w:val="12"/>
                <w:color w:val="auto"/>
              </w:rPr>
            </w:pPr>
          </w:p>
        </w:tc>
        <w:tc>
          <w:tcPr>
            <w:tcW w:w="360" w:type="dxa"/>
            <w:vAlign w:val="bottom"/>
            <w:tcBorders>
              <w:top w:val="single" w:sz="8" w:color="808080"/>
              <w:bottom w:val="single" w:sz="8" w:color="808080"/>
            </w:tcBorders>
          </w:tcPr>
          <w:p>
            <w:pPr>
              <w:spacing w:after="0"/>
              <w:rPr>
                <w:sz w:val="12"/>
                <w:szCs w:val="12"/>
                <w:color w:val="auto"/>
              </w:rPr>
            </w:pPr>
          </w:p>
        </w:tc>
        <w:tc>
          <w:tcPr>
            <w:tcW w:w="360" w:type="dxa"/>
            <w:vAlign w:val="bottom"/>
            <w:tcBorders>
              <w:top w:val="single" w:sz="8" w:color="808080"/>
              <w:bottom w:val="single" w:sz="8" w:color="808080"/>
            </w:tcBorders>
          </w:tcPr>
          <w:p>
            <w:pPr>
              <w:spacing w:after="0"/>
              <w:rPr>
                <w:sz w:val="12"/>
                <w:szCs w:val="12"/>
                <w:color w:val="auto"/>
              </w:rPr>
            </w:pPr>
          </w:p>
        </w:tc>
        <w:tc>
          <w:tcPr>
            <w:tcW w:w="1380" w:type="dxa"/>
            <w:vAlign w:val="bottom"/>
            <w:tcBorders>
              <w:top w:val="single" w:sz="8" w:color="808080"/>
              <w:bottom w:val="single" w:sz="8" w:color="808080"/>
            </w:tcBorders>
          </w:tcPr>
          <w:p>
            <w:pPr>
              <w:ind w:left="140"/>
              <w:spacing w:after="0"/>
              <w:rPr>
                <w:sz w:val="20"/>
                <w:szCs w:val="20"/>
                <w:color w:val="auto"/>
              </w:rPr>
            </w:pPr>
            <w:r>
              <w:rPr>
                <w:rFonts w:ascii="Arial" w:cs="Arial" w:eastAsia="Arial" w:hAnsi="Arial"/>
                <w:sz w:val="11"/>
                <w:szCs w:val="11"/>
                <w:color w:val="auto"/>
              </w:rPr>
              <w:t>€ 18.82</w:t>
            </w:r>
          </w:p>
        </w:tc>
        <w:tc>
          <w:tcPr>
            <w:tcW w:w="120" w:type="dxa"/>
            <w:vAlign w:val="bottom"/>
            <w:tcBorders>
              <w:top w:val="single" w:sz="8" w:color="808080"/>
              <w:bottom w:val="single" w:sz="8" w:color="808080"/>
            </w:tcBorders>
          </w:tcPr>
          <w:p>
            <w:pPr>
              <w:spacing w:after="0"/>
              <w:rPr>
                <w:sz w:val="12"/>
                <w:szCs w:val="12"/>
                <w:color w:val="auto"/>
              </w:rPr>
            </w:pPr>
          </w:p>
        </w:tc>
        <w:tc>
          <w:tcPr>
            <w:tcW w:w="100" w:type="dxa"/>
            <w:vAlign w:val="bottom"/>
            <w:tcBorders>
              <w:top w:val="single" w:sz="8" w:color="808080"/>
              <w:bottom w:val="single" w:sz="8" w:color="808080"/>
              <w:right w:val="single" w:sz="8" w:color="808080"/>
            </w:tcBorders>
          </w:tcPr>
          <w:p>
            <w:pPr>
              <w:spacing w:after="0"/>
              <w:rPr>
                <w:sz w:val="12"/>
                <w:szCs w:val="12"/>
                <w:color w:val="auto"/>
              </w:rPr>
            </w:pPr>
          </w:p>
        </w:tc>
        <w:tc>
          <w:tcPr>
            <w:tcW w:w="920" w:type="dxa"/>
            <w:vAlign w:val="bottom"/>
            <w:tcBorders>
              <w:top w:val="single" w:sz="8" w:color="808080"/>
              <w:bottom w:val="single" w:sz="8" w:color="808080"/>
            </w:tcBorders>
            <w:gridSpan w:val="2"/>
          </w:tcPr>
          <w:p>
            <w:pPr>
              <w:jc w:val="center"/>
              <w:ind w:left="646"/>
              <w:spacing w:after="0"/>
              <w:rPr>
                <w:sz w:val="20"/>
                <w:szCs w:val="20"/>
                <w:color w:val="auto"/>
              </w:rPr>
            </w:pPr>
            <w:r>
              <w:rPr>
                <w:rFonts w:ascii="Arial" w:cs="Arial" w:eastAsia="Arial" w:hAnsi="Arial"/>
                <w:sz w:val="11"/>
                <w:szCs w:val="11"/>
                <w:color w:val="auto"/>
                <w:w w:val="97"/>
              </w:rPr>
              <w:t>4</w:t>
            </w:r>
          </w:p>
        </w:tc>
        <w:tc>
          <w:tcPr>
            <w:tcW w:w="280" w:type="dxa"/>
            <w:vAlign w:val="bottom"/>
            <w:tcBorders>
              <w:top w:val="single" w:sz="8" w:color="808080"/>
              <w:bottom w:val="single" w:sz="8" w:color="808080"/>
            </w:tcBorders>
          </w:tcPr>
          <w:p>
            <w:pPr>
              <w:spacing w:after="0"/>
              <w:rPr>
                <w:sz w:val="12"/>
                <w:szCs w:val="12"/>
                <w:color w:val="auto"/>
              </w:rPr>
            </w:pPr>
          </w:p>
        </w:tc>
        <w:tc>
          <w:tcPr>
            <w:tcW w:w="60" w:type="dxa"/>
            <w:vAlign w:val="bottom"/>
            <w:tcBorders>
              <w:top w:val="single" w:sz="8" w:color="808080"/>
              <w:bottom w:val="single" w:sz="8" w:color="808080"/>
            </w:tcBorders>
          </w:tcPr>
          <w:p>
            <w:pPr>
              <w:spacing w:after="0"/>
              <w:rPr>
                <w:sz w:val="12"/>
                <w:szCs w:val="12"/>
                <w:color w:val="auto"/>
              </w:rPr>
            </w:pPr>
          </w:p>
        </w:tc>
        <w:tc>
          <w:tcPr>
            <w:tcW w:w="360" w:type="dxa"/>
            <w:vAlign w:val="bottom"/>
            <w:tcBorders>
              <w:top w:val="single" w:sz="8" w:color="808080"/>
              <w:bottom w:val="single" w:sz="8" w:color="808080"/>
              <w:right w:val="single" w:sz="8" w:color="808080"/>
            </w:tcBorders>
          </w:tcPr>
          <w:p>
            <w:pPr>
              <w:spacing w:after="0"/>
              <w:rPr>
                <w:sz w:val="12"/>
                <w:szCs w:val="12"/>
                <w:color w:val="auto"/>
              </w:rPr>
            </w:pPr>
          </w:p>
        </w:tc>
        <w:tc>
          <w:tcPr>
            <w:tcW w:w="600" w:type="dxa"/>
            <w:vAlign w:val="bottom"/>
            <w:tcBorders>
              <w:top w:val="single" w:sz="8" w:color="808080"/>
              <w:bottom w:val="single" w:sz="8" w:color="808080"/>
            </w:tcBorders>
          </w:tcPr>
          <w:p>
            <w:pPr>
              <w:spacing w:after="0"/>
              <w:rPr>
                <w:sz w:val="12"/>
                <w:szCs w:val="12"/>
                <w:color w:val="auto"/>
              </w:rPr>
            </w:pPr>
          </w:p>
        </w:tc>
        <w:tc>
          <w:tcPr>
            <w:tcW w:w="1720" w:type="dxa"/>
            <w:vAlign w:val="bottom"/>
            <w:tcBorders>
              <w:top w:val="single" w:sz="8" w:color="808080"/>
              <w:bottom w:val="single" w:sz="8" w:color="808080"/>
              <w:right w:val="single" w:sz="8" w:color="808080"/>
            </w:tcBorders>
          </w:tcPr>
          <w:p>
            <w:pPr>
              <w:jc w:val="right"/>
              <w:ind w:right="924"/>
              <w:spacing w:after="0"/>
              <w:rPr>
                <w:sz w:val="20"/>
                <w:szCs w:val="20"/>
                <w:color w:val="auto"/>
              </w:rPr>
            </w:pPr>
            <w:r>
              <w:rPr>
                <w:rFonts w:ascii="Arial" w:cs="Arial" w:eastAsia="Arial" w:hAnsi="Arial"/>
                <w:sz w:val="11"/>
                <w:szCs w:val="11"/>
                <w:color w:val="auto"/>
              </w:rPr>
              <w:t>€ 75.29</w:t>
            </w:r>
          </w:p>
        </w:tc>
        <w:tc>
          <w:tcPr>
            <w:tcW w:w="0" w:type="dxa"/>
            <w:vAlign w:val="bottom"/>
          </w:tcPr>
          <w:p>
            <w:pPr>
              <w:spacing w:after="0"/>
              <w:rPr>
                <w:sz w:val="1"/>
                <w:szCs w:val="1"/>
                <w:color w:val="auto"/>
              </w:rPr>
            </w:pPr>
          </w:p>
        </w:tc>
      </w:tr>
      <w:tr>
        <w:trPr>
          <w:trHeight w:val="156"/>
        </w:trPr>
        <w:tc>
          <w:tcPr>
            <w:tcW w:w="460" w:type="dxa"/>
            <w:vAlign w:val="bottom"/>
            <w:tcBorders>
              <w:right w:val="single" w:sz="8" w:color="808080"/>
            </w:tcBorders>
          </w:tcPr>
          <w:p>
            <w:pPr>
              <w:spacing w:after="0"/>
              <w:rPr>
                <w:sz w:val="13"/>
                <w:szCs w:val="13"/>
                <w:color w:val="auto"/>
              </w:rPr>
            </w:pPr>
          </w:p>
        </w:tc>
        <w:tc>
          <w:tcPr>
            <w:tcW w:w="1060" w:type="dxa"/>
            <w:vAlign w:val="bottom"/>
            <w:tcBorders>
              <w:bottom w:val="single" w:sz="8" w:color="808080"/>
              <w:right w:val="single" w:sz="8" w:color="808080"/>
            </w:tcBorders>
          </w:tcPr>
          <w:p>
            <w:pPr>
              <w:jc w:val="center"/>
              <w:ind w:right="58"/>
              <w:spacing w:after="0"/>
              <w:rPr>
                <w:sz w:val="20"/>
                <w:szCs w:val="20"/>
                <w:color w:val="auto"/>
              </w:rPr>
            </w:pPr>
            <w:r>
              <w:rPr>
                <w:rFonts w:ascii="Arial" w:cs="Arial" w:eastAsia="Arial" w:hAnsi="Arial"/>
                <w:sz w:val="11"/>
                <w:szCs w:val="11"/>
                <w:color w:val="auto"/>
                <w:w w:val="97"/>
              </w:rPr>
              <w:t>115</w:t>
            </w:r>
          </w:p>
        </w:tc>
        <w:tc>
          <w:tcPr>
            <w:tcW w:w="1640" w:type="dxa"/>
            <w:vAlign w:val="bottom"/>
            <w:tcBorders>
              <w:bottom w:val="single" w:sz="8" w:color="808080"/>
              <w:right w:val="single" w:sz="8" w:color="808080"/>
            </w:tcBorders>
            <w:gridSpan w:val="2"/>
          </w:tcPr>
          <w:p>
            <w:pPr>
              <w:ind w:left="600"/>
              <w:spacing w:after="0"/>
              <w:rPr>
                <w:sz w:val="20"/>
                <w:szCs w:val="20"/>
                <w:color w:val="auto"/>
              </w:rPr>
            </w:pPr>
            <w:r>
              <w:rPr>
                <w:rFonts w:ascii="Arial" w:cs="Arial" w:eastAsia="Arial" w:hAnsi="Arial"/>
                <w:sz w:val="11"/>
                <w:szCs w:val="11"/>
                <w:color w:val="auto"/>
              </w:rPr>
              <w:t>€ 22.54</w:t>
            </w:r>
          </w:p>
        </w:tc>
        <w:tc>
          <w:tcPr>
            <w:tcW w:w="1780" w:type="dxa"/>
            <w:vAlign w:val="bottom"/>
            <w:tcBorders>
              <w:bottom w:val="single" w:sz="8" w:color="808080"/>
              <w:right w:val="single" w:sz="8" w:color="808080"/>
            </w:tcBorders>
            <w:gridSpan w:val="2"/>
          </w:tcPr>
          <w:p>
            <w:pPr>
              <w:jc w:val="center"/>
              <w:ind w:right="60"/>
              <w:spacing w:after="0"/>
              <w:rPr>
                <w:sz w:val="20"/>
                <w:szCs w:val="20"/>
                <w:color w:val="auto"/>
              </w:rPr>
            </w:pPr>
            <w:r>
              <w:rPr>
                <w:rFonts w:ascii="Arial" w:cs="Arial" w:eastAsia="Arial" w:hAnsi="Arial"/>
                <w:sz w:val="11"/>
                <w:szCs w:val="11"/>
                <w:color w:val="auto"/>
                <w:w w:val="98"/>
              </w:rPr>
              <w:t>9.252 %</w:t>
            </w:r>
          </w:p>
        </w:tc>
        <w:tc>
          <w:tcPr>
            <w:tcW w:w="2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1380" w:type="dxa"/>
            <w:vAlign w:val="bottom"/>
            <w:tcBorders>
              <w:bottom w:val="single" w:sz="8" w:color="808080"/>
            </w:tcBorders>
          </w:tcPr>
          <w:p>
            <w:pPr>
              <w:ind w:left="140"/>
              <w:spacing w:after="0"/>
              <w:rPr>
                <w:sz w:val="20"/>
                <w:szCs w:val="20"/>
                <w:color w:val="auto"/>
              </w:rPr>
            </w:pPr>
            <w:r>
              <w:rPr>
                <w:rFonts w:ascii="Arial" w:cs="Arial" w:eastAsia="Arial" w:hAnsi="Arial"/>
                <w:sz w:val="11"/>
                <w:szCs w:val="11"/>
                <w:color w:val="auto"/>
              </w:rPr>
              <w:t>€ 20.46</w:t>
            </w:r>
          </w:p>
        </w:tc>
        <w:tc>
          <w:tcPr>
            <w:tcW w:w="1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right w:val="single" w:sz="8" w:color="808080"/>
            </w:tcBorders>
          </w:tcPr>
          <w:p>
            <w:pPr>
              <w:spacing w:after="0"/>
              <w:rPr>
                <w:sz w:val="13"/>
                <w:szCs w:val="13"/>
                <w:color w:val="auto"/>
              </w:rPr>
            </w:pPr>
          </w:p>
        </w:tc>
        <w:tc>
          <w:tcPr>
            <w:tcW w:w="920" w:type="dxa"/>
            <w:vAlign w:val="bottom"/>
            <w:tcBorders>
              <w:bottom w:val="single" w:sz="8" w:color="808080"/>
            </w:tcBorders>
            <w:gridSpan w:val="2"/>
          </w:tcPr>
          <w:p>
            <w:pPr>
              <w:jc w:val="center"/>
              <w:ind w:left="646"/>
              <w:spacing w:after="0"/>
              <w:rPr>
                <w:sz w:val="20"/>
                <w:szCs w:val="20"/>
                <w:color w:val="auto"/>
              </w:rPr>
            </w:pPr>
            <w:r>
              <w:rPr>
                <w:rFonts w:ascii="Arial" w:cs="Arial" w:eastAsia="Arial" w:hAnsi="Arial"/>
                <w:sz w:val="11"/>
                <w:szCs w:val="11"/>
                <w:color w:val="auto"/>
                <w:w w:val="97"/>
              </w:rPr>
              <w:t>3</w:t>
            </w:r>
          </w:p>
        </w:tc>
        <w:tc>
          <w:tcPr>
            <w:tcW w:w="2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right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720" w:type="dxa"/>
            <w:vAlign w:val="bottom"/>
            <w:tcBorders>
              <w:bottom w:val="single" w:sz="8" w:color="808080"/>
              <w:right w:val="single" w:sz="8" w:color="808080"/>
            </w:tcBorders>
          </w:tcPr>
          <w:p>
            <w:pPr>
              <w:jc w:val="right"/>
              <w:ind w:right="924"/>
              <w:spacing w:after="0"/>
              <w:rPr>
                <w:sz w:val="20"/>
                <w:szCs w:val="20"/>
                <w:color w:val="auto"/>
              </w:rPr>
            </w:pPr>
            <w:r>
              <w:rPr>
                <w:rFonts w:ascii="Arial" w:cs="Arial" w:eastAsia="Arial" w:hAnsi="Arial"/>
                <w:sz w:val="11"/>
                <w:szCs w:val="11"/>
                <w:color w:val="auto"/>
              </w:rPr>
              <w:t>€ 61.38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spacing w:after="0"/>
              <w:rPr>
                <w:sz w:val="18"/>
                <w:szCs w:val="18"/>
                <w:color w:val="auto"/>
              </w:rPr>
            </w:pPr>
          </w:p>
        </w:tc>
        <w:tc>
          <w:tcPr>
            <w:tcW w:w="1300" w:type="dxa"/>
            <w:vAlign w:val="bottom"/>
            <w:tcBorders>
              <w:bottom w:val="single" w:sz="8" w:color="auto"/>
            </w:tcBorders>
            <w:gridSpan w:val="4"/>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530066"/>
            </w:tcBorders>
            <w:shd w:val="clear" w:color="auto" w:fill="530066"/>
          </w:tcPr>
          <w:p>
            <w:pPr>
              <w:spacing w:after="0"/>
              <w:rPr>
                <w:sz w:val="17"/>
                <w:szCs w:val="17"/>
                <w:color w:val="auto"/>
              </w:rPr>
            </w:pPr>
          </w:p>
        </w:tc>
        <w:tc>
          <w:tcPr>
            <w:tcW w:w="220" w:type="dxa"/>
            <w:vAlign w:val="bottom"/>
            <w:tcBorders>
              <w:right w:val="single" w:sz="8" w:color="530066"/>
            </w:tcBorders>
            <w:shd w:val="clear" w:color="auto" w:fill="530066"/>
          </w:tcPr>
          <w:p>
            <w:pPr>
              <w:spacing w:after="0"/>
              <w:rPr>
                <w:sz w:val="17"/>
                <w:szCs w:val="17"/>
                <w:color w:val="auto"/>
              </w:rPr>
            </w:pPr>
          </w:p>
        </w:tc>
        <w:tc>
          <w:tcPr>
            <w:tcW w:w="360" w:type="dxa"/>
            <w:vAlign w:val="bottom"/>
            <w:tcBorders>
              <w:right w:val="single" w:sz="8" w:color="530066"/>
            </w:tcBorders>
            <w:shd w:val="clear" w:color="auto" w:fill="530066"/>
          </w:tcPr>
          <w:p>
            <w:pPr>
              <w:spacing w:after="0"/>
              <w:rPr>
                <w:sz w:val="17"/>
                <w:szCs w:val="17"/>
                <w:color w:val="auto"/>
              </w:rPr>
            </w:pPr>
          </w:p>
        </w:tc>
        <w:tc>
          <w:tcPr>
            <w:tcW w:w="2880" w:type="dxa"/>
            <w:vAlign w:val="bottom"/>
            <w:gridSpan w:val="6"/>
            <w:shd w:val="clear" w:color="auto" w:fill="530066"/>
          </w:tcPr>
          <w:p>
            <w:pPr>
              <w:jc w:val="right"/>
              <w:ind w:right="5"/>
              <w:spacing w:after="0"/>
              <w:rPr>
                <w:sz w:val="20"/>
                <w:szCs w:val="20"/>
                <w:color w:val="auto"/>
              </w:rPr>
            </w:pPr>
            <w:r>
              <w:rPr>
                <w:rFonts w:ascii="Arial" w:cs="Arial" w:eastAsia="Arial" w:hAnsi="Arial"/>
                <w:sz w:val="12"/>
                <w:szCs w:val="12"/>
                <w:b w:val="1"/>
                <w:bCs w:val="1"/>
                <w:color w:val="FFFFFF"/>
                <w:w w:val="96"/>
              </w:rPr>
              <w:t>Total Average Monthly Price per Person per Month</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tcBorders>
              <w:right w:val="single" w:sz="8" w:color="auto"/>
            </w:tcBorders>
          </w:tcPr>
          <w:p>
            <w:pPr>
              <w:jc w:val="right"/>
              <w:ind w:right="224"/>
              <w:spacing w:after="0"/>
              <w:rPr>
                <w:sz w:val="20"/>
                <w:szCs w:val="20"/>
                <w:color w:val="auto"/>
              </w:rPr>
            </w:pPr>
            <w:r>
              <w:rPr>
                <w:rFonts w:ascii="Arial" w:cs="Arial" w:eastAsia="Arial" w:hAnsi="Arial"/>
                <w:sz w:val="12"/>
                <w:szCs w:val="12"/>
                <w:b w:val="1"/>
                <w:bCs w:val="1"/>
                <w:color w:val="530066"/>
              </w:rPr>
              <w:t>€ 585.71</w:t>
            </w:r>
          </w:p>
        </w:tc>
        <w:tc>
          <w:tcPr>
            <w:tcW w:w="0" w:type="dxa"/>
            <w:vAlign w:val="bottom"/>
          </w:tcPr>
          <w:p>
            <w:pPr>
              <w:spacing w:after="0"/>
              <w:rPr>
                <w:sz w:val="1"/>
                <w:szCs w:val="1"/>
                <w:color w:val="auto"/>
              </w:rPr>
            </w:pPr>
          </w:p>
        </w:tc>
      </w:tr>
      <w:tr>
        <w:trPr>
          <w:trHeight w:val="39"/>
        </w:trPr>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Borders>
              <w:bottom w:val="single" w:sz="8" w:color="530066"/>
              <w:right w:val="single" w:sz="8" w:color="530066"/>
            </w:tcBorders>
            <w:shd w:val="clear" w:color="auto" w:fill="530066"/>
          </w:tcPr>
          <w:p>
            <w:pPr>
              <w:spacing w:after="0"/>
              <w:rPr>
                <w:sz w:val="3"/>
                <w:szCs w:val="3"/>
                <w:color w:val="auto"/>
              </w:rPr>
            </w:pPr>
          </w:p>
        </w:tc>
        <w:tc>
          <w:tcPr>
            <w:tcW w:w="220" w:type="dxa"/>
            <w:vAlign w:val="bottom"/>
            <w:tcBorders>
              <w:bottom w:val="single" w:sz="8" w:color="530066"/>
              <w:right w:val="single" w:sz="8" w:color="530066"/>
            </w:tcBorders>
            <w:shd w:val="clear" w:color="auto" w:fill="530066"/>
          </w:tcPr>
          <w:p>
            <w:pPr>
              <w:spacing w:after="0"/>
              <w:rPr>
                <w:sz w:val="3"/>
                <w:szCs w:val="3"/>
                <w:color w:val="auto"/>
              </w:rPr>
            </w:pPr>
          </w:p>
        </w:tc>
        <w:tc>
          <w:tcPr>
            <w:tcW w:w="360" w:type="dxa"/>
            <w:vAlign w:val="bottom"/>
            <w:tcBorders>
              <w:bottom w:val="single" w:sz="8" w:color="530066"/>
              <w:right w:val="single" w:sz="8" w:color="530066"/>
            </w:tcBorders>
            <w:shd w:val="clear" w:color="auto" w:fill="530066"/>
          </w:tcPr>
          <w:p>
            <w:pPr>
              <w:spacing w:after="0"/>
              <w:rPr>
                <w:sz w:val="3"/>
                <w:szCs w:val="3"/>
                <w:color w:val="auto"/>
              </w:rPr>
            </w:pPr>
          </w:p>
        </w:tc>
        <w:tc>
          <w:tcPr>
            <w:tcW w:w="360" w:type="dxa"/>
            <w:vAlign w:val="bottom"/>
            <w:tcBorders>
              <w:bottom w:val="single" w:sz="8" w:color="530066"/>
              <w:right w:val="single" w:sz="8" w:color="530066"/>
            </w:tcBorders>
            <w:shd w:val="clear" w:color="auto" w:fill="530066"/>
          </w:tcPr>
          <w:p>
            <w:pPr>
              <w:spacing w:after="0"/>
              <w:rPr>
                <w:sz w:val="3"/>
                <w:szCs w:val="3"/>
                <w:color w:val="auto"/>
              </w:rPr>
            </w:pPr>
          </w:p>
        </w:tc>
        <w:tc>
          <w:tcPr>
            <w:tcW w:w="1380" w:type="dxa"/>
            <w:vAlign w:val="bottom"/>
            <w:tcBorders>
              <w:bottom w:val="single" w:sz="8" w:color="530066"/>
            </w:tcBorders>
            <w:shd w:val="clear" w:color="auto" w:fill="530066"/>
          </w:tcPr>
          <w:p>
            <w:pPr>
              <w:spacing w:after="0"/>
              <w:rPr>
                <w:sz w:val="3"/>
                <w:szCs w:val="3"/>
                <w:color w:val="auto"/>
              </w:rPr>
            </w:pPr>
          </w:p>
        </w:tc>
        <w:tc>
          <w:tcPr>
            <w:tcW w:w="120" w:type="dxa"/>
            <w:vAlign w:val="bottom"/>
            <w:tcBorders>
              <w:bottom w:val="single" w:sz="8" w:color="530066"/>
              <w:right w:val="single" w:sz="8" w:color="530066"/>
            </w:tcBorders>
            <w:shd w:val="clear" w:color="auto" w:fill="530066"/>
          </w:tcPr>
          <w:p>
            <w:pPr>
              <w:spacing w:after="0"/>
              <w:rPr>
                <w:sz w:val="3"/>
                <w:szCs w:val="3"/>
                <w:color w:val="auto"/>
              </w:rPr>
            </w:pPr>
          </w:p>
        </w:tc>
        <w:tc>
          <w:tcPr>
            <w:tcW w:w="1020" w:type="dxa"/>
            <w:vAlign w:val="bottom"/>
            <w:tcBorders>
              <w:bottom w:val="single" w:sz="8" w:color="530066"/>
            </w:tcBorders>
            <w:gridSpan w:val="3"/>
            <w:shd w:val="clear" w:color="auto" w:fill="530066"/>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Borders>
              <w:bottom w:val="single" w:sz="8" w:color="530066"/>
              <w:right w:val="single" w:sz="8" w:color="530066"/>
            </w:tcBorders>
            <w:shd w:val="clear" w:color="auto" w:fill="530066"/>
          </w:tcPr>
          <w:p>
            <w:pPr>
              <w:spacing w:after="0"/>
              <w:rPr>
                <w:sz w:val="18"/>
                <w:szCs w:val="18"/>
                <w:color w:val="auto"/>
              </w:rPr>
            </w:pPr>
          </w:p>
        </w:tc>
        <w:tc>
          <w:tcPr>
            <w:tcW w:w="220" w:type="dxa"/>
            <w:vAlign w:val="bottom"/>
            <w:tcBorders>
              <w:bottom w:val="single" w:sz="8" w:color="530066"/>
              <w:right w:val="single" w:sz="8" w:color="530066"/>
            </w:tcBorders>
            <w:shd w:val="clear" w:color="auto" w:fill="530066"/>
          </w:tcPr>
          <w:p>
            <w:pPr>
              <w:spacing w:after="0"/>
              <w:rPr>
                <w:sz w:val="18"/>
                <w:szCs w:val="18"/>
                <w:color w:val="auto"/>
              </w:rPr>
            </w:pPr>
          </w:p>
        </w:tc>
        <w:tc>
          <w:tcPr>
            <w:tcW w:w="360" w:type="dxa"/>
            <w:vAlign w:val="bottom"/>
            <w:tcBorders>
              <w:bottom w:val="single" w:sz="8" w:color="530066"/>
              <w:right w:val="single" w:sz="8" w:color="530066"/>
            </w:tcBorders>
            <w:shd w:val="clear" w:color="auto" w:fill="530066"/>
          </w:tcPr>
          <w:p>
            <w:pPr>
              <w:spacing w:after="0"/>
              <w:rPr>
                <w:sz w:val="18"/>
                <w:szCs w:val="18"/>
                <w:color w:val="auto"/>
              </w:rPr>
            </w:pPr>
          </w:p>
        </w:tc>
        <w:tc>
          <w:tcPr>
            <w:tcW w:w="360" w:type="dxa"/>
            <w:vAlign w:val="bottom"/>
            <w:tcBorders>
              <w:bottom w:val="single" w:sz="8" w:color="530066"/>
              <w:right w:val="single" w:sz="8" w:color="530066"/>
            </w:tcBorders>
            <w:shd w:val="clear" w:color="auto" w:fill="530066"/>
          </w:tcPr>
          <w:p>
            <w:pPr>
              <w:spacing w:after="0"/>
              <w:rPr>
                <w:sz w:val="18"/>
                <w:szCs w:val="18"/>
                <w:color w:val="auto"/>
              </w:rPr>
            </w:pPr>
          </w:p>
        </w:tc>
        <w:tc>
          <w:tcPr>
            <w:tcW w:w="1380" w:type="dxa"/>
            <w:vAlign w:val="bottom"/>
            <w:tcBorders>
              <w:bottom w:val="single" w:sz="8" w:color="530066"/>
            </w:tcBorders>
            <w:shd w:val="clear" w:color="auto" w:fill="530066"/>
          </w:tcPr>
          <w:p>
            <w:pPr>
              <w:spacing w:after="0"/>
              <w:rPr>
                <w:sz w:val="18"/>
                <w:szCs w:val="18"/>
                <w:color w:val="auto"/>
              </w:rPr>
            </w:pPr>
          </w:p>
        </w:tc>
        <w:tc>
          <w:tcPr>
            <w:tcW w:w="1140" w:type="dxa"/>
            <w:vAlign w:val="bottom"/>
            <w:tcBorders>
              <w:bottom w:val="single" w:sz="8" w:color="530066"/>
            </w:tcBorders>
            <w:gridSpan w:val="4"/>
            <w:shd w:val="clear" w:color="auto" w:fill="530066"/>
          </w:tcPr>
          <w:p>
            <w:pPr>
              <w:jc w:val="right"/>
              <w:ind w:right="5"/>
              <w:spacing w:after="0"/>
              <w:rPr>
                <w:sz w:val="20"/>
                <w:szCs w:val="20"/>
                <w:color w:val="auto"/>
              </w:rPr>
            </w:pPr>
            <w:r>
              <w:rPr>
                <w:rFonts w:ascii="Arial" w:cs="Arial" w:eastAsia="Arial" w:hAnsi="Arial"/>
                <w:sz w:val="12"/>
                <w:szCs w:val="12"/>
                <w:b w:val="1"/>
                <w:bCs w:val="1"/>
                <w:color w:val="FFFFFF"/>
                <w:w w:val="95"/>
              </w:rPr>
              <w:t>Total Monthly Price</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tcPr>
          <w:p>
            <w:pPr>
              <w:jc w:val="right"/>
              <w:ind w:right="224"/>
              <w:spacing w:after="0"/>
              <w:rPr>
                <w:sz w:val="20"/>
                <w:szCs w:val="20"/>
                <w:color w:val="auto"/>
              </w:rPr>
            </w:pPr>
            <w:r>
              <w:rPr>
                <w:rFonts w:ascii="Arial" w:cs="Arial" w:eastAsia="Arial" w:hAnsi="Arial"/>
                <w:sz w:val="12"/>
                <w:szCs w:val="12"/>
                <w:b w:val="1"/>
                <w:bCs w:val="1"/>
                <w:color w:val="530066"/>
              </w:rPr>
              <w:t>€ 4,100.00</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700" w:type="dxa"/>
            <w:vAlign w:val="bottom"/>
            <w:tcBorders>
              <w:bottom w:val="single" w:sz="8" w:color="808080"/>
            </w:tcBorders>
            <w:gridSpan w:val="3"/>
          </w:tcPr>
          <w:p>
            <w:pPr>
              <w:spacing w:after="0"/>
              <w:rPr>
                <w:sz w:val="21"/>
                <w:szCs w:val="21"/>
                <w:color w:val="auto"/>
              </w:rPr>
            </w:pPr>
          </w:p>
        </w:tc>
        <w:tc>
          <w:tcPr>
            <w:tcW w:w="1780" w:type="dxa"/>
            <w:vAlign w:val="bottom"/>
            <w:tcBorders>
              <w:bottom w:val="single" w:sz="8" w:color="808080"/>
            </w:tcBorders>
            <w:gridSpan w:val="2"/>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2100" w:type="dxa"/>
            <w:vAlign w:val="bottom"/>
            <w:tcBorders>
              <w:bottom w:val="single" w:sz="8" w:color="808080"/>
            </w:tcBorders>
            <w:gridSpan w:val="3"/>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300" w:type="dxa"/>
            <w:vAlign w:val="bottom"/>
            <w:tcBorders>
              <w:bottom w:val="single" w:sz="8" w:color="808080"/>
            </w:tcBorders>
            <w:gridSpan w:val="4"/>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680" w:type="dxa"/>
            <w:vAlign w:val="bottom"/>
            <w:tcBorders>
              <w:bottom w:val="single" w:sz="8" w:color="808080"/>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2700" w:type="dxa"/>
            <w:vAlign w:val="bottom"/>
            <w:tcBorders>
              <w:bottom w:val="single" w:sz="8" w:color="F3F7FC"/>
              <w:right w:val="single" w:sz="8" w:color="808080"/>
            </w:tcBorders>
            <w:gridSpan w:val="3"/>
            <w:shd w:val="clear" w:color="auto" w:fill="F3F7FC"/>
          </w:tcPr>
          <w:p>
            <w:pPr>
              <w:ind w:left="60"/>
              <w:spacing w:after="0"/>
              <w:rPr>
                <w:sz w:val="20"/>
                <w:szCs w:val="20"/>
                <w:color w:val="auto"/>
              </w:rPr>
            </w:pPr>
            <w:r>
              <w:rPr>
                <w:rFonts w:ascii="Arial" w:cs="Arial" w:eastAsia="Arial" w:hAnsi="Arial"/>
                <w:sz w:val="13"/>
                <w:szCs w:val="13"/>
                <w:b w:val="1"/>
                <w:bCs w:val="1"/>
                <w:color w:val="auto"/>
              </w:rPr>
              <w:t>Service Provision :</w:t>
            </w:r>
          </w:p>
        </w:tc>
        <w:tc>
          <w:tcPr>
            <w:tcW w:w="1780" w:type="dxa"/>
            <w:vAlign w:val="bottom"/>
            <w:tcBorders>
              <w:bottom w:val="single" w:sz="8" w:color="E7E7E7"/>
              <w:right w:val="single" w:sz="8" w:color="E7E7E7"/>
            </w:tcBorders>
            <w:gridSpan w:val="2"/>
            <w:shd w:val="clear" w:color="auto" w:fill="E7E7E7"/>
          </w:tcPr>
          <w:p>
            <w:pPr>
              <w:ind w:left="60"/>
              <w:spacing w:after="0"/>
              <w:rPr>
                <w:sz w:val="20"/>
                <w:szCs w:val="20"/>
                <w:color w:val="auto"/>
              </w:rPr>
            </w:pPr>
            <w:r>
              <w:rPr>
                <w:rFonts w:ascii="Arial" w:cs="Arial" w:eastAsia="Arial" w:hAnsi="Arial"/>
                <w:sz w:val="13"/>
                <w:szCs w:val="13"/>
                <w:b w:val="1"/>
                <w:bCs w:val="1"/>
                <w:color w:val="auto"/>
              </w:rPr>
              <w:t>Start Date</w:t>
            </w:r>
          </w:p>
        </w:tc>
        <w:tc>
          <w:tcPr>
            <w:tcW w:w="220" w:type="dxa"/>
            <w:vAlign w:val="bottom"/>
            <w:tcBorders>
              <w:bottom w:val="single" w:sz="8" w:color="E7E7E7"/>
              <w:right w:val="single" w:sz="8" w:color="808080"/>
            </w:tcBorders>
            <w:shd w:val="clear" w:color="auto" w:fill="E7E7E7"/>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color w:val="auto"/>
              </w:rPr>
              <w:t>September 1, 2019</w:t>
            </w:r>
          </w:p>
        </w:tc>
        <w:tc>
          <w:tcPr>
            <w:tcW w:w="120" w:type="dxa"/>
            <w:vAlign w:val="bottom"/>
            <w:tcBorders>
              <w:right w:val="single" w:sz="8" w:color="808080"/>
            </w:tcBorders>
          </w:tcPr>
          <w:p>
            <w:pPr>
              <w:spacing w:after="0"/>
              <w:rPr>
                <w:sz w:val="15"/>
                <w:szCs w:val="15"/>
                <w:color w:val="auto"/>
              </w:rPr>
            </w:pPr>
          </w:p>
        </w:tc>
        <w:tc>
          <w:tcPr>
            <w:tcW w:w="1300" w:type="dxa"/>
            <w:vAlign w:val="bottom"/>
            <w:tcBorders>
              <w:right w:val="single" w:sz="8" w:color="808080"/>
            </w:tcBorders>
            <w:gridSpan w:val="4"/>
          </w:tcPr>
          <w:p>
            <w:pPr>
              <w:ind w:left="60"/>
              <w:spacing w:after="0"/>
              <w:rPr>
                <w:sz w:val="20"/>
                <w:szCs w:val="20"/>
                <w:color w:val="auto"/>
              </w:rPr>
            </w:pPr>
            <w:r>
              <w:rPr>
                <w:rFonts w:ascii="Arial" w:cs="Arial" w:eastAsia="Arial" w:hAnsi="Arial"/>
                <w:sz w:val="13"/>
                <w:szCs w:val="13"/>
                <w:b w:val="1"/>
                <w:bCs w:val="1"/>
                <w:color w:val="auto"/>
              </w:rPr>
              <w:t>End Date</w:t>
            </w:r>
          </w:p>
        </w:tc>
        <w:tc>
          <w:tcPr>
            <w:tcW w:w="60" w:type="dxa"/>
            <w:vAlign w:val="bottom"/>
          </w:tcPr>
          <w:p>
            <w:pPr>
              <w:spacing w:after="0"/>
              <w:rPr>
                <w:sz w:val="15"/>
                <w:szCs w:val="15"/>
                <w:color w:val="auto"/>
              </w:rPr>
            </w:pPr>
          </w:p>
        </w:tc>
        <w:tc>
          <w:tcPr>
            <w:tcW w:w="2680" w:type="dxa"/>
            <w:vAlign w:val="bottom"/>
            <w:tcBorders>
              <w:right w:val="single" w:sz="8" w:color="808080"/>
            </w:tcBorders>
            <w:gridSpan w:val="3"/>
          </w:tcPr>
          <w:p>
            <w:pPr>
              <w:jc w:val="right"/>
              <w:ind w:right="1704"/>
              <w:spacing w:after="0"/>
              <w:rPr>
                <w:sz w:val="20"/>
                <w:szCs w:val="20"/>
                <w:color w:val="auto"/>
              </w:rPr>
            </w:pPr>
            <w:r>
              <w:rPr>
                <w:rFonts w:ascii="Arial" w:cs="Arial" w:eastAsia="Arial" w:hAnsi="Arial"/>
                <w:sz w:val="13"/>
                <w:szCs w:val="13"/>
                <w:color w:val="auto"/>
                <w:w w:val="95"/>
              </w:rPr>
              <w:t>August 31, 2020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60" w:type="dxa"/>
            <w:vAlign w:val="bottom"/>
            <w:tcBorders>
              <w:right w:val="single" w:sz="8" w:color="808080"/>
            </w:tcBorders>
            <w:shd w:val="clear" w:color="auto" w:fill="808080"/>
          </w:tcPr>
          <w:p>
            <w:pPr>
              <w:spacing w:after="0" w:line="20" w:lineRule="exact"/>
              <w:rPr>
                <w:sz w:val="1"/>
                <w:szCs w:val="1"/>
                <w:color w:val="auto"/>
              </w:rPr>
            </w:pPr>
          </w:p>
        </w:tc>
        <w:tc>
          <w:tcPr>
            <w:tcW w:w="780" w:type="dxa"/>
            <w:vAlign w:val="bottom"/>
            <w:tcBorders>
              <w:right w:val="single" w:sz="8" w:color="808080"/>
            </w:tcBorders>
            <w:shd w:val="clear" w:color="auto" w:fill="808080"/>
          </w:tcPr>
          <w:p>
            <w:pPr>
              <w:spacing w:after="0" w:line="20" w:lineRule="exact"/>
              <w:rPr>
                <w:sz w:val="1"/>
                <w:szCs w:val="1"/>
                <w:color w:val="auto"/>
              </w:rPr>
            </w:pPr>
          </w:p>
        </w:tc>
        <w:tc>
          <w:tcPr>
            <w:tcW w:w="860" w:type="dxa"/>
            <w:vAlign w:val="bottom"/>
            <w:tcBorders>
              <w:right w:val="single" w:sz="8" w:color="808080"/>
            </w:tcBorders>
            <w:shd w:val="clear" w:color="auto" w:fill="808080"/>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900" w:type="dxa"/>
            <w:vAlign w:val="bottom"/>
            <w:tcBorders>
              <w:right w:val="single" w:sz="8" w:color="808080"/>
            </w:tcBorders>
            <w:shd w:val="clear" w:color="auto" w:fill="808080"/>
          </w:tcPr>
          <w:p>
            <w:pPr>
              <w:spacing w:after="0" w:line="20" w:lineRule="exact"/>
              <w:rPr>
                <w:sz w:val="1"/>
                <w:szCs w:val="1"/>
                <w:color w:val="auto"/>
              </w:rPr>
            </w:pPr>
          </w:p>
        </w:tc>
        <w:tc>
          <w:tcPr>
            <w:tcW w:w="220" w:type="dxa"/>
            <w:vAlign w:val="bottom"/>
            <w:tcBorders>
              <w:right w:val="single" w:sz="8" w:color="808080"/>
            </w:tcBorders>
            <w:shd w:val="clear" w:color="auto" w:fill="808080"/>
          </w:tcPr>
          <w:p>
            <w:pPr>
              <w:spacing w:after="0" w:line="20" w:lineRule="exact"/>
              <w:rPr>
                <w:sz w:val="1"/>
                <w:szCs w:val="1"/>
                <w:color w:val="auto"/>
              </w:rPr>
            </w:pPr>
          </w:p>
        </w:tc>
        <w:tc>
          <w:tcPr>
            <w:tcW w:w="360" w:type="dxa"/>
            <w:vAlign w:val="bottom"/>
            <w:tcBorders>
              <w:right w:val="single" w:sz="8" w:color="808080"/>
            </w:tcBorders>
            <w:shd w:val="clear" w:color="auto" w:fill="808080"/>
          </w:tcPr>
          <w:p>
            <w:pPr>
              <w:spacing w:after="0" w:line="20" w:lineRule="exact"/>
              <w:rPr>
                <w:sz w:val="1"/>
                <w:szCs w:val="1"/>
                <w:color w:val="auto"/>
              </w:rPr>
            </w:pPr>
          </w:p>
        </w:tc>
        <w:tc>
          <w:tcPr>
            <w:tcW w:w="360" w:type="dxa"/>
            <w:vAlign w:val="bottom"/>
            <w:tcBorders>
              <w:right w:val="single" w:sz="8" w:color="808080"/>
            </w:tcBorders>
            <w:shd w:val="clear" w:color="auto" w:fill="808080"/>
          </w:tcPr>
          <w:p>
            <w:pPr>
              <w:spacing w:after="0" w:line="20" w:lineRule="exact"/>
              <w:rPr>
                <w:sz w:val="1"/>
                <w:szCs w:val="1"/>
                <w:color w:val="auto"/>
              </w:rPr>
            </w:pPr>
          </w:p>
        </w:tc>
        <w:tc>
          <w:tcPr>
            <w:tcW w:w="1380" w:type="dxa"/>
            <w:vAlign w:val="bottom"/>
            <w:shd w:val="clear" w:color="auto" w:fill="808080"/>
          </w:tcPr>
          <w:p>
            <w:pPr>
              <w:spacing w:after="0" w:line="20" w:lineRule="exact"/>
              <w:rPr>
                <w:sz w:val="1"/>
                <w:szCs w:val="1"/>
                <w:color w:val="auto"/>
              </w:rPr>
            </w:pPr>
          </w:p>
        </w:tc>
        <w:tc>
          <w:tcPr>
            <w:tcW w:w="120" w:type="dxa"/>
            <w:vAlign w:val="bottom"/>
            <w:tcBorders>
              <w:right w:val="single" w:sz="8" w:color="808080"/>
            </w:tcBorders>
            <w:shd w:val="clear" w:color="auto" w:fill="808080"/>
          </w:tcPr>
          <w:p>
            <w:pPr>
              <w:spacing w:after="0" w:line="20" w:lineRule="exact"/>
              <w:rPr>
                <w:sz w:val="1"/>
                <w:szCs w:val="1"/>
                <w:color w:val="auto"/>
              </w:rPr>
            </w:pPr>
          </w:p>
        </w:tc>
        <w:tc>
          <w:tcPr>
            <w:tcW w:w="100" w:type="dxa"/>
            <w:vAlign w:val="bottom"/>
            <w:tcBorders>
              <w:right w:val="single" w:sz="8" w:color="808080"/>
            </w:tcBorders>
            <w:shd w:val="clear" w:color="auto" w:fill="808080"/>
          </w:tcPr>
          <w:p>
            <w:pPr>
              <w:spacing w:after="0" w:line="20" w:lineRule="exact"/>
              <w:rPr>
                <w:sz w:val="1"/>
                <w:szCs w:val="1"/>
                <w:color w:val="auto"/>
              </w:rPr>
            </w:pPr>
          </w:p>
        </w:tc>
        <w:tc>
          <w:tcPr>
            <w:tcW w:w="320" w:type="dxa"/>
            <w:vAlign w:val="bottom"/>
            <w:tcBorders>
              <w:right w:val="single" w:sz="8" w:color="808080"/>
            </w:tcBorders>
            <w:shd w:val="clear" w:color="auto" w:fill="808080"/>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280" w:type="dxa"/>
            <w:vAlign w:val="bottom"/>
            <w:tcBorders>
              <w:right w:val="single" w:sz="8" w:color="808080"/>
            </w:tcBorders>
            <w:shd w:val="clear" w:color="auto" w:fill="808080"/>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360" w:type="dxa"/>
            <w:vAlign w:val="bottom"/>
            <w:tcBorders>
              <w:right w:val="single" w:sz="8" w:color="808080"/>
            </w:tcBorders>
            <w:shd w:val="clear" w:color="auto" w:fill="808080"/>
          </w:tcPr>
          <w:p>
            <w:pPr>
              <w:spacing w:after="0" w:line="20" w:lineRule="exact"/>
              <w:rPr>
                <w:sz w:val="1"/>
                <w:szCs w:val="1"/>
                <w:color w:val="auto"/>
              </w:rPr>
            </w:pPr>
          </w:p>
        </w:tc>
        <w:tc>
          <w:tcPr>
            <w:tcW w:w="600" w:type="dxa"/>
            <w:vAlign w:val="bottom"/>
            <w:tcBorders>
              <w:right w:val="single" w:sz="8" w:color="808080"/>
            </w:tcBorders>
            <w:shd w:val="clear" w:color="auto" w:fill="808080"/>
          </w:tcPr>
          <w:p>
            <w:pPr>
              <w:spacing w:after="0" w:line="20" w:lineRule="exact"/>
              <w:rPr>
                <w:sz w:val="1"/>
                <w:szCs w:val="1"/>
                <w:color w:val="auto"/>
              </w:rPr>
            </w:pPr>
          </w:p>
        </w:tc>
        <w:tc>
          <w:tcPr>
            <w:tcW w:w="1720" w:type="dxa"/>
            <w:vAlign w:val="bottom"/>
            <w:tcBorders>
              <w:right w:val="single" w:sz="8" w:color="808080"/>
            </w:tcBorders>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-625475</wp:posOffset>
            </wp:positionV>
            <wp:extent cx="276987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69870" cy="171450"/>
                    </a:xfrm>
                    <a:prstGeom prst="rect">
                      <a:avLst/>
                    </a:prstGeom>
                    <a:noFill/>
                  </pic:spPr>
                </pic:pic>
              </a:graphicData>
            </a:graphic>
          </wp:anchor>
        </w:drawing>
      </w:r>
    </w:p>
    <w:p>
      <w:pPr>
        <w:spacing w:after="0" w:line="71" w:lineRule="exact"/>
        <w:rPr>
          <w:sz w:val="20"/>
          <w:szCs w:val="20"/>
          <w:color w:val="auto"/>
        </w:rPr>
      </w:pPr>
    </w:p>
    <w:p>
      <w:pPr>
        <w:ind w:left="680" w:hanging="159"/>
        <w:spacing w:after="0"/>
        <w:tabs>
          <w:tab w:leader="none" w:pos="680" w:val="left"/>
        </w:tabs>
        <w:numPr>
          <w:ilvl w:val="0"/>
          <w:numId w:val="73"/>
        </w:numPr>
        <w:rPr>
          <w:rFonts w:ascii="Times New Roman" w:cs="Times New Roman" w:eastAsia="Times New Roman" w:hAnsi="Times New Roman"/>
          <w:sz w:val="11"/>
          <w:szCs w:val="11"/>
          <w:color w:val="auto"/>
        </w:rPr>
      </w:pPr>
      <w:r>
        <w:rPr>
          <w:rFonts w:ascii="Arial" w:cs="Arial" w:eastAsia="Arial" w:hAnsi="Arial"/>
          <w:sz w:val="11"/>
          <w:szCs w:val="11"/>
          <w:color w:val="auto"/>
        </w:rPr>
        <w:t>Invoices/Fees are charged on a monthly basis which is calculated based on a 30-day month *</w:t>
      </w:r>
    </w:p>
    <w:p>
      <w:pPr>
        <w:spacing w:after="0" w:line="102" w:lineRule="exact"/>
        <w:rPr>
          <w:rFonts w:ascii="Times New Roman" w:cs="Times New Roman" w:eastAsia="Times New Roman" w:hAnsi="Times New Roman"/>
          <w:sz w:val="11"/>
          <w:szCs w:val="11"/>
          <w:color w:val="auto"/>
        </w:rPr>
      </w:pPr>
    </w:p>
    <w:p>
      <w:pPr>
        <w:ind w:left="680" w:hanging="162"/>
        <w:spacing w:after="0"/>
        <w:tabs>
          <w:tab w:leader="none" w:pos="680" w:val="left"/>
        </w:tabs>
        <w:numPr>
          <w:ilvl w:val="0"/>
          <w:numId w:val="73"/>
        </w:numPr>
        <w:rPr>
          <w:rFonts w:ascii="Times New Roman" w:cs="Times New Roman" w:eastAsia="Times New Roman" w:hAnsi="Times New Roman"/>
          <w:sz w:val="11"/>
          <w:szCs w:val="11"/>
          <w:color w:val="auto"/>
        </w:rPr>
      </w:pPr>
      <w:r>
        <w:rPr>
          <w:rFonts w:ascii="Arial" w:cs="Arial" w:eastAsia="Arial" w:hAnsi="Arial"/>
          <w:sz w:val="11"/>
          <w:szCs w:val="11"/>
          <w:color w:val="auto"/>
        </w:rPr>
        <w:t>All agreements end on the last calendar day of the month. * *</w:t>
      </w:r>
    </w:p>
    <w:p>
      <w:pPr>
        <w:spacing w:after="0" w:line="102" w:lineRule="exact"/>
        <w:rPr>
          <w:rFonts w:ascii="Times New Roman" w:cs="Times New Roman" w:eastAsia="Times New Roman" w:hAnsi="Times New Roman"/>
          <w:sz w:val="11"/>
          <w:szCs w:val="11"/>
          <w:color w:val="auto"/>
        </w:rPr>
      </w:pPr>
    </w:p>
    <w:p>
      <w:pPr>
        <w:ind w:left="680" w:hanging="162"/>
        <w:spacing w:after="0"/>
        <w:tabs>
          <w:tab w:leader="none" w:pos="680" w:val="left"/>
        </w:tabs>
        <w:numPr>
          <w:ilvl w:val="0"/>
          <w:numId w:val="73"/>
        </w:numPr>
        <w:rPr>
          <w:rFonts w:ascii="Times New Roman" w:cs="Times New Roman" w:eastAsia="Times New Roman" w:hAnsi="Times New Roman"/>
          <w:sz w:val="11"/>
          <w:szCs w:val="11"/>
          <w:color w:val="auto"/>
        </w:rPr>
      </w:pPr>
      <w:r>
        <w:rPr>
          <w:rFonts w:ascii="Arial" w:cs="Arial" w:eastAsia="Arial" w:hAnsi="Arial"/>
          <w:sz w:val="11"/>
          <w:szCs w:val="11"/>
          <w:color w:val="auto"/>
        </w:rPr>
        <w:t>A refundable service retainer equivalent to 2 x monthly office fee will be payable. * * *</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1"/>
          <w:szCs w:val="11"/>
          <w:color w:val="auto"/>
        </w:rPr>
        <w:t>Please enter your VAT number, so that we can process your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-68580</wp:posOffset>
            </wp:positionV>
            <wp:extent cx="1355090"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55090" cy="94615"/>
                    </a:xfrm>
                    <a:prstGeom prst="rect">
                      <a:avLst/>
                    </a:prstGeom>
                    <a:noFill/>
                  </pic:spPr>
                </pic:pic>
              </a:graphicData>
            </a:graphic>
          </wp:anchor>
        </w:drawing>
      </w:r>
    </w:p>
    <w:p>
      <w:pPr>
        <w:spacing w:after="0" w:line="111" w:lineRule="exact"/>
        <w:rPr>
          <w:sz w:val="20"/>
          <w:szCs w:val="20"/>
          <w:color w:val="auto"/>
        </w:rPr>
      </w:pPr>
    </w:p>
    <w:p>
      <w:pPr>
        <w:ind w:left="540"/>
        <w:spacing w:after="0" w:line="127" w:lineRule="exact"/>
        <w:rPr>
          <w:sz w:val="20"/>
          <w:szCs w:val="20"/>
          <w:color w:val="auto"/>
        </w:rPr>
      </w:pPr>
      <w:r>
        <w:rPr>
          <w:rFonts w:ascii="Arial" w:cs="Arial" w:eastAsia="Arial" w:hAnsi="Arial"/>
          <w:sz w:val="11"/>
          <w:szCs w:val="11"/>
          <w:color w:val="auto"/>
        </w:rPr>
        <w:t xml:space="preserve">Not VAT Registered: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153035</wp:posOffset>
            </wp:positionV>
            <wp:extent cx="697230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72300" cy="154305"/>
                    </a:xfrm>
                    <a:prstGeom prst="rect">
                      <a:avLst/>
                    </a:prstGeom>
                    <a:noFill/>
                  </pic:spPr>
                </pic:pic>
              </a:graphicData>
            </a:graphic>
          </wp:anchor>
        </w:drawing>
      </w:r>
    </w:p>
    <w:p>
      <w:pPr>
        <w:spacing w:after="0" w:line="251"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000066"/>
        </w:rPr>
        <w:t>Terms and Conditions</w:t>
      </w:r>
    </w:p>
    <w:p>
      <w:pPr>
        <w:spacing w:after="0" w:line="168" w:lineRule="exact"/>
        <w:rPr>
          <w:sz w:val="20"/>
          <w:szCs w:val="20"/>
          <w:color w:val="auto"/>
        </w:rPr>
      </w:pPr>
    </w:p>
    <w:p>
      <w:pPr>
        <w:jc w:val="both"/>
        <w:ind w:left="520" w:right="100"/>
        <w:spacing w:after="0" w:line="248" w:lineRule="auto"/>
        <w:rPr>
          <w:sz w:val="20"/>
          <w:szCs w:val="20"/>
          <w:color w:val="auto"/>
        </w:rPr>
      </w:pPr>
      <w:r>
        <w:rPr>
          <w:rFonts w:ascii="Arial" w:cs="Arial" w:eastAsia="Arial" w:hAnsi="Arial"/>
          <w:sz w:val="11"/>
          <w:szCs w:val="11"/>
          <w:color w:val="auto"/>
        </w:rPr>
        <w:t>We are Regus CME Ireland Limited . This Agreement incorporates our terms of business set out on attached Terms and Conditions, attached House Rules and Service Price Guide (where available) which you confirm you have read and understood. We both agree to comply with those terms and our obligations as set out in them. This agreement is binding from the agreement date and may not be terminated once it is made, except in accordance with its terms. Note that the Agreement does not come to an end automatically. See “Automatic Renewal” section of your terms and conditions for the notice terms if you wish to end your agreement.</w:t>
      </w: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1780" w:type="dxa"/>
            <w:vAlign w:val="bottom"/>
          </w:tcPr>
          <w:p>
            <w:pPr>
              <w:spacing w:after="0"/>
              <w:rPr>
                <w:sz w:val="20"/>
                <w:szCs w:val="20"/>
                <w:color w:val="auto"/>
              </w:rPr>
            </w:pPr>
            <w:r>
              <w:rPr>
                <w:rFonts w:ascii="Arial" w:cs="Arial" w:eastAsia="Arial" w:hAnsi="Arial"/>
                <w:sz w:val="14"/>
                <w:szCs w:val="14"/>
                <w:color w:val="auto"/>
              </w:rPr>
              <w:t>Name (printed):</w:t>
            </w: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Tom Maher</w:t>
            </w:r>
          </w:p>
        </w:tc>
      </w:tr>
      <w:tr>
        <w:trPr>
          <w:trHeight w:val="304"/>
        </w:trPr>
        <w:tc>
          <w:tcPr>
            <w:tcW w:w="1780" w:type="dxa"/>
            <w:vAlign w:val="bottom"/>
          </w:tcPr>
          <w:p>
            <w:pPr>
              <w:spacing w:after="0"/>
              <w:rPr>
                <w:sz w:val="20"/>
                <w:szCs w:val="20"/>
                <w:color w:val="auto"/>
              </w:rPr>
            </w:pPr>
            <w:r>
              <w:rPr>
                <w:rFonts w:ascii="Arial" w:cs="Arial" w:eastAsia="Arial" w:hAnsi="Arial"/>
                <w:sz w:val="14"/>
                <w:szCs w:val="14"/>
                <w:color w:val="auto"/>
              </w:rPr>
              <w:t>Title (printed):</w:t>
            </w: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Chief of Operations</w:t>
            </w:r>
          </w:p>
        </w:tc>
      </w:tr>
      <w:tr>
        <w:trPr>
          <w:trHeight w:val="304"/>
        </w:trPr>
        <w:tc>
          <w:tcPr>
            <w:tcW w:w="1780" w:type="dxa"/>
            <w:vAlign w:val="bottom"/>
          </w:tcPr>
          <w:p>
            <w:pPr>
              <w:spacing w:after="0"/>
              <w:rPr>
                <w:sz w:val="20"/>
                <w:szCs w:val="20"/>
                <w:color w:val="auto"/>
              </w:rPr>
            </w:pPr>
            <w:r>
              <w:rPr>
                <w:rFonts w:ascii="Arial" w:cs="Arial" w:eastAsia="Arial" w:hAnsi="Arial"/>
                <w:sz w:val="14"/>
                <w:szCs w:val="14"/>
                <w:color w:val="auto"/>
              </w:rPr>
              <w:t>Date: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4/7/2019</w:t>
            </w:r>
          </w:p>
        </w:tc>
      </w:tr>
    </w:tbl>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SIGNED on your behalf (Client)</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 Tom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8890</wp:posOffset>
            </wp:positionV>
            <wp:extent cx="36791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315" w:lineRule="exact"/>
        <w:rPr>
          <w:sz w:val="20"/>
          <w:szCs w:val="20"/>
          <w:color w:val="auto"/>
        </w:rPr>
      </w:pPr>
    </w:p>
    <w:p>
      <w:pPr>
        <w:ind w:left="500" w:hanging="141"/>
        <w:spacing w:after="0"/>
        <w:tabs>
          <w:tab w:leader="none" w:pos="500" w:val="left"/>
        </w:tabs>
        <w:numPr>
          <w:ilvl w:val="0"/>
          <w:numId w:val="74"/>
        </w:numPr>
        <w:rPr>
          <w:rFonts w:ascii="Arial" w:cs="Arial" w:eastAsia="Arial" w:hAnsi="Arial"/>
          <w:sz w:val="11"/>
          <w:szCs w:val="11"/>
          <w:color w:val="auto"/>
        </w:rPr>
      </w:pPr>
      <w:r>
        <w:rPr>
          <w:rFonts w:ascii="Arial" w:cs="Arial" w:eastAsia="Arial" w:hAnsi="Arial"/>
          <w:sz w:val="11"/>
          <w:szCs w:val="11"/>
          <w:color w:val="auto"/>
        </w:rPr>
        <w:t>We realise that not all months have 30 days, but for convenience we use 30 days to calculate the monthly price so the amount you pay each month is the same over the term.</w:t>
      </w:r>
    </w:p>
    <w:p>
      <w:pPr>
        <w:spacing w:after="0" w:line="103" w:lineRule="exact"/>
        <w:rPr>
          <w:rFonts w:ascii="Arial" w:cs="Arial" w:eastAsia="Arial" w:hAnsi="Arial"/>
          <w:sz w:val="11"/>
          <w:szCs w:val="11"/>
          <w:color w:val="auto"/>
        </w:rPr>
      </w:pPr>
    </w:p>
    <w:p>
      <w:pPr>
        <w:ind w:left="440" w:hanging="81"/>
        <w:spacing w:after="0"/>
        <w:tabs>
          <w:tab w:leader="none" w:pos="440" w:val="left"/>
        </w:tabs>
        <w:numPr>
          <w:ilvl w:val="0"/>
          <w:numId w:val="74"/>
        </w:numPr>
        <w:rPr>
          <w:rFonts w:ascii="Arial" w:cs="Arial" w:eastAsia="Arial" w:hAnsi="Arial"/>
          <w:sz w:val="11"/>
          <w:szCs w:val="11"/>
          <w:color w:val="auto"/>
        </w:rPr>
      </w:pPr>
      <w:r>
        <w:rPr>
          <w:rFonts w:ascii="Arial" w:cs="Arial" w:eastAsia="Arial" w:hAnsi="Arial"/>
          <w:sz w:val="11"/>
          <w:szCs w:val="11"/>
          <w:color w:val="auto"/>
        </w:rPr>
        <w:t>*  You can start your agreement on any day during the month and we will pro rate the monthly fee for that month. For simplicity and clarity of invoicing, we end all agreements on the last calendar day of the month.</w:t>
      </w:r>
    </w:p>
    <w:p>
      <w:pPr>
        <w:spacing w:after="0" w:line="103" w:lineRule="exact"/>
        <w:rPr>
          <w:rFonts w:ascii="Arial" w:cs="Arial" w:eastAsia="Arial" w:hAnsi="Arial"/>
          <w:sz w:val="11"/>
          <w:szCs w:val="11"/>
          <w:color w:val="auto"/>
        </w:rPr>
      </w:pPr>
    </w:p>
    <w:p>
      <w:pPr>
        <w:ind w:left="360" w:right="1200" w:hanging="1"/>
        <w:spacing w:after="0" w:line="267" w:lineRule="auto"/>
        <w:tabs>
          <w:tab w:leader="none" w:pos="432" w:val="left"/>
        </w:tabs>
        <w:numPr>
          <w:ilvl w:val="0"/>
          <w:numId w:val="74"/>
        </w:numPr>
        <w:rPr>
          <w:rFonts w:ascii="Arial" w:cs="Arial" w:eastAsia="Arial" w:hAnsi="Arial"/>
          <w:sz w:val="11"/>
          <w:szCs w:val="11"/>
          <w:color w:val="auto"/>
        </w:rPr>
      </w:pPr>
      <w:r>
        <w:rPr>
          <w:rFonts w:ascii="Arial" w:cs="Arial" w:eastAsia="Arial" w:hAnsi="Arial"/>
          <w:sz w:val="11"/>
          <w:szCs w:val="11"/>
          <w:color w:val="auto"/>
        </w:rPr>
        <w:t>* * Your Service Retainer is held to cover the services that you will be using (i.e. phone calls, copies, administration support, couriers) during the month. The retainer is refunded after all invoices have been cleared 60 days after the end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
        <w:spacing w:after="0"/>
        <w:rPr>
          <w:sz w:val="20"/>
          <w:szCs w:val="20"/>
          <w:color w:val="auto"/>
        </w:rPr>
      </w:pPr>
      <w:r>
        <w:rPr>
          <w:rFonts w:ascii="Arial" w:cs="Arial" w:eastAsia="Arial" w:hAnsi="Arial"/>
          <w:sz w:val="11"/>
          <w:szCs w:val="11"/>
          <w:color w:val="003081"/>
        </w:rPr>
        <w:t>Copyright ©Regus Group Companies 2009. All rights reserved. Reproduction in whole or in part in any form or medium without express written permission of Regus plc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286385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3" w:name="page94"/>
    <w:bookmarkEnd w:id="93"/>
    <w:p>
      <w:pPr>
        <w:ind w:right="1040"/>
        <w:spacing w:after="0" w:line="288" w:lineRule="auto"/>
        <w:rPr>
          <w:sz w:val="20"/>
          <w:szCs w:val="20"/>
          <w:color w:val="auto"/>
        </w:rPr>
      </w:pPr>
      <w:r>
        <w:rPr>
          <w:rFonts w:ascii="Arial" w:cs="Arial" w:eastAsia="Arial" w:hAnsi="Arial"/>
          <w:sz w:val="18"/>
          <w:szCs w:val="18"/>
          <w:b w:val="1"/>
          <w:bCs w:val="1"/>
          <w:color w:val="auto"/>
        </w:rPr>
        <w:t>These General Terms and Conditions apply to Office/Co-Working, Virtual Office and Membership agreements for services We supply to You.</w:t>
      </w:r>
    </w:p>
    <w:p>
      <w:pPr>
        <w:spacing w:after="0" w:line="126" w:lineRule="exact"/>
        <w:rPr>
          <w:sz w:val="20"/>
          <w:szCs w:val="20"/>
          <w:color w:val="auto"/>
        </w:rPr>
      </w:pPr>
    </w:p>
    <w:p>
      <w:pPr>
        <w:ind w:left="440" w:hanging="432"/>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General Agreement</w:t>
      </w:r>
    </w:p>
    <w:p>
      <w:pPr>
        <w:spacing w:after="0" w:line="211" w:lineRule="exact"/>
        <w:rPr>
          <w:rFonts w:ascii="Arial" w:cs="Arial" w:eastAsia="Arial" w:hAnsi="Arial"/>
          <w:sz w:val="18"/>
          <w:szCs w:val="18"/>
          <w:color w:val="auto"/>
        </w:rPr>
      </w:pPr>
    </w:p>
    <w:p>
      <w:pPr>
        <w:ind w:left="960" w:hanging="527"/>
        <w:spacing w:after="0" w:line="248" w:lineRule="auto"/>
        <w:rPr>
          <w:rFonts w:ascii="Arial" w:cs="Arial" w:eastAsia="Arial" w:hAnsi="Arial"/>
          <w:sz w:val="18"/>
          <w:szCs w:val="18"/>
          <w:color w:val="auto"/>
        </w:rPr>
      </w:pPr>
      <w:r>
        <w:rPr>
          <w:rFonts w:ascii="Arial" w:cs="Arial" w:eastAsia="Arial" w:hAnsi="Arial"/>
          <w:sz w:val="18"/>
          <w:szCs w:val="18"/>
          <w:color w:val="auto"/>
        </w:rPr>
        <w:t>1.1. Nature of an agreement: At all times, each Centre remains in Our possession and control. YOU ACCEPT THAT AN AGREEMENT CREATES NO TENANCY INTEREST, LEASEHOLD ESTATE OR OTHER REAL PROPERTY INTEREST IN YOUR FAVOUR WITH RESPECT TO THE ACCOMMODATION. Occupation by You is the commercial equivalent of an agreement for accommodation in a hotel. We are giving You the right to share the use of the Centre with Us and other clients.</w:t>
      </w:r>
    </w:p>
    <w:p>
      <w:pPr>
        <w:spacing w:after="0" w:line="170" w:lineRule="exact"/>
        <w:rPr>
          <w:rFonts w:ascii="Arial" w:cs="Arial" w:eastAsia="Arial" w:hAnsi="Arial"/>
          <w:sz w:val="18"/>
          <w:szCs w:val="18"/>
          <w:color w:val="auto"/>
        </w:rPr>
      </w:pPr>
    </w:p>
    <w:p>
      <w:pPr>
        <w:ind w:left="960" w:hanging="527"/>
        <w:spacing w:after="0" w:line="276" w:lineRule="auto"/>
        <w:rPr>
          <w:rFonts w:ascii="Arial" w:cs="Arial" w:eastAsia="Arial" w:hAnsi="Arial"/>
          <w:sz w:val="18"/>
          <w:szCs w:val="18"/>
          <w:color w:val="auto"/>
        </w:rPr>
      </w:pPr>
      <w:r>
        <w:rPr>
          <w:rFonts w:ascii="Arial" w:cs="Arial" w:eastAsia="Arial" w:hAnsi="Arial"/>
          <w:sz w:val="18"/>
          <w:szCs w:val="18"/>
          <w:color w:val="auto"/>
        </w:rPr>
        <w:t>1.2. House Rules: The House Rules, which are incorporated into these terms and conditions, are primarily in place and enforced to ensure that all clients have a professional environment to work in.</w:t>
      </w:r>
    </w:p>
    <w:p>
      <w:pPr>
        <w:spacing w:after="0" w:line="145" w:lineRule="exact"/>
        <w:rPr>
          <w:rFonts w:ascii="Arial" w:cs="Arial" w:eastAsia="Arial" w:hAnsi="Arial"/>
          <w:sz w:val="18"/>
          <w:szCs w:val="18"/>
          <w:color w:val="auto"/>
        </w:rPr>
      </w:pPr>
    </w:p>
    <w:p>
      <w:pPr>
        <w:ind w:left="960" w:hanging="527"/>
        <w:spacing w:after="0" w:line="255" w:lineRule="auto"/>
        <w:rPr>
          <w:rFonts w:ascii="Arial" w:cs="Arial" w:eastAsia="Arial" w:hAnsi="Arial"/>
          <w:sz w:val="18"/>
          <w:szCs w:val="18"/>
          <w:color w:val="auto"/>
        </w:rPr>
      </w:pPr>
      <w:r>
        <w:rPr>
          <w:rFonts w:ascii="Arial" w:cs="Arial" w:eastAsia="Arial" w:hAnsi="Arial"/>
          <w:sz w:val="18"/>
          <w:szCs w:val="18"/>
          <w:color w:val="auto"/>
        </w:rPr>
        <w:t>1.3. Availability at the start of an agreement: If for any unfortunate reason We cannot provide the services or accommodation in the Centre stated in an agreement by the start date, We will have no liability to You for any loss or damage but You may either move to one of Our other Centres (subject to availability), delay the start of the agreement or cancel it.</w:t>
      </w:r>
    </w:p>
    <w:p>
      <w:pPr>
        <w:spacing w:after="0" w:line="162" w:lineRule="exact"/>
        <w:rPr>
          <w:rFonts w:ascii="Arial" w:cs="Arial" w:eastAsia="Arial" w:hAnsi="Arial"/>
          <w:sz w:val="18"/>
          <w:szCs w:val="18"/>
          <w:color w:val="auto"/>
        </w:rPr>
      </w:pPr>
    </w:p>
    <w:p>
      <w:pPr>
        <w:ind w:left="960" w:hanging="527"/>
        <w:spacing w:after="0" w:line="241" w:lineRule="auto"/>
        <w:rPr>
          <w:rFonts w:ascii="Arial" w:cs="Arial" w:eastAsia="Arial" w:hAnsi="Arial"/>
          <w:sz w:val="18"/>
          <w:szCs w:val="18"/>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AUTOMATIC RENEWAL:</w:t>
      </w:r>
      <w:r>
        <w:rPr>
          <w:rFonts w:ascii="Arial" w:cs="Arial" w:eastAsia="Arial" w:hAnsi="Arial"/>
          <w:sz w:val="18"/>
          <w:szCs w:val="18"/>
          <w:color w:val="auto"/>
        </w:rPr>
        <w:t xml:space="preserve"> SO THAT WE CAN MANAGE YOUR SERVICES EFFECTIVELY AND TO ENSURE SEAMLESS CONTINUITY OF THOSE SERVICES, ALL AGREEMENTS WILL RENEW AUTOMATICALLY FOR SUCCESSIVE PERIODS EQUAL TO THE CURRENT TERM UNTIL BROUGHT TO AN END BY YOU OR US. ALL PERIODS SHALL RUN TO THE LAST DAY OF THE MONTH IN WHICH THEY WOULD OTHERWISE EXPIRE. THE FEES ON ANY RENEWAL WILL BE AT THE THEN PREVAILING MARKET RATE. IF YOU DO NOT WISH FOR AN AGREEMENT TO RENEW THEN YOU CAN CANCEL IT EASILY WITH EFFECT FROM THE END DATE STATED IN THE AGREEMENT, OR AT THE END OF ANY EXTENSION OR RENEWAL PERIOD, BY GIVING US PRIOR NOTICE. NOTICE MUST BE GIVEN THROUGH YOUR ONLINE ACCOUNT OR THROUGH THE APP. THE NOTICE PERIODS REQUIRED ARE AS FOLLOWS:</w:t>
      </w:r>
    </w:p>
    <w:p>
      <w:pPr>
        <w:spacing w:after="0" w:line="167"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Arial" w:cs="Arial" w:eastAsia="Arial" w:hAnsi="Arial"/>
                <w:sz w:val="18"/>
                <w:szCs w:val="18"/>
                <w:color w:val="auto"/>
              </w:rPr>
              <w:t>Term</w:t>
            </w:r>
          </w:p>
        </w:tc>
        <w:tc>
          <w:tcPr>
            <w:tcW w:w="5500" w:type="dxa"/>
            <w:vAlign w:val="bottom"/>
            <w:gridSpan w:val="2"/>
          </w:tcPr>
          <w:p>
            <w:pPr>
              <w:spacing w:after="0"/>
              <w:rPr>
                <w:sz w:val="20"/>
                <w:szCs w:val="20"/>
                <w:color w:val="auto"/>
              </w:rPr>
            </w:pPr>
            <w:r>
              <w:rPr>
                <w:rFonts w:ascii="Arial" w:cs="Arial" w:eastAsia="Arial" w:hAnsi="Arial"/>
                <w:sz w:val="18"/>
                <w:szCs w:val="18"/>
                <w:color w:val="auto"/>
              </w:rPr>
              <w:t>Notice Period</w:t>
            </w:r>
          </w:p>
        </w:tc>
      </w:tr>
      <w:tr>
        <w:trPr>
          <w:trHeight w:val="20"/>
        </w:trPr>
        <w:tc>
          <w:tcPr>
            <w:tcW w:w="4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349"/>
        </w:trPr>
        <w:tc>
          <w:tcPr>
            <w:tcW w:w="2680" w:type="dxa"/>
            <w:vAlign w:val="bottom"/>
            <w:gridSpan w:val="2"/>
          </w:tcPr>
          <w:p>
            <w:pPr>
              <w:spacing w:after="0"/>
              <w:rPr>
                <w:sz w:val="20"/>
                <w:szCs w:val="20"/>
                <w:color w:val="auto"/>
              </w:rPr>
            </w:pPr>
            <w:r>
              <w:rPr>
                <w:rFonts w:ascii="Arial" w:cs="Arial" w:eastAsia="Arial" w:hAnsi="Arial"/>
                <w:sz w:val="18"/>
                <w:szCs w:val="18"/>
                <w:color w:val="auto"/>
              </w:rPr>
              <w:t>Month-to-Month</w:t>
            </w:r>
          </w:p>
        </w:tc>
        <w:tc>
          <w:tcPr>
            <w:tcW w:w="5500" w:type="dxa"/>
            <w:vAlign w:val="bottom"/>
            <w:gridSpan w:val="2"/>
          </w:tcPr>
          <w:p>
            <w:pPr>
              <w:spacing w:after="0"/>
              <w:rPr>
                <w:sz w:val="20"/>
                <w:szCs w:val="20"/>
                <w:color w:val="auto"/>
              </w:rPr>
            </w:pPr>
            <w:r>
              <w:rPr>
                <w:rFonts w:ascii="Arial" w:cs="Arial" w:eastAsia="Arial" w:hAnsi="Arial"/>
                <w:sz w:val="18"/>
                <w:szCs w:val="18"/>
                <w:color w:val="auto"/>
                <w:w w:val="99"/>
              </w:rPr>
              <w:t>no less than 1 month’s notice from the 1st day of any calendar month</w:t>
            </w:r>
          </w:p>
        </w:tc>
      </w:tr>
      <w:tr>
        <w:trPr>
          <w:trHeight w:val="324"/>
        </w:trPr>
        <w:tc>
          <w:tcPr>
            <w:tcW w:w="268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5500" w:type="dxa"/>
            <w:vAlign w:val="bottom"/>
            <w:gridSpan w:val="2"/>
          </w:tcPr>
          <w:p>
            <w:pPr>
              <w:spacing w:after="0"/>
              <w:rPr>
                <w:sz w:val="20"/>
                <w:szCs w:val="20"/>
                <w:color w:val="auto"/>
              </w:rPr>
            </w:pPr>
            <w:r>
              <w:rPr>
                <w:rFonts w:ascii="Arial" w:cs="Arial" w:eastAsia="Arial" w:hAnsi="Arial"/>
                <w:sz w:val="18"/>
                <w:szCs w:val="18"/>
                <w:color w:val="auto"/>
              </w:rPr>
              <w:t>no less than 2 months’ notice prior to the end of the term</w:t>
            </w:r>
          </w:p>
        </w:tc>
      </w:tr>
      <w:tr>
        <w:trPr>
          <w:trHeight w:val="324"/>
        </w:trPr>
        <w:tc>
          <w:tcPr>
            <w:tcW w:w="2680" w:type="dxa"/>
            <w:vAlign w:val="bottom"/>
            <w:gridSpan w:val="2"/>
          </w:tcPr>
          <w:p>
            <w:pPr>
              <w:spacing w:after="0"/>
              <w:rPr>
                <w:sz w:val="20"/>
                <w:szCs w:val="20"/>
                <w:color w:val="auto"/>
              </w:rPr>
            </w:pPr>
            <w:r>
              <w:rPr>
                <w:rFonts w:ascii="Arial" w:cs="Arial" w:eastAsia="Arial" w:hAnsi="Arial"/>
                <w:sz w:val="18"/>
                <w:szCs w:val="18"/>
                <w:color w:val="auto"/>
              </w:rPr>
              <w:t>More than 3 months</w:t>
            </w:r>
          </w:p>
        </w:tc>
        <w:tc>
          <w:tcPr>
            <w:tcW w:w="5500" w:type="dxa"/>
            <w:vAlign w:val="bottom"/>
            <w:gridSpan w:val="2"/>
          </w:tcPr>
          <w:p>
            <w:pPr>
              <w:spacing w:after="0"/>
              <w:rPr>
                <w:sz w:val="20"/>
                <w:szCs w:val="20"/>
                <w:color w:val="auto"/>
              </w:rPr>
            </w:pPr>
            <w:r>
              <w:rPr>
                <w:rFonts w:ascii="Arial" w:cs="Arial" w:eastAsia="Arial" w:hAnsi="Arial"/>
                <w:sz w:val="18"/>
                <w:szCs w:val="18"/>
                <w:color w:val="auto"/>
              </w:rPr>
              <w:t>no less than 3 months’ notice prior to the end of the term</w:t>
            </w:r>
          </w:p>
        </w:tc>
      </w:tr>
    </w:tbl>
    <w:p>
      <w:pPr>
        <w:spacing w:after="0" w:line="176" w:lineRule="exact"/>
        <w:rPr>
          <w:sz w:val="20"/>
          <w:szCs w:val="20"/>
          <w:color w:val="auto"/>
        </w:rPr>
      </w:pPr>
    </w:p>
    <w:p>
      <w:pPr>
        <w:ind w:left="960" w:right="120" w:hanging="526"/>
        <w:spacing w:after="0" w:line="276" w:lineRule="auto"/>
        <w:tabs>
          <w:tab w:leader="none" w:pos="940" w:val="left"/>
        </w:tabs>
        <w:rPr>
          <w:sz w:val="20"/>
          <w:szCs w:val="20"/>
          <w:color w:val="auto"/>
        </w:rPr>
      </w:pPr>
      <w:r>
        <w:rPr>
          <w:rFonts w:ascii="Arial" w:cs="Arial" w:eastAsia="Arial" w:hAnsi="Arial"/>
          <w:sz w:val="18"/>
          <w:szCs w:val="18"/>
          <w:color w:val="auto"/>
        </w:rPr>
        <w:t>1.5.</w:t>
        <w:tab/>
        <w:t>We may elect not to renew an agreement. If so, We will inform You by email, through the App or Your online account, following the same notice periods specified above.</w:t>
      </w:r>
    </w:p>
    <w:p>
      <w:pPr>
        <w:spacing w:after="0" w:line="145" w:lineRule="exact"/>
        <w:rPr>
          <w:sz w:val="20"/>
          <w:szCs w:val="20"/>
          <w:color w:val="auto"/>
        </w:rPr>
      </w:pPr>
    </w:p>
    <w:p>
      <w:pPr>
        <w:ind w:left="960" w:right="60" w:hanging="526"/>
        <w:spacing w:after="0" w:line="248" w:lineRule="auto"/>
        <w:tabs>
          <w:tab w:leader="none" w:pos="940" w:val="left"/>
        </w:tabs>
        <w:rPr>
          <w:sz w:val="20"/>
          <w:szCs w:val="20"/>
          <w:color w:val="auto"/>
        </w:rPr>
      </w:pPr>
      <w:r>
        <w:rPr>
          <w:rFonts w:ascii="Arial" w:cs="Arial" w:eastAsia="Arial" w:hAnsi="Arial"/>
          <w:sz w:val="18"/>
          <w:szCs w:val="18"/>
          <w:color w:val="auto"/>
        </w:rPr>
        <w:t>1.6.</w:t>
        <w:tab/>
        <w:t>If the Centre is no longer available: In the event that We are permanently unable to provide the services and accommodation at the Centre stated in an agreement, We will offer You accommodation in one of Our other centres. In the unlikely event we unable to find an alternative accommodation that is acceptable to You, Your agreement will end and You will only have to pay monthly fees up to that date and for any additional services You have used.</w:t>
      </w:r>
    </w:p>
    <w:p>
      <w:pPr>
        <w:spacing w:after="0" w:line="171" w:lineRule="exact"/>
        <w:rPr>
          <w:sz w:val="20"/>
          <w:szCs w:val="20"/>
          <w:color w:val="auto"/>
        </w:rPr>
      </w:pPr>
    </w:p>
    <w:p>
      <w:pPr>
        <w:ind w:left="960" w:right="140" w:hanging="526"/>
        <w:spacing w:after="0"/>
        <w:tabs>
          <w:tab w:leader="none" w:pos="940" w:val="left"/>
        </w:tabs>
        <w:rPr>
          <w:sz w:val="20"/>
          <w:szCs w:val="20"/>
          <w:color w:val="auto"/>
        </w:rPr>
      </w:pPr>
      <w:r>
        <w:rPr>
          <w:rFonts w:ascii="Arial" w:cs="Arial" w:eastAsia="Arial" w:hAnsi="Arial"/>
          <w:sz w:val="18"/>
          <w:szCs w:val="18"/>
          <w:color w:val="auto"/>
        </w:rPr>
        <w:t>1.7.</w:t>
        <w:tab/>
        <w:t>Ending an agreement immediately: We may put an end to an agreement immediately by giving You notice if (a) You become insolvent or bankrupt; or (b) You breach one of your obligations which cannot be put right, or which We have given You notice to put right and which You have failed to put right within 14 days of that notice; or (c) Your conduct, or that of someone at the Centre with Your permission or invitation, is incompatible with ordinary office use and, (i) that conduct continues despite You having been given notice, or (ii) that conduct is material enough (in Our reasonable opinion) to warrant immediate termination; or (d) You are in breach of the “Compliance With Law” clause below. If We put an end to an agreement for any of the reasons referred to in this clause it does not put an end to any of Your financial obligations, including, without limitation, for the remainder of the period for which Your agreement would have lasted if We had not terminated it.</w:t>
      </w:r>
    </w:p>
    <w:p>
      <w:pPr>
        <w:spacing w:after="0" w:line="181" w:lineRule="exact"/>
        <w:rPr>
          <w:sz w:val="20"/>
          <w:szCs w:val="20"/>
          <w:color w:val="auto"/>
        </w:rPr>
      </w:pPr>
    </w:p>
    <w:p>
      <w:pPr>
        <w:ind w:left="960" w:right="180" w:hanging="526"/>
        <w:spacing w:after="0" w:line="245" w:lineRule="auto"/>
        <w:tabs>
          <w:tab w:leader="none" w:pos="940" w:val="left"/>
        </w:tabs>
        <w:rPr>
          <w:sz w:val="20"/>
          <w:szCs w:val="20"/>
          <w:color w:val="auto"/>
        </w:rPr>
      </w:pPr>
      <w:r>
        <w:rPr>
          <w:rFonts w:ascii="Arial" w:cs="Arial" w:eastAsia="Arial" w:hAnsi="Arial"/>
          <w:sz w:val="18"/>
          <w:szCs w:val="18"/>
          <w:color w:val="auto"/>
        </w:rPr>
        <w:t>1.8.</w:t>
        <w:tab/>
        <w:t>When an Office agreement ends: When an agreement ends You must vacate Your accommodation immediately, leaving it in the same state and condition as it was when You took it. Upon Your departure or if You choose to relocate to a different room within a Centre, We will charge a fixed office restoration service fee to cover normal cleaning and any costs incurred to return the accommodation to its original condition and state. This fee will differ by country and is listed in the House Rules. We reserve the right to charge additional reasonable fees for any repairs needed above and beyond normal wear and tear.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94" w:name="page95"/>
    <w:bookmarkEnd w:id="94"/>
    <w:p>
      <w:pPr>
        <w:ind w:left="892" w:right="60"/>
        <w:spacing w:after="0" w:line="256" w:lineRule="auto"/>
        <w:rPr>
          <w:sz w:val="20"/>
          <w:szCs w:val="20"/>
          <w:color w:val="auto"/>
        </w:rPr>
      </w:pPr>
      <w:r>
        <w:rPr>
          <w:rFonts w:ascii="Arial" w:cs="Arial" w:eastAsia="Arial" w:hAnsi="Arial"/>
          <w:sz w:val="18"/>
          <w:szCs w:val="18"/>
          <w:color w:val="auto"/>
        </w:rPr>
        <w:t>You leave any property in the Centre We may dispose of it at Your cost in any way, We choose without owing You any responsibility for it or any proceeds of sale. If You continue to use the accommodation when an agreement has ended, You are responsible for any loss, claim or liability We may incur as a result of Your failure to vacate on time.</w:t>
      </w:r>
    </w:p>
    <w:p>
      <w:pPr>
        <w:spacing w:after="0" w:line="163" w:lineRule="exact"/>
        <w:rPr>
          <w:sz w:val="20"/>
          <w:szCs w:val="20"/>
          <w:color w:val="auto"/>
        </w:rPr>
      </w:pPr>
    </w:p>
    <w:p>
      <w:pPr>
        <w:ind w:left="412" w:hanging="412"/>
        <w:spacing w:after="0"/>
        <w:tabs>
          <w:tab w:leader="none" w:pos="4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Use of the Centres:</w:t>
      </w:r>
    </w:p>
    <w:p>
      <w:pPr>
        <w:spacing w:after="0" w:line="211" w:lineRule="exact"/>
        <w:rPr>
          <w:rFonts w:ascii="Arial" w:cs="Arial" w:eastAsia="Arial" w:hAnsi="Arial"/>
          <w:sz w:val="18"/>
          <w:szCs w:val="18"/>
          <w:color w:val="auto"/>
        </w:rPr>
      </w:pPr>
    </w:p>
    <w:p>
      <w:pPr>
        <w:ind w:left="892" w:hanging="486"/>
        <w:spacing w:after="0" w:line="241" w:lineRule="auto"/>
        <w:rPr>
          <w:rFonts w:ascii="Arial" w:cs="Arial" w:eastAsia="Arial" w:hAnsi="Arial"/>
          <w:sz w:val="18"/>
          <w:szCs w:val="18"/>
          <w:color w:val="auto"/>
        </w:rPr>
      </w:pPr>
      <w:r>
        <w:rPr>
          <w:rFonts w:ascii="Arial" w:cs="Arial" w:eastAsia="Arial" w:hAnsi="Arial"/>
          <w:sz w:val="18"/>
          <w:szCs w:val="18"/>
          <w:color w:val="auto"/>
        </w:rPr>
        <w:t>2.1. Business Operations: You may not carry on a business that competes with Our business of providing serviced offices and flexible working. You may not use Our name (or that of Our affiliates) in any way in connection with Your business. You are only permitted to use the address of a Centre as Your registered office address if it is permitted by both law and if We have given You prior written consent (given the additional administration there is an additional fee chargeable for this service). You must only use the accommodation for office business purposes. If We decide that a request for any particular service is excessive, We reserve the right to charge an additional fee. In order to ensure that the Centre provides a great working environment for all, We kindly ask you to limit any excessive visits by members of the public.</w:t>
      </w:r>
    </w:p>
    <w:p>
      <w:pPr>
        <w:spacing w:after="0" w:line="179" w:lineRule="exact"/>
        <w:rPr>
          <w:rFonts w:ascii="Arial" w:cs="Arial" w:eastAsia="Arial" w:hAnsi="Arial"/>
          <w:sz w:val="18"/>
          <w:szCs w:val="18"/>
          <w:color w:val="auto"/>
        </w:rPr>
      </w:pPr>
    </w:p>
    <w:p>
      <w:pPr>
        <w:ind w:left="412"/>
        <w:spacing w:after="0"/>
        <w:rPr>
          <w:rFonts w:ascii="Arial" w:cs="Arial" w:eastAsia="Arial" w:hAnsi="Arial"/>
          <w:sz w:val="18"/>
          <w:szCs w:val="18"/>
          <w:color w:val="auto"/>
        </w:rPr>
      </w:pPr>
      <w:r>
        <w:rPr>
          <w:rFonts w:ascii="Arial" w:cs="Arial" w:eastAsia="Arial" w:hAnsi="Arial"/>
          <w:sz w:val="18"/>
          <w:szCs w:val="18"/>
          <w:color w:val="auto"/>
        </w:rPr>
        <w:t>2.2.  Accommodation</w:t>
      </w:r>
    </w:p>
    <w:p>
      <w:pPr>
        <w:spacing w:after="0" w:line="212" w:lineRule="exact"/>
        <w:rPr>
          <w:sz w:val="20"/>
          <w:szCs w:val="20"/>
          <w:color w:val="auto"/>
        </w:rPr>
      </w:pPr>
    </w:p>
    <w:p>
      <w:pPr>
        <w:ind w:left="1472" w:right="200" w:hanging="566"/>
        <w:spacing w:after="0" w:line="276" w:lineRule="auto"/>
        <w:rPr>
          <w:sz w:val="20"/>
          <w:szCs w:val="20"/>
          <w:color w:val="auto"/>
        </w:rPr>
      </w:pPr>
      <w:r>
        <w:rPr>
          <w:rFonts w:ascii="Arial" w:cs="Arial" w:eastAsia="Arial" w:hAnsi="Arial"/>
          <w:sz w:val="18"/>
          <w:szCs w:val="18"/>
          <w:color w:val="auto"/>
        </w:rPr>
        <w:t>2.2.1. Alterations or Damage: You are liable for any damage caused by You or those in the Centre with Your permission, whether express or implied, including but not limited to all employees, contractors and/or agents.</w:t>
      </w:r>
    </w:p>
    <w:p>
      <w:pPr>
        <w:spacing w:after="0" w:line="145" w:lineRule="exact"/>
        <w:rPr>
          <w:sz w:val="20"/>
          <w:szCs w:val="20"/>
          <w:color w:val="auto"/>
        </w:rPr>
      </w:pPr>
    </w:p>
    <w:p>
      <w:pPr>
        <w:ind w:left="1472" w:right="40" w:hanging="566"/>
        <w:spacing w:after="0" w:line="245" w:lineRule="auto"/>
        <w:rPr>
          <w:sz w:val="20"/>
          <w:szCs w:val="20"/>
          <w:color w:val="auto"/>
        </w:rPr>
      </w:pPr>
      <w:r>
        <w:rPr>
          <w:rFonts w:ascii="Arial" w:cs="Arial" w:eastAsia="Arial" w:hAnsi="Arial"/>
          <w:sz w:val="18"/>
          <w:szCs w:val="18"/>
          <w:color w:val="auto"/>
        </w:rPr>
        <w:t>2.2.2. IT Installations: We take great pride in Our IT infrastructure and its upkeep and therefore You must not install any cabling, IT or telecom connections without Our consent, which We may refuse in our absolute discretion. As a condition to Our consent, You must permit Us to oversee any installations (for example IT or electrical systems) and to verify that such installations do not interfere with the use of the accommodation by other clients or Us or any landlord of the building. Fees for installation and deinstallation will be at Your cost.</w:t>
      </w:r>
    </w:p>
    <w:p>
      <w:pPr>
        <w:spacing w:after="0" w:line="172" w:lineRule="exact"/>
        <w:rPr>
          <w:sz w:val="20"/>
          <w:szCs w:val="20"/>
          <w:color w:val="auto"/>
        </w:rPr>
      </w:pPr>
    </w:p>
    <w:p>
      <w:pPr>
        <w:ind w:left="1472" w:right="40" w:hanging="566"/>
        <w:spacing w:after="0" w:line="248" w:lineRule="auto"/>
        <w:rPr>
          <w:sz w:val="20"/>
          <w:szCs w:val="20"/>
          <w:color w:val="auto"/>
        </w:rPr>
      </w:pPr>
      <w:r>
        <w:rPr>
          <w:rFonts w:ascii="Arial" w:cs="Arial" w:eastAsia="Arial" w:hAnsi="Arial"/>
          <w:sz w:val="18"/>
          <w:szCs w:val="18"/>
          <w:color w:val="auto"/>
        </w:rPr>
        <w:t>2.2.3. Use of the Accommodation: An agreement will list the accommodation We initially allocate for Your use. You will have a non-exclusive right to the rooms allocated to You. Occasionally to ensure the efficient running of the Centre, We may need to allocate different accommodation to You, but it will be of reasonably equivalent size and We will notify You with respect to such different accommodation in advance.</w:t>
      </w:r>
    </w:p>
    <w:p>
      <w:pPr>
        <w:spacing w:after="0" w:line="171" w:lineRule="exact"/>
        <w:rPr>
          <w:sz w:val="20"/>
          <w:szCs w:val="20"/>
          <w:color w:val="auto"/>
        </w:rPr>
      </w:pPr>
    </w:p>
    <w:p>
      <w:pPr>
        <w:ind w:left="1472" w:right="120" w:hanging="566"/>
        <w:spacing w:after="0" w:line="248" w:lineRule="auto"/>
        <w:rPr>
          <w:sz w:val="20"/>
          <w:szCs w:val="20"/>
          <w:color w:val="auto"/>
        </w:rPr>
      </w:pPr>
      <w:r>
        <w:rPr>
          <w:rFonts w:ascii="Arial" w:cs="Arial" w:eastAsia="Arial" w:hAnsi="Arial"/>
          <w:sz w:val="18"/>
          <w:szCs w:val="18"/>
          <w:color w:val="auto"/>
        </w:rPr>
        <w:t>2.2.4. Access to the Accommodation: In order to maintain a high level of service, We may need to enter Your accommodation and may do so at any time, including without limitation, in an emergency, for cleaning and inspection or in order to resell the space if You have given notice to terminate. We will always endeavour to respect any of Your reasonable security procedures to protect the confidentiality of Your business.</w:t>
      </w:r>
    </w:p>
    <w:p>
      <w:pPr>
        <w:spacing w:after="0" w:line="171" w:lineRule="exact"/>
        <w:rPr>
          <w:sz w:val="20"/>
          <w:szCs w:val="20"/>
          <w:color w:val="auto"/>
        </w:rPr>
      </w:pPr>
    </w:p>
    <w:p>
      <w:pPr>
        <w:ind w:left="412"/>
        <w:spacing w:after="0"/>
        <w:tabs>
          <w:tab w:leader="none" w:pos="8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Membership:</w:t>
      </w:r>
    </w:p>
    <w:p>
      <w:pPr>
        <w:spacing w:after="0" w:line="212" w:lineRule="exact"/>
        <w:rPr>
          <w:sz w:val="20"/>
          <w:szCs w:val="20"/>
          <w:color w:val="auto"/>
        </w:rPr>
      </w:pPr>
    </w:p>
    <w:p>
      <w:pPr>
        <w:ind w:left="1472" w:right="580" w:hanging="566"/>
        <w:spacing w:after="0" w:line="276" w:lineRule="auto"/>
        <w:rPr>
          <w:sz w:val="20"/>
          <w:szCs w:val="20"/>
          <w:color w:val="auto"/>
        </w:rPr>
      </w:pPr>
      <w:r>
        <w:rPr>
          <w:rFonts w:ascii="Arial" w:cs="Arial" w:eastAsia="Arial" w:hAnsi="Arial"/>
          <w:sz w:val="18"/>
          <w:szCs w:val="18"/>
          <w:color w:val="auto"/>
        </w:rPr>
        <w:t>2.3.1. If You have subscribed to a Membership Agreement You will have access to all participating centres worldwide during standard business working hours and subject to availability.</w:t>
      </w:r>
    </w:p>
    <w:p>
      <w:pPr>
        <w:spacing w:after="0" w:line="145" w:lineRule="exact"/>
        <w:rPr>
          <w:sz w:val="20"/>
          <w:szCs w:val="20"/>
          <w:color w:val="auto"/>
        </w:rPr>
      </w:pPr>
    </w:p>
    <w:p>
      <w:pPr>
        <w:ind w:left="1472" w:right="20" w:hanging="566"/>
        <w:spacing w:after="0" w:line="263" w:lineRule="auto"/>
        <w:rPr>
          <w:sz w:val="20"/>
          <w:szCs w:val="20"/>
          <w:color w:val="auto"/>
        </w:rPr>
      </w:pPr>
      <w:r>
        <w:rPr>
          <w:rFonts w:ascii="Arial" w:cs="Arial" w:eastAsia="Arial" w:hAnsi="Arial"/>
          <w:sz w:val="17"/>
          <w:szCs w:val="17"/>
          <w:color w:val="auto"/>
        </w:rPr>
        <w:t>2.3.2. Membership Usage: Usage is measured in whole days and unused days cannot be carried over to the following month. A membership is not intended to be a replacement for a full-time workspace and all workspaces must be cleared at the end of each day. You are solely responsible for Your belongings at the centre at all times. We are not responsible for any property that is left unattended. Should You use more than Your membership entitlement, We will charge You an additional usage fee. You may bring in 1 guest free of charge (subject to fair usage). Any further guests will be required to purchase a day pass.</w:t>
      </w:r>
    </w:p>
    <w:p>
      <w:pPr>
        <w:spacing w:after="0" w:line="158" w:lineRule="exact"/>
        <w:rPr>
          <w:sz w:val="20"/>
          <w:szCs w:val="20"/>
          <w:color w:val="auto"/>
        </w:rPr>
      </w:pPr>
    </w:p>
    <w:p>
      <w:pPr>
        <w:ind w:left="1472" w:right="240" w:hanging="566"/>
        <w:spacing w:after="0" w:line="255" w:lineRule="auto"/>
        <w:rPr>
          <w:sz w:val="20"/>
          <w:szCs w:val="20"/>
          <w:color w:val="auto"/>
        </w:rPr>
      </w:pPr>
      <w:r>
        <w:rPr>
          <w:rFonts w:ascii="Arial" w:cs="Arial" w:eastAsia="Arial" w:hAnsi="Arial"/>
          <w:sz w:val="18"/>
          <w:szCs w:val="18"/>
          <w:color w:val="auto"/>
        </w:rPr>
        <w:t>2.3.3. As a Member, You may not use any Centre as Your business address without an accompanying office or virtual office agreement in place. Any use of the Centre address in such a way will result in an automatic enrolment in the Virtual Office product for the same term as Your membership and You will be invoiced accordingly.</w:t>
      </w:r>
    </w:p>
    <w:p>
      <w:pPr>
        <w:spacing w:after="0" w:line="164" w:lineRule="exact"/>
        <w:rPr>
          <w:sz w:val="20"/>
          <w:szCs w:val="20"/>
          <w:color w:val="auto"/>
        </w:rPr>
      </w:pPr>
    </w:p>
    <w:p>
      <w:pPr>
        <w:ind w:left="892" w:right="420" w:hanging="485"/>
        <w:spacing w:after="0" w:line="245" w:lineRule="auto"/>
        <w:tabs>
          <w:tab w:leader="none" w:pos="872" w:val="left"/>
        </w:tabs>
        <w:rPr>
          <w:sz w:val="20"/>
          <w:szCs w:val="20"/>
          <w:color w:val="auto"/>
        </w:rPr>
      </w:pPr>
      <w:r>
        <w:rPr>
          <w:rFonts w:ascii="Arial" w:cs="Arial" w:eastAsia="Arial" w:hAnsi="Arial"/>
          <w:sz w:val="18"/>
          <w:szCs w:val="18"/>
          <w:color w:val="auto"/>
        </w:rPr>
        <w:t>2.4.</w:t>
        <w:tab/>
        <w:t>Compliance with Law: You must comply with all relevant laws and regulations in the conduct of Your business. You must not do anything that may interfere with the use of the Centre by Us or by others (including but not limited to political campaigning or immoral activity), cause any nuisance or annoyance, or cause loss or damage to Us (including damage to reputation) or to the owner of any interest in the building. If We have been advised by any government authority or other legislative body that it has reasonable suspicion that You are conducting criminal activities from the Centre, or You are or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16" w:right="259" w:bottom="1440" w:gutter="0" w:footer="0" w:header="0"/>
        </w:sectPr>
      </w:pPr>
    </w:p>
    <w:bookmarkStart w:id="95" w:name="page96"/>
    <w:bookmarkEnd w:id="95"/>
    <w:p>
      <w:pPr>
        <w:jc w:val="both"/>
        <w:ind w:left="892" w:right="140"/>
        <w:spacing w:after="0" w:line="256" w:lineRule="auto"/>
        <w:rPr>
          <w:sz w:val="20"/>
          <w:szCs w:val="20"/>
          <w:color w:val="auto"/>
        </w:rPr>
      </w:pPr>
      <w:r>
        <w:rPr>
          <w:rFonts w:ascii="Arial" w:cs="Arial" w:eastAsia="Arial" w:hAnsi="Arial"/>
          <w:sz w:val="18"/>
          <w:szCs w:val="18"/>
          <w:color w:val="auto"/>
        </w:rPr>
        <w:t>subject to any government sanctions, then We shall be entitled to terminate any and all of Your agreements with immediate effect. You acknowledge that any breach by You of this clause shall constitute a material default, entitling Us to terminate Your agreement without further notice.</w:t>
      </w:r>
    </w:p>
    <w:p>
      <w:pPr>
        <w:spacing w:after="0" w:line="163" w:lineRule="exact"/>
        <w:rPr>
          <w:sz w:val="20"/>
          <w:szCs w:val="20"/>
          <w:color w:val="auto"/>
        </w:rPr>
      </w:pPr>
    </w:p>
    <w:p>
      <w:pPr>
        <w:ind w:left="412"/>
        <w:spacing w:after="0"/>
        <w:tabs>
          <w:tab w:leader="none" w:pos="8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Ethical Trading: Both We and You shall comply at all times with all relevant anti-slavery, anti-bribery and anticorruption laws.</w:t>
      </w:r>
    </w:p>
    <w:p>
      <w:pPr>
        <w:spacing w:after="0" w:line="212" w:lineRule="exact"/>
        <w:rPr>
          <w:sz w:val="20"/>
          <w:szCs w:val="20"/>
          <w:color w:val="auto"/>
        </w:rPr>
      </w:pPr>
    </w:p>
    <w:p>
      <w:pPr>
        <w:ind w:left="892" w:right="260" w:hanging="485"/>
        <w:spacing w:after="0" w:line="268" w:lineRule="auto"/>
        <w:tabs>
          <w:tab w:leader="none" w:pos="87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Data protection: You acknowledge that We may collect and process personal data from You and Your employees as strictly necessary to ensure compliance with applicable laws and regulations and to enable Us effectively to provide services to You. You acknowledge and accept that such personal data may be transferred or made accessible to other entities in our group, wherever located, for the purposes of providing the services, in each case in accordance with all applicable data protection legislation.</w:t>
      </w:r>
    </w:p>
    <w:p>
      <w:pPr>
        <w:spacing w:after="0" w:line="153" w:lineRule="exact"/>
        <w:rPr>
          <w:sz w:val="20"/>
          <w:szCs w:val="20"/>
          <w:color w:val="auto"/>
        </w:rPr>
      </w:pPr>
    </w:p>
    <w:p>
      <w:pPr>
        <w:ind w:left="892" w:right="120" w:hanging="485"/>
        <w:spacing w:after="0" w:line="248" w:lineRule="auto"/>
        <w:tabs>
          <w:tab w:leader="none" w:pos="872" w:val="left"/>
        </w:tabs>
        <w:rPr>
          <w:sz w:val="20"/>
          <w:szCs w:val="20"/>
          <w:color w:val="auto"/>
        </w:rPr>
      </w:pPr>
      <w:r>
        <w:rPr>
          <w:rFonts w:ascii="Arial" w:cs="Arial" w:eastAsia="Arial" w:hAnsi="Arial"/>
          <w:sz w:val="18"/>
          <w:szCs w:val="18"/>
          <w:color w:val="auto"/>
        </w:rPr>
        <w:t>2.7.</w:t>
        <w:tab/>
        <w:t>Employees: We will both have invested a great deal in training Our staff, therefore, neither of us may knowingly solicit or offer employment to the other’s staff employed in the Centre (or for 3 months after they have left their employment). To recompense the other for staff training and investment costs, if either of us breaches this clause the breaching party will pay upon demand the other the equivalent of 6 months’ salary of any employee concerned.</w:t>
      </w:r>
    </w:p>
    <w:p>
      <w:pPr>
        <w:spacing w:after="0" w:line="171" w:lineRule="exact"/>
        <w:rPr>
          <w:sz w:val="20"/>
          <w:szCs w:val="20"/>
          <w:color w:val="auto"/>
        </w:rPr>
      </w:pPr>
    </w:p>
    <w:p>
      <w:pPr>
        <w:jc w:val="center"/>
        <w:ind w:right="8"/>
        <w:spacing w:after="0" w:line="276" w:lineRule="auto"/>
        <w:rPr>
          <w:sz w:val="20"/>
          <w:szCs w:val="20"/>
          <w:color w:val="auto"/>
        </w:rPr>
      </w:pPr>
      <w:r>
        <w:rPr>
          <w:rFonts w:ascii="Arial" w:cs="Arial" w:eastAsia="Arial" w:hAnsi="Arial"/>
          <w:sz w:val="18"/>
          <w:szCs w:val="18"/>
          <w:color w:val="auto"/>
        </w:rPr>
        <w:t>2.8.  Confidentiality: The terms of an agreement are confidential. Neither of us may disclose them without the other’s consent unless required to do so by law or an official authority. This obligation continues for a period of 3 years after an agreement ends.</w:t>
      </w:r>
    </w:p>
    <w:p>
      <w:pPr>
        <w:spacing w:after="0" w:line="145" w:lineRule="exact"/>
        <w:rPr>
          <w:sz w:val="20"/>
          <w:szCs w:val="20"/>
          <w:color w:val="auto"/>
        </w:rPr>
      </w:pPr>
    </w:p>
    <w:p>
      <w:pPr>
        <w:ind w:left="892" w:right="160" w:hanging="485"/>
        <w:spacing w:after="0" w:line="248" w:lineRule="auto"/>
        <w:tabs>
          <w:tab w:leader="none" w:pos="872" w:val="left"/>
        </w:tabs>
        <w:rPr>
          <w:sz w:val="20"/>
          <w:szCs w:val="20"/>
          <w:color w:val="auto"/>
        </w:rPr>
      </w:pPr>
      <w:r>
        <w:rPr>
          <w:rFonts w:ascii="Arial" w:cs="Arial" w:eastAsia="Arial" w:hAnsi="Arial"/>
          <w:sz w:val="18"/>
          <w:szCs w:val="18"/>
          <w:color w:val="auto"/>
        </w:rPr>
        <w:t>2.9.</w:t>
        <w:tab/>
        <w:t>Assignment: An agreement is personal to You and cannot be transferred to anyone else without prior consent from Us unless such transfer is required by law. However, We will not unreasonably withhold our consent to assignment to an affiliate provided that You execute our standard form of assignment. We may transfer any agreement and any and all amounts payable by You under an agreement to any other member of Our group.</w:t>
      </w:r>
    </w:p>
    <w:p>
      <w:pPr>
        <w:spacing w:after="0" w:line="171" w:lineRule="exact"/>
        <w:rPr>
          <w:sz w:val="20"/>
          <w:szCs w:val="20"/>
          <w:color w:val="auto"/>
        </w:rPr>
      </w:pPr>
    </w:p>
    <w:p>
      <w:pPr>
        <w:jc w:val="both"/>
        <w:ind w:left="892" w:hanging="485"/>
        <w:spacing w:after="0" w:line="248" w:lineRule="auto"/>
        <w:rPr>
          <w:sz w:val="20"/>
          <w:szCs w:val="20"/>
          <w:color w:val="auto"/>
        </w:rPr>
      </w:pPr>
      <w:r>
        <w:rPr>
          <w:rFonts w:ascii="Arial" w:cs="Arial" w:eastAsia="Arial" w:hAnsi="Arial"/>
          <w:sz w:val="18"/>
          <w:szCs w:val="18"/>
          <w:color w:val="auto"/>
        </w:rPr>
        <w:t>2.10. Applicable law: An agreement is interpreted and enforced in accordance with the law of the place where the Centre is located other than in a few specific jurisdictions which are detailed in the House Rules. We and You both accept the exclusive jurisdiction of the courts of that jurisdiction. If any provision of these terms and conditions is held void or unenforceable under the applicable law, the other provisions shall remain in force.</w:t>
      </w:r>
    </w:p>
    <w:p>
      <w:pPr>
        <w:spacing w:after="0" w:line="171" w:lineRule="exact"/>
        <w:rPr>
          <w:sz w:val="20"/>
          <w:szCs w:val="20"/>
          <w:color w:val="auto"/>
        </w:rPr>
      </w:pPr>
    </w:p>
    <w:p>
      <w:pPr>
        <w:ind w:left="412" w:hanging="412"/>
        <w:spacing w:after="0"/>
        <w:tabs>
          <w:tab w:leader="none" w:pos="412"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liability to You and Insurance</w:t>
      </w:r>
    </w:p>
    <w:p>
      <w:pPr>
        <w:spacing w:after="0" w:line="211" w:lineRule="exact"/>
        <w:rPr>
          <w:rFonts w:ascii="Arial" w:cs="Arial" w:eastAsia="Arial" w:hAnsi="Arial"/>
          <w:sz w:val="18"/>
          <w:szCs w:val="18"/>
          <w:color w:val="auto"/>
        </w:rPr>
      </w:pPr>
    </w:p>
    <w:p>
      <w:pPr>
        <w:ind w:left="892" w:right="60" w:hanging="486"/>
        <w:spacing w:after="0" w:line="241" w:lineRule="auto"/>
        <w:rPr>
          <w:rFonts w:ascii="Arial" w:cs="Arial" w:eastAsia="Arial" w:hAnsi="Arial"/>
          <w:sz w:val="18"/>
          <w:szCs w:val="18"/>
          <w:color w:val="auto"/>
        </w:rPr>
      </w:pPr>
      <w:r>
        <w:rPr>
          <w:rFonts w:ascii="Arial" w:cs="Arial" w:eastAsia="Arial" w:hAnsi="Arial"/>
          <w:sz w:val="18"/>
          <w:szCs w:val="18"/>
          <w:color w:val="auto"/>
        </w:rPr>
        <w:t>3.1. The extent of Our liability: To the maximum extent permitted by applicable law, We are not liable to You in respect of any loss or damage You suffer in connection with an agreement, including without limitation any loss or damage arising as a result of our failure to provide a service as a result of mechanical breakdown, strike or other event outside of Our reasonable control otherwise unless We have acted deliberately or have been negligent. In no event shall We be liable for any loss or damage until You provide written notice and give Us a reasonable time to put it right. If We are liable for failing to provide You with any service under an agreement then, subject to the exclusions and limits set out immediately below, We will pay any actual and the reasonable additional expense You have incurred in obtaining the same or similar service from elsewhere.</w:t>
      </w:r>
    </w:p>
    <w:p>
      <w:pPr>
        <w:spacing w:after="0" w:line="179" w:lineRule="exact"/>
        <w:rPr>
          <w:rFonts w:ascii="Arial" w:cs="Arial" w:eastAsia="Arial" w:hAnsi="Arial"/>
          <w:sz w:val="18"/>
          <w:szCs w:val="18"/>
          <w:color w:val="auto"/>
        </w:rPr>
      </w:pPr>
    </w:p>
    <w:p>
      <w:pPr>
        <w:ind w:left="892" w:right="120" w:hanging="486"/>
        <w:spacing w:after="0" w:line="255" w:lineRule="auto"/>
        <w:rPr>
          <w:rFonts w:ascii="Arial" w:cs="Arial" w:eastAsia="Arial" w:hAnsi="Arial"/>
          <w:sz w:val="18"/>
          <w:szCs w:val="18"/>
          <w:color w:val="auto"/>
        </w:rPr>
      </w:pPr>
      <w:r>
        <w:rPr>
          <w:rFonts w:ascii="Arial" w:cs="Arial" w:eastAsia="Arial" w:hAnsi="Arial"/>
          <w:sz w:val="18"/>
          <w:szCs w:val="18"/>
          <w:color w:val="auto"/>
        </w:rPr>
        <w:t>3.2. Your Insurance: It is Your responsibility to arrange insurance for property which You bring in to the Centre, for any post You send or receive and for Your own liability to your employees and to third parties. We strongly recommend that You put such insurance in place.</w:t>
      </w:r>
    </w:p>
    <w:p>
      <w:pPr>
        <w:spacing w:after="0" w:line="164" w:lineRule="exact"/>
        <w:rPr>
          <w:rFonts w:ascii="Arial" w:cs="Arial" w:eastAsia="Arial" w:hAnsi="Arial"/>
          <w:sz w:val="18"/>
          <w:szCs w:val="18"/>
          <w:color w:val="auto"/>
        </w:rPr>
      </w:pPr>
    </w:p>
    <w:p>
      <w:pPr>
        <w:ind w:left="412"/>
        <w:spacing w:after="0"/>
        <w:rPr>
          <w:rFonts w:ascii="Arial" w:cs="Arial" w:eastAsia="Arial" w:hAnsi="Arial"/>
          <w:sz w:val="18"/>
          <w:szCs w:val="18"/>
          <w:color w:val="auto"/>
        </w:rPr>
      </w:pPr>
      <w:r>
        <w:rPr>
          <w:rFonts w:ascii="Arial" w:cs="Arial" w:eastAsia="Arial" w:hAnsi="Arial"/>
          <w:sz w:val="18"/>
          <w:szCs w:val="18"/>
          <w:color w:val="auto"/>
        </w:rPr>
        <w:t>3.3.  IT Services and Obligations: Whilst We have security internet protocols in place and strive to provide seamless internet connectivity,</w:t>
      </w:r>
    </w:p>
    <w:p>
      <w:pPr>
        <w:spacing w:after="0" w:line="17" w:lineRule="exact"/>
        <w:rPr>
          <w:rFonts w:ascii="Arial" w:cs="Arial" w:eastAsia="Arial" w:hAnsi="Arial"/>
          <w:sz w:val="18"/>
          <w:szCs w:val="18"/>
          <w:color w:val="auto"/>
        </w:rPr>
      </w:pPr>
    </w:p>
    <w:p>
      <w:pPr>
        <w:ind w:left="892" w:right="80"/>
        <w:spacing w:after="0" w:line="239" w:lineRule="auto"/>
        <w:rPr>
          <w:rFonts w:ascii="Arial" w:cs="Arial" w:eastAsia="Arial" w:hAnsi="Arial"/>
          <w:sz w:val="18"/>
          <w:szCs w:val="18"/>
          <w:color w:val="auto"/>
        </w:rPr>
      </w:pPr>
      <w:r>
        <w:rPr>
          <w:rFonts w:ascii="Arial" w:cs="Arial" w:eastAsia="Arial" w:hAnsi="Arial"/>
          <w:sz w:val="18"/>
          <w:szCs w:val="18"/>
          <w:color w:val="auto"/>
        </w:rPr>
        <w:t>WE DO NOT MAKE ANY REPRESENTATION AND CANNOT GUARANTEE ANY MAINTAINED LEVEL OF CONNECTIVITY TO OUR NETWORK OR TO THE INTERNET, NOR THE LEVEL OF SECURITY OF IT INFORMATION AND DATA THAT YOU PLACE ON IT. You should adopt whatever security measures (such as encryption) You believe are appropriate to Your business. Your sole and exclusive remedy in relation to issues of reduced connectivity which are within Our reasonable control shall be for Us to rectify the issue within a reasonable time following notice from You to Us.</w:t>
      </w:r>
    </w:p>
    <w:p>
      <w:pPr>
        <w:spacing w:after="0" w:line="176" w:lineRule="exact"/>
        <w:rPr>
          <w:rFonts w:ascii="Arial" w:cs="Arial" w:eastAsia="Arial" w:hAnsi="Arial"/>
          <w:sz w:val="18"/>
          <w:szCs w:val="18"/>
          <w:color w:val="auto"/>
        </w:rPr>
      </w:pPr>
    </w:p>
    <w:p>
      <w:pPr>
        <w:ind w:left="892" w:right="20" w:hanging="486"/>
        <w:spacing w:after="0" w:line="248" w:lineRule="auto"/>
        <w:rPr>
          <w:rFonts w:ascii="Arial" w:cs="Arial" w:eastAsia="Arial" w:hAnsi="Arial"/>
          <w:sz w:val="18"/>
          <w:szCs w:val="18"/>
          <w:color w:val="auto"/>
        </w:rPr>
      </w:pPr>
      <w:r>
        <w:rPr>
          <w:rFonts w:ascii="Arial" w:cs="Arial" w:eastAsia="Arial" w:hAnsi="Arial"/>
          <w:sz w:val="18"/>
          <w:szCs w:val="18"/>
          <w:color w:val="auto"/>
        </w:rPr>
        <w:t>3.4. EXCLUSION OF CONSEQUENTIAL LOSSES: WE WILL NOT IN ANY CIRCUMSTANCES HAVE ANY LIABILITY TO YOU FOR LOSS OF BUSINESS, LOSS OF PROFITS, LOSS OF ANTICIPATED SAVINGS, LOSS OF OR DAMAGE TO DATA, THIRD PARTY CLAIMS OR ANY CONSEQUENTIAL LOSS. WE STRONGLY RECOMMEND THAT YOU INSURE AGAINST ALL SUCH POTENTIAL LOSS, DAMAGE, EXPENSE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5" w:right="239" w:bottom="1440" w:gutter="0" w:footer="0" w:header="0"/>
        </w:sectPr>
      </w:pPr>
    </w:p>
    <w:bookmarkStart w:id="96" w:name="page97"/>
    <w:bookmarkEnd w:id="96"/>
    <w:p>
      <w:pPr>
        <w:ind w:left="412"/>
        <w:spacing w:after="0"/>
        <w:tabs>
          <w:tab w:leader="none" w:pos="87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Financial limits to our liability: In all cases, our liability to You is subject to the following limits:</w:t>
      </w:r>
    </w:p>
    <w:p>
      <w:pPr>
        <w:spacing w:after="0" w:line="21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3.5.1. without limit for personal injury or death;</w:t>
      </w:r>
    </w:p>
    <w:p>
      <w:pPr>
        <w:spacing w:after="0" w:line="212" w:lineRule="exact"/>
        <w:rPr>
          <w:sz w:val="20"/>
          <w:szCs w:val="20"/>
          <w:color w:val="auto"/>
        </w:rPr>
      </w:pPr>
    </w:p>
    <w:p>
      <w:pPr>
        <w:ind w:left="1472" w:right="100" w:hanging="566"/>
        <w:spacing w:after="0" w:line="276" w:lineRule="auto"/>
        <w:rPr>
          <w:sz w:val="20"/>
          <w:szCs w:val="20"/>
          <w:color w:val="auto"/>
        </w:rPr>
      </w:pPr>
      <w:r>
        <w:rPr>
          <w:rFonts w:ascii="Arial" w:cs="Arial" w:eastAsia="Arial" w:hAnsi="Arial"/>
          <w:sz w:val="18"/>
          <w:szCs w:val="18"/>
          <w:color w:val="auto"/>
        </w:rPr>
        <w:t>3.5.2. up to a maximum of GBP 1 million (or USD 1.5 million or EUR 1 million or other local equivalent) for any one event or series of connected events for damage to Your personal property; and</w:t>
      </w:r>
    </w:p>
    <w:p>
      <w:pPr>
        <w:spacing w:after="0" w:line="145" w:lineRule="exact"/>
        <w:rPr>
          <w:sz w:val="20"/>
          <w:szCs w:val="20"/>
          <w:color w:val="auto"/>
        </w:rPr>
      </w:pPr>
    </w:p>
    <w:p>
      <w:pPr>
        <w:ind w:left="1472" w:right="120" w:hanging="566"/>
        <w:spacing w:after="0" w:line="243" w:lineRule="auto"/>
        <w:rPr>
          <w:sz w:val="20"/>
          <w:szCs w:val="20"/>
          <w:color w:val="auto"/>
        </w:rPr>
      </w:pPr>
      <w:r>
        <w:rPr>
          <w:rFonts w:ascii="Arial" w:cs="Arial" w:eastAsia="Arial" w:hAnsi="Arial"/>
          <w:sz w:val="18"/>
          <w:szCs w:val="18"/>
          <w:color w:val="auto"/>
        </w:rPr>
        <w:t>3.5.3. in respect of any other loss or damage, up to a maximum equal to 125% of the total fees paid between the date services under an agreement commenced and the date on which the claim in question arises; or if higher, for office agreements only, GBP 50,000 / USD 100,000 / EUR 66,000 (or local equivalent).</w:t>
      </w:r>
    </w:p>
    <w:p>
      <w:pPr>
        <w:spacing w:after="0" w:line="1" w:lineRule="exact"/>
        <w:rPr>
          <w:sz w:val="20"/>
          <w:szCs w:val="20"/>
          <w:color w:val="auto"/>
        </w:rPr>
      </w:pPr>
    </w:p>
    <w:p>
      <w:pPr>
        <w:ind w:left="412" w:hanging="412"/>
        <w:spacing w:after="0"/>
        <w:tabs>
          <w:tab w:leader="none" w:pos="4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Fees</w:t>
      </w:r>
    </w:p>
    <w:p>
      <w:pPr>
        <w:spacing w:after="0" w:line="189" w:lineRule="exact"/>
        <w:rPr>
          <w:rFonts w:ascii="Arial" w:cs="Arial" w:eastAsia="Arial" w:hAnsi="Arial"/>
          <w:sz w:val="18"/>
          <w:szCs w:val="18"/>
          <w:color w:val="auto"/>
        </w:rPr>
      </w:pPr>
    </w:p>
    <w:p>
      <w:pPr>
        <w:ind w:left="892" w:right="20" w:hanging="486"/>
        <w:spacing w:after="0" w:line="243" w:lineRule="auto"/>
        <w:rPr>
          <w:rFonts w:ascii="Arial" w:cs="Arial" w:eastAsia="Arial" w:hAnsi="Arial"/>
          <w:sz w:val="18"/>
          <w:szCs w:val="18"/>
          <w:color w:val="auto"/>
        </w:rPr>
      </w:pPr>
      <w:r>
        <w:rPr>
          <w:rFonts w:ascii="Arial" w:cs="Arial" w:eastAsia="Arial" w:hAnsi="Arial"/>
          <w:sz w:val="18"/>
          <w:szCs w:val="18"/>
          <w:color w:val="auto"/>
        </w:rPr>
        <w:t>4.1. Service Retainer/Deposit: Your service retainer / deposit will be held by Us without generating interest as security for performance of all Your obligations under an agreement. All requests for the return must be made through Your online account or App after which the service retainer/deposit or any balance will be returned within 30 days to You once your agreement has ended and when You have settled Your account. We will deduct any outstanding fees and other costs due to Us before returning the balance to You. We may require You to pay an increased retainer if the monthly office or virtual office fee increases upon renewal, outstanding fees exceed the service retainer/deposit held and/or You frequently fail to pay invoices when due.</w:t>
      </w:r>
    </w:p>
    <w:p>
      <w:pPr>
        <w:spacing w:after="0" w:line="174" w:lineRule="exact"/>
        <w:rPr>
          <w:rFonts w:ascii="Arial" w:cs="Arial" w:eastAsia="Arial" w:hAnsi="Arial"/>
          <w:sz w:val="18"/>
          <w:szCs w:val="18"/>
          <w:color w:val="auto"/>
        </w:rPr>
      </w:pPr>
    </w:p>
    <w:p>
      <w:pPr>
        <w:ind w:left="892" w:right="40" w:hanging="486"/>
        <w:spacing w:after="0" w:line="245" w:lineRule="auto"/>
        <w:rPr>
          <w:rFonts w:ascii="Arial" w:cs="Arial" w:eastAsia="Arial" w:hAnsi="Arial"/>
          <w:sz w:val="18"/>
          <w:szCs w:val="18"/>
          <w:color w:val="auto"/>
        </w:rPr>
      </w:pPr>
      <w:r>
        <w:rPr>
          <w:rFonts w:ascii="Arial" w:cs="Arial" w:eastAsia="Arial" w:hAnsi="Arial"/>
          <w:sz w:val="18"/>
          <w:szCs w:val="18"/>
          <w:color w:val="auto"/>
        </w:rPr>
        <w:t>4.2. Taxes and duty charges: You agree to pay promptly (i) all sales, use, excise, consumption and any other taxes and license fees which You are required to pay to any governmental authority (and, at Our request, You will provide to Us evidence of such payment) and (ii) any taxes paid by Us to any governmental authority that are attributable to Your accommodation, where applicable, including, without limitation, any gross receipts, rent and occupancy taxes, tangible personal property taxes, stamp tax/duty or other documentary taxes and fees.</w:t>
      </w:r>
    </w:p>
    <w:p>
      <w:pPr>
        <w:spacing w:after="0" w:line="172" w:lineRule="exact"/>
        <w:rPr>
          <w:rFonts w:ascii="Arial" w:cs="Arial" w:eastAsia="Arial" w:hAnsi="Arial"/>
          <w:sz w:val="18"/>
          <w:szCs w:val="18"/>
          <w:color w:val="auto"/>
        </w:rPr>
      </w:pPr>
    </w:p>
    <w:p>
      <w:pPr>
        <w:ind w:left="892" w:right="20" w:hanging="486"/>
        <w:spacing w:after="0" w:line="255" w:lineRule="auto"/>
        <w:rPr>
          <w:rFonts w:ascii="Arial" w:cs="Arial" w:eastAsia="Arial" w:hAnsi="Arial"/>
          <w:sz w:val="18"/>
          <w:szCs w:val="18"/>
          <w:color w:val="auto"/>
        </w:rPr>
      </w:pPr>
      <w:r>
        <w:rPr>
          <w:rFonts w:ascii="Arial" w:cs="Arial" w:eastAsia="Arial" w:hAnsi="Arial"/>
          <w:sz w:val="18"/>
          <w:szCs w:val="18"/>
          <w:color w:val="auto"/>
        </w:rPr>
        <w:t>4.3. Payment: We are continually striving to reduce our environmental impact and support You in doing the same. Therefore, We will send all invoices electronically and You will make payments via an automated method such as Direct Debit or Credit Card, wherever local banking systems permit.</w:t>
      </w:r>
    </w:p>
    <w:p>
      <w:pPr>
        <w:spacing w:after="0" w:line="164" w:lineRule="exact"/>
        <w:rPr>
          <w:rFonts w:ascii="Arial" w:cs="Arial" w:eastAsia="Arial" w:hAnsi="Arial"/>
          <w:sz w:val="18"/>
          <w:szCs w:val="18"/>
          <w:color w:val="auto"/>
        </w:rPr>
      </w:pPr>
    </w:p>
    <w:p>
      <w:pPr>
        <w:ind w:left="892" w:hanging="486"/>
        <w:spacing w:after="0" w:line="248" w:lineRule="auto"/>
        <w:rPr>
          <w:rFonts w:ascii="Arial" w:cs="Arial" w:eastAsia="Arial" w:hAnsi="Arial"/>
          <w:sz w:val="18"/>
          <w:szCs w:val="18"/>
          <w:color w:val="auto"/>
        </w:rPr>
      </w:pPr>
      <w:r>
        <w:rPr>
          <w:rFonts w:ascii="Arial" w:cs="Arial" w:eastAsia="Arial" w:hAnsi="Arial"/>
          <w:sz w:val="18"/>
          <w:szCs w:val="18"/>
          <w:color w:val="auto"/>
        </w:rPr>
        <w:t>4.4. Late payment: If You do not pay fees when due, a fee will be charged on all overdue balances. This fee will differ by country and is listed in the House Rules. If You dispute any part of an invoice You must pay the amount not in dispute by the due date or be subject to late fees. We also reserve the right to withhold services (including for the avoidance of doubt, denying You access to the Centre where applicable) while there are any outstanding fees and/or interest, or You are in breach of an agreement.</w:t>
      </w:r>
    </w:p>
    <w:p>
      <w:pPr>
        <w:spacing w:after="0" w:line="170" w:lineRule="exact"/>
        <w:rPr>
          <w:rFonts w:ascii="Arial" w:cs="Arial" w:eastAsia="Arial" w:hAnsi="Arial"/>
          <w:sz w:val="18"/>
          <w:szCs w:val="18"/>
          <w:color w:val="auto"/>
        </w:rPr>
      </w:pPr>
    </w:p>
    <w:p>
      <w:pPr>
        <w:ind w:left="892" w:right="360" w:hanging="486"/>
        <w:spacing w:after="0" w:line="276" w:lineRule="auto"/>
        <w:rPr>
          <w:rFonts w:ascii="Arial" w:cs="Arial" w:eastAsia="Arial" w:hAnsi="Arial"/>
          <w:sz w:val="18"/>
          <w:szCs w:val="18"/>
          <w:color w:val="auto"/>
        </w:rPr>
      </w:pPr>
      <w:r>
        <w:rPr>
          <w:rFonts w:ascii="Arial" w:cs="Arial" w:eastAsia="Arial" w:hAnsi="Arial"/>
          <w:sz w:val="18"/>
          <w:szCs w:val="18"/>
          <w:color w:val="auto"/>
        </w:rPr>
        <w:t>4.5. Insufficient Funds: Due to the additional administration We incur You will pay a fee for any returned or declined payments due to insufficient funds. This fee will differ by country and is listed in the House Rules.</w:t>
      </w:r>
    </w:p>
    <w:p>
      <w:pPr>
        <w:spacing w:after="0" w:line="145" w:lineRule="exact"/>
        <w:rPr>
          <w:rFonts w:ascii="Arial" w:cs="Arial" w:eastAsia="Arial" w:hAnsi="Arial"/>
          <w:sz w:val="18"/>
          <w:szCs w:val="18"/>
          <w:color w:val="auto"/>
        </w:rPr>
      </w:pPr>
    </w:p>
    <w:p>
      <w:pPr>
        <w:ind w:left="892" w:right="120" w:hanging="486"/>
        <w:spacing w:after="0" w:line="276" w:lineRule="auto"/>
        <w:rPr>
          <w:rFonts w:ascii="Arial" w:cs="Arial" w:eastAsia="Arial" w:hAnsi="Arial"/>
          <w:sz w:val="18"/>
          <w:szCs w:val="18"/>
          <w:color w:val="auto"/>
        </w:rPr>
      </w:pPr>
      <w:r>
        <w:rPr>
          <w:rFonts w:ascii="Arial" w:cs="Arial" w:eastAsia="Arial" w:hAnsi="Arial"/>
          <w:sz w:val="18"/>
          <w:szCs w:val="18"/>
          <w:color w:val="auto"/>
        </w:rPr>
        <w:t>4.6. Indexation: If an agreement is for a term of more than 12 months, We will increase the monthly fee on each anniversary of the start date in line with the relevant inflation index detailed in the House Rules.</w:t>
      </w:r>
    </w:p>
    <w:p>
      <w:pPr>
        <w:spacing w:after="0" w:line="145" w:lineRule="exact"/>
        <w:rPr>
          <w:rFonts w:ascii="Arial" w:cs="Arial" w:eastAsia="Arial" w:hAnsi="Arial"/>
          <w:sz w:val="18"/>
          <w:szCs w:val="18"/>
          <w:color w:val="auto"/>
        </w:rPr>
      </w:pPr>
    </w:p>
    <w:p>
      <w:pPr>
        <w:ind w:left="892" w:right="80" w:hanging="486"/>
        <w:spacing w:after="0" w:line="255" w:lineRule="auto"/>
        <w:rPr>
          <w:rFonts w:ascii="Arial" w:cs="Arial" w:eastAsia="Arial" w:hAnsi="Arial"/>
          <w:sz w:val="18"/>
          <w:szCs w:val="18"/>
          <w:color w:val="auto"/>
        </w:rPr>
      </w:pPr>
      <w:r>
        <w:rPr>
          <w:rFonts w:ascii="Arial" w:cs="Arial" w:eastAsia="Arial" w:hAnsi="Arial"/>
          <w:sz w:val="18"/>
          <w:szCs w:val="18"/>
          <w:color w:val="auto"/>
        </w:rPr>
        <w:t>4.7. Standard services: Monthly fees, plus applicable taxes, and any recurring services requested by You are payable monthly in advance. Where a daily rate applies, the charge for any such month will be 30 times the daily fee. For a period of less than a month the fee will be applied on a daily basis.</w:t>
      </w:r>
    </w:p>
    <w:p>
      <w:pPr>
        <w:spacing w:after="0" w:line="164" w:lineRule="exact"/>
        <w:rPr>
          <w:rFonts w:ascii="Arial" w:cs="Arial" w:eastAsia="Arial" w:hAnsi="Arial"/>
          <w:sz w:val="18"/>
          <w:szCs w:val="18"/>
          <w:color w:val="auto"/>
        </w:rPr>
      </w:pPr>
    </w:p>
    <w:p>
      <w:pPr>
        <w:ind w:left="892" w:right="180" w:hanging="486"/>
        <w:spacing w:after="0" w:line="276" w:lineRule="auto"/>
        <w:rPr>
          <w:rFonts w:ascii="Arial" w:cs="Arial" w:eastAsia="Arial" w:hAnsi="Arial"/>
          <w:sz w:val="18"/>
          <w:szCs w:val="18"/>
          <w:color w:val="auto"/>
        </w:rPr>
      </w:pPr>
      <w:r>
        <w:rPr>
          <w:rFonts w:ascii="Arial" w:cs="Arial" w:eastAsia="Arial" w:hAnsi="Arial"/>
          <w:sz w:val="18"/>
          <w:szCs w:val="18"/>
          <w:color w:val="auto"/>
        </w:rPr>
        <w:t>4.8. Pay-as-you-use and Additional Variable Services: Fees for pay-as-you-use services, plus applicable taxes, are payable monthly in arears at our standard rates which may change from time to time and are available on request.</w:t>
      </w:r>
    </w:p>
    <w:p>
      <w:pPr>
        <w:spacing w:after="0" w:line="145" w:lineRule="exact"/>
        <w:rPr>
          <w:rFonts w:ascii="Arial" w:cs="Arial" w:eastAsia="Arial" w:hAnsi="Arial"/>
          <w:sz w:val="18"/>
          <w:szCs w:val="18"/>
          <w:color w:val="auto"/>
        </w:rPr>
      </w:pPr>
    </w:p>
    <w:p>
      <w:pPr>
        <w:ind w:left="892" w:right="340" w:hanging="486"/>
        <w:spacing w:after="0" w:line="276" w:lineRule="auto"/>
        <w:rPr>
          <w:rFonts w:ascii="Arial" w:cs="Arial" w:eastAsia="Arial" w:hAnsi="Arial"/>
          <w:sz w:val="18"/>
          <w:szCs w:val="18"/>
          <w:color w:val="auto"/>
        </w:rPr>
      </w:pPr>
      <w:r>
        <w:rPr>
          <w:rFonts w:ascii="Arial" w:cs="Arial" w:eastAsia="Arial" w:hAnsi="Arial"/>
          <w:sz w:val="18"/>
          <w:szCs w:val="18"/>
          <w:color w:val="auto"/>
        </w:rPr>
        <w:t>4.9. Discounts, Promotions and Offers: If You benefited from a special discount, promotion or offer, We will discontinue that discount, promotion or offer without notice if You materially breach Your agreement.</w:t>
      </w:r>
    </w:p>
    <w:p>
      <w:pPr>
        <w:spacing w:after="0" w:line="200" w:lineRule="exact"/>
        <w:rPr>
          <w:sz w:val="20"/>
          <w:szCs w:val="20"/>
          <w:color w:val="auto"/>
        </w:rPr>
      </w:pPr>
    </w:p>
    <w:p>
      <w:pPr>
        <w:spacing w:after="0" w:line="377" w:lineRule="exact"/>
        <w:rPr>
          <w:sz w:val="20"/>
          <w:szCs w:val="20"/>
          <w:color w:val="auto"/>
        </w:rPr>
      </w:pPr>
    </w:p>
    <w:p>
      <w:pPr>
        <w:ind w:left="9672"/>
        <w:spacing w:after="0"/>
        <w:rPr>
          <w:sz w:val="20"/>
          <w:szCs w:val="20"/>
          <w:color w:val="auto"/>
        </w:rPr>
      </w:pPr>
      <w:r>
        <w:rPr>
          <w:rFonts w:ascii="Arial" w:cs="Arial" w:eastAsia="Arial" w:hAnsi="Arial"/>
          <w:sz w:val="15"/>
          <w:szCs w:val="15"/>
          <w:color w:val="7E7E7E"/>
        </w:rPr>
        <w:t>Global Terms Feb 2019</w:t>
      </w:r>
    </w:p>
    <w:p>
      <w:pPr>
        <w:sectPr>
          <w:pgSz w:w="11900" w:h="16838" w:orient="portrait"/>
          <w:cols w:equalWidth="0" w:num="1">
            <w:col w:w="11412"/>
          </w:cols>
          <w:pgMar w:left="248" w:top="115"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Thero, certify that:</w:t>
      </w:r>
    </w:p>
    <w:p>
      <w:pPr>
        <w:spacing w:after="0" w:line="117"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2019</w:t>
            </w:r>
          </w:p>
        </w:tc>
        <w:tc>
          <w:tcPr>
            <w:tcW w:w="56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  John F. Thero</w:t>
            </w:r>
          </w:p>
        </w:tc>
      </w:tr>
      <w:tr>
        <w:trPr>
          <w:trHeight w:val="191"/>
        </w:trPr>
        <w:tc>
          <w:tcPr>
            <w:tcW w:w="5820" w:type="dxa"/>
            <w:vAlign w:val="bottom"/>
          </w:tcPr>
          <w:p>
            <w:pPr>
              <w:spacing w:after="0"/>
              <w:rPr>
                <w:sz w:val="16"/>
                <w:szCs w:val="16"/>
                <w:color w:val="auto"/>
              </w:rPr>
            </w:pPr>
          </w:p>
        </w:tc>
        <w:tc>
          <w:tcPr>
            <w:tcW w:w="5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John F. Thero</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Kalb, certify that:</w:t>
      </w:r>
    </w:p>
    <w:p>
      <w:pPr>
        <w:spacing w:after="0" w:line="117"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2019</w:t>
            </w: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W. Kalb</w:t>
            </w:r>
          </w:p>
        </w:tc>
      </w:tr>
      <w:tr>
        <w:trPr>
          <w:trHeight w:val="191"/>
        </w:trPr>
        <w:tc>
          <w:tcPr>
            <w:tcW w:w="5820" w:type="dxa"/>
            <w:vAlign w:val="bottom"/>
          </w:tcPr>
          <w:p>
            <w:pPr>
              <w:spacing w:after="0"/>
              <w:rPr>
                <w:sz w:val="16"/>
                <w:szCs w:val="16"/>
                <w:color w:val="auto"/>
              </w:rPr>
            </w:pPr>
          </w:p>
        </w:tc>
        <w:tc>
          <w:tcPr>
            <w:tcW w:w="5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34"/>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420"/>
          </w:cols>
          <w:pgMar w:left="240" w:top="117"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72" w:lineRule="exact"/>
        <w:rPr>
          <w:sz w:val="20"/>
          <w:szCs w:val="20"/>
          <w:color w:val="auto"/>
        </w:rPr>
      </w:pPr>
    </w:p>
    <w:p>
      <w:pPr>
        <w:ind w:left="520" w:right="62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2019, to which this Certification is attached as Exhibit 32.1 (the “Quarterly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31, 2019</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F. Thero</w:t>
            </w:r>
          </w:p>
        </w:tc>
        <w:tc>
          <w:tcPr>
            <w:tcW w:w="0" w:type="dxa"/>
            <w:vAlign w:val="bottom"/>
          </w:tcPr>
          <w:p>
            <w:pPr>
              <w:spacing w:after="0"/>
              <w:rPr>
                <w:sz w:val="1"/>
                <w:szCs w:val="1"/>
                <w:color w:val="auto"/>
              </w:rPr>
            </w:pPr>
          </w:p>
        </w:tc>
      </w:tr>
      <w:tr>
        <w:trPr>
          <w:trHeight w:val="191"/>
        </w:trPr>
        <w:tc>
          <w:tcPr>
            <w:tcW w:w="5820" w:type="dxa"/>
            <w:vAlign w:val="bottom"/>
            <w:vMerge w:val="continue"/>
          </w:tcPr>
          <w:p>
            <w:pPr>
              <w:spacing w:after="0"/>
              <w:rPr>
                <w:sz w:val="16"/>
                <w:szCs w:val="16"/>
                <w:color w:val="auto"/>
              </w:rPr>
            </w:pPr>
          </w:p>
        </w:tc>
        <w:tc>
          <w:tcPr>
            <w:tcW w:w="56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John F. Thero</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31, 2019</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W. Kalb</w:t>
            </w:r>
          </w:p>
        </w:tc>
        <w:tc>
          <w:tcPr>
            <w:tcW w:w="0" w:type="dxa"/>
            <w:vAlign w:val="bottom"/>
          </w:tcPr>
          <w:p>
            <w:pPr>
              <w:spacing w:after="0"/>
              <w:rPr>
                <w:sz w:val="1"/>
                <w:szCs w:val="1"/>
                <w:color w:val="auto"/>
              </w:rPr>
            </w:pPr>
          </w:p>
        </w:tc>
      </w:tr>
      <w:tr>
        <w:trPr>
          <w:trHeight w:val="191"/>
        </w:trPr>
        <w:tc>
          <w:tcPr>
            <w:tcW w:w="5820" w:type="dxa"/>
            <w:vAlign w:val="bottom"/>
            <w:vMerge w:val="continue"/>
          </w:tcPr>
          <w:p>
            <w:pPr>
              <w:spacing w:after="0"/>
              <w:rPr>
                <w:sz w:val="16"/>
                <w:szCs w:val="16"/>
                <w:color w:val="auto"/>
              </w:rPr>
            </w:pPr>
          </w:p>
        </w:tc>
        <w:tc>
          <w:tcPr>
            <w:tcW w:w="56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Michael W. Kalb</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2"/>
    </w:lvl>
  </w:abstractNum>
  <w:abstractNum w:abstractNumId="4">
    <w:nsid w:val="2A487CB0"/>
    <w:multiLevelType w:val="hybridMultilevel"/>
    <w:lvl w:ilvl="0">
      <w:lvlJc w:val="left"/>
      <w:lvlText w:val="(%1)"/>
      <w:numFmt w:val="lowerRoman"/>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3"/>
    </w:lvl>
  </w:abstractNum>
  <w:abstractNum w:abstractNumId="7">
    <w:nsid w:val="2CD89A32"/>
    <w:multiLevelType w:val="hybridMultilevel"/>
    <w:lvl w:ilvl="0">
      <w:lvlJc w:val="left"/>
      <w:lvlText w:val="(%1)"/>
      <w:numFmt w:val="decimal"/>
      <w:start w:val="4"/>
    </w:lvl>
  </w:abstractNum>
  <w:abstractNum w:abstractNumId="8">
    <w:nsid w:val="57E4CCAF"/>
    <w:multiLevelType w:val="hybridMultilevel"/>
    <w:lvl w:ilvl="0">
      <w:lvlJc w:val="left"/>
      <w:lvlText w:val="(%1)"/>
      <w:numFmt w:val="decimal"/>
      <w:start w:val="5"/>
    </w:lvl>
  </w:abstractNum>
  <w:abstractNum w:abstractNumId="9">
    <w:nsid w:val="7A6D8D3C"/>
    <w:multiLevelType w:val="hybridMultilevel"/>
    <w:lvl w:ilvl="0">
      <w:lvlJc w:val="left"/>
      <w:lvlText w:val="(%1)"/>
      <w:numFmt w:val="decimal"/>
      <w:start w:val="6"/>
    </w:lvl>
  </w:abstractNum>
  <w:abstractNum w:abstractNumId="10">
    <w:nsid w:val="4B588F54"/>
    <w:multiLevelType w:val="hybridMultilevel"/>
    <w:lvl w:ilvl="0">
      <w:lvlJc w:val="left"/>
      <w:lvlText w:val="(%1)"/>
      <w:numFmt w:val="decimal"/>
      <w:start w:val="7"/>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1)"/>
      <w:numFmt w:val="decimal"/>
      <w:start w:val="8"/>
    </w:lvl>
  </w:abstractNum>
  <w:abstractNum w:abstractNumId="13">
    <w:nsid w:val="38437FDB"/>
    <w:multiLevelType w:val="hybridMultilevel"/>
    <w:lvl w:ilvl="0">
      <w:lvlJc w:val="left"/>
      <w:lvlText w:val="(%1)"/>
      <w:numFmt w:val="decimal"/>
      <w:start w:val="9"/>
    </w:lvl>
  </w:abstractNum>
  <w:abstractNum w:abstractNumId="14">
    <w:nsid w:val="7644A45C"/>
    <w:multiLevelType w:val="hybridMultilevel"/>
    <w:lvl w:ilvl="0">
      <w:lvlJc w:val="left"/>
      <w:lvlText w:val="(%1)"/>
      <w:numFmt w:val="lowerRoman"/>
      <w:start w:val="4"/>
    </w:lvl>
  </w:abstractNum>
  <w:abstractNum w:abstractNumId="15">
    <w:nsid w:val="32FFF902"/>
    <w:multiLevelType w:val="hybridMultilevel"/>
    <w:lvl w:ilvl="0">
      <w:lvlJc w:val="left"/>
      <w:lvlText w:val="(%1)"/>
      <w:numFmt w:val="decimal"/>
      <w:start w:val="10"/>
    </w:lvl>
  </w:abstractNum>
  <w:abstractNum w:abstractNumId="16">
    <w:nsid w:val="684A481A"/>
    <w:multiLevelType w:val="hybridMultilevel"/>
    <w:lvl w:ilvl="0">
      <w:lvlJc w:val="left"/>
      <w:lvlText w:val="(%1)"/>
      <w:numFmt w:val="decimal"/>
      <w:start w:val="11"/>
    </w:lvl>
  </w:abstractNum>
  <w:abstractNum w:abstractNumId="17">
    <w:nsid w:val="579478FE"/>
    <w:multiLevelType w:val="hybridMultilevel"/>
    <w:lvl w:ilvl="0">
      <w:lvlJc w:val="left"/>
      <w:lvlText w:val="(%1)"/>
      <w:numFmt w:val="decimal"/>
      <w:start w:val="12"/>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2"/>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decimal"/>
      <w:start w:val="2"/>
    </w:lvl>
  </w:abstractNum>
  <w:abstractNum w:abstractNumId="32">
    <w:nsid w:val="1CF10FD8"/>
    <w:multiLevelType w:val="hybridMultilevel"/>
    <w:lvl w:ilvl="0">
      <w:lvlJc w:val="left"/>
      <w:lvlText w:val="(%1)"/>
      <w:numFmt w:val="upperLetter"/>
      <w:start w:val="9"/>
    </w:lvl>
  </w:abstractNum>
  <w:abstractNum w:abstractNumId="33">
    <w:nsid w:val="180115BE"/>
    <w:multiLevelType w:val="hybridMultilevel"/>
    <w:lvl w:ilvl="0">
      <w:lvlJc w:val="left"/>
      <w:lvlText w:val="(%1)"/>
      <w:numFmt w:val="upperLetter"/>
      <w:start w:val="35"/>
    </w:lvl>
  </w:abstractNum>
  <w:abstractNum w:abstractNumId="34">
    <w:nsid w:val="235BA861"/>
    <w:multiLevelType w:val="hybridMultilevel"/>
    <w:lvl w:ilvl="0">
      <w:lvlJc w:val="left"/>
      <w:lvlText w:val="(%1)"/>
      <w:numFmt w:val="upperLetter"/>
      <w:start w:val="6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104"/>
    </w:lvl>
  </w:abstractNum>
  <w:abstractNum w:abstractNumId="53">
    <w:nsid w:val="1381823A"/>
    <w:multiLevelType w:val="hybridMultilevel"/>
    <w:lvl w:ilvl="0">
      <w:lvlJc w:val="left"/>
      <w:lvlText w:val="%1."/>
      <w:numFmt w:val="upperLetter"/>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4"/>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2"/>
    </w:lvl>
  </w:abstractNum>
  <w:abstractNum w:abstractNumId="60">
    <w:nsid w:val="799D0247"/>
    <w:multiLevelType w:val="hybridMultilevel"/>
    <w:lvl w:ilvl="0">
      <w:lvlJc w:val="left"/>
      <w:lvlText w:val="%1."/>
      <w:numFmt w:val="decimal"/>
      <w:start w:val="3"/>
    </w:lvl>
  </w:abstractNum>
  <w:abstractNum w:abstractNumId="61">
    <w:nsid w:val="6B94764"/>
    <w:multiLevelType w:val="hybridMultilevel"/>
    <w:lvl w:ilvl="0">
      <w:lvlJc w:val="left"/>
      <w:lvlText w:val="%1."/>
      <w:numFmt w:val="decimal"/>
      <w:start w:val="4"/>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2"/>
      <w:numFmt w:val="bullet"/>
      <w:start w:val="1"/>
    </w:lvl>
  </w:abstractNum>
  <w:abstractNum w:abstractNumId="65">
    <w:nsid w:val="661E3F1E"/>
    <w:multiLevelType w:val="hybridMultilevel"/>
    <w:lvl w:ilvl="0">
      <w:lvlJc w:val="left"/>
      <w:lvlText w:val="3"/>
      <w:numFmt w:val="bullet"/>
      <w:start w:val="1"/>
    </w:lvl>
  </w:abstractNum>
  <w:abstractNum w:abstractNumId="66">
    <w:nsid w:val="5DC79EA8"/>
    <w:multiLevelType w:val="hybridMultilevel"/>
    <w:lvl w:ilvl="0">
      <w:lvlJc w:val="left"/>
      <w:lvlText w:val="4"/>
      <w:numFmt w:val="bullet"/>
      <w:start w:val="1"/>
    </w:lvl>
  </w:abstractNum>
  <w:abstractNum w:abstractNumId="67">
    <w:nsid w:val="540A471C"/>
    <w:multiLevelType w:val="hybridMultilevel"/>
    <w:lvl w:ilvl="0">
      <w:lvlJc w:val="left"/>
      <w:lvlText w:val="%1."/>
      <w:numFmt w:val="decimal"/>
      <w:start w:val="5"/>
    </w:lvl>
  </w:abstractNum>
  <w:abstractNum w:abstractNumId="68">
    <w:nsid w:val="7BD3EE7B"/>
    <w:multiLevelType w:val="hybridMultilevel"/>
    <w:lvl w:ilvl="0">
      <w:lvlJc w:val="left"/>
      <w:lvlText w:val="%1."/>
      <w:numFmt w:val="decimal"/>
      <w:start w:val="6"/>
    </w:lvl>
  </w:abstractNum>
  <w:abstractNum w:abstractNumId="69">
    <w:nsid w:val="51D9C564"/>
    <w:multiLevelType w:val="hybridMultilevel"/>
    <w:lvl w:ilvl="0">
      <w:lvlJc w:val="left"/>
      <w:lvlText w:val="%1."/>
      <w:numFmt w:val="decimal"/>
      <w:start w:val="7"/>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decimal"/>
      <w:start w:val="7"/>
    </w:lvl>
    <w:lvl w:ilvl="1">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2"/>
    </w:lvl>
  </w:abstractNum>
  <w:abstractNum w:abstractNumId="76">
    <w:nsid w:val="1A32234B"/>
    <w:multiLevelType w:val="hybridMultilevel"/>
    <w:lvl w:ilvl="0">
      <w:lvlJc w:val="left"/>
      <w:lvlText w:val="%1."/>
      <w:numFmt w:val="decimal"/>
      <w:start w:val="3"/>
    </w:lvl>
  </w:abstractNum>
  <w:abstractNum w:abstractNumId="77">
    <w:nsid w:val="3B0FD379"/>
    <w:multiLevelType w:val="hybridMultilevel"/>
    <w:lvl w:ilvl="0">
      <w:lvlJc w:val="left"/>
      <w:lvlText w:val="%1."/>
      <w:numFmt w:val="decimal"/>
      <w:start w:val="4"/>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2019-12-28T09:01:16Z</dcterms:created>
  <dcterms:modified xsi:type="dcterms:W3CDTF">2019-12-28T09:01:16Z</dcterms:modified>
</cp:coreProperties>
</file>