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820" w:right="1620" w:hanging="3812"/>
        <w:spacing w:after="0" w:line="262" w:lineRule="auto"/>
        <w:tabs>
          <w:tab w:leader="none" w:pos="448"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51"/>
        </w:trPr>
        <w:tc>
          <w:tcPr>
            <w:tcW w:w="5760" w:type="dxa"/>
            <w:vAlign w:val="bottom"/>
          </w:tcPr>
          <w:p>
            <w:pPr>
              <w:jc w:val="center"/>
              <w:ind w:right="133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40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5760" w:type="dxa"/>
            <w:vAlign w:val="bottom"/>
          </w:tcPr>
          <w:p>
            <w:pPr>
              <w:jc w:val="center"/>
              <w:ind w:right="1399"/>
              <w:spacing w:after="0"/>
              <w:rPr>
                <w:sz w:val="20"/>
                <w:szCs w:val="20"/>
                <w:color w:val="auto"/>
              </w:rPr>
            </w:pPr>
            <w:r>
              <w:rPr>
                <w:rFonts w:ascii="Times New Roman" w:cs="Times New Roman" w:eastAsia="Times New Roman" w:hAnsi="Times New Roman"/>
                <w:sz w:val="18"/>
                <w:szCs w:val="18"/>
                <w:b w:val="1"/>
                <w:bCs w:val="1"/>
                <w:color w:val="auto"/>
                <w:w w:val="99"/>
              </w:rPr>
              <w:t>Iconic Offices, The Greenway, Block C Ardilaun Court,</w:t>
            </w:r>
          </w:p>
        </w:tc>
        <w:tc>
          <w:tcPr>
            <w:tcW w:w="2800" w:type="dxa"/>
            <w:vAlign w:val="bottom"/>
          </w:tcPr>
          <w:p>
            <w:pPr>
              <w:jc w:val="center"/>
              <w:ind w:left="140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38"/>
        </w:trPr>
        <w:tc>
          <w:tcPr>
            <w:tcW w:w="576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112 – 114 St Stephens Green</w:t>
            </w:r>
          </w:p>
        </w:tc>
        <w:tc>
          <w:tcPr>
            <w:tcW w:w="2800" w:type="dxa"/>
            <w:vAlign w:val="bottom"/>
          </w:tcPr>
          <w:p>
            <w:pPr>
              <w:spacing w:after="0"/>
              <w:rPr>
                <w:sz w:val="20"/>
                <w:szCs w:val="20"/>
                <w:color w:val="auto"/>
              </w:rPr>
            </w:pPr>
          </w:p>
        </w:tc>
      </w:tr>
      <w:tr>
        <w:trPr>
          <w:trHeight w:val="192"/>
        </w:trPr>
        <w:tc>
          <w:tcPr>
            <w:tcW w:w="576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12"/>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2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210"/>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2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410,868,659 common shares were outstanding as of April 26, 2024, including 402,066,926 shares held as American Depositary Shares (ADSs), each representing one Ordinary Share, 50 pence par value per share, and 8,801,733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gridSpan w:val="13"/>
          </w:tcPr>
          <w:p>
            <w:pPr>
              <w:jc w:val="center"/>
              <w:ind w:right="1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020" w:type="dxa"/>
            <w:vAlign w:val="bottom"/>
          </w:tcPr>
          <w:p>
            <w:pPr>
              <w:spacing w:after="0"/>
              <w:rPr>
                <w:sz w:val="24"/>
                <w:szCs w:val="24"/>
                <w:color w:val="auto"/>
              </w:rPr>
            </w:pPr>
          </w:p>
        </w:tc>
      </w:tr>
      <w:tr>
        <w:trPr>
          <w:trHeight w:val="41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three months ended March 31, 2024 and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71"/>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10"/>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213,944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199,252</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94,235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121,407</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255,280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258,616</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tcPr>
          <w:p>
            <w:pPr>
              <w:spacing w:after="0"/>
              <w:rPr>
                <w:sz w:val="20"/>
                <w:szCs w:val="20"/>
                <w:color w:val="auto"/>
              </w:rPr>
            </w:pPr>
          </w:p>
        </w:tc>
      </w:tr>
      <w:tr>
        <w:trPr>
          <w:trHeight w:val="237"/>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687,932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tcPr>
          <w:p>
            <w:pPr>
              <w:spacing w:after="0"/>
              <w:rPr>
                <w:sz w:val="20"/>
                <w:szCs w:val="20"/>
                <w:color w:val="auto"/>
              </w:rPr>
            </w:pPr>
          </w:p>
        </w:tc>
      </w:tr>
      <w:tr>
        <w:trPr>
          <w:trHeight w:val="278"/>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790,013</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154,440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204,174</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224,381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244,077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279,587</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£0.50 par, unlimited authorized; 421,270,432 shares issued, 410,735,780 shares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as of March 31, 2024; 418,141,295 shares issued, 408,824,093 shares outstanding as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December 31, 2023</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304,742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302,756</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1,902,698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1,899,456</w:t>
            </w: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10,534,652 shares as of March 31, 2024; 9,317,202 shares as of December 31,</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(65,188 )</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(63,752 )</w:t>
            </w: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(1,596,316 )</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(1,586,363 )</w:t>
            </w:r>
          </w:p>
        </w:tc>
      </w:tr>
      <w:tr>
        <w:trPr>
          <w:trHeight w:val="237"/>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545,936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790,013</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-4388485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-3445510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-3428365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-2485390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-1859280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12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55,156</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84,654</w:t>
            </w: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0"/>
                <w:szCs w:val="20"/>
                <w:color w:val="auto"/>
              </w:rPr>
            </w:pPr>
          </w:p>
        </w:tc>
      </w:tr>
      <w:tr>
        <w:trPr>
          <w:trHeight w:val="241"/>
        </w:trPr>
        <w:tc>
          <w:tcPr>
            <w:tcW w:w="6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56,519</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85,975</w:t>
            </w: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24,615</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100" w:type="dxa"/>
            <w:vAlign w:val="bottom"/>
          </w:tcPr>
          <w:p>
            <w:pPr>
              <w:spacing w:after="0"/>
              <w:rPr>
                <w:sz w:val="20"/>
                <w:szCs w:val="20"/>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1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shd w:val="clear" w:color="auto" w:fill="CFF0FC"/>
          </w:tcPr>
          <w:p>
            <w:pPr>
              <w:spacing w:after="0"/>
              <w:rPr>
                <w:sz w:val="21"/>
                <w:szCs w:val="21"/>
                <w:color w:val="auto"/>
              </w:rPr>
            </w:pPr>
          </w:p>
        </w:tc>
      </w:tr>
      <w:tr>
        <w:trPr>
          <w:trHeight w:val="237"/>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30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47,927</w:t>
            </w:r>
          </w:p>
        </w:tc>
        <w:tc>
          <w:tcPr>
            <w:tcW w:w="100" w:type="dxa"/>
            <w:vAlign w:val="bottom"/>
            <w:tcBorders>
              <w:top w:val="single" w:sz="8" w:color="CFF0FC"/>
            </w:tcBorders>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59,587</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300" w:type="dxa"/>
            <w:vAlign w:val="bottom"/>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shd w:val="clear" w:color="auto" w:fill="CFF0FC"/>
          </w:tcPr>
          <w:p>
            <w:pPr>
              <w:spacing w:after="0"/>
              <w:rPr>
                <w:sz w:val="21"/>
                <w:szCs w:val="21"/>
                <w:color w:val="auto"/>
              </w:rPr>
            </w:pPr>
          </w:p>
        </w:tc>
      </w:tr>
      <w:tr>
        <w:trPr>
          <w:trHeight w:val="232"/>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45,487</w:t>
            </w:r>
          </w:p>
        </w:tc>
        <w:tc>
          <w:tcPr>
            <w:tcW w:w="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100" w:type="dxa"/>
            <w:vAlign w:val="bottom"/>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(13,583 )</w:t>
            </w:r>
          </w:p>
        </w:tc>
        <w:tc>
          <w:tcPr>
            <w:tcW w:w="8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(17,341 )</w:t>
            </w: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0"/>
                <w:szCs w:val="20"/>
                <w:color w:val="auto"/>
              </w:rPr>
            </w:pPr>
          </w:p>
        </w:tc>
      </w:tr>
      <w:tr>
        <w:trPr>
          <w:trHeight w:val="243"/>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(8,655 )</w:t>
            </w:r>
          </w:p>
        </w:tc>
        <w:tc>
          <w:tcPr>
            <w:tcW w:w="8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(14,496 )</w:t>
            </w:r>
          </w:p>
        </w:tc>
      </w:tr>
      <w:tr>
        <w:trPr>
          <w:trHeight w:val="243"/>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(1,298 )</w:t>
            </w:r>
          </w:p>
        </w:tc>
        <w:tc>
          <w:tcPr>
            <w:tcW w:w="8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(1,964 )</w:t>
            </w:r>
          </w:p>
        </w:tc>
      </w:tr>
      <w:tr>
        <w:trPr>
          <w:trHeight w:val="20"/>
        </w:trPr>
        <w:tc>
          <w:tcPr>
            <w:tcW w:w="68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(9,953 )</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(16,460 )</w:t>
            </w:r>
          </w:p>
        </w:tc>
      </w:tr>
      <w:tr>
        <w:trPr>
          <w:trHeight w:val="20"/>
        </w:trPr>
        <w:tc>
          <w:tcPr>
            <w:tcW w:w="6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(0.02 )</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(0.04 )</w:t>
            </w: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(0.02 )</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(0.04 )</w:t>
            </w: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410,146</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406,177</w:t>
            </w:r>
          </w:p>
        </w:tc>
        <w:tc>
          <w:tcPr>
            <w:tcW w:w="100" w:type="dxa"/>
            <w:vAlign w:val="bottom"/>
            <w:shd w:val="clear" w:color="auto" w:fill="CFF0FC"/>
          </w:tcPr>
          <w:p>
            <w:pPr>
              <w:spacing w:after="0"/>
              <w:rPr>
                <w:sz w:val="21"/>
                <w:szCs w:val="21"/>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410,146</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406,177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-2694305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-2694305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-2072640</wp:posOffset>
            </wp:positionV>
            <wp:extent cx="939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6971030</wp:posOffset>
            </wp:positionH>
            <wp:positionV relativeFrom="paragraph">
              <wp:posOffset>-2072640</wp:posOffset>
            </wp:positionV>
            <wp:extent cx="9398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-1425575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-1425575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-1108075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-1108075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28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16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418,141,295</w:t>
            </w:r>
          </w:p>
        </w:tc>
        <w:tc>
          <w:tcPr>
            <w:tcW w:w="15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(9,317,202 )</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302,756</w:t>
            </w: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1,899,456</w:t>
            </w: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(63,752 )</w:t>
            </w:r>
          </w:p>
        </w:tc>
        <w:tc>
          <w:tcPr>
            <w:tcW w:w="10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(1,586,363 )</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552,097</w:t>
            </w:r>
          </w:p>
        </w:tc>
        <w:tc>
          <w:tcPr>
            <w:tcW w:w="100" w:type="dxa"/>
            <w:vAlign w:val="bottom"/>
            <w:shd w:val="clear" w:color="auto" w:fill="CFF0FC"/>
          </w:tcPr>
          <w:p>
            <w:pPr>
              <w:spacing w:after="0"/>
              <w:rPr>
                <w:sz w:val="14"/>
                <w:szCs w:val="14"/>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6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3,119,637</w:t>
            </w:r>
          </w:p>
        </w:tc>
        <w:tc>
          <w:tcPr>
            <w:tcW w:w="15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(1,217,450 )</w:t>
            </w: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(1,980 )</w:t>
            </w: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(1,436 )</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(1,436 )</w:t>
            </w: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(9,953 )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(9,953 )</w:t>
            </w: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421,270,432</w:t>
            </w:r>
          </w:p>
        </w:tc>
        <w:tc>
          <w:tcPr>
            <w:tcW w:w="2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(10,534,652 )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304,742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1,902,698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(65,188 )</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(1,596,316 )</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545,936</w:t>
            </w:r>
          </w:p>
        </w:tc>
        <w:tc>
          <w:tcPr>
            <w:tcW w:w="100" w:type="dxa"/>
            <w:vAlign w:val="bottom"/>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2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28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16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412,333,087</w:t>
            </w:r>
          </w:p>
        </w:tc>
        <w:tc>
          <w:tcPr>
            <w:tcW w:w="15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(7,986,831 )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299,002</w:t>
            </w: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1,885,352</w:t>
            </w: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(61,770 )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(1,527,251 )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595,333</w:t>
            </w:r>
          </w:p>
        </w:tc>
        <w:tc>
          <w:tcPr>
            <w:tcW w:w="100" w:type="dxa"/>
            <w:vAlign w:val="bottom"/>
            <w:shd w:val="clear" w:color="auto" w:fill="CFF0FC"/>
          </w:tcPr>
          <w:p>
            <w:pPr>
              <w:spacing w:after="0"/>
              <w:rPr>
                <w:sz w:val="14"/>
                <w:szCs w:val="14"/>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1,232,263</w:t>
            </w:r>
          </w:p>
        </w:tc>
        <w:tc>
          <w:tcPr>
            <w:tcW w:w="2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5"/>
                <w:szCs w:val="15"/>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2,514,948</w:t>
            </w:r>
          </w:p>
        </w:tc>
        <w:tc>
          <w:tcPr>
            <w:tcW w:w="15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(827,523 )</w:t>
            </w: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(1,539 )</w:t>
            </w:r>
          </w:p>
        </w:tc>
        <w:tc>
          <w:tcPr>
            <w:tcW w:w="10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(1,507 )</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(1,507 )</w:t>
            </w: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(16,460 )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(16,460 )</w:t>
            </w: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416,080,298</w:t>
            </w:r>
          </w:p>
        </w:tc>
        <w:tc>
          <w:tcPr>
            <w:tcW w:w="2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(8,814,354 )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301,285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1,890,496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(63,277 )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(1,543,711 )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584,793</w:t>
            </w:r>
          </w:p>
        </w:tc>
        <w:tc>
          <w:tcPr>
            <w:tcW w:w="100" w:type="dxa"/>
            <w:vAlign w:val="bottom"/>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-1293495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-1293495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-1293495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-1293495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-1293495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-1293495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-144780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-144780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-144780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-144780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-144780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-144780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(9,953 )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(16,460 )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(1,547 )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(907 )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(2,246 )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(401 )</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(34,896 )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(15,237 )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(12,601 )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(7,008 )</w:t>
            </w:r>
          </w:p>
        </w:tc>
        <w:tc>
          <w:tcPr>
            <w:tcW w:w="0" w:type="dxa"/>
            <w:vAlign w:val="bottom"/>
          </w:tcPr>
          <w:p>
            <w:pPr>
              <w:spacing w:after="0"/>
              <w:rPr>
                <w:sz w:val="1"/>
                <w:szCs w:val="1"/>
                <w:color w:val="auto"/>
              </w:rPr>
            </w:pPr>
          </w:p>
        </w:tc>
      </w:tr>
      <w:tr>
        <w:trPr>
          <w:trHeight w:val="23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(33,281 )</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(52,523 )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(19,610 )</w:t>
            </w:r>
          </w:p>
        </w:tc>
        <w:tc>
          <w:tcPr>
            <w:tcW w:w="0" w:type="dxa"/>
            <w:vAlign w:val="bottom"/>
          </w:tcPr>
          <w:p>
            <w:pPr>
              <w:spacing w:after="0"/>
              <w:rPr>
                <w:sz w:val="1"/>
                <w:szCs w:val="1"/>
                <w:color w:val="auto"/>
              </w:rPr>
            </w:pPr>
          </w:p>
        </w:tc>
      </w:tr>
      <w:tr>
        <w:trPr>
          <w:trHeight w:val="23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(1,436 )</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(1,507 )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(1,426 )</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(26,254 )</w:t>
            </w:r>
          </w:p>
        </w:tc>
        <w:tc>
          <w:tcPr>
            <w:tcW w:w="0" w:type="dxa"/>
            <w:vAlign w:val="bottom"/>
          </w:tcPr>
          <w:p>
            <w:pPr>
              <w:spacing w:after="0"/>
              <w:rPr>
                <w:sz w:val="1"/>
                <w:szCs w:val="1"/>
                <w:color w:val="auto"/>
              </w:rPr>
            </w:pPr>
          </w:p>
        </w:tc>
      </w:tr>
      <w:tr>
        <w:trPr>
          <w:trHeight w:val="218"/>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199,777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214,469</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recognition of furniture, fixtures and equipment lease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-3016885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-3016885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-2382520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-2382520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-1748155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-1748155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-1165225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-496570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VASCEPA. The Company has launched commercial operations in certain European countries, such as the United Kingdom, or the UK, and Spain and continues pre-launch commercial activities throughout the rest of Europe. The Company’s operations outside of the U.S. and Europe are in varying stages of development and commercialization with reliance on third-party commercial partners in select geographies, including China and Canada.</w:t>
      </w:r>
    </w:p>
    <w:p>
      <w:pPr>
        <w:spacing w:after="0" w:line="9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Company’s lead product, 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United States Supreme Court, but the Company was unsuccessful. As a result, the following generic versions of VASCEPA have obtained U.S. FDA approval with labeling consistent with the MARINE indication of VASCEPA and have entered the U.S. market:</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Strides Pharma</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Ascent Pharmaceuticals,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hereinafter along with the U.S. brand name VASCEPA, collectively referred to as VASCEPA,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June 1, 2023, the Company announced the National Medical Products Administration, or NMPA, granted approval for VASCEPA under the MARINE indication in China and the Company's partner launched commercially in October 2023. On February 23, 2022, the Hong Kong Department of Health concluded its evaluation and approved the use of VASCEPA under the REDUCE-IT indication.</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currently has strategic collaborations to develop and commercialize VASCEPA in select territories outside the United States and Europe. Amarin is responsible for supplying VASCEPA to all markets in which the product is sold, including the United States and Europe, as well as in countries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2023, or the Form 10-K, filed with the SEC. The balance sheet amounts in this report were derived from the Company’s audited consolidated financial statements included in the Form 10-K.</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2024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March 31, 2024, the Company had total assets of $790.0 million, of which $308.2 million consisted of cash and short-term investments. More specifically, the Company had current assets of $687.9 million, including cash and cash equivalents of $213.9 million, short-term investments of $94.2 million, accounts receivable, net, of $115.8 million and current inventory of $255.3 million. In addition, as of March 31, 2024, the Company had long-term inventory of $74.2 million. As of March 31, 2024, the Company had no debt outstanding.</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experienced any significant credit losses. All customer accounts are actively managed and no losses in excess of amounts reserved are currently expected.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4"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137,028</w:t>
            </w:r>
          </w:p>
        </w:tc>
        <w:tc>
          <w:tcPr>
            <w:tcW w:w="1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160,686</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(13,261 )</w:t>
            </w:r>
          </w:p>
        </w:tc>
        <w:tc>
          <w:tcPr>
            <w:tcW w:w="4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(18,834 )</w:t>
            </w: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(7,961 )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(8,289 )</w:t>
            </w:r>
          </w:p>
        </w:tc>
      </w:tr>
      <w:tr>
        <w:trPr>
          <w:trHeight w:val="236"/>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115,806</w:t>
            </w:r>
          </w:p>
        </w:tc>
        <w:tc>
          <w:tcPr>
            <w:tcW w:w="1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8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-187960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An audit by the New Jersey Department of Treasury for the years 2012 to 2015 was closed in April 2023.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 w:name="page10"/>
    <w:bookmarkEnd w:id="9"/>
    <w:p>
      <w:pPr>
        <w:ind w:right="24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months ended March 31, 2024 and 2023 are as follows: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(9,953 )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(16,460 )</w:t>
            </w:r>
          </w:p>
        </w:tc>
      </w:tr>
      <w:tr>
        <w:trPr>
          <w:trHeight w:val="23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410,146</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406,177</w:t>
            </w:r>
          </w:p>
        </w:tc>
        <w:tc>
          <w:tcPr>
            <w:tcW w:w="100" w:type="dxa"/>
            <w:vAlign w:val="bottom"/>
          </w:tcPr>
          <w:p>
            <w:pPr>
              <w:spacing w:after="0"/>
              <w:rPr>
                <w:sz w:val="20"/>
                <w:szCs w:val="20"/>
                <w:color w:val="auto"/>
              </w:rPr>
            </w:pPr>
          </w:p>
        </w:tc>
      </w:tr>
      <w:tr>
        <w:trPr>
          <w:trHeight w:val="247"/>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(0.02 )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(0.04 )</w:t>
            </w:r>
          </w:p>
        </w:tc>
      </w:tr>
    </w:tbl>
    <w:p>
      <w:pPr>
        <w:spacing w:after="0" w:line="30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following potentially dilutive securities were not included in the computation of net loss per share because the effect would be anti-dilutive or because performance criteria were not yet met for awards contingent upon such measures: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39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0" w:type="dxa"/>
            <w:vAlign w:val="bottom"/>
            <w:tcBorders>
              <w:top w:val="single" w:sz="8" w:color="auto"/>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00" w:type="dxa"/>
            <w:vAlign w:val="bottom"/>
            <w:shd w:val="clear" w:color="auto" w:fill="CFF0FC"/>
          </w:tcPr>
          <w:p>
            <w:pPr>
              <w:spacing w:after="0"/>
              <w:rPr>
                <w:sz w:val="20"/>
                <w:szCs w:val="20"/>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Pr>
          <w:p>
            <w:pPr>
              <w:spacing w:after="0"/>
              <w:rPr>
                <w:sz w:val="20"/>
                <w:szCs w:val="20"/>
                <w:color w:val="auto"/>
              </w:rPr>
            </w:pPr>
          </w:p>
        </w:tc>
      </w:tr>
    </w:tbl>
    <w:p>
      <w:pPr>
        <w:spacing w:after="0" w:line="3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and long-term investments in financial institutions believed to be of high-credit quality.</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28%, 35%, and 29%, respectively, of gross product sales for the three months ended March 31, 2024, and represented 37%, 31%, and 22%, respectively, of the gross accounts receivable balance as of March 31, 2024. Customers A, B, and C accounted for 29%, 38%, and 27%, respectively, of gross product sales for the three months ended March 31, 2023 and represented 36%, 40%, and 20%, respectively, of the gross accounts receivable balance as of March 31, 2023. The Company has not experienced any significant write-offs of its accounts receivable. All customer accounts are actively managed and no losses in excess of amounts reserved are currently expected.</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440"/>
        <w:spacing w:after="0" w:line="282" w:lineRule="auto"/>
        <w:rPr>
          <w:sz w:val="20"/>
          <w:szCs w:val="20"/>
          <w:color w:val="auto"/>
        </w:rPr>
      </w:pPr>
      <w:r>
        <w:rPr>
          <w:rFonts w:ascii="Times New Roman" w:cs="Times New Roman" w:eastAsia="Times New Roman" w:hAnsi="Times New Roman"/>
          <w:sz w:val="18"/>
          <w:szCs w:val="18"/>
          <w:color w:val="auto"/>
        </w:rPr>
        <w:t>measurement date. Fair value measurements may be classified based on the amount of subjectivity associated with the inputs to fair valuation of these assets and liabilities using the following three levels:</w:t>
      </w:r>
    </w:p>
    <w:p>
      <w:pPr>
        <w:spacing w:after="0" w:line="54"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March 31, 2024 and December 31, 2023 and indicate the fair value hierarchy of the valuation techniques the Company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122,759</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122,759</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7"/>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238,419</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235,169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3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235,380</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-1362075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-1345565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-1362075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-1345565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-1362075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-1345565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-1345565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three months ended March 31, 2024 and 2023 was losses of less than $0.1 million and $0.2 million, respectively. Interest on investments is reported in interest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identifies a restructuring event as a program that is planned and controlled by management, and materially changes either the scope of the Company's business or the manner in which that business is conducted. The accounting for involuntary</w:t>
      </w: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Nonretirement Postemployment Benefits. </w:t>
      </w:r>
      <w:r>
        <w:rPr>
          <w:rFonts w:ascii="Times New Roman" w:cs="Times New Roman" w:eastAsia="Times New Roman" w:hAnsi="Times New Roman"/>
          <w:sz w:val="18"/>
          <w:szCs w:val="18"/>
          <w:color w:val="auto"/>
        </w:rPr>
        <w:t>The Company accrues a liability for termination benefits under ASC 712 when it is probable that a liability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incurred and the amount can be reasonably estimated and under ASC 420 when the termination benefits are communicated.</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June 2023, the Company approved and subsequently announced on July 18, 2023, an Organizational Restructuring Plan, or ORP, to right-size and strengthen the Company. As part of the plan, the Company completed a reduction of its entire U.S. sales field force, as well as a reduction of approximately 30% of its non-sales positions. The Company maintained its managed care and trade organization to support U.S. commercial efforts. During the year ended December 31, 2023, the Company recognized approximately $11.0 million within restructuring expense on the condensed consolidated statement of operations related to the reduction in forces.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continued to assess its contractual supplier purchase obligations and has taken steps to amend supplier agreements to align supply arrangements with current and future market demand. As a result of the ongoing assessment, the Company recognized $12.3 million during the three months ended March 31, 2023, within cost of goods sold - restructuring inventory on the condensed consolidated statement of operations (none as of March 31, 2024). The Company continues to negotiate with other contract suppliers to align its supply arrangements with current and future global demand, which may result in additional costs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6"/>
                <w:szCs w:val="16"/>
                <w:color w:val="auto"/>
              </w:rPr>
            </w:pPr>
          </w:p>
        </w:tc>
        <w:tc>
          <w:tcPr>
            <w:tcW w:w="352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3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40" w:type="dxa"/>
            <w:vAlign w:val="bottom"/>
          </w:tcPr>
          <w:p>
            <w:pPr>
              <w:spacing w:after="0"/>
              <w:rPr>
                <w:sz w:val="20"/>
                <w:szCs w:val="20"/>
                <w:color w:val="auto"/>
              </w:rPr>
            </w:pPr>
          </w:p>
        </w:tc>
        <w:tc>
          <w:tcPr>
            <w:tcW w:w="3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21"/>
                <w:szCs w:val="21"/>
                <w:color w:val="auto"/>
              </w:rPr>
            </w:pPr>
          </w:p>
        </w:tc>
        <w:tc>
          <w:tcPr>
            <w:tcW w:w="3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(2,878 )</w:t>
            </w:r>
          </w:p>
        </w:tc>
      </w:tr>
      <w:tr>
        <w:trPr>
          <w:trHeight w:val="237"/>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March 31, 2024, the intangible asset has an estimated weighted-average remaining useful life of 6.8 years. The carrying value as of March 31, 2024 and December 31, 2023 is as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80" w:type="dxa"/>
            <w:vAlign w:val="bottom"/>
            <w:shd w:val="clear" w:color="auto" w:fill="CFF0FC"/>
          </w:tcPr>
          <w:p>
            <w:pPr>
              <w:spacing w:after="0"/>
              <w:rPr>
                <w:sz w:val="20"/>
                <w:szCs w:val="20"/>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(14,613 )</w:t>
            </w:r>
          </w:p>
        </w:tc>
        <w:tc>
          <w:tcPr>
            <w:tcW w:w="1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(13,884 )</w:t>
            </w:r>
          </w:p>
        </w:tc>
      </w:tr>
      <w:tr>
        <w:trPr>
          <w:trHeight w:val="27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March 31, 2024 and December 31, 2023 consist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155,128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154,203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175,730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84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336,231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90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-950595</wp:posOffset>
            </wp:positionV>
            <wp:extent cx="59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-950595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ind w:left="1360" w:right="1440" w:hanging="4"/>
        <w:spacing w:after="0" w:line="261"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three months ended March 31, 2024, approximately $1.5 million of inventory was expensed through cost of goods sold for product dating inventory. During the three months ended March 31, 2023, approximately $2.3 million of finished goods was expensed through cost of goods sold for both product dating and non-product dating unsellable inventory.</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$74.2 million and $77.6 million of long-term inventory, respectively, as consumption is expected beyond the Company's operating cycle of 12 months.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Amarin intends to vigorously enforce its intellectual property rights relating to VASCEPA, but cannot predict the outcome of these lawsuits described below, those lawsuits described in the Company's Form 10-K or any subsequently filed lawsuits. Except as described below, there have been no material updates to our litigation as reported in the Company’s Form 10-K.</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and February 21, 2023, Dr. Reddy’s and Hikma, respectively, filed complaints against the Company in the United States District Court for the District of New Jersey, Civil action No. 21-cv-10309 and No. 23-cv-01016, alleging various antitrust violations stemming from alleged anticompetitive practices related to the supply of active pharmaceutical ingredient of VASCEPA. On March 28, 2024, Teva Pharmaceuticals USA, Inc., or Teva, filed a complaint against the Company in the United States District Court for the District of New Jersey, Civil action No. 24-cv-04341 alleging various antitrust violations analogous to those made by Dr. Reddy’s and Hikma. The Company filed a motion to dismiss the Teva complaint in April 2024, the motion remains pending. The complaints also include a related state law tortious interference claim. Damages sought include recovery for alleged economic harm to Dr. Reddy’s, Hikma and Teva respectively, treble damages, other costs and fees and injunctive relief against the alleged violative activities. Amarin believes it has valid defenses and will vigorously defend against the claims. Such litigation can be lengthy, costly and could materially affect and disrupt our business.</w:t>
      </w:r>
    </w:p>
    <w:p>
      <w:pPr>
        <w:spacing w:after="0" w:line="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Amarin is named as a defendant in six antitrust class action lawsuits in the District Court for the District of New Jersey, as displayed in the table below. Each of the six antitrust class action lawsuits allege Amarin and its co-defendant suppliers violated state and federal antitrust laws by monopolizing and engaging in a conspiracy to restrain trade in the icosapent ethyl drug and API markets.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Lawsuits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Civil Action #</w:t>
            </w:r>
          </w:p>
        </w:tc>
        <w:tc>
          <w:tcPr>
            <w:tcW w:w="160" w:type="dxa"/>
            <w:vAlign w:val="bottom"/>
          </w:tcPr>
          <w:p>
            <w:pPr>
              <w:spacing w:after="0"/>
              <w:rPr>
                <w:sz w:val="16"/>
                <w:szCs w:val="16"/>
                <w:color w:val="auto"/>
              </w:rPr>
            </w:pPr>
          </w:p>
        </w:tc>
        <w:tc>
          <w:tcPr>
            <w:tcW w:w="2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Direct/Indirect Purchasers</w:t>
            </w:r>
          </w:p>
        </w:tc>
        <w:tc>
          <w:tcPr>
            <w:tcW w:w="0" w:type="dxa"/>
            <w:vAlign w:val="bottom"/>
          </w:tcPr>
          <w:p>
            <w:pPr>
              <w:spacing w:after="0"/>
              <w:rPr>
                <w:sz w:val="1"/>
                <w:szCs w:val="1"/>
                <w:color w:val="auto"/>
              </w:rPr>
            </w:pPr>
          </w:p>
        </w:tc>
      </w:tr>
      <w:tr>
        <w:trPr>
          <w:trHeight w:val="205"/>
        </w:trPr>
        <w:tc>
          <w:tcPr>
            <w:tcW w:w="76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Uniformed Fire Officers Association Family Protection Plan Local 854 &amp; Uniformed Fire Officers</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21-12061</w:t>
            </w:r>
          </w:p>
        </w:tc>
        <w:tc>
          <w:tcPr>
            <w:tcW w:w="160" w:type="dxa"/>
            <w:vAlign w:val="bottom"/>
            <w:shd w:val="clear" w:color="auto" w:fill="CFF0FC"/>
          </w:tcPr>
          <w:p>
            <w:pPr>
              <w:spacing w:after="0"/>
              <w:rPr>
                <w:sz w:val="17"/>
                <w:szCs w:val="17"/>
                <w:color w:val="auto"/>
              </w:rPr>
            </w:pP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126"/>
        </w:trPr>
        <w:tc>
          <w:tcPr>
            <w:tcW w:w="76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Association for Retired Fire Officers Family Protection Plan</w:t>
            </w:r>
          </w:p>
        </w:tc>
        <w:tc>
          <w:tcPr>
            <w:tcW w:w="146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Trustees of Heavy and General Laborers’ Local Unions 472 and 172 of N.J. Welfare Fund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12-14639</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International Union of Operating Engineers Locals 137, 137A, 137B, 137C, 137R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21-12416</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KPH Healthcare Services, Inc.</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21-12747</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Purchaser</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21-13009</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21-13406</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68"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On October 21, 2021, a purported investor in the Company's publicly traded securities filed a putative class action lawsuit against the Company, the former chief executive officer and the former chief financial officer in the U.S. District Court for the District of New Jersey, Vincent Dang v. Amarin Corporation plc, John F. Thero and Michael W. Kalb, No. 1:21-cv-19212 (D.N.J. Oct. 21, 2021). A subsequent case, Dorfman v. Amarin Corporation plc, et al., No.</w:t>
      </w:r>
    </w:p>
    <w:p>
      <w:pPr>
        <w:spacing w:after="0" w:line="2"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60"/>
        <w:spacing w:after="0" w:line="254" w:lineRule="auto"/>
        <w:rPr>
          <w:sz w:val="20"/>
          <w:szCs w:val="20"/>
          <w:color w:val="auto"/>
        </w:rPr>
      </w:pPr>
      <w:r>
        <w:rPr>
          <w:rFonts w:ascii="Times New Roman" w:cs="Times New Roman" w:eastAsia="Times New Roman" w:hAnsi="Times New Roman"/>
          <w:sz w:val="18"/>
          <w:szCs w:val="18"/>
          <w:color w:val="auto"/>
        </w:rPr>
        <w:t>Company misled investors by allegedly downplaying the risk associated with the Company's patent litigation related to its Abbreviated New Drug Application, or ANDAs, that sought U.S. FDA approval for the sale of generic versions of VASCEPA, or ANDA litigation, and the risk that certain of the Company's patents related to the MARINE indication would be invalidated. Based on these allegations, plaintiff alleges that he purchased securities at an inflated share price and brings claims under the Securities and Exchange Act of 1934 seeking unspecified monetary damages and attorneys' fees and costs. In October 2022, the court consolidated the cases and appointed a lead plaintiff for the putative class.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and the motion remains pending. The Company believes it has valid defenses and will vigorously defend against the claims but cannot predict the outcome. The Company is unable to reasonably estimate the loss exposure, if any, associated with these claims.</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Times New Roman" w:cs="Times New Roman" w:eastAsia="Times New Roman" w:hAnsi="Times New Roman"/>
          <w:sz w:val="18"/>
          <w:szCs w:val="18"/>
          <w:i w:val="1"/>
          <w:iCs w:val="1"/>
          <w:color w:val="auto"/>
        </w:rPr>
        <w:t>Anne Abramson, John Lissandrello, Georgette Appiano, and Andrew Bondarowicz v. Amarin Corporation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Covington &amp; Burling, LLP, Joseph T. Kennedy, and John Does A-Z</w:t>
      </w:r>
      <w:r>
        <w:rPr>
          <w:rFonts w:ascii="Times New Roman" w:cs="Times New Roman" w:eastAsia="Times New Roman" w:hAnsi="Times New Roman"/>
          <w:sz w:val="18"/>
          <w:szCs w:val="18"/>
          <w:color w:val="auto"/>
        </w:rPr>
        <w:t>, No. MON-L-000984-23 (N.J. Super. Ct. Law Div. Mar. 29, 2023).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United States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and allowing defendants thereafter to refile a motion to dismiss. The Company believes it has valid defenses and will vigorously defend against the claims but cannot predict the outcome. The Company is unable to reasonably estimate the loss exposure, if any, associated with these claims.</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costs to the Company. As of the date of filing of this Quarterly Report, the Company has a total of approximately $29.0 million in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purchase obligations without consideration to ongoing discussions with other suppliers. In addition, the Company has total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$186.5 million contingent on either certain suppliers obtaining regulatory approval in Europe or pricing reimbursement in certain European countries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occurring by June 30, 2024.</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above, during 2023, the Company determined that it was probable that the Company would not be able to obtain pricing reimbursement in certain countries outlined within renegotiated supply agreements by June 30, 2024. The Company's reasonable estimate of the liability is $8.0 million; accordingly an $8.0 million provision was recognized in cost of goods sold - restructuring inventory on the condensed consolidated statement of operations. The ultimate resolution of the matter could result in up to an additional $7.8 million of the amount accrued.</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$6.3 million as of March 31, 2024) for the potential market approval.</w:t>
      </w:r>
    </w:p>
    <w:p>
      <w:pPr>
        <w:spacing w:after="0" w:line="6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has no provision for any of these obligations, except the $8.0 million provision noted above, since the amounts are either not paid or payable as of March 31, 2024.</w:t>
      </w: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common stock activity during the three months ended March 31, 2024 and 2023,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Amarin Corporation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Stock Incentive Plan, or the 2020 Plan, as of March 31,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500" w:type="dxa"/>
            <w:vAlign w:val="bottom"/>
            <w:gridSpan w:val="3"/>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29,492,168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14,827,995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three months ended March 31, 2024 and 2023:</w:t>
      </w:r>
    </w:p>
    <w:p>
      <w:pPr>
        <w:spacing w:after="0" w:line="3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16510</wp:posOffset>
            </wp:positionV>
            <wp:extent cx="33604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6" w:lineRule="exact"/>
        <w:rPr>
          <w:sz w:val="20"/>
          <w:szCs w:val="20"/>
          <w:color w:val="auto"/>
        </w:rPr>
      </w:pPr>
    </w:p>
    <w:p>
      <w:pPr>
        <w:ind w:left="6920"/>
        <w:spacing w:after="0"/>
        <w:tabs>
          <w:tab w:leader="none" w:pos="9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16510</wp:posOffset>
            </wp:positionV>
            <wp:extent cx="1551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ectPr>
          <w:pgSz w:w="11900" w:h="16838" w:orient="portrait"/>
          <w:cols w:equalWidth="0" w:num="1">
            <w:col w:w="11300"/>
          </w:cols>
          <w:pgMar w:left="320" w:top="1305" w:right="27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Gross and net proceeds from stock option exercises</w:t>
      </w:r>
      <w:r>
        <w:rPr>
          <w:sz w:val="20"/>
          <w:szCs w:val="20"/>
          <w:color w:val="auto"/>
        </w:rPr>
        <w:tab/>
      </w:r>
      <w:r>
        <w:rPr>
          <w:rFonts w:ascii="Times New Roman" w:cs="Times New Roman" w:eastAsia="Times New Roman" w:hAnsi="Times New Roman"/>
          <w:sz w:val="16"/>
          <w:szCs w:val="16"/>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right="1400"/>
        <w:spacing w:after="0" w:line="270" w:lineRule="auto"/>
        <w:rPr>
          <w:sz w:val="20"/>
          <w:szCs w:val="20"/>
          <w:color w:val="auto"/>
        </w:rPr>
      </w:pPr>
      <w:r>
        <w:rPr>
          <w:rFonts w:ascii="Times New Roman" w:cs="Times New Roman" w:eastAsia="Times New Roman" w:hAnsi="Times New Roman"/>
          <w:sz w:val="17"/>
          <w:szCs w:val="17"/>
          <w:color w:val="auto"/>
        </w:rPr>
        <w:t xml:space="preserve">Shares retained for settlement of employee tax obligations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RSUs Common shares issued in settlement of vested Performance-based RSUs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1020"/>
        <w:spacing w:after="0" w:line="258" w:lineRule="auto"/>
        <w:rPr>
          <w:sz w:val="20"/>
          <w:szCs w:val="20"/>
          <w:color w:val="auto"/>
        </w:rPr>
      </w:pPr>
      <w:r>
        <w:rPr>
          <w:rFonts w:ascii="Times New Roman" w:cs="Times New Roman" w:eastAsia="Times New Roman" w:hAnsi="Times New Roman"/>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9,500</w:t>
            </w:r>
          </w:p>
        </w:tc>
        <w:tc>
          <w:tcPr>
            <w:tcW w:w="9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1,232,263</w:t>
            </w:r>
          </w:p>
        </w:tc>
      </w:tr>
      <w:tr>
        <w:trPr>
          <w:trHeight w:val="23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10,260</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1,871,758</w:t>
            </w:r>
          </w:p>
        </w:tc>
      </w:tr>
      <w:tr>
        <w:trPr>
          <w:trHeight w:val="243"/>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2,651,407</w:t>
            </w:r>
          </w:p>
        </w:tc>
        <w:tc>
          <w:tcPr>
            <w:tcW w:w="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2,270,674</w:t>
            </w:r>
          </w:p>
        </w:tc>
      </w:tr>
      <w:tr>
        <w:trPr>
          <w:trHeight w:val="243"/>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990,070</w:t>
            </w:r>
          </w:p>
        </w:tc>
        <w:tc>
          <w:tcPr>
            <w:tcW w:w="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716,438</w:t>
            </w:r>
          </w:p>
        </w:tc>
      </w:tr>
      <w:tr>
        <w:trPr>
          <w:trHeight w:val="257"/>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468,230</w:t>
            </w:r>
          </w:p>
        </w:tc>
        <w:tc>
          <w:tcPr>
            <w:tcW w:w="9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244,274</w:t>
            </w:r>
          </w:p>
        </w:tc>
      </w:tr>
      <w:tr>
        <w:trPr>
          <w:trHeight w:val="351"/>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227,380</w:t>
            </w:r>
          </w:p>
        </w:tc>
        <w:tc>
          <w:tcPr>
            <w:tcW w:w="9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111,085</w:t>
            </w:r>
          </w:p>
        </w:tc>
      </w:tr>
    </w:tbl>
    <w:p>
      <w:pPr>
        <w:spacing w:after="0" w:line="210" w:lineRule="exact"/>
        <w:rPr>
          <w:sz w:val="20"/>
          <w:szCs w:val="20"/>
          <w:color w:val="auto"/>
        </w:rPr>
      </w:pPr>
    </w:p>
    <w:p>
      <w:pPr>
        <w:sectPr>
          <w:pgSz w:w="11900" w:h="16838" w:orient="portrait"/>
          <w:cols w:equalWidth="0" w:num="2">
            <w:col w:w="6840" w:space="720"/>
            <w:col w:w="3740"/>
          </w:cols>
          <w:pgMar w:left="320" w:top="1305" w:right="279" w:bottom="1440" w:gutter="0" w:footer="0" w:header="0"/>
          <w:type w:val="continuous"/>
        </w:sect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Performance-based RSUs vested in connection with the achievement of certain performance conditions during the year.</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a total of 6,800,500 RSUs and 2,662,000 stock options to employees under the 2020 Plan. The RSUs vest annually over a three-year period and the stock options vest quarterly over a four-year period with a one-year cliff vesting.</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2023, the Company granted a total of 7,775,850 RSUs and 4,297,500 stock options to employees under the 2020 Plan. The RSUs vest annually over a three-year period and the stock options vest quarterly over a four-year period with a one-year cliff vesting. Also in February 2023, the Company granted a total of 1,368,800 RSUs to employees under the 2020 Plan that vest upon the achievement of specified sales and operational performance conditions.</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payment and distributor fees, (b) estimated government and private payor rebates and chargebacks and discounts, such as Medicaid</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5" w:right="279" w:bottom="1440" w:gutter="0" w:footer="0" w:header="0"/>
          <w:type w:val="continuous"/>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t>reimbursements, (c) reserves for expected product returns and (d) estimated costs of incentives that are offered within contracts between the Company and its distributors, healthcare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2" w:lineRule="exact"/>
        <w:rPr>
          <w:sz w:val="20"/>
          <w:szCs w:val="20"/>
          <w:color w:val="auto"/>
        </w:rPr>
      </w:pPr>
    </w:p>
    <w:p>
      <w:pPr>
        <w:ind w:left="520"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5" w:lineRule="exact"/>
        <w:rPr>
          <w:sz w:val="20"/>
          <w:szCs w:val="20"/>
          <w:color w:val="auto"/>
        </w:rPr>
      </w:pPr>
    </w:p>
    <w:p>
      <w:pPr>
        <w:ind w:left="520"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77" w:lineRule="exact"/>
        <w:rPr>
          <w:sz w:val="20"/>
          <w:szCs w:val="20"/>
          <w:color w:val="auto"/>
        </w:rPr>
      </w:pPr>
    </w:p>
    <w:p>
      <w:pPr>
        <w:ind w:left="5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9" w:lineRule="exact"/>
        <w:rPr>
          <w:sz w:val="20"/>
          <w:szCs w:val="20"/>
          <w:color w:val="auto"/>
        </w:rPr>
      </w:pPr>
    </w:p>
    <w:p>
      <w:pPr>
        <w:ind w:left="520"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520" w:right="140"/>
        <w:spacing w:after="0" w:line="282" w:lineRule="auto"/>
        <w:rPr>
          <w:sz w:val="20"/>
          <w:szCs w:val="20"/>
          <w:color w:val="auto"/>
        </w:rPr>
      </w:pPr>
      <w:r>
        <w:rPr>
          <w:rFonts w:ascii="Times New Roman" w:cs="Times New Roman" w:eastAsia="Times New Roman" w:hAnsi="Times New Roman"/>
          <w:sz w:val="18"/>
          <w:szCs w:val="18"/>
          <w:color w:val="auto"/>
        </w:rPr>
        <w:t>mitigation rebates based on actual redemption activity and estimates regarding the portion of issued co-pay mitigation rebates that it estimates will be redeemed.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18,834</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143,033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7,732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1,902</w:t>
            </w:r>
          </w:p>
        </w:tc>
        <w:tc>
          <w:tcPr>
            <w:tcW w:w="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210,945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(2,111 )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(2,111 )</w:t>
            </w: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(8,285 )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(109,579 )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(120,053 )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(18,169 )</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(131,655 )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(153,064 )</w:t>
            </w:r>
          </w:p>
        </w:tc>
        <w:tc>
          <w:tcPr>
            <w:tcW w:w="0" w:type="dxa"/>
            <w:vAlign w:val="bottom"/>
          </w:tcPr>
          <w:p>
            <w:pPr>
              <w:spacing w:after="0"/>
              <w:rPr>
                <w:sz w:val="1"/>
                <w:szCs w:val="1"/>
                <w:color w:val="auto"/>
              </w:rPr>
            </w:pPr>
          </w:p>
        </w:tc>
      </w:tr>
      <w:tr>
        <w:trPr>
          <w:trHeight w:val="23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13,261</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110,633</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6,870</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1,400</w:t>
            </w: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132,164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6"/>
                <w:szCs w:val="16"/>
                <w:color w:val="auto"/>
              </w:rPr>
            </w:pPr>
          </w:p>
        </w:tc>
        <w:tc>
          <w:tcPr>
            <w:tcW w:w="10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6"/>
                <w:szCs w:val="16"/>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Returns</w:t>
            </w:r>
          </w:p>
        </w:tc>
        <w:tc>
          <w:tcPr>
            <w:tcW w:w="120" w:type="dxa"/>
            <w:vAlign w:val="bottom"/>
          </w:tcPr>
          <w:p>
            <w:pPr>
              <w:spacing w:after="0"/>
              <w:rPr>
                <w:sz w:val="16"/>
                <w:szCs w:val="16"/>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0" w:type="dxa"/>
            <w:vAlign w:val="bottom"/>
            <w:tcBorders>
              <w:top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(5,589 )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(5,482 )</w:t>
            </w: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(11,534 )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(105,542 )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(121,001 )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(36,485 )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(51,460 )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(839 )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(89,361 )</w:t>
            </w:r>
          </w:p>
        </w:tc>
        <w:tc>
          <w:tcPr>
            <w:tcW w:w="0" w:type="dxa"/>
            <w:vAlign w:val="bottom"/>
          </w:tcPr>
          <w:p>
            <w:pPr>
              <w:spacing w:after="0"/>
              <w:rPr>
                <w:sz w:val="1"/>
                <w:szCs w:val="1"/>
                <w:color w:val="auto"/>
              </w:rPr>
            </w:pPr>
          </w:p>
        </w:tc>
      </w:tr>
      <w:tr>
        <w:trPr>
          <w:trHeight w:val="23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18,920</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136,360</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8,701</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2,407</w:t>
            </w:r>
          </w:p>
        </w:tc>
        <w:tc>
          <w:tcPr>
            <w:tcW w:w="1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166,388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-1593850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-1593850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t>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2024 and 2023, the Company exercised certain rights under the agreement, resulting in payments of $1.0 million in each of such periods to Mochida, which was recorded as research and development expense in the condensed consolidated statement of operations.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Anal Cancer/HSIL Outcomes Research, or ANCHOR, and REDUCE-IT clinical trials of VASCEPA.</w:t>
      </w:r>
    </w:p>
    <w:p>
      <w:pPr>
        <w:spacing w:after="0" w:line="7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140"/>
        <w:spacing w:after="0" w:line="282" w:lineRule="auto"/>
        <w:rPr>
          <w:sz w:val="20"/>
          <w:szCs w:val="20"/>
          <w:color w:val="auto"/>
        </w:rPr>
      </w:pPr>
      <w:r>
        <w:rPr>
          <w:rFonts w:ascii="Times New Roman" w:cs="Times New Roman" w:eastAsia="Times New Roman" w:hAnsi="Times New Roman"/>
          <w:sz w:val="18"/>
          <w:szCs w:val="18"/>
          <w:color w:val="auto"/>
        </w:rPr>
        <w:t>provisions regarding indemnification, supply, record keeping, audit rights, reporting obligations, and representations and warranties that are customary for an arrangement of this type.</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was used to seek regulatory approval in Mainland China. The Company received approval of VASCEPA under the REDUCE-IT indication in Hong Kong in February 2022 and under the MARINE indication in Mainland China in the second quarter of 2023. Following approval of VASCEPA in Mainland China under the MARINE indication, the Company received a non-refundable $5.0 million milestone payment. In October 2023, Edding submitted its CTA with respect to the REDUCE-IT indication for VASCEPA to the Chinese regulatory authority. Following the CTA submission, the Company received a non-refundable $3.0 million milestone.</w:t>
      </w:r>
    </w:p>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$145.0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$25.0 million. As of March 31, 2024, the Company has recognized $9.0 million relating to milestone achievements. Achievement of regulatory approval for a third indication is not probable. The achievement of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the $1.0 million milestone payment received related to the successful submission of the CTA for the MARINE indication, the $5.0 million milestone payment received related to the approval of VASCEPA under the MARINE indication and the $3.0 million milestone payment received related to the submission of the CTA for the REDUCE-IT indication.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discussed above, during the second quarter of 2023, Edding received regulatory approval in China under the MARINE indication and the pursuit of additional indications outside of the REDUCE-IT indication is not probable. As a result, the Company reevaluated the performance period and determined that completion of the remaining performance obligations was estimated to be by the end of December 2025. The change in estimate resulted in the remaining performance period decreasing from 11 years to three years for recognizing the remaining deferred revenue.</w:t>
      </w:r>
    </w:p>
    <w:p>
      <w:pPr>
        <w:spacing w:after="0" w:line="7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$0.4 million and $0.3 million, respectively, as licensing revenue related to the upfront and milestone payments received in connection with the Edding agreement. From contract inception through March 31, 2024 and December 31, 2023, the Company recognized $21.0 million and $20.6 million, respectively, as licensing revenue under the DCS Agreement concurrent with the input measure of support hours provided by Amarin to Edding 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60"/>
        <w:spacing w:after="0" w:line="261" w:lineRule="auto"/>
        <w:rPr>
          <w:sz w:val="20"/>
          <w:szCs w:val="20"/>
          <w:color w:val="auto"/>
        </w:rPr>
      </w:pPr>
      <w:r>
        <w:rPr>
          <w:rFonts w:ascii="Times New Roman" w:cs="Times New Roman" w:eastAsia="Times New Roman" w:hAnsi="Times New Roman"/>
          <w:sz w:val="18"/>
          <w:szCs w:val="18"/>
          <w:color w:val="auto"/>
        </w:rPr>
        <w:t>achieving the combined development and regulatory performance obligation, which in the Company’s judgment is the best measure of progress towards satisfying this performance obligation. The remaining transaction price of $4.0 million and $4.4 million is recorded in deferred revenue as of March 31, 2024 and December 31, 2023, respectively, on the condensed consolidated balance sheets and will be recognized as revenue over the remaining period of 2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net product revenue of $3.4 million for the three months ended March 31, 2024 related to sales to Edding (none in 2023).</w:t>
      </w: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$0.3 million for the three months ended March 31, 2023, related to sales to Biologix (none as of March 31, 2024).</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During the second quarter of 2023, the Company concluded support for regulatory activities and pursuit of additional indications was deemed to be not probable. As a result, the Company reevaluated the performance period and determined that all remaining performance obligations were satisfied as of June 30, 2023, resulting in a decrease of the previous performance period of eight years.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20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recognized $0.1 million as licensing revenue related to upfront and milestone payments received in connection with the HLS agreement (none as of March 31, 2024). From the contract’s inception through both March 31, 2024 and December 31, 2023, the Company has recognized $13.7 million.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Company fully recognized the transaction price as of December 31, 2023.</w:t>
      </w:r>
    </w:p>
    <w:p>
      <w:pPr>
        <w:spacing w:after="0" w:line="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$1.9 million and $1.6 million for the three months ended March 31, 2024 and 2023, respectively, related to sales to HLS.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addition to the upfront payment, the Company will be eligible to receive event-related milestone payments of approximately $8.0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recognized $0.5 million as licensing revenue related to the upfront payment received in connection with the CSL agreement (none as of March 31, 2024).</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three months ended March 31, 2024 and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9"/>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20"/>
                <w:szCs w:val="20"/>
                <w:color w:val="auto"/>
              </w:rPr>
            </w:pPr>
          </w:p>
        </w:tc>
      </w:tr>
      <w:tr>
        <w:trPr>
          <w:trHeight w:val="261"/>
        </w:trPr>
        <w:tc>
          <w:tcPr>
            <w:tcW w:w="45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FF0FC"/>
          </w:tcPr>
          <w:p>
            <w:pPr>
              <w:spacing w:after="0"/>
              <w:rPr>
                <w:sz w:val="21"/>
                <w:szCs w:val="21"/>
                <w:color w:val="auto"/>
              </w:rPr>
            </w:pPr>
          </w:p>
        </w:tc>
      </w:tr>
    </w:tbl>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the following revenues as a result of changes in the contract asset and contract liability balances in the respective periods: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20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50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318" w:lineRule="exact"/>
        <w:rPr>
          <w:sz w:val="20"/>
          <w:szCs w:val="20"/>
          <w:color w:val="auto"/>
        </w:rPr>
      </w:pPr>
    </w:p>
    <w:p>
      <w:pPr>
        <w:ind w:left="520" w:right="10240" w:hanging="512"/>
        <w:spacing w:after="0" w:line="377"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spacing w:after="0" w:line="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40"/>
        <w:spacing w:after="0" w:line="256" w:lineRule="auto"/>
        <w:rPr>
          <w:sz w:val="20"/>
          <w:szCs w:val="20"/>
          <w:color w:val="auto"/>
        </w:rPr>
      </w:pPr>
      <w:r>
        <w:rPr>
          <w:rFonts w:ascii="Times New Roman" w:cs="Times New Roman" w:eastAsia="Times New Roman" w:hAnsi="Times New Roman"/>
          <w:sz w:val="18"/>
          <w:szCs w:val="18"/>
          <w:color w:val="auto"/>
        </w:rPr>
        <w:t>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9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new office space in Dublin, Ireland, or the Dublin Lease. The Dublin Lease commenced on October 1, 2022, or the Dublin Commencement Date, for a two-year period. Under the Dublin Lease, the Company will pay annual rent of approximately $0.4 million during the duration of the lease term.</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real estate leases, the Company continually enters into lease agreements for various vehicles with terms ranging from month-to-month up to 36 months.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operating lease liability is $10.1 million and $10.6 million and the operating lease right-of-use asset is $7.9 million and $8.3 million, as of March 31, 2024 and December 31,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expense for both the three months ended March 31, 2024 and 2023 is approximately $0.9 million.</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6"/>
                <w:szCs w:val="16"/>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21"/>
                <w:szCs w:val="21"/>
                <w:color w:val="auto"/>
              </w:rPr>
            </w:pP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21"/>
                <w:szCs w:val="21"/>
                <w:color w:val="auto"/>
              </w:rPr>
            </w:pP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(3,752 )</w:t>
            </w: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FF0FC"/>
          </w:tcPr>
          <w:p>
            <w:pPr>
              <w:spacing w:after="0"/>
              <w:rPr>
                <w:sz w:val="20"/>
                <w:szCs w:val="20"/>
                <w:color w:val="auto"/>
              </w:rPr>
            </w:pP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50,000-square feet of the 67,747-square foot Lease and included within the sublease are furniture, fixtures and equipment, collectively the Sublease. The Sublease commenced</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51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r>
      <w:tr>
        <w:trPr>
          <w:trHeight w:val="237"/>
        </w:trPr>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8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0"/>
                <w:szCs w:val="20"/>
                <w:color w:val="auto"/>
              </w:rPr>
            </w:pPr>
          </w:p>
        </w:tc>
      </w:tr>
      <w:tr>
        <w:trPr>
          <w:trHeight w:val="26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800" w:type="dxa"/>
            <w:vAlign w:val="bottom"/>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r>
      <w:tr>
        <w:trPr>
          <w:trHeight w:val="257"/>
        </w:trPr>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recognized at commencement date of sales type lease</w:t>
            </w:r>
          </w:p>
        </w:tc>
        <w:tc>
          <w:tcPr>
            <w:tcW w:w="800" w:type="dxa"/>
            <w:vAlign w:val="bottom"/>
            <w:shd w:val="clear" w:color="auto" w:fill="CFF0FC"/>
          </w:tcPr>
          <w:p>
            <w:pPr>
              <w:spacing w:after="0"/>
              <w:rPr>
                <w:sz w:val="22"/>
                <w:szCs w:val="22"/>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34"/>
        </w:trPr>
        <w:tc>
          <w:tcPr>
            <w:tcW w:w="5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-156845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sales type lease and operating lease receivables as of March 31, 2024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FF0FC"/>
          </w:tcPr>
          <w:p>
            <w:pPr>
              <w:spacing w:after="0"/>
              <w:rPr>
                <w:sz w:val="20"/>
                <w:szCs w:val="20"/>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shd w:val="clear" w:color="auto" w:fill="CFF0FC"/>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38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2023, or our Annual Report, and under Part II, Item IA, “Risk Factors” of this Quarterly Report.</w:t>
      </w:r>
    </w:p>
    <w:p>
      <w:pPr>
        <w:spacing w:after="0" w:line="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for the MARINE indication.</w:t>
      </w:r>
    </w:p>
    <w:p>
      <w:pPr>
        <w:spacing w:after="0" w:line="9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 Program</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July 18, 2023, we announced that we were implementing a new Organizational Restructuring Program, or the ORP, resulting in the elimination and consolidation of certain roles across our organization, both in the U.S. and abroad and representing a reduction of our total employee base by approximately 30%. The ORP was implemented following a review of our business and to better position the organization for a new strategic focus. We expect the ORP will reduce operating costs by approximately $40.0 million annually. Our refocused strategic priorities and restructuring plan focuses on three core areas:</w:t>
      </w:r>
    </w:p>
    <w:p>
      <w:pPr>
        <w:spacing w:after="0" w:line="73" w:lineRule="exact"/>
        <w:rPr>
          <w:sz w:val="20"/>
          <w:szCs w:val="20"/>
          <w:color w:val="auto"/>
        </w:rPr>
      </w:pPr>
    </w:p>
    <w:p>
      <w:pPr>
        <w:ind w:left="1020" w:right="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Maximizing U.S. Cash Flow Through Streamlined Model: </w:t>
      </w:r>
      <w:r>
        <w:rPr>
          <w:rFonts w:ascii="Times New Roman" w:cs="Times New Roman" w:eastAsia="Times New Roman" w:hAnsi="Times New Roman"/>
          <w:sz w:val="18"/>
          <w:szCs w:val="18"/>
          <w:color w:val="auto"/>
        </w:rPr>
        <w:t>We have maintained VASCEPA as a cost-competitive option to generics despite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elimination of all U.S. sales force positions and approximately 30% of non-sales positions. We maintained our managed care and trade organization to support these efforts. We continue to explore innovative approaches to driving revenue to maintain our leadership position in the icosapent ethyl, or IPE, market.</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European Redesign: </w:t>
      </w:r>
      <w:r>
        <w:rPr>
          <w:rFonts w:ascii="Times New Roman" w:cs="Times New Roman" w:eastAsia="Times New Roman" w:hAnsi="Times New Roman"/>
          <w:sz w:val="18"/>
          <w:szCs w:val="18"/>
          <w:color w:val="auto"/>
        </w:rPr>
        <w:t>We redesigned our commercial infrastructure in Europe to better align with pricing and reimbursement status,</w:t>
      </w:r>
    </w:p>
    <w:p>
      <w:pPr>
        <w:spacing w:after="0" w:line="29" w:lineRule="exact"/>
        <w:rPr>
          <w:sz w:val="20"/>
          <w:szCs w:val="20"/>
          <w:color w:val="auto"/>
        </w:rPr>
      </w:pPr>
    </w:p>
    <w:p>
      <w:pPr>
        <w:ind w:left="5540" w:right="3300" w:hanging="4507"/>
        <w:spacing w:after="0" w:line="260" w:lineRule="auto"/>
        <w:rPr>
          <w:sz w:val="20"/>
          <w:szCs w:val="20"/>
          <w:color w:val="auto"/>
        </w:rPr>
      </w:pPr>
      <w:r>
        <w:rPr>
          <w:rFonts w:ascii="Times New Roman" w:cs="Times New Roman" w:eastAsia="Times New Roman" w:hAnsi="Times New Roman"/>
          <w:sz w:val="18"/>
          <w:szCs w:val="18"/>
          <w:color w:val="auto"/>
        </w:rPr>
        <w:t>commercial progress to date, as well as streamline certain cross-geographic functions and better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4" w:name="page25"/>
    <w:bookmarkEnd w:id="24"/>
    <w:p>
      <w:pPr>
        <w:ind w:left="1020"/>
        <w:spacing w:after="0" w:line="282" w:lineRule="auto"/>
        <w:rPr>
          <w:sz w:val="20"/>
          <w:szCs w:val="20"/>
          <w:color w:val="auto"/>
        </w:rPr>
      </w:pPr>
      <w:r>
        <w:rPr>
          <w:rFonts w:ascii="Times New Roman" w:cs="Times New Roman" w:eastAsia="Times New Roman" w:hAnsi="Times New Roman"/>
          <w:sz w:val="18"/>
          <w:szCs w:val="18"/>
          <w:color w:val="auto"/>
        </w:rPr>
        <w:t>leverage learnings across countries. In addition, we continue to advance our pricing and reimbursement activities to drive access in remaining geographies, including those where progress has been delayed.</w:t>
      </w:r>
    </w:p>
    <w:p>
      <w:pPr>
        <w:spacing w:after="0" w:line="52" w:lineRule="exact"/>
        <w:rPr>
          <w:sz w:val="20"/>
          <w:szCs w:val="20"/>
          <w:color w:val="auto"/>
        </w:rPr>
      </w:pPr>
    </w:p>
    <w:p>
      <w:pPr>
        <w:ind w:left="1020" w:right="4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Upon International Partnerships: </w:t>
      </w:r>
      <w:r>
        <w:rPr>
          <w:rFonts w:ascii="Times New Roman" w:cs="Times New Roman" w:eastAsia="Times New Roman" w:hAnsi="Times New Roman"/>
          <w:sz w:val="18"/>
          <w:szCs w:val="18"/>
          <w:color w:val="auto"/>
        </w:rPr>
        <w:t>We continue to work on generating revenue from our partnerships in key international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Canada, the Middle East and North Africa, or MENA, China, South Korea, Australia and New Zealand and will continue to explore additional partnerships.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25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w:t>
      </w:r>
    </w:p>
    <w:p>
      <w:pPr>
        <w:spacing w:after="0" w:line="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Strides Pharma</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Ascent Pharmaceuticals,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59690</wp:posOffset>
            </wp:positionV>
            <wp:extent cx="5212080" cy="257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right="260"/>
        <w:spacing w:after="0" w:line="266" w:lineRule="auto"/>
        <w:rPr>
          <w:sz w:val="20"/>
          <w:szCs w:val="20"/>
          <w:color w:val="auto"/>
        </w:rPr>
      </w:pPr>
      <w:r>
        <w:rPr>
          <w:rFonts w:ascii="Times New Roman" w:cs="Times New Roman" w:eastAsia="Times New Roman" w:hAnsi="Times New Roman"/>
          <w:sz w:val="18"/>
          <w:szCs w:val="18"/>
          <w:color w:val="auto"/>
        </w:rPr>
        <w:t>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15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 for more impact and cost efficiency, which is or will be utilized throughout Europe as launches are rolled out.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10 years of market protection, and in April 2024, we were issued a patent that extended our exclusivity to 2039.</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discussed above, one of the core areas of focus from our ORP is continuing to work on generating revenue from our partnerships in key international markets, including Canada, MENA, China, Australia and New Zealand and we will continue to explore additional partnerships.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1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 Kong had commenced.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80"/>
        <w:spacing w:after="0" w:line="261" w:lineRule="auto"/>
        <w:rPr>
          <w:sz w:val="20"/>
          <w:szCs w:val="20"/>
          <w:color w:val="auto"/>
        </w:rPr>
      </w:pPr>
      <w:r>
        <w:rPr>
          <w:rFonts w:ascii="Times New Roman" w:cs="Times New Roman" w:eastAsia="Times New Roman" w:hAnsi="Times New Roman"/>
          <w:sz w:val="18"/>
          <w:szCs w:val="18"/>
          <w:color w:val="auto"/>
        </w:rPr>
        <w:t>studies of VASCEPA. In China, on October 10, 2022, following the completion of product testing by the China National Institutes for Food and Drug Control, or NIFDC, the final NMPA review of the VASCEPA NDA was initiated. The Company announced on June 1, 2023 that Edding received approval from the NMPA for VASCEPA in Mainland China under the MARINE indication and launched commercially in October 2023. In October 2023, Edding's submission of a regulatory filing to the NMPA for VASCEPA under the REDUCE-IT indication was accepted.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MENA</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April 2022, HLS completed negotiations with Canada’s pan-Canadian Pharmaceutical Alliance for the terms and conditions under which VASCEPA would qualify for public market reimbursement in Canada.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in the final year of a three-year plan to submit and obtain regulatory approval in 20 or more additional countries and regions in order to ensure that patients in the top 50 cardiometabolic markets worldwide can benefit from VASCEPA. Through the date of this Quarterly Report, we have filed for regulatory review in 21 countries and regions and have received approval in 14 countries and regions outside of the United States and EMA regulatory approval authority, including in Switzerland, Australia, New Zealand and Israel, under the REDUCE-IT indication. In addition, VAZKEPA has been made available under individual pricing reimbursement in Switzerland.</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The Company will be responsible for supplying finished product to these partners.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Since its inception in 2011, the REDUCE-IT cardiovascular outcomes study of VASCEPA has been the centerpiece of our research and development. Most of our other research and development during this period also pertained to VASCEPA, including the study of the mechanism of action of the single active ingredient in VASCEPA, icosapent ethyl. Based on the final positive results of REDUCE-IT, we sought additional indicated uses for VASCEPA in the United States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40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Australia, Canada, China and the Middle East as well as guidelines or statements which were newly received during the first quarter of 2024 as listed below:</w:t>
      </w:r>
    </w:p>
    <w:p>
      <w:pPr>
        <w:spacing w:after="0" w:line="72" w:lineRule="exact"/>
        <w:rPr>
          <w:sz w:val="20"/>
          <w:szCs w:val="20"/>
          <w:color w:val="auto"/>
        </w:rPr>
      </w:pPr>
    </w:p>
    <w:p>
      <w:pPr>
        <w:ind w:left="1020" w:right="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American Diabetes Association updated their recommendations for risk management in patients with chronic kidney disease, or CKD, in their Standards of Care in Diabetes stating that patients with diabetes and CKD should be treated with moderate- or high-intensity statin as first-line therapy followed by ezetimibe, PCSK9 inhibitors or IPE if indicated based on atherosclerotic cardiovascular disease, or ASCVD, risk and lipid levels.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Lipid Association of India published an update to their cardiovascular risk assessment algorithm for the prevention of ASCVD. This update included that in statin-treated patients at high risk for ASCVD, IPE should be used to treat patients with a TG level greater than 150 mg/dL, patients with recurring cardiovascular events despite low-density lipoprotein cholesterol, or LDL-C, around 30 mg/dL and in patients with a TG level greater than 500 mg/dL.</w:t>
      </w:r>
    </w:p>
    <w:p>
      <w:pPr>
        <w:spacing w:after="0" w:line="71"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President of the Saudi Heart Association posted a statement that experts agree on using IPE for secondary prevention in statin treated patients with elevated TG and patients with recent acute coronary syndrome and revascularization will benefit most from the addition of IPE. Further, the results shown on low attenuation plaque from the EVAPORATE trial further reinforce the benefit of IPE on coronary atherosclerosis.</w:t>
      </w:r>
    </w:p>
    <w:p>
      <w:pPr>
        <w:spacing w:after="0" w:line="18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supported our commercialization partners in Australia with an encore research presentation at the 4 Corners of Cardiology Meeting in Melbourne, Australia. This encore presentation included the REDUCE-IT mediation analysis report of the contribution of IPE and other biomarkers to major adverse cardiovascular events reduction.</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April 2024, we highlighted three data presentations showcasing the mechanistic activity of Eicosapentaenoic acid, or EPA, at the American College of Cardiology scientific session. These presentations advanced the understanding of how EPA and VASCEPA work to reduce CV events in at-risk patients.</w:t>
      </w:r>
    </w:p>
    <w:p>
      <w:pPr>
        <w:spacing w:after="0" w:line="68"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In the first three months of 2024, Amarin and global medical and scientific collaborators supported seven publications inclusive of accepted abstracts, posters, and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March 31, 2024, we had inventory of $329.5 million, of which 75% is inventory approved for use in North America. We continue to negotiate with our contract suppliers to align our supply arrangements with current and future global market demand.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quarters ended March 31, 2024 and 2023, our product revenue, net, included adjustment for co-pay mitigation rebates provided by us to commercially insured patients in the United States.</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17"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20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three months ended March 31, 2023, we incurred costs within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goods sold - restructuring inventory </w:t>
      </w:r>
      <w:r>
        <w:rPr>
          <w:rFonts w:ascii="Times New Roman" w:cs="Times New Roman" w:eastAsia="Times New Roman" w:hAnsi="Times New Roman"/>
          <w:sz w:val="18"/>
          <w:szCs w:val="18"/>
          <w:color w:val="auto"/>
        </w:rPr>
        <w:t>related to steps taken to amend supplier agreements to align supply arrangements with current and future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(none as of March 31, 2024).</w:t>
      </w:r>
    </w:p>
    <w:p>
      <w:pPr>
        <w:spacing w:after="0" w:line="21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2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income, net</w:t>
      </w:r>
      <w:r>
        <w:rPr>
          <w:rFonts w:ascii="Times New Roman" w:cs="Times New Roman" w:eastAsia="Times New Roman" w:hAnsi="Times New Roman"/>
          <w:sz w:val="18"/>
          <w:szCs w:val="18"/>
          <w:color w:val="auto"/>
        </w:rPr>
        <w:t>. Interest income, net, consists primarily of interest earned on our cash and cash equivalents, as well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and long-term investments. Other income, net, consists of foreign exchange losses and gains as well as sublease income.</w:t>
      </w:r>
    </w:p>
    <w:p>
      <w:pPr>
        <w:spacing w:after="0" w:line="18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2024 and 2023 are not more likely than not to be realized.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March 31, 2023</w:t>
      </w:r>
    </w:p>
    <w:p>
      <w:pPr>
        <w:spacing w:after="0" w:line="254"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Total revenue, net. </w:t>
      </w:r>
      <w:r>
        <w:rPr>
          <w:rFonts w:ascii="Times New Roman" w:cs="Times New Roman" w:eastAsia="Times New Roman" w:hAnsi="Times New Roman"/>
          <w:sz w:val="17"/>
          <w:szCs w:val="17"/>
          <w:color w:val="auto"/>
        </w:rPr>
        <w:t>We recorded total revenue, net, of $56.5 million and $86.0 million during the three months ended March 31, 2024 and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a decrease of $29.5 million, or 34%. Total revenue, net, consists primarily of revenue from the sale of VASCEPA in the United States. In addition to the United States we also sell VASCEPA by prescription in certain countries in Europe as well as certain countries outside of the United States and Europe, such as China and Canada, through collaborations with third-party companies. As further discussed below, the aforementioned decrease consists of a $34.2 million decrease in U.S. net product revenue offset in part by a $4.8 million increase in net product revenue outside of the United States.</w:t>
      </w:r>
    </w:p>
    <w:p>
      <w:pPr>
        <w:spacing w:after="0" w:line="195" w:lineRule="exact"/>
        <w:rPr>
          <w:sz w:val="20"/>
          <w:szCs w:val="20"/>
          <w:color w:val="auto"/>
        </w:rPr>
      </w:pPr>
    </w:p>
    <w:p>
      <w:pPr>
        <w:ind w:right="360" w:firstLine="53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Product revenue, net. </w:t>
      </w:r>
      <w:r>
        <w:rPr>
          <w:rFonts w:ascii="Times New Roman" w:cs="Times New Roman" w:eastAsia="Times New Roman" w:hAnsi="Times New Roman"/>
          <w:sz w:val="17"/>
          <w:szCs w:val="17"/>
          <w:color w:val="auto"/>
        </w:rPr>
        <w:t>We recorded product revenue, net, of $55.2 million and $84.7 million during the three months ended March 31, 2024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respectively, a decrease of $29.5 million, or 35%. This decrease was due primarily to a 41% decrease in VASCEPA sales in the United States.</w:t>
      </w:r>
    </w:p>
    <w:p>
      <w:pPr>
        <w:spacing w:after="0" w:line="29" w:lineRule="exact"/>
        <w:rPr>
          <w:sz w:val="20"/>
          <w:szCs w:val="20"/>
          <w:color w:val="auto"/>
        </w:rPr>
      </w:pPr>
    </w:p>
    <w:p>
      <w:pPr>
        <w:jc w:val="both"/>
        <w:ind w:right="180" w:firstLine="539"/>
        <w:spacing w:after="0" w:line="266" w:lineRule="auto"/>
        <w:rPr>
          <w:sz w:val="20"/>
          <w:szCs w:val="20"/>
          <w:color w:val="auto"/>
        </w:rPr>
      </w:pPr>
      <w:r>
        <w:rPr>
          <w:rFonts w:ascii="Times New Roman" w:cs="Times New Roman" w:eastAsia="Times New Roman" w:hAnsi="Times New Roman"/>
          <w:sz w:val="18"/>
          <w:szCs w:val="18"/>
          <w:color w:val="auto"/>
        </w:rPr>
        <w:t>We recorded U.S. product revenue, net, of $48.1 million and $82.3 million during the three months ended March 31, 2024 and 2023, respectively. This decrease was due to a decline in net selling price as a result of the continued impact from generic competition in the market and changes in business mix.</w:t>
      </w:r>
    </w:p>
    <w:p>
      <w:pPr>
        <w:spacing w:after="0" w:line="68" w:lineRule="exact"/>
        <w:rPr>
          <w:sz w:val="20"/>
          <w:szCs w:val="20"/>
          <w:color w:val="auto"/>
        </w:rPr>
      </w:pPr>
    </w:p>
    <w:p>
      <w:pPr>
        <w:ind w:right="10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decreased for the three months ended March 31, 2024 by 4% as compared to the three months ended March 31, 2023. Our share of the icosapent ethyl market has remained relatively consistent at approximately 56% in the three months ended March 31, 2024 and approximately 57% in the three months ended March 31, 2023. Additionally, based on prescription levels reported by Symphony Health, VASCEPA-branded prescriptions decreased by 5% in the three months ended March 31, 2024 compared to the three months ended March 31, 2023.</w:t>
      </w:r>
    </w:p>
    <w:p>
      <w:pPr>
        <w:spacing w:after="0" w:line="75" w:lineRule="exact"/>
        <w:rPr>
          <w:sz w:val="20"/>
          <w:szCs w:val="20"/>
          <w:color w:val="auto"/>
        </w:rPr>
      </w:pPr>
    </w:p>
    <w:p>
      <w:pPr>
        <w:ind w:right="900" w:firstLine="539"/>
        <w:spacing w:after="0" w:line="282" w:lineRule="auto"/>
        <w:rPr>
          <w:sz w:val="20"/>
          <w:szCs w:val="20"/>
          <w:color w:val="auto"/>
        </w:rPr>
      </w:pPr>
      <w:r>
        <w:rPr>
          <w:rFonts w:ascii="Times New Roman" w:cs="Times New Roman" w:eastAsia="Times New Roman" w:hAnsi="Times New Roman"/>
          <w:sz w:val="18"/>
          <w:szCs w:val="18"/>
          <w:color w:val="auto"/>
        </w:rPr>
        <w:t>In Europe, we recorded product revenue, net, of $1.9 million and $0.4 million during the three months ended March 31, 2024 and 2023, respectively.</w:t>
      </w:r>
    </w:p>
    <w:p>
      <w:pPr>
        <w:spacing w:after="0" w:line="54" w:lineRule="exact"/>
        <w:rPr>
          <w:sz w:val="20"/>
          <w:szCs w:val="20"/>
          <w:color w:val="auto"/>
        </w:rPr>
      </w:pPr>
    </w:p>
    <w:p>
      <w:pPr>
        <w:ind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we recorded $5.2 million of product revenue, net, from our collaboration partners outside of the United States and Europe compared to $1.9 million during the three months ended March 31, 2023.</w:t>
      </w:r>
    </w:p>
    <w:p>
      <w:pPr>
        <w:spacing w:after="0" w:line="54" w:lineRule="exact"/>
        <w:rPr>
          <w:sz w:val="20"/>
          <w:szCs w:val="20"/>
          <w:color w:val="auto"/>
        </w:rPr>
      </w:pPr>
    </w:p>
    <w:p>
      <w:pPr>
        <w:ind w:right="28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2024, we will continue to focus on extending the lifecycle of VASCEPA in the U.S., obtaining pricing reimbursement and launching commercial operations in all remaining European markets as well as supporting our partners to advance access and growing commercial operations throughout the rest of the world.</w:t>
      </w:r>
    </w:p>
    <w:p>
      <w:pPr>
        <w:spacing w:after="0" w:line="20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March 31, 2024 and 2023 was $1.4 million and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$0.1 million, or 3%. Licensing and royalty revenue has remained consistent primarily due an increase in recognition of deferred milestone and upfront payments relating to Edding as well as royalties related to the commercial launch in China, offset by the recognition of CSL upfront payment and recognition of previously achieved milestone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0" w:name="page31"/>
    <w:bookmarkEnd w:id="30"/>
    <w:p>
      <w:pPr>
        <w:ind w:right="440"/>
        <w:spacing w:after="0" w:line="282" w:lineRule="auto"/>
        <w:rPr>
          <w:sz w:val="20"/>
          <w:szCs w:val="20"/>
          <w:color w:val="auto"/>
        </w:rPr>
      </w:pPr>
      <w:r>
        <w:rPr>
          <w:rFonts w:ascii="Times New Roman" w:cs="Times New Roman" w:eastAsia="Times New Roman" w:hAnsi="Times New Roman"/>
          <w:sz w:val="18"/>
          <w:szCs w:val="18"/>
          <w:color w:val="auto"/>
        </w:rPr>
        <w:t>payments from HLS in the prior year. Licensing and royalty revenue recognized in the current period relates to the recognition of amounts received in connection with the following VASCEPA licensing agreements:</w:t>
      </w:r>
    </w:p>
    <w:p>
      <w:pPr>
        <w:spacing w:after="0" w:line="54" w:lineRule="exact"/>
        <w:rPr>
          <w:sz w:val="20"/>
          <w:szCs w:val="20"/>
          <w:color w:val="auto"/>
        </w:rPr>
      </w:pPr>
    </w:p>
    <w:p>
      <w:pPr>
        <w:ind w:left="900" w:right="34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 $1.0 million milestone payment achieved in March 2016 following submission of the clinical trial application to the Chinese regulatory authority, a $5.0 million milestone payment achieved in June 2023 following NMPA approval of VASCEPA under the MARINE indication and a $3.0 million milestone payment achieved in October 2023 following a regulatory submission to the NMPA for VASCEPA under the REDUCE-IT indication.</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Licensing and royalty revenue recognized in the prior period relates to the recognition of the above as well as below amounts received in connection with the following VASCEPA licensing agreements:</w:t>
      </w:r>
    </w:p>
    <w:p>
      <w:pPr>
        <w:spacing w:after="0" w:line="54" w:lineRule="exact"/>
        <w:rPr>
          <w:sz w:val="20"/>
          <w:szCs w:val="20"/>
          <w:color w:val="auto"/>
        </w:rPr>
      </w:pPr>
    </w:p>
    <w:p>
      <w:pPr>
        <w:ind w:left="900" w:right="420" w:hanging="383"/>
        <w:spacing w:after="0" w:line="258"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 All of which was fully recognized in 2023.</w:t>
      </w:r>
    </w:p>
    <w:p>
      <w:pPr>
        <w:spacing w:after="0" w:line="7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a $0.5 million upfront payment which was received upon closing of the agreement in January 2023.</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upfront and milestone payments from Edding is being recognized over the estimated period in which we are required to provide regulatory and development support pursuant to the agreement. The upfront and milestone payments from HLS were being recognized over the estimated period in which we were required to provide regulatory and development support pursuant to the agreement which was satisfied in 2023. The upfront payments from CSL was recognized in January 2023 upon closing of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March 31, 2024 and 2023 was $24.6 million and $38.0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$13.4 million, or 35%.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March 31, 2024 and 2023, we have taken steps to amend supplier agreements to align supply arrangements with current and future demand resulting in charges of nil and $12.3 million, respectively, which were recorded as cost of goods sold - restructuring inventory. During the three months ended March 31, 2024 and 2023, approximately $1.5 million and $2.3 million, respectively, of inventory was expensed through cost of goods sold due to both product dating and non-product dating unsellable inventory.</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three months ended March 31, 2024 and 2023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each of the three months ended March 31, 2024 and 2023 was 55%. Excluding the restructuring inventory charges, gross margin was 70% for the three months ended March 31, 2023. The decrease is due to a decline in net selling price.</w:t>
      </w:r>
    </w:p>
    <w:p>
      <w:pPr>
        <w:spacing w:after="0" w:line="187"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March 31, 2024 and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$39.9 million and $59.6 million, respectively, a decrease of $19.7 million, or 33%. Selling, general and administrative expenses for the three months ended March 31, 2024 and 2023 are summarized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6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9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9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-959485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-959485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jc w:val="both"/>
        <w:ind w:left="480" w:right="60" w:hanging="383"/>
        <w:spacing w:after="0" w:line="266"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9512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51230" cy="8255"/>
                    </a:xfrm>
                    <a:prstGeom prst="rect">
                      <a:avLst/>
                    </a:prstGeom>
                    <a:noFill/>
                  </pic:spPr>
                </pic:pic>
              </a:graphicData>
            </a:graphic>
          </wp:anchor>
        </w:drawing>
        <w:t>Selling expense for the three months ended March 31, 2024 and 2023 was $20.4 million and $32.2 million, respectively, a decrease of $11.8 million, or 37%. This decrease is primarily due to a reduction in costs associated with our ORP resulting in decreased promotional initiatives, reduced travel and elimination of our U.S. sales force.</w:t>
      </w:r>
    </w:p>
    <w:p>
      <w:pPr>
        <w:ind w:left="480" w:right="80" w:hanging="383"/>
        <w:spacing w:after="0" w:line="26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March 31, 2024 and 2023 was $15.3 million and $23.1 million, respectively, a decrease of $7.8 million, or 34%. This decrease is primarily due to a decrease in employee-related costs as a result of the reduction in force from the ORP as well as advisory fees incurred in 2023 related to the previously held special shareholder's meeting.</w:t>
      </w:r>
    </w:p>
    <w:p>
      <w:pPr>
        <w:spacing w:after="0" w:line="2" w:lineRule="exact"/>
        <w:rPr>
          <w:rFonts w:ascii="Times New Roman" w:cs="Times New Roman" w:eastAsia="Times New Roman" w:hAnsi="Times New Roman"/>
          <w:sz w:val="18"/>
          <w:szCs w:val="18"/>
          <w:color w:val="auto"/>
        </w:rPr>
      </w:pPr>
    </w:p>
    <w:p>
      <w:pPr>
        <w:ind w:left="480" w:hanging="383"/>
        <w:spacing w:after="0" w:line="282"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internal personnel supporting our selling, general and administrative functions.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part of our ORP announced in July 2023, we have redesigned our commercial infrastructure in Europe to better align with pricing and reimbursement status, commercial progress to date, as well as streamline certain cross-geographic functions. In addition, we are continuing to advance our pricing and reimbursement activities to drive access in remaining geographies, as well as advancing regulatory filings internationally and focusing on maximizing U.S. cash flow through a streamlined model. We will continue to evaluate all of our spending commitments and priorities based on our refocused strategic priorities and restructuring plan.</w:t>
      </w:r>
    </w:p>
    <w:p>
      <w:pPr>
        <w:spacing w:after="0" w:line="208"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March 31, 2024 and 2023 was $5.6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 million, respectively, a decrease of $0.1 million, or 1%. Research and development expenses for the three months ended March 31, 2024 and 2023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618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Non-clincial research activities </w:t>
            </w:r>
            <w:r>
              <w:rPr>
                <w:rFonts w:ascii="Times New Roman" w:cs="Times New Roman" w:eastAsia="Times New Roman" w:hAnsi="Times New Roman"/>
                <w:sz w:val="24"/>
                <w:szCs w:val="24"/>
                <w:color w:val="auto"/>
                <w:vertAlign w:val="superscript"/>
              </w:rPr>
              <w:t>(4)</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Pr>
          <w:p>
            <w:pPr>
              <w:spacing w:after="0"/>
              <w:rPr>
                <w:sz w:val="21"/>
                <w:szCs w:val="21"/>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Pr>
          <w:p>
            <w:pPr>
              <w:spacing w:after="0"/>
              <w:rPr>
                <w:sz w:val="21"/>
                <w:szCs w:val="21"/>
                <w:color w:val="auto"/>
              </w:rPr>
            </w:pPr>
          </w:p>
        </w:tc>
      </w:tr>
      <w:tr>
        <w:trPr>
          <w:trHeight w:val="272"/>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right="8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providing data to be published in medical journals. The increase is as a result of additional conferences and publications in the U.S. and Europe to support the expansion and growth in the European markets.</w:t>
      </w:r>
    </w:p>
    <w:p>
      <w:pPr>
        <w:ind w:left="520" w:right="20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and subsequently deprioritized during 2023.</w:t>
      </w:r>
    </w:p>
    <w:p>
      <w:pPr>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 The increase is primarily due to the continued expansion within Europe and other countries throughout the world.</w:t>
      </w: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49"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and regulatory functions.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32" w:name="page33"/>
    <w:bookmarkEnd w:id="32"/>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87"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March 31, 2024 and 2023 was $3.4 million and $2.2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$1.2 million, or 52%. Interest income, net, represents income earned on cash and investment balances. The increase is primarily due to higher interest rates in the current year period compared to the prior year period.</w:t>
      </w:r>
    </w:p>
    <w:p>
      <w:pPr>
        <w:spacing w:after="0" w:line="200" w:lineRule="exact"/>
        <w:rPr>
          <w:sz w:val="20"/>
          <w:szCs w:val="20"/>
          <w:color w:val="auto"/>
        </w:rPr>
      </w:pPr>
    </w:p>
    <w:p>
      <w:pPr>
        <w:jc w:val="both"/>
        <w:ind w:right="3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three months ended March 31, 2024 and 2023 was $1.5 million and $0.6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$0.9 million, or 148%. Other income, net, primarily consists of the gains and losses on foreign exchange transactions and sublease income related to our Bridgewater, NJ facility.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for the three months ended March 31, 2024 and 2023 was $1.3 million and $2.0 million, respectively.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compared to the prior year is primarily due to changes in the mix of jurisdictional income and in unrecognized tax benefits.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2024, our aggregate sources of liquidity include cash and cash equivalents and restricted cash of $214.5 million and short-term investments of $94.2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r>
      <w:tr>
        <w:trPr>
          <w:trHeight w:val="247"/>
        </w:trPr>
        <w:tc>
          <w:tcPr>
            <w:tcW w:w="6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(19.6 )</w:t>
            </w:r>
          </w:p>
        </w:tc>
      </w:tr>
      <w:tr>
        <w:trPr>
          <w:trHeight w:val="23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(26.2 )</w:t>
            </w: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increased during the three months ended March 31, 2024 as compared to the same period in 2023. This is primarily as a result of inventory purchases and restructuring payments made in 2024 which did not occur in the same period in 2023.</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2024 increased due primarily to proceeds from the maturity of $62.0 million in investment grade interest bearing instruments, partially offset by $33.3 million in purchases of the investment grade interest bearing instruments as compared to the same period in 2023 where proceeds from the maturity of investment grade interest bearing instruments was $32.9 million, partially offset by $52.5 million in purchases of investment grade interest bearing instruments.</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2024 was $1.4 million as compared net cash provided by financing activities of $0.4 million during the same period in 2023. The change was primarily a result of a decrease in stock option exercises in 2024 due to stock option exercises by former executives in 2023.</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we had net accounts receivable of $115.8 million, current inventory of $255.3 million and long-term inventory of $74.2 million. We have incurred annual operating losses since our inception and, as a result, we had an accumulated deficit of $1.6 billion as of March 31, 2024. We anticipate that quarterly net cash outflows in future periods will continue to be variable as a result of the timing of certain items, including our purchases of API, the generic competition in the United States and pricing and reimbursement of VAZKEPA in Europe.</w:t>
      </w:r>
    </w:p>
    <w:p>
      <w:pPr>
        <w:spacing w:after="0" w:line="7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July 2023, we announced that we were implementing the ORP resulting in the elimination and consolidation of certain roles across the organization, both in the United States and abroad, representing a reduction of our total employee base by approximately 30%. In the U.S., all sales force positions were eliminated, with the managed care and trade organization continuing to support U.S. commercial efforts, and 30% of non-sales positions were eliminated, while in Europe we have redesigned our commercial infrastructure to better align with pricing and reimbursement status, commercial progress to date, as well as streamlining certain</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3" w:name="page34"/>
    <w:bookmarkEnd w:id="33"/>
    <w:p>
      <w:pPr>
        <w:ind w:right="260"/>
        <w:spacing w:after="0" w:line="282" w:lineRule="auto"/>
        <w:rPr>
          <w:sz w:val="20"/>
          <w:szCs w:val="20"/>
          <w:color w:val="auto"/>
        </w:rPr>
      </w:pPr>
      <w:r>
        <w:rPr>
          <w:rFonts w:ascii="Times New Roman" w:cs="Times New Roman" w:eastAsia="Times New Roman" w:hAnsi="Times New Roman"/>
          <w:sz w:val="18"/>
          <w:szCs w:val="18"/>
          <w:color w:val="auto"/>
        </w:rPr>
        <w:t>cross-geographic functions and better leveraging learnings across countries. We expect these actions will reduce operating costs by approximately $40.0 million annually.</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We received shareholder approval of the share repurchase plan in April 2024. The implementation will also require UK High Court approval, as required under UK company law.</w:t>
      </w:r>
    </w:p>
    <w:p>
      <w:pPr>
        <w:spacing w:after="0" w:line="68" w:lineRule="exact"/>
        <w:rPr>
          <w:sz w:val="20"/>
          <w:szCs w:val="20"/>
          <w:color w:val="auto"/>
        </w:rPr>
      </w:pPr>
    </w:p>
    <w:p>
      <w:pPr>
        <w:ind w:right="40" w:firstLine="599"/>
        <w:spacing w:after="0" w:line="255" w:lineRule="auto"/>
        <w:rPr>
          <w:sz w:val="20"/>
          <w:szCs w:val="20"/>
          <w:color w:val="auto"/>
        </w:rPr>
      </w:pPr>
      <w:r>
        <w:rPr>
          <w:rFonts w:ascii="Times New Roman" w:cs="Times New Roman" w:eastAsia="Times New Roman" w:hAnsi="Times New Roman"/>
          <w:sz w:val="18"/>
          <w:szCs w:val="18"/>
          <w:color w:val="auto"/>
        </w:rPr>
        <w:t>As of March 31, 2024, we had cash and cash equivalents of $213.9 million and short-term investments of $94.2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for at least one year from the issuance date of our unaudited condensed consolidated financial statements included elsewhere in this Quarterly Report and are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March 31, 2024. Based on such evaluation, our principal executive officer and principal financial officer have concluded that as of March 31, 2024,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March 31, 2024,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Information regarding reportable legal proceedings is contained in “Item 3. Legal Proceedings” of our Annual Report. Refer to Note 5 – Commitments and Contingencies in this Quarterly Report for any legal proceedings that became reportable during the three months ended March 31, 2024, and updates to any descriptions of previously reported legal proceedings in which there have been material developments during such period. The discussion of legal proceedings included within </w:t>
      </w:r>
      <w:r>
        <w:rPr>
          <w:rFonts w:ascii="Times New Roman" w:cs="Times New Roman" w:eastAsia="Times New Roman" w:hAnsi="Times New Roman"/>
          <w:sz w:val="18"/>
          <w:szCs w:val="18"/>
          <w:i w:val="1"/>
          <w:iCs w:val="1"/>
          <w:color w:val="auto"/>
        </w:rPr>
        <w:t>Note 5 – Commitments and Contingencies</w:t>
      </w:r>
      <w:r>
        <w:rPr>
          <w:rFonts w:ascii="Times New Roman" w:cs="Times New Roman" w:eastAsia="Times New Roman" w:hAnsi="Times New Roman"/>
          <w:sz w:val="18"/>
          <w:szCs w:val="18"/>
          <w:color w:val="auto"/>
        </w:rPr>
        <w:t xml:space="preserve"> is incorporated into this Item 1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74"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denoted with an “*”, these risk factors have not been materially updated from our Annual Report on 10-K for the fiscal year ended December 31, 2023 filed with the SEC on February 29, 2024, or our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61" w:lineRule="exact"/>
        <w:rPr>
          <w:sz w:val="20"/>
          <w:szCs w:val="20"/>
          <w:color w:val="auto"/>
        </w:rPr>
      </w:pPr>
    </w:p>
    <w:p>
      <w:pPr>
        <w:ind w:left="900" w:right="20" w:hanging="383"/>
        <w:spacing w:after="0" w:line="23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launch and commercialization in Europe and other major markets;</w:t>
      </w:r>
    </w:p>
    <w:p>
      <w:pPr>
        <w:spacing w:after="0" w:line="91"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compete with and may face increasing competition from generic drug companies and our revenues and results could continue to be materially and adversely affected;</w:t>
      </w:r>
    </w:p>
    <w:p>
      <w:pPr>
        <w:spacing w:after="0" w:line="53" w:lineRule="exact"/>
        <w:rPr>
          <w:rFonts w:ascii="Times New Roman" w:cs="Times New Roman" w:eastAsia="Times New Roman" w:hAnsi="Times New Roman"/>
          <w:sz w:val="18"/>
          <w:szCs w:val="18"/>
          <w:color w:val="auto"/>
        </w:rPr>
      </w:pPr>
    </w:p>
    <w:p>
      <w:pPr>
        <w:jc w:val="both"/>
        <w:ind w:left="900" w:right="3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United States;</w:t>
      </w:r>
    </w:p>
    <w:p>
      <w:pPr>
        <w:spacing w:after="0" w:line="6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6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53" w:lineRule="exact"/>
        <w:rPr>
          <w:rFonts w:ascii="Times New Roman" w:cs="Times New Roman" w:eastAsia="Times New Roman" w:hAnsi="Times New Roman"/>
          <w:sz w:val="18"/>
          <w:szCs w:val="18"/>
          <w:color w:val="auto"/>
        </w:rPr>
      </w:pPr>
    </w:p>
    <w:p>
      <w:pPr>
        <w:ind w:left="900" w:right="160" w:hanging="383"/>
        <w:spacing w:after="0" w:line="312"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Organizational Restructuring Program, or ORP, effected in July 2023 and any similar efforts we may undertake in the future, may not be successful in mitigating risks and challenges associated with our U.S. business and establishing a more significant international footprint;</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supply and commercialization, including promotional activities, of VASCEPA is subject to regulatory scrutiny;</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5" w:name="page36"/>
    <w:bookmarkEnd w:id="35"/>
    <w:p>
      <w:pPr>
        <w:ind w:left="900" w:right="40" w:hanging="383"/>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1"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rFonts w:ascii="Times New Roman" w:cs="Times New Roman" w:eastAsia="Times New Roman" w:hAnsi="Times New Roman"/>
          <w:sz w:val="18"/>
          <w:szCs w:val="18"/>
          <w:color w:val="auto"/>
        </w:rPr>
      </w:pPr>
    </w:p>
    <w:p>
      <w:pPr>
        <w:jc w:val="both"/>
        <w:ind w:left="900" w:right="380" w:hanging="383"/>
        <w:spacing w:after="0" w:line="312"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31" w:lineRule="exact"/>
        <w:rPr>
          <w:rFonts w:ascii="Times New Roman" w:cs="Times New Roman" w:eastAsia="Times New Roman" w:hAnsi="Times New Roman"/>
          <w:sz w:val="17"/>
          <w:szCs w:val="17"/>
          <w:color w:val="auto"/>
        </w:rPr>
      </w:pPr>
    </w:p>
    <w:p>
      <w:pPr>
        <w:ind w:left="900" w:right="30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return capital to our shareholders and increase shareholder value, including our share repurchase program (which is subject to shareholder and UK court approval), may not be implemented in a timely manner or at all, or may not have the expected results;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 longer able to meet the listing requirements of the NASDAQ Stock Market, our stock may be delisted.</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52"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or the ANDA litigation.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product development before we received marketing approval for VAZKEPA in March 2021 from the European Commission, or the EC.</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10"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compete with and may face increasing competition from generic drug companies and our revenues and results of operations could continue to be materially and adversely affected.</w:t>
      </w:r>
    </w:p>
    <w:p>
      <w:pPr>
        <w:spacing w:after="0" w:line="51"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Following the ANDA litigation rulings against the Company, generic versions of VASCEPA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versions of VASCEPA could continue to have a material and adverse impact on our revenues and results of operations in the United States.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by pharmacies across the U.S. to fill prescriptions for any use of the drug, subject to state substitution laws. Although, we intend to vigorously defend our intellectual property rights related to VASCEPA, there can be no assurance that we will be successful in preventing use of generic versions of VASCEPA in indications for which they have not been approved by the U.S. FDA, even if such use is determined to infringe certain of our patent claims.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Given the changing dynamic in the U.S. market at the time, we initiated cost and organizational restructuring plans which resulted in eliminating our U.S. sales force, while maintaining our managed care and trade organization to support our U.S. commercial efforts, and our overall headcount was reduced by 30% as part of our ORP. Although these initiatives are expected to result in an improved expense structure, such efforts could impact employee morale and make hiring and retaining talented personnel more challenging, may not result in all of the cost savings or other benefits we anticipate, and are costly to implement. Furthermore, such efforts may reduce our ability to expand use of VASCEPA.</w:t>
      </w:r>
    </w:p>
    <w:p>
      <w:pPr>
        <w:spacing w:after="0" w:line="206" w:lineRule="exact"/>
        <w:rPr>
          <w:sz w:val="20"/>
          <w:szCs w:val="20"/>
          <w:color w:val="auto"/>
        </w:rPr>
      </w:pPr>
    </w:p>
    <w:p>
      <w:pPr>
        <w:ind w:right="4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United States.</w:t>
      </w:r>
    </w:p>
    <w:p>
      <w:pPr>
        <w:spacing w:after="0" w:line="2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particularly in light of the level of competition, including from generic products, in the United States, and as part of our ORP, we redesigned our commercial infrastructure in Europe. This process is conducted on a country-by-country basis and is time consuming and complex, and, even though the EC approved the marketing authorization for VAZKEPA in March 2021, and we have received positive national pricing and reimbursement decisions in various countries, there is no guarantee that we will be able to negotiate and obtain further reimbursement and pricing terms on favorable terms, or at all, in the other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Canada, the Middle East, Australia, New Zealand, Greater China, South Korea and many markets in Southeast Asia, and Israel. However, we cannot make any guarantees as to the success of these efforts or that our beliefs about the value potential are accurate, or that we will be able to rely upon these third parties; if commercialization plans for VASCEPA do not meet expectations in major markets such as Europe, our business and prospects could be materially and adversely affected.</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and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7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these negotiations are not always successful. For example, after the conclusion of negotiations with the National Association of Statutory Health Insurance Funds, a viable agreement on the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80"/>
        <w:spacing w:after="0" w:line="266" w:lineRule="auto"/>
        <w:rPr>
          <w:sz w:val="20"/>
          <w:szCs w:val="20"/>
          <w:color w:val="auto"/>
        </w:rPr>
      </w:pPr>
      <w:r>
        <w:rPr>
          <w:rFonts w:ascii="Times New Roman" w:cs="Times New Roman" w:eastAsia="Times New Roman" w:hAnsi="Times New Roman"/>
          <w:sz w:val="18"/>
          <w:szCs w:val="18"/>
          <w:color w:val="auto"/>
        </w:rPr>
        <w:t>reimbursement price of VAZKEPA in Germany could not be reached. As a result of the negotiation outcome, we discontinued our German operations as of September 1, 2022. In November 2022, the Arbitration Board process concluded without an agreement and although we plan to resubmit a pricing and reimbursement dossier with new data in Germany, we may be unable to resume commercial operations in Germany.</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in countries outside the U.S., securing product reimbursement is a requisite to commercial launch. To obtain reimbursement or pricing approval in some countries, we may be required to conduct a pharmacoeconomic study that compares the 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or our partners, may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1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be unsuccessful in expanding our global footprint. We are launching VAZKEPA on our own in the most commercially significant markets in Europe, and have redesigned our commercial infrastructure in Europe. The commercial launch of a new pharmaceutical product is a complex and resource heavy undertaking for a company to manage and may be impacted by decisions by and interactions with local regulators. We have no prior experience as a company operating a commercial-stage pharmaceutical business in Europe.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and senior management, particularly in light of our recent reductions in force, including our ORP announced in July 2023, and turnover on the management team;</w:t>
      </w:r>
    </w:p>
    <w:p>
      <w:pPr>
        <w:spacing w:after="0" w:line="53"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access to or persuade adequate numbers of physicians to prescribe or patients to use VASCEPA;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overestimating the addressable market for VASCEPA;</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outside of the United States.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85" w:lineRule="exact"/>
        <w:rPr>
          <w:sz w:val="20"/>
          <w:szCs w:val="20"/>
          <w:color w:val="auto"/>
        </w:rPr>
      </w:pPr>
    </w:p>
    <w:p>
      <w:pPr>
        <w:ind w:right="8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generics. Refer to “</w:t>
      </w:r>
      <w:r>
        <w:rPr>
          <w:rFonts w:ascii="Times New Roman" w:cs="Times New Roman" w:eastAsia="Times New Roman" w:hAnsi="Times New Roman"/>
          <w:sz w:val="18"/>
          <w:szCs w:val="18"/>
          <w:i w:val="1"/>
          <w:iCs w:val="1"/>
          <w:color w:val="auto"/>
        </w:rPr>
        <w:t>Item 1. Business - Government Regulation – Pharmaceutical Pricing and Reimbursement</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products throughout the pharmaceutical industry, including VASCEPA.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10"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of the United States have affected and will continue to affect access to and sales of our products.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The foreign regimes are varied and complex, and this might hinder our effectiveness in establishing satisfactory pricing, coverage and reimbursement levels in a timely manner or at all.</w:t>
      </w:r>
    </w:p>
    <w:p>
      <w:pPr>
        <w:spacing w:after="0" w:line="22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51"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increase or maintain market acceptance by physicians, patients, healthcare payors and others in the medical community, especially in light of generic competition. If VASCEPA does not achieve an adequate level of acceptance, we</w:t>
      </w: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560"/>
        <w:spacing w:after="0" w:line="282" w:lineRule="auto"/>
        <w:rPr>
          <w:sz w:val="20"/>
          <w:szCs w:val="20"/>
          <w:color w:val="auto"/>
        </w:rPr>
      </w:pPr>
      <w:r>
        <w:rPr>
          <w:rFonts w:ascii="Times New Roman" w:cs="Times New Roman" w:eastAsia="Times New Roman" w:hAnsi="Times New Roman"/>
          <w:sz w:val="18"/>
          <w:szCs w:val="18"/>
          <w:color w:val="auto"/>
        </w:rPr>
        <w:t>may not generate product revenues sufficient to become profitable, or, even if we do achieve profitability, we may not be able to generate consistent profitability. The degree of market acceptance of VASCEPA will depend on a number of factors, including:</w:t>
      </w:r>
    </w:p>
    <w:p>
      <w:pPr>
        <w:spacing w:after="0" w:line="54"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adjudicated, settled and pending patent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warnings in VASCEPA's approved labeling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data supporting our REDUCE-IT indication over time;</w:t>
      </w:r>
    </w:p>
    <w:p>
      <w:pPr>
        <w:spacing w:after="0" w:line="117" w:lineRule="exact"/>
        <w:rPr>
          <w:rFonts w:ascii="Times New Roman" w:cs="Times New Roman" w:eastAsia="Times New Roman" w:hAnsi="Times New Roman"/>
          <w:sz w:val="18"/>
          <w:szCs w:val="18"/>
          <w:color w:val="auto"/>
        </w:rPr>
      </w:pPr>
    </w:p>
    <w:p>
      <w:pPr>
        <w:ind w:left="900" w:right="1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our clinical data supporting our REDUCE-IT indication by regulatory authorities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our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U.S. FDA-approved labeling and the related perception thereof;</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1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international conflicts and political unrest, all of which could negatively impact our supply chain or inhibit our ability to promote VASCEPA regionally and which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 above factors could have a negative impact on our ability to successfully commercialize VASCEPA, which would in turn have a negative impact on our financial condition.</w:t>
      </w:r>
    </w:p>
    <w:p>
      <w:pPr>
        <w:spacing w:after="0" w:line="18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900" w:right="48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03"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new clinical data or analysis of existing data from clinical trials involving VASCEPA and similar moderate-to-high doses of eicosapentaenoic acid or icosapent ethyl could adversely impact public perception of VASCEPA’s clinical profile and the commercial and regulatory prospects of VASCEPA.</w:t>
      </w:r>
    </w:p>
    <w:p>
      <w:pPr>
        <w:spacing w:after="0" w:line="6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Analysis of data from trials of moderate-to-high doses of VASCEPA and icosapent ethyl, or a similar eicosapentaenoic acid product, could render new or adverse information on the effects of VASCEPA and its commercial and regulatory prospects.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were consistent with the evidence from the REDUCE-IT study.</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China’s National Medical Products Administration, or NMPA, approved VASCEPA as an adjunct to diet to reduce the levels of triglyceride in adult patients suffering from severe hypertriglyceridemia (≥500mg/dL) and in October 2023 Edding submitted a regulatory filing to the NMPA which, if approved, would secure National Reimbursement Drug Listing for VASCEPA in Mainland China under the REDUCE-IT indication. Even though the results from these trials were positive, additional clinical development efforts may be necessary in these markets to demonstrate the effectiveness of VASCEPA, which may be costly to pursue, or may not produce the desired or expected results.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 outcomes of any new studies involving VASCEPA and icosapent ethyl, or further analysis of existing trial data,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03"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ORP effected in July 2023, and any similar efforts we may undertake in the future, may not be successful in mitigating risks and challenges associated with our U.S. business and establishing a more significant international footprint.</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United States, including following our ORP announced in July 2023 which eliminated all remaining sales force positions in the United States, with the managed care and trade organization remaining to support U.S. commercial efforts, and approximately 30% of non-sales positions, our anticipated revenues or our expenses could be materially adversely affected, and we may not maintain profitability in the United States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supply and commercialization, including promotional activities, of VASCEPA is subject to regulatory scrutiny.</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False Claims Act, or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8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For example, we were recently the subject of two civil investigative demands, or CIDs, from the U.S. Federal Trade Commission and a subpoena from the New York Attorney General, or the Investigations. Although we are cooperating with the government and completed document production in mid-2023, we cannot predict when these investigations will be resolved, the outcome of the Investigations or their potential impact on our business.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or as a result of the findings of the Investigations,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10"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may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companies such as Hikma, Dr. Reddy's, Apotex and Teva all of which have greater resources than us, and with the potential for further generic versions being launched possibly in the near term, it may not be viable for us to continue to invest in market education to grow the market and our ability to maintain current promotional efforts and attract favorable commercial terms 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2" w:name="page43"/>
    <w:bookmarkEnd w:id="42"/>
    <w:p>
      <w:pPr>
        <w:ind w:right="500"/>
        <w:spacing w:after="0" w:line="282" w:lineRule="auto"/>
        <w:rPr>
          <w:sz w:val="20"/>
          <w:szCs w:val="20"/>
          <w:color w:val="auto"/>
        </w:rPr>
      </w:pPr>
      <w:r>
        <w:rPr>
          <w:rFonts w:ascii="Times New Roman" w:cs="Times New Roman" w:eastAsia="Times New Roman" w:hAnsi="Times New Roman"/>
          <w:sz w:val="18"/>
          <w:szCs w:val="18"/>
          <w:color w:val="auto"/>
        </w:rPr>
        <w:t>several aspects of our business will likely be adversely affected as we face increased generic competition, or if we launch our own generic version of VASCEPA.</w:t>
      </w:r>
    </w:p>
    <w:p>
      <w:pPr>
        <w:spacing w:after="0" w:line="54"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8"/>
          <w:szCs w:val="18"/>
          <w:color w:val="auto"/>
        </w:rPr>
        <w:t>We also face considerable competition in the United States from branded products and generic versions of competing branded products and formulations, including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have multiple generic competing versions. We compete with these drugs in our U.S. FDA-approved indicated uses, even though such products do not have U.S. FDA approval to reduce CV risk on top of statin therapy.</w:t>
      </w:r>
    </w:p>
    <w:p>
      <w:pPr>
        <w:spacing w:after="0" w:line="9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our competitors, and potential competing drugs in development, in the United States and the rest of the world, see our discussion in "</w:t>
      </w:r>
      <w:r>
        <w:rPr>
          <w:rFonts w:ascii="Times New Roman" w:cs="Times New Roman" w:eastAsia="Times New Roman" w:hAnsi="Times New Roman"/>
          <w:sz w:val="18"/>
          <w:szCs w:val="18"/>
          <w:i w:val="1"/>
          <w:iCs w:val="1"/>
          <w:color w:val="auto"/>
        </w:rPr>
        <w:t>Item 1. Business - Competition"</w:t>
      </w:r>
      <w:r>
        <w:rPr>
          <w:rFonts w:ascii="Times New Roman" w:cs="Times New Roman" w:eastAsia="Times New Roman" w:hAnsi="Times New Roman"/>
          <w:sz w:val="18"/>
          <w:szCs w:val="18"/>
          <w:color w:val="auto"/>
        </w:rPr>
        <w:t xml:space="preserve"> in our Annual Report on Form 10-K for the fiscal year ended December 31, 2023.</w:t>
      </w:r>
    </w:p>
    <w:p>
      <w:pPr>
        <w:spacing w:after="0" w:line="54"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Consistent with the competitive landscape in the United States, our competitors outside of the United States include large, well-established and experienced pharmaceutical companies, specialty and generic pharmaceutical companies, marketing companies, and specialized cardiovascular treatment companies and we have limited experience as a company self-commercializing a product outside of the United States.</w:t>
      </w:r>
    </w:p>
    <w:p>
      <w:pPr>
        <w:spacing w:after="0" w:line="6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9"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could face patent litigation related to the patents filed in the Orange Book related to the REDUCE-IT study, particularly given that the three-year period of exclusivity under the Hatch-Waxman Amendments expired on December 13, 2022, which exclusivity would have precluded the U.S. FDA from approving a marketing application for an ANDA for a product candidate that the U.S. FDA viewed as having the same conditions of approval as VASCEPA.</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cannot predict the outcome of the pending lawsuits, any appeals, or any subsequently filed lawsuits or inter partes review.</w:t>
      </w:r>
    </w:p>
    <w:p>
      <w:pPr>
        <w:spacing w:after="0" w:line="11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are often used to fill a prescription for any intended use of the drug. If any approved ANDA filers are able to supply the product in significant commercial</w:t>
      </w: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quantities, generic companies could introduce generic versions of VASCEPA in the market, as Hikma, Dr. Reddy's, Apotex and Teva have done.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13"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this active pharmaceutical ingredient, or API, with our third-party suppliers, and to otherwise build our supply chain, improve our technical knowhow, establish manufacturing processes and obtain related regulatory approvals to help enable our suppliers to meet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 addition, in February 2023 and March 28, 2024, Hikma and Teva respectively, filed complaints against us in the United States District Court District of New Jersey (case nos. 23-cv-01016 and 24-cv-04341, respectively) making allegations consistent with the Dr. Reddy's complaint. Such litigation can be lengthy, costly and could materially affect and disrupt our business.</w:t>
      </w:r>
    </w:p>
    <w:p>
      <w:pPr>
        <w:spacing w:after="0" w:line="21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5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omega-3 fatty acid dietary supplements, which are subject to less stringent regulatory oversight.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research shows that consumption of EPA and DHA omega-3 fatty acids may reduce the risk of coronary heart disease. </w:t>
      </w:r>
      <w:r>
        <w:rPr>
          <w:rFonts w:ascii="Times New Roman" w:cs="Times New Roman" w:eastAsia="Times New Roman" w:hAnsi="Times New Roman"/>
          <w:sz w:val="18"/>
          <w:szCs w:val="18"/>
          <w:color w:val="auto"/>
        </w:rPr>
        <w:t>Such companies are not,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based on U.S. FDA enforcement activity, to make claims that suggest or imply treatment of cardiovascular disease.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dietary supplement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VASCEPA or VASCEPA’s market acceptance may be less than expected, which would have a negative impact on our revenues and results of operations.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U.S. FDA of counterfeit, diverted, stolen and intentionally adulterated products or other products that are otherwise unfit for distribution in the United States. In addition, under the Food and Drug Omnibus Reform Act of 2022, or FDORA, sponsors of approved drugs and biologics must provide six months’ notice to the U.S. FDA of any changes in marketing status, such as the withdrawal of a drug, and failure to do so could result in the U.S. FDA placing the product on a list of discontinued products, which would revoke the product’s ability to be marketed.</w:t>
      </w:r>
    </w:p>
    <w:p>
      <w:pPr>
        <w:spacing w:after="0" w:line="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over whom we have limited or no control.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8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jc w:val="both"/>
        <w:ind w:right="5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 For example, the Inflation Reduction Act, or IRA, recently was enacted in the United States in an effort to manage certain drug prices, which includes provisions such as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This could have an adverse impact on our future revenues. Refer to “</w:t>
      </w:r>
      <w:r>
        <w:rPr>
          <w:rFonts w:ascii="Times New Roman" w:cs="Times New Roman" w:eastAsia="Times New Roman" w:hAnsi="Times New Roman"/>
          <w:sz w:val="18"/>
          <w:szCs w:val="18"/>
          <w:i w:val="1"/>
          <w:iCs w:val="1"/>
          <w:color w:val="auto"/>
        </w:rPr>
        <w:t>Item 1. Business -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 Pricing and Reimbursement</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the Affordable Care Act, or ACA, and by other healthcare reforms that may be enacted or adopted in the future. In addition, increasing emphasis on managed care in the United States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84"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8"/>
          <w:szCs w:val="18"/>
          <w:color w:val="auto"/>
        </w:rPr>
        <w:t>These and similar regulatory dynamics, including the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30"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D.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6" w:name="page47"/>
    <w:bookmarkEnd w:id="46"/>
    <w:p>
      <w:pPr>
        <w:ind w:right="520"/>
        <w:spacing w:after="0" w:line="282" w:lineRule="auto"/>
        <w:rPr>
          <w:sz w:val="20"/>
          <w:szCs w:val="20"/>
          <w:color w:val="auto"/>
        </w:rPr>
      </w:pPr>
      <w:r>
        <w:rPr>
          <w:rFonts w:ascii="Times New Roman" w:cs="Times New Roman" w:eastAsia="Times New Roman" w:hAnsi="Times New Roman"/>
          <w:sz w:val="18"/>
          <w:szCs w:val="18"/>
          <w:color w:val="auto"/>
        </w:rPr>
        <w:t>rebate amount under the ACA, other legislation, or in regulation could affect our 340B ceiling price calculations and negatively impact our results of operations.</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D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7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D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6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9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uses, or drug classes.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140"/>
        <w:spacing w:after="0" w:line="261" w:lineRule="auto"/>
        <w:rPr>
          <w:sz w:val="20"/>
          <w:szCs w:val="20"/>
          <w:color w:val="auto"/>
        </w:rPr>
      </w:pPr>
      <w:r>
        <w:rPr>
          <w:rFonts w:ascii="Times New Roman" w:cs="Times New Roman" w:eastAsia="Times New Roman" w:hAnsi="Times New Roman"/>
          <w:sz w:val="18"/>
          <w:szCs w:val="18"/>
          <w:color w:val="auto"/>
        </w:rPr>
        <w:t>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Times New Roman" w:cs="Times New Roman" w:eastAsia="Times New Roman" w:hAnsi="Times New Roman"/>
          <w:sz w:val="18"/>
          <w:szCs w:val="18"/>
          <w:i w:val="1"/>
          <w:iCs w:val="1"/>
          <w:color w:val="auto"/>
        </w:rPr>
        <w:t>Item 1. Business - Current and Future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United States Healthcare Reform and Legislation</w:t>
      </w:r>
      <w:r>
        <w:rPr>
          <w:rFonts w:ascii="Times New Roman" w:cs="Times New Roman" w:eastAsia="Times New Roman" w:hAnsi="Times New Roman"/>
          <w:sz w:val="18"/>
          <w:szCs w:val="18"/>
          <w:color w:val="auto"/>
        </w:rPr>
        <w:t>" in our Annual Report on Form 10-K for the fiscal year ended December 31, 2023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details.</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6"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03" w:lineRule="exact"/>
        <w:rPr>
          <w:sz w:val="20"/>
          <w:szCs w:val="20"/>
          <w:color w:val="auto"/>
        </w:rPr>
      </w:pPr>
    </w:p>
    <w:p>
      <w:pPr>
        <w:ind w:left="520" w:right="60"/>
        <w:spacing w:after="0" w:line="3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European data collection is governed by restrictive regulations governing the use, processing and cross-border transfer of personal information. </w:t>
      </w:r>
      <w:r>
        <w:rPr>
          <w:rFonts w:ascii="Times New Roman" w:cs="Times New Roman" w:eastAsia="Times New Roman" w:hAnsi="Times New Roman"/>
          <w:sz w:val="17"/>
          <w:szCs w:val="17"/>
          <w:color w:val="auto"/>
        </w:rPr>
        <w:t>We are subject to European data protection regulations, where we collect and use personal data relating to Europe, including in relation to our</w:t>
      </w:r>
    </w:p>
    <w:p>
      <w:pPr>
        <w:spacing w:after="0" w:line="251" w:lineRule="auto"/>
        <w:rPr>
          <w:sz w:val="20"/>
          <w:szCs w:val="20"/>
          <w:color w:val="auto"/>
        </w:rPr>
      </w:pPr>
      <w:r>
        <w:rPr>
          <w:rFonts w:ascii="Times New Roman" w:cs="Times New Roman" w:eastAsia="Times New Roman" w:hAnsi="Times New Roman"/>
          <w:sz w:val="18"/>
          <w:szCs w:val="18"/>
          <w:color w:val="auto"/>
        </w:rPr>
        <w:t>personnel in the European Economic Area, or the EEA, or in the United Kingdom, or the UK. This regulatory regime includes the European Union General Data Protection Regulation, or the EU GDPR, and the UK equivalent of the same, or the UK GDPR (collectively referred to as the GDPR in this Quarterly Report on Form 10-Q), as well as other national data protection legislation in force in relevant EU and EEA member states and the UK (including the UK Data Protection Act 2018 in the UK), which govern the collection, use, storage, disclosure, transfer, or other processing of personal data (including health data processed in the context of clinical trials): (i) regarding individuals in the EU, EEA and UK; and/or (ii) carried out in the context of the activities of our establishment in any EU and EEA member state or the UK. Currently, the EU GDPR and UK GDPR remain largely aligned. The GDPR imposes several requirements on companies that process personal data, including requirements relating to the processing of health and other sensitive data, legal basis for processing personal data which may include obtaining the consent of the individuals to whom the personal data relates, providing detailed information to individuals about how their personal data is used, notification of personal data breaches to data protection authorities and individuals, and implementing safeguards to protect the security and confidentiality of the personal data. The GDPR also imposes strict rules on the transfer of personal data out of the EEA and UK to third-party countries, including the United States in certain circumstances, unless a derogation exists or a valid GDPR transfer mechanism (e.g.,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business operations and may adversely affect our business and financial position.</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UK government has introduced a Data Protection and Digital Information Bill, or Data Reform Bill, into the UK legislative process to reform the UK’s data protection regime, and if passed, the final version of the Data Reform Bill may have the effect of further altering the similarities between the UK and EEA data protection regimes and threaten the UK international transfers adequacy decision from the European Commission, which may lead to additional compliance costs for us and could increase our overall risk. It is unclear how UK data protection laws and regulations will develop in the medium to longer term, and how data transfers to and from the UK will be regulated in the long term.</w:t>
      </w:r>
    </w:p>
    <w:p>
      <w:pPr>
        <w:spacing w:after="0" w:line="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Failure to comply with the requirements of the GDPR and related national data protection laws of the EEA Member States or the UK may result in substantial fines of up to €20 million or 4% of a company’s global annual revenues for the preceding financial year, whichever is higher. Moreover, the GDPR grants data subjects and consumer associations the right to claim material and non-material damages resulting from infringement of the GDPR. The GDPR imposes additional responsibility and liability in relation to personal data that we process, where such processing is subject to the GDPR and we may be required to put in place additional mechanisms ensuring compliance with these and/or new data protection rules. This may be costly, onerous and adversely affect our business, financial condition, prospects and results of operations. Although the EU GDPR and the UK GDPR currently impose substantially similar obligations, it is possible that over time the UK GDPR could become less aligned with the EU GDPR.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programs could require us to amend our processes and procedures to implement different compliance measures for the UK and the EEA.</w:t>
      </w:r>
    </w:p>
    <w:p>
      <w:pPr>
        <w:spacing w:after="0" w:line="22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violations of other laws or regulations in connection with the promotional efforts we undertake on our own or through third parties.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The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10"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1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w:t>
      </w: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50" w:name="page51"/>
    <w:bookmarkEnd w:id="50"/>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U.S. FDA’s review of REDUCE-IT data and the supplemental New Drug Application, or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low-density lipoprotein, or LDL cholesterol values on the time to the primary endpoint was numerically small and unlikely to change the overall conclusion of treatment benefit. The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 consuming, particularly when such efforts need to adapt to changing market and business dynamics. In 2022, we implemented cost and organizational restructuring plans, which included a reduction to our U.S. commercial team to approximately 75 sales representatives by the end of 2022, and in July 2023, all remaining sales force positions in the U.S. were eliminated and our overall headcount was reduced by 30% as part of our ORP. As a result, we do not have a sales team to promote VASCEPA to physicians and other healthcare professionals in the United States, and will rely on only our managed care and trade organization to support sales of VASCEPA in the United States.</w:t>
      </w:r>
    </w:p>
    <w:p>
      <w:pPr>
        <w:spacing w:after="0" w:line="7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elimination of our sales force in the United States, we continue to work on our own and with our international partners to support regulatory efforts outside the United States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We redesigned our commercial infrastructure in Europe to better align with pricing and reimbursement status and commercial potential. We will be operating with streamlined teams in Europe and elsewhere outside the United States; however, we will anticipate the need to expand internally and expect that we will need to manage additional relationships with various collaborative partners, suppliers and other third parties as we progress in Europe and elsewhere outside the United States.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country-by-country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depending on successful life-cycle management efforts.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we cannot reasonably estimate the timing, completion dates and costs, or range of costs, of our drug development program, or of the successful development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of any particular derivative, combination or next generation product candidate. The potential success of any derivative, combination or next generation product candidate will depend on a number of factors, including the scope of and our success with manufacturing, obtaining regulatory approvals and achieving sufficient (or any) levels of market acceptance if approved.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52"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South Korea and Southeast Asia, and Israel,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 and, depending on the ability of existing suppliers to meet our supply demands,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8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19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required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for which VASCEPA may be prescribed, earlier in the year, until patients meet their deductible and the cost of VASCEPA is then borne more by their insurance carrier. Collectively, these dynamics adversely affect our profitability for the sale of VASCEPA and could increase over time further impacting our operating results. Consolidation among these industry participants could increase the pressure on us from these market dynamics.</w:t>
      </w:r>
    </w:p>
    <w:p>
      <w:pPr>
        <w:spacing w:after="0" w:line="210"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8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a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8"/>
          <w:szCs w:val="18"/>
          <w:color w:val="auto"/>
        </w:rPr>
        <w:t>There are comparable foreign requirements under ICH guidelines.</w:t>
      </w:r>
    </w:p>
    <w:p>
      <w:pPr>
        <w:spacing w:after="0" w:line="11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75"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w:t>
      </w:r>
    </w:p>
    <w:p>
      <w:pPr>
        <w:spacing w:after="0" w:line="206"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Canada and, most recently, Australia, New Zealand, South Korea and Southeast Asia, and Israel. We continue to assess other opportunities to develop VASCEPA commercialization outside of the United States through similar arrangements.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and in Mainland China under the MARINE indication. In October 2023, Edding submitted for the approval of the REDUCE-IT indication in Mainland China. However, Edding may be required to undertake pre- or post-approval clinical development efforts in these markets, or Edding may face challenges or be unsuccessful in commercial launch. Further, any development and regulatory efforts in the China Territory may be negatively impacted by the lingering effects of the coronavirus pandemic. Any development and regulatory efforts in the China Territory may be negatively impacted by heightened political tension between China and the United States, including issues expressed between the countries regarding trade practices, tariffs and honoring intellectual property rights. If Edding is not able to effectively commercialize VASCEPA in the China Territory, we may not be able to generate revenue from our agreement with Edding resulting from the sale of VASCEPA in the China Territory.</w:t>
      </w:r>
    </w:p>
    <w:p>
      <w:pPr>
        <w:spacing w:after="0" w:line="8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party to arrangements with Biologix FZCo, or Biologix, to register and commercialize VASCEPA in several Middle Eastern and North African countries, with HLS Therapeutics Inc., or HLS, to register, commercialize and distribute VASCEPA in Canada, with CSL Seqirus, or CSL, to secure pricing and reimbursement, commercialize and distribute VASCEPA in Australia and New Zealand, Lotus Pharmaceuticals, or Lotus, to register, commercialize and distribute VASCEPA in several countries in Southeast Asia and Neopharm (Israel) 1996 Ltd., or Neopharm, to distribute VASCEPA in Israel. Although Biologix is currently actively commercializing VASCEPA in the United Arab Emirates, Lebanon, Kuwait and Saudi Arabia, and HLS is currently commercializing VASCEPA in Canada, we are completely reliant on these third parties to successfully commercialize the product in those markets, which markets can be complex and challenging.</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Edding, Biologix, HLS, CSL, Lotus or Neopharm, or other third parties who we rely on for development and commercialization of VASCEPA, do not successfully carry out their contractual obligations or meet expected deadlines, our recourse and remedies against these parties is limited.</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the launch of VAZKEPA in certain countries in the last two years, has not launched or otherwise commercialized a product in Europe and could be subject to significant risks of execution to our successful development and revenue generation of VAZKEPA in Europe.</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220"/>
        <w:spacing w:after="0" w:line="282" w:lineRule="auto"/>
        <w:rPr>
          <w:sz w:val="20"/>
          <w:szCs w:val="20"/>
          <w:color w:val="auto"/>
        </w:rPr>
      </w:pPr>
      <w:r>
        <w:rPr>
          <w:rFonts w:ascii="Times New Roman" w:cs="Times New Roman" w:eastAsia="Times New Roman" w:hAnsi="Times New Roman"/>
          <w:sz w:val="18"/>
          <w:szCs w:val="18"/>
          <w:color w:val="auto"/>
        </w:rPr>
        <w:t>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85"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Times New Roman" w:cs="Times New Roman" w:eastAsia="Times New Roman" w:hAnsi="Times New Roman"/>
          <w:sz w:val="18"/>
          <w:szCs w:val="18"/>
          <w:i w:val="1"/>
          <w:iCs w:val="1"/>
          <w:color w:val="auto"/>
        </w:rPr>
        <w:t>Item 1. Business - Government Regulation - Fraud and Abuse Laws and Data Regulation</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including the Investigations referenced above.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52423"/>
        </w:rPr>
        <w:t>In the U.S., to help patients afford our approved product, we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85"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84"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investigator initiated trials, or IITs, which are scientific research that is initiated, sponsored, and conducted by an independent investigator(s) and/or institution(s) not affiliated with us, are being, and additional IITs, may be conducted involving potential product candidates. The investigator, sponsor, and/or investigator/sponsor remains responsible for conception, design, data analysis, publication, and compliance with applicable law. Investigator initiated trials can contribute towards enhancing the understanding of products (such as mechanism of action) and sparking new ideas for further research; however, IITs are generally not supported by pharmaceutical companies for the purposes of generating data that can lead to product labelling changes. Even if an IIT has positive results, additional studies, along with regulatory agency guidance and approval, would be required to advance a pharmaceutical product to the next stage of development and new potential labelling changes or indications. If we are unable to confirm or replicate the results from an IIT or if negative results are obtained, we would likely be further delayed or prevented from advancing further clinical development. Further, if the data proves to be inadequate compared to the firsthand knowledge we might have gained had the IIT been sponsored and conducted by us, then our ability to design and conduct any future clinical trials ourselves may be adversely affected. Negative results in IITs could have a material adverse effect on our efforts to obtain regulatory approval for such product candidates and the public perception of such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jc w:val="both"/>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Refer to “</w:t>
      </w:r>
      <w:r>
        <w:rPr>
          <w:rFonts w:ascii="Times New Roman" w:cs="Times New Roman" w:eastAsia="Times New Roman" w:hAnsi="Times New Roman"/>
          <w:sz w:val="18"/>
          <w:szCs w:val="18"/>
          <w:i w:val="1"/>
          <w:iCs w:val="1"/>
          <w:color w:val="auto"/>
        </w:rPr>
        <w:t>Item 1. Business - Patents, Proprietary Technology, Trade Secrets"</w:t>
      </w:r>
      <w:r>
        <w:rPr>
          <w:rFonts w:ascii="Times New Roman" w:cs="Times New Roman" w:eastAsia="Times New Roman" w:hAnsi="Times New Roman"/>
          <w:sz w:val="18"/>
          <w:szCs w:val="18"/>
          <w:color w:val="auto"/>
        </w:rPr>
        <w:t xml:space="preserve"> in our Annual Report on Form 10-K for the fiscal year ended December 31, 2023 for further details.</w:t>
      </w:r>
    </w:p>
    <w:p>
      <w:pPr>
        <w:spacing w:after="0" w:line="68"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CV risk. On January 25, 2021, we expanded the scope of this patent infringement lawsuit to include a healthcare insurance provider, Health Net, LLC. On January 4, 2022, the district court hearing the case granted Hikma's motion to dismiss. On October 13, 2022, the district court granted final judgement and the Company is appealing (Fed. Cir. No. 23-1169 filed November 21, 2022) the decision of the district court but cannot predict the outcome or the impact on its business. We entered into a settlement agreement with Health Net, LLC on December 26, 2022. The Company intends to continue to vigorously enforce its intellectual property rights relating to VASCEPA, but cannot predict the outcome of these lawsuits or any subsequently filed lawsuits.</w:t>
      </w:r>
    </w:p>
    <w:p>
      <w:pPr>
        <w:spacing w:after="0" w:line="64"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9"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are granted, there is no certainty that they will prevent competitors from competing with VASCEPA.</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1"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2024, we reiterated our belief that current cash and investments and other assets are adequate to support continued operations, including the share repurchase program. This and similar statements are based on estimates, assumptions and the judgment of management at such time.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recent senior management changes.</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and the changes to our Board and senior management team during 2023,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globally we may experience continued or increased turnover among members of our senior management team. We may have difficulty identifying, attracting and integrating new executives to replace any such losses. As we pursue commercialization efforts in Europe, we need to rapidly hire employees and ensure that they are well trained and working cohesively with core values which are consistent with our existing operations and which, we believe, help improve our position for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t>success. In the United States, where we have recently eliminated all sales force positions, employees are increasingly being recruited by other companies. The current and potential threat of generic competition and our recent reductions in force, including as part of our ORP announced in July 2023,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70" w:lineRule="exact"/>
        <w:rPr>
          <w:sz w:val="20"/>
          <w:szCs w:val="20"/>
          <w:color w:val="auto"/>
        </w:rPr>
      </w:pPr>
    </w:p>
    <w:p>
      <w:pPr>
        <w:ind w:right="40" w:firstLine="509"/>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0" w:lineRule="exact"/>
        <w:rPr>
          <w:sz w:val="20"/>
          <w:szCs w:val="20"/>
          <w:color w:val="auto"/>
        </w:rPr>
      </w:pPr>
    </w:p>
    <w:p>
      <w:pPr>
        <w:ind w:firstLine="509"/>
        <w:spacing w:after="0" w:line="226"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88"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ind w:right="20"/>
        <w:spacing w:after="0" w:line="281" w:lineRule="auto"/>
        <w:rPr>
          <w:sz w:val="20"/>
          <w:szCs w:val="20"/>
          <w:color w:val="auto"/>
        </w:rPr>
      </w:pPr>
      <w:r>
        <w:rPr>
          <w:rFonts w:ascii="Times New Roman" w:cs="Times New Roman" w:eastAsia="Times New Roman" w:hAnsi="Times New Roman"/>
          <w:sz w:val="17"/>
          <w:szCs w:val="17"/>
          <w:color w:val="auto"/>
        </w:rPr>
        <w:t>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have at all times sought to conduct our affairs in such a way so as to be solely resident in Ireland for tax purposes by virtue of having our place of effective management situated in Ireland.</w:t>
      </w:r>
    </w:p>
    <w:p>
      <w:pPr>
        <w:spacing w:after="0" w:line="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Organisation for Economic Co-operation and Development's, or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28%, 35%, and 29%, respectively, of gross product sales for the three months ended March 31, 2024, and represented 37%, 31%, and 22%, respectively, of the gross accounts receivable balance as of March 31, 2024. Customers A, B, and C accounted for 29%, 38%, and 27%, respectively, of gross product sales for the three months ended March 31, 2023, and represented 36%, 40%, and 20%, respectively, of the gross accounts receivable balance as of March 31, 2023.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years ended December 31, 2023 and 2022, we reported net losses of approximately $59.1 million and $105.8 million, respectively. For the fiscal year ended December 31, 2021, we reported net income of approximately $7.7 million. We had an accumulated deficit as of December 31, 2023 of $1.6 billion. For the three months ended March 31, 2024 and 2023, we reported losses of approximately $10.0 million and $16.5 million, respectively, and we had an accumulated deficit as of March 31, 2024 of $1.6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never generate sufficient revenue to achieve a steady state of profitability.</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commercialization efforts in the United States and Europe. If we are unable to consistently generate robust product revenues, we will not become profitable on a sustained basis in the near term, if ever, and may be unable to continue operations without continued funding.</w:t>
      </w:r>
    </w:p>
    <w:p>
      <w:pPr>
        <w:spacing w:after="0" w:line="21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We believe that our quarterly and annual results of operations may be affected by a variety of factors, including those risks and uncertainties described in this Part II, Item 1A and the following:</w:t>
      </w:r>
    </w:p>
    <w:p>
      <w:pPr>
        <w:spacing w:after="0" w:line="72"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future potential launches of additional generic versions of VASCEPA;</w:t>
      </w:r>
    </w:p>
    <w:p>
      <w:pPr>
        <w:spacing w:after="0" w:line="117" w:lineRule="exact"/>
        <w:rPr>
          <w:rFonts w:ascii="Times New Roman" w:cs="Times New Roman" w:eastAsia="Times New Roman" w:hAnsi="Times New Roman"/>
          <w:sz w:val="18"/>
          <w:szCs w:val="18"/>
          <w:color w:val="auto"/>
        </w:rPr>
      </w:pPr>
    </w:p>
    <w:p>
      <w:pPr>
        <w:jc w:val="both"/>
        <w:ind w:left="900" w:right="28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the China Territory, several Middle Eastern and North African countries, and Canada, including obtaining necessary regulatory approvals, favorable pricing and establishing marketing channels;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900" w:right="34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ORP announced in July 2023, and the resulting effectiveness of those efforts;</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$213.9 million and short-term investment balance of $94.2 million as of March 31, 2024 will be sufficient to fund our projected operations, including the share repurchase program, for at least 12 months from the issuance date of our unaudited condensed consolidated financial statements included elsewhere in this Quarterly Report.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5540" w:right="3160" w:hanging="5023"/>
        <w:spacing w:after="0" w:line="282" w:lineRule="auto"/>
        <w:tabs>
          <w:tab w:leader="none" w:pos="10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Tax law and policies in the United States and Ireland are unsettled and may be subject to significant change, including based on adjustments in political perspectives and administration shifts. In the United States and internationally, the method of taxation of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84"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IRA was enacted into law on August 16, 2022. Included in the IRA was a provision to implement a 15% corporate alternative minimum tax on corporations whose average annual adjusted financial statement income during the most recently-completed three-year period exceeds $1.0 billion. This provision is effective for tax years beginning after December 31, 2022. We do not expect the tax provisions of the IRA to have a material impact.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252" w:lineRule="exact"/>
        <w:rPr>
          <w:sz w:val="20"/>
          <w:szCs w:val="20"/>
          <w:color w:val="auto"/>
        </w:rPr>
      </w:pPr>
    </w:p>
    <w:p>
      <w:pPr>
        <w:ind w:right="1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return capital to our shareholders and increase shareholder value, including our share repurchase program (which is subject to shareholder and UK court approval), may not be implemented in a timely manner or at all, or may not have the expected results.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implementation of our announced share repurchase agreement is conditional upon shareholder and UK court approval, as required under UK company law. We received shareholder approval during our annual general meeting of shareholders in April 2024. Although we are now proceeding with the requisite court process to undertake a reduction of capital in order to create the necessary distributable profits for the funding of the repurchases, which process could be completed by the end of the second quarter of 2024, with share repurchases commencing shortly thereafter; however, we cannot guarantee that the share repurchase program will receive court approval in a timely manner or at all. Further, the share repurchase program and other efforts to return capital to shareholders may not have the anticipated effect or increase shareholder value in the long term.</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 longer able to meet the listing requirements of the NASDAQ Stock Market, our stock may be delisted.</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NASDAQ Stock Market, or NASDAQ, on which our ADSs are listed and traded, has listing requirements that include a $1.00 minimum closing bid price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of April 26, 2024, we had 410,868,659 common shares outstanding, including 402,066,926 shares held as ADSs and 8,801,733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Our planned share repurchase program, which is subject to requisite shareholder and UK High Court approval under UK law, would, if implemented, reduce the number of shares outstanding and could result in reduced trading volumes.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w:t>
      </w: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ind w:right="20"/>
        <w:spacing w:after="0" w:line="261" w:lineRule="auto"/>
        <w:rPr>
          <w:sz w:val="20"/>
          <w:szCs w:val="20"/>
          <w:color w:val="auto"/>
        </w:rPr>
      </w:pPr>
      <w:r>
        <w:rPr>
          <w:rFonts w:ascii="Times New Roman" w:cs="Times New Roman" w:eastAsia="Times New Roman" w:hAnsi="Times New Roman"/>
          <w:sz w:val="18"/>
          <w:szCs w:val="18"/>
          <w:color w:val="auto"/>
        </w:rPr>
        <w:t>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ordinary shares, we believe that we will not be classified as a PFIC for the taxable year ended December 31, 2023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900" w:right="6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900" w:right="160" w:hanging="383"/>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(including, without limitation, the disapplication by at least 75% of the shareholders who vote (in person or by proxy)),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1" w:lineRule="exact"/>
        <w:rPr>
          <w:rFonts w:ascii="Times New Roman" w:cs="Times New Roman" w:eastAsia="Times New Roman" w:hAnsi="Times New Roman"/>
          <w:sz w:val="18"/>
          <w:szCs w:val="18"/>
          <w:color w:val="auto"/>
        </w:rPr>
      </w:pPr>
    </w:p>
    <w:p>
      <w:pPr>
        <w:ind w:left="900" w:right="160" w:hanging="383"/>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w:t>
      </w:r>
    </w:p>
    <w:p>
      <w:pPr>
        <w:ind w:left="9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or more of the ordinary shares/ADSs (and 90% of the voting rights carried by those ordinary shares/ADSs) under the offer, under English law, the bidder cannot complete a “squeeze out” to obtain 100% control of us. Accordingly, acceptances of 90% of our outstanding ordinary shares/ADSs (and 90% of the voting rights)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as well as the approval of the UK High Court.</w:t>
      </w:r>
    </w:p>
    <w:p>
      <w:pPr>
        <w:spacing w:after="0" w:line="81" w:lineRule="exact"/>
        <w:rPr>
          <w:rFonts w:ascii="Times New Roman" w:cs="Times New Roman" w:eastAsia="Times New Roman" w:hAnsi="Times New Roman"/>
          <w:sz w:val="18"/>
          <w:szCs w:val="18"/>
          <w:color w:val="auto"/>
        </w:rPr>
      </w:pPr>
    </w:p>
    <w:p>
      <w:pPr>
        <w:ind w:left="900" w:right="80" w:hanging="383"/>
        <w:spacing w:after="0" w:line="25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w:t>
      </w:r>
    </w:p>
    <w:p>
      <w:pPr>
        <w:spacing w:after="0" w:line="1" w:lineRule="exact"/>
        <w:rPr>
          <w:sz w:val="20"/>
          <w:szCs w:val="20"/>
          <w:color w:val="auto"/>
        </w:rPr>
      </w:pPr>
    </w:p>
    <w:p>
      <w:pPr>
        <w:ind w:left="5540" w:right="20" w:hanging="4641"/>
        <w:spacing w:after="0" w:line="260" w:lineRule="auto"/>
        <w:rPr>
          <w:sz w:val="20"/>
          <w:szCs w:val="20"/>
          <w:color w:val="auto"/>
        </w:rPr>
      </w:pPr>
      <w:r>
        <w:rPr>
          <w:rFonts w:ascii="Times New Roman" w:cs="Times New Roman" w:eastAsia="Times New Roman" w:hAnsi="Times New Roman"/>
          <w:sz w:val="18"/>
          <w:szCs w:val="18"/>
          <w:color w:val="auto"/>
        </w:rPr>
        <w:t>certain transfers of the shares, withholding of dividends and loss of voting rights. Comparable provisions generally do not exist under U.S. law.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left="900" w:hanging="383"/>
        <w:spacing w:after="0" w:line="25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place of central management and control is not currently in the UK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72"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UK), the Takeover Code may apply to us in the future.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72" w:lineRule="exact"/>
        <w:rPr>
          <w:sz w:val="20"/>
          <w:szCs w:val="20"/>
          <w:color w:val="auto"/>
        </w:rPr>
      </w:pPr>
    </w:p>
    <w:p>
      <w:pPr>
        <w:ind w:left="900" w:right="8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67" w:lineRule="exact"/>
        <w:rPr>
          <w:rFonts w:ascii="Times New Roman" w:cs="Times New Roman" w:eastAsia="Times New Roman" w:hAnsi="Times New Roman"/>
          <w:sz w:val="18"/>
          <w:szCs w:val="18"/>
          <w:color w:val="auto"/>
        </w:rPr>
      </w:pPr>
    </w:p>
    <w:p>
      <w:pPr>
        <w:ind w:left="900" w:right="40" w:hanging="383"/>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900" w:right="40" w:hanging="383"/>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mandatory offer triggered in the circumstances described in the preceding two paragraphs above must be in cash (or be accompanied by a cash alternative) and at not less than the highest price paid within the preceding 12 months to acquire any interest in shares of that class in the company by the person required to make the offer or any person acting in concert with him or her.</w:t>
      </w:r>
    </w:p>
    <w:p>
      <w:pPr>
        <w:spacing w:after="0" w:line="67" w:lineRule="exact"/>
        <w:rPr>
          <w:rFonts w:ascii="Times New Roman" w:cs="Times New Roman" w:eastAsia="Times New Roman" w:hAnsi="Times New Roman"/>
          <w:sz w:val="18"/>
          <w:szCs w:val="18"/>
          <w:color w:val="auto"/>
        </w:rPr>
      </w:pPr>
    </w:p>
    <w:p>
      <w:pPr>
        <w:ind w:left="900" w:right="60" w:hanging="383"/>
        <w:spacing w:after="0" w:line="254"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voluntary offer (i.e., any offer which is not a mandatory offer), when interests in shares of any class representing 10% or more of shares of that class have been acquired for cash by an offeror (i.e., a bidder) and any person acting in concert with it during the offer period (i.e., broadly speaking, the period after the potential offer has been made public) and within 12 months prior to commencement of the offer period, the offer must be in cash or be accompanied by a cash alternative for all shareholders of that class at not less than the highest price paid for any interest in shares of that class by the offeror or any person acting in concert with it in that period. Further, if an offeror or any person acting in concert with it acquires any interest in shares for cash during the offer period, the offer for that class of shares must be in cash or accompanied by a cash alternative at a price at not less than the highest price paid by the offeror or any person acting in concert with it for shares of that class acquired during the offer period.</w:t>
      </w:r>
    </w:p>
    <w:p>
      <w:pPr>
        <w:spacing w:after="0" w:line="83" w:lineRule="exact"/>
        <w:rPr>
          <w:rFonts w:ascii="Times New Roman" w:cs="Times New Roman" w:eastAsia="Times New Roman" w:hAnsi="Times New Roman"/>
          <w:sz w:val="18"/>
          <w:szCs w:val="18"/>
          <w:color w:val="auto"/>
        </w:rPr>
      </w:pPr>
    </w:p>
    <w:p>
      <w:pPr>
        <w:ind w:left="900" w:right="240" w:hanging="383"/>
        <w:spacing w:after="0" w:line="257"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of a firm intention to make an offer is made and before the offer closes for acceptance, the offeror or any person acting in concert with them acquires an interest in shares in an offeree company (i.e., a target) at a price higher than the then current value of the offer, the offer must be increased to not less than the highest price paid for the interest in shares so acquired.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left="900" w:right="1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or favorable deals for selected shareholders are not permitted, except in certain circumstances where independent shareholder approval is given and the arrangements are regarded as fair and reasonable in the opinion of the independent adviser to the offeree.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 and that, to the best of their knowledge and belief (having taken all reasonable care to ensure that such is the case) the information contained therein is in accordance with the facts and does not omit anything likely to affect the import of such information.</w:t>
      </w:r>
    </w:p>
    <w:p>
      <w:pPr>
        <w:spacing w:after="0" w:line="71"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58"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 to the extent such actions are not in the ordinary course of the offeree company's business.</w:t>
      </w:r>
    </w:p>
    <w:p>
      <w:pPr>
        <w:spacing w:after="0" w:line="75"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6"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120"/>
        <w:spacing w:after="0" w:line="266" w:lineRule="auto"/>
        <w:rPr>
          <w:sz w:val="20"/>
          <w:szCs w:val="20"/>
          <w:color w:val="auto"/>
        </w:rPr>
      </w:pPr>
      <w:r>
        <w:rPr>
          <w:rFonts w:ascii="Times New Roman" w:cs="Times New Roman" w:eastAsia="Times New Roman" w:hAnsi="Times New Roman"/>
          <w:sz w:val="18"/>
          <w:szCs w:val="18"/>
          <w:color w:val="auto"/>
        </w:rPr>
        <w:t>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when needed, we may be required to curtail or terminate some or all of our research or development programs or our commercialization strategies.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9"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Europe and the Middle East, caused by political instability and conflict, such as Russia's invasion of Ukraine and current armed conflict in Israel and the Gaza Strip, and economic challenges caused by pandemics or other health crises, such as the recent COVID-19 pandemic, have led to market disruptions, including significant volatility in commodity prices, credit and capital market instability and supply chain interruptions, which have caused record inflation globally.</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the current armed conflict in Israel and the Gaza Strip, geopolitical tensions, record inflation or otherwise, are impossible to predict, but could be substantial. Any such disruptions may also magnify the impact of other risks described in this report.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first quarter of 2024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60" w:type="dxa"/>
            <w:vAlign w:val="bottom"/>
          </w:tcPr>
          <w:p>
            <w:pPr>
              <w:spacing w:after="0"/>
              <w:rPr>
                <w:sz w:val="13"/>
                <w:szCs w:val="13"/>
                <w:color w:val="auto"/>
              </w:rPr>
            </w:pPr>
          </w:p>
        </w:tc>
        <w:tc>
          <w:tcPr>
            <w:tcW w:w="16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ind w:right="9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2024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1,167,996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1 - 29, 2024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2024</w:t>
            </w:r>
          </w:p>
        </w:tc>
        <w:tc>
          <w:tcPr>
            <w:tcW w:w="1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1,217,450</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left="380" w:hanging="372"/>
        <w:spacing w:after="0" w:line="223" w:lineRule="auto"/>
        <w:tabs>
          <w:tab w:leader="none" w:pos="326"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4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80" w:type="dxa"/>
            <w:vAlign w:val="bottom"/>
            <w:gridSpan w:val="15"/>
          </w:tcPr>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8"/>
        </w:trPr>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40" w:type="dxa"/>
            <w:vAlign w:val="bottom"/>
            <w:gridSpan w:val="9"/>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8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vMerge w:val="continue"/>
          </w:tcPr>
          <w:p>
            <w:pPr>
              <w:spacing w:after="0"/>
              <w:rPr>
                <w:sz w:val="14"/>
                <w:szCs w:val="14"/>
                <w:color w:val="auto"/>
              </w:rPr>
            </w:pPr>
          </w:p>
        </w:tc>
        <w:tc>
          <w:tcPr>
            <w:tcW w:w="34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5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31"/>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Articles of Association of the</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22, 2024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Company</w:t>
              </w:r>
            </w:hyperlink>
          </w:p>
        </w:tc>
        <w:tc>
          <w:tcPr>
            <w:tcW w:w="3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Commission on April 22, 2024, as Exhibit 3.1</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Amendment No. 3 to the Amarin Corporation plc 2020</w:t>
              </w:r>
            </w:hyperlink>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22, 2024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Stock Incentive Plan</w:t>
              </w:r>
            </w:hyperlink>
          </w:p>
        </w:tc>
        <w:tc>
          <w:tcPr>
            <w:tcW w:w="3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Commission on April 22, 2024, as Exhibit 10.1</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(Principal Financial Officer and</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 302 of</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Senior Vice President</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Chief Financial Officer (Principal Financial Officer</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Principal Accounting Officer) pursuant to Section</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906 of Sarbanes-Oxley Act of 2002</w:t>
            </w:r>
          </w:p>
        </w:tc>
        <w:tc>
          <w:tcPr>
            <w:tcW w:w="3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Patrick Holt</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Tom Reilly</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Holt, certify that:</w:t>
      </w:r>
    </w:p>
    <w:p>
      <w:pPr>
        <w:spacing w:after="0" w:line="117"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700" w:val="left"/>
          <w:tab w:leader="none" w:pos="806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Patrick Holt</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Reilly, certify that:</w:t>
      </w:r>
    </w:p>
    <w:p>
      <w:pPr>
        <w:spacing w:after="0" w:line="117"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900" w:val="left"/>
          <w:tab w:leader="none" w:pos="824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Tom Reilly</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Patrick Holt, President and Chief Executive Officer (Principal Executive Officer) of Amarin Corporation plc (the “Company”), and Tom Reilly, Executive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460" w:firstLine="8"/>
        <w:spacing w:after="0" w:line="282" w:lineRule="auto"/>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9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Patrick Holt</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7"/>
          <w:szCs w:val="17"/>
          <w:color w:val="auto"/>
        </w:rPr>
        <w:t>Tom Reilly</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9"/>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187" Type="http://schemas.openxmlformats.org/officeDocument/2006/relationships/hyperlink" Target="https://www.sec.gov/ix?doc=/Archives/edgar/data/897448/000095017024046290/amrn-202404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2024-05-01T06:14:09Z</dcterms:created>
  <dcterms:modified xsi:type="dcterms:W3CDTF">2024-05-01T06:14:09Z</dcterms:modified>
</cp:coreProperties>
</file>