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9" w:lineRule="exact"/>
        <w:rPr>
          <w:sz w:val="24"/>
          <w:szCs w:val="24"/>
          <w:color w:val="auto"/>
        </w:rPr>
      </w:pPr>
    </w:p>
    <w:p>
      <w:pPr>
        <w:ind w:left="3660" w:right="1620" w:hanging="3652"/>
        <w:spacing w:after="0" w:line="244" w:lineRule="auto"/>
        <w:tabs>
          <w:tab w:leader="none" w:pos="445"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-20320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Amarin Corporation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600" w:type="dxa"/>
        <w:tblCellMar>
          <w:top w:w="0" w:type="dxa"/>
          <w:left w:w="0" w:type="dxa"/>
          <w:bottom w:w="0" w:type="dxa"/>
          <w:right w:w="0" w:type="dxa"/>
        </w:tblCellMar>
      </w:tblPr>
      <w:tr>
        <w:trPr>
          <w:trHeight w:val="227"/>
        </w:trPr>
        <w:tc>
          <w:tcPr>
            <w:tcW w:w="5760" w:type="dxa"/>
            <w:vAlign w:val="bottom"/>
          </w:tcPr>
          <w:p>
            <w:pPr>
              <w:jc w:val="center"/>
              <w:ind w:right="1359"/>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2800" w:type="dxa"/>
            <w:vAlign w:val="bottom"/>
          </w:tcPr>
          <w:p>
            <w:pPr>
              <w:jc w:val="center"/>
              <w:ind w:left="1401"/>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8"/>
        </w:trPr>
        <w:tc>
          <w:tcPr>
            <w:tcW w:w="5760" w:type="dxa"/>
            <w:vAlign w:val="bottom"/>
          </w:tcPr>
          <w:p>
            <w:pPr>
              <w:jc w:val="center"/>
              <w:ind w:right="13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00" w:type="dxa"/>
            <w:vAlign w:val="bottom"/>
          </w:tcPr>
          <w:p>
            <w:pPr>
              <w:jc w:val="center"/>
              <w:ind w:left="14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760" w:type="dxa"/>
            <w:vAlign w:val="bottom"/>
          </w:tcPr>
          <w:p>
            <w:pPr>
              <w:jc w:val="center"/>
              <w:ind w:right="13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00" w:type="dxa"/>
            <w:vAlign w:val="bottom"/>
          </w:tcPr>
          <w:p>
            <w:pPr>
              <w:jc w:val="center"/>
              <w:ind w:left="13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5760" w:type="dxa"/>
            <w:vAlign w:val="bottom"/>
          </w:tcPr>
          <w:p>
            <w:pPr>
              <w:jc w:val="center"/>
              <w:ind w:right="1399"/>
              <w:spacing w:after="0"/>
              <w:rPr>
                <w:sz w:val="20"/>
                <w:szCs w:val="20"/>
                <w:color w:val="auto"/>
              </w:rPr>
            </w:pPr>
            <w:r>
              <w:rPr>
                <w:rFonts w:ascii="Times New Roman" w:cs="Times New Roman" w:eastAsia="Times New Roman" w:hAnsi="Times New Roman"/>
                <w:sz w:val="18"/>
                <w:szCs w:val="18"/>
                <w:b w:val="1"/>
                <w:bCs w:val="1"/>
                <w:color w:val="auto"/>
                <w:w w:val="99"/>
              </w:rPr>
              <w:t>Iconic Offices, The Greenway, Block C Ardilaun Court,</w:t>
            </w:r>
          </w:p>
        </w:tc>
        <w:tc>
          <w:tcPr>
            <w:tcW w:w="2800" w:type="dxa"/>
            <w:vAlign w:val="bottom"/>
          </w:tcPr>
          <w:p>
            <w:pPr>
              <w:jc w:val="center"/>
              <w:ind w:left="1401"/>
              <w:spacing w:after="0"/>
              <w:rPr>
                <w:sz w:val="20"/>
                <w:szCs w:val="20"/>
                <w:color w:val="auto"/>
              </w:rPr>
            </w:pPr>
            <w:r>
              <w:rPr>
                <w:rFonts w:ascii="Times New Roman" w:cs="Times New Roman" w:eastAsia="Times New Roman" w:hAnsi="Times New Roman"/>
                <w:sz w:val="18"/>
                <w:szCs w:val="18"/>
                <w:b w:val="1"/>
                <w:bCs w:val="1"/>
                <w:color w:val="auto"/>
                <w:w w:val="99"/>
              </w:rPr>
              <w:t>Dublin 2, Ireland</w:t>
            </w:r>
          </w:p>
        </w:tc>
      </w:tr>
      <w:tr>
        <w:trPr>
          <w:trHeight w:val="227"/>
        </w:trPr>
        <w:tc>
          <w:tcPr>
            <w:tcW w:w="5760" w:type="dxa"/>
            <w:vAlign w:val="bottom"/>
          </w:tcPr>
          <w:p>
            <w:pPr>
              <w:jc w:val="center"/>
              <w:ind w:right="1359"/>
              <w:spacing w:after="0"/>
              <w:rPr>
                <w:sz w:val="20"/>
                <w:szCs w:val="20"/>
                <w:color w:val="auto"/>
              </w:rPr>
            </w:pPr>
            <w:r>
              <w:rPr>
                <w:rFonts w:ascii="Times New Roman" w:cs="Times New Roman" w:eastAsia="Times New Roman" w:hAnsi="Times New Roman"/>
                <w:sz w:val="18"/>
                <w:szCs w:val="18"/>
                <w:b w:val="1"/>
                <w:bCs w:val="1"/>
                <w:color w:val="auto"/>
                <w:w w:val="98"/>
              </w:rPr>
              <w:t>112 – 114 St Stephens Green</w:t>
            </w:r>
          </w:p>
        </w:tc>
        <w:tc>
          <w:tcPr>
            <w:tcW w:w="2800" w:type="dxa"/>
            <w:vAlign w:val="bottom"/>
          </w:tcPr>
          <w:p>
            <w:pPr>
              <w:spacing w:after="0"/>
              <w:rPr>
                <w:sz w:val="19"/>
                <w:szCs w:val="19"/>
                <w:color w:val="auto"/>
              </w:rPr>
            </w:pPr>
          </w:p>
        </w:tc>
      </w:tr>
      <w:tr>
        <w:trPr>
          <w:trHeight w:val="190"/>
        </w:trPr>
        <w:tc>
          <w:tcPr>
            <w:tcW w:w="5760" w:type="dxa"/>
            <w:vAlign w:val="bottom"/>
          </w:tcPr>
          <w:p>
            <w:pPr>
              <w:jc w:val="center"/>
              <w:ind w:right="13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0" w:type="dxa"/>
            <w:vAlign w:val="bottom"/>
          </w:tcPr>
          <w:p>
            <w:pPr>
              <w:jc w:val="center"/>
              <w:ind w:left="13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161925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59"/>
        </w:trPr>
        <w:tc>
          <w:tcPr>
            <w:tcW w:w="4540" w:type="dxa"/>
            <w:vAlign w:val="bottom"/>
            <w:tcBorders>
              <w:left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rPr>
              <w:t>American Depositary Shares (ADS(s)), each ADS</w:t>
            </w:r>
          </w:p>
        </w:tc>
        <w:tc>
          <w:tcPr>
            <w:tcW w:w="2240" w:type="dxa"/>
            <w:vAlign w:val="bottom"/>
            <w:tcBorders>
              <w:right w:val="single" w:sz="8" w:color="auto"/>
            </w:tcBorders>
          </w:tcPr>
          <w:p>
            <w:pPr>
              <w:spacing w:after="0"/>
              <w:rPr>
                <w:sz w:val="13"/>
                <w:szCs w:val="13"/>
                <w:color w:val="auto"/>
              </w:rPr>
            </w:pPr>
          </w:p>
        </w:tc>
        <w:tc>
          <w:tcPr>
            <w:tcW w:w="4460" w:type="dxa"/>
            <w:vAlign w:val="bottom"/>
            <w:tcBorders>
              <w:right w:val="single" w:sz="8" w:color="auto"/>
            </w:tcBorders>
          </w:tcPr>
          <w:p>
            <w:pPr>
              <w:spacing w:after="0"/>
              <w:rPr>
                <w:sz w:val="13"/>
                <w:szCs w:val="13"/>
                <w:color w:val="auto"/>
              </w:rPr>
            </w:pPr>
          </w:p>
        </w:tc>
      </w:tr>
      <w:tr>
        <w:trPr>
          <w:trHeight w:val="162"/>
        </w:trPr>
        <w:tc>
          <w:tcPr>
            <w:tcW w:w="4540" w:type="dxa"/>
            <w:vAlign w:val="bottom"/>
            <w:tcBorders>
              <w:left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representing the right to receive one (1) Ordinary Share of</w:t>
            </w:r>
          </w:p>
        </w:tc>
        <w:tc>
          <w:tcPr>
            <w:tcW w:w="22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spacing w:after="0"/>
              <w:rPr>
                <w:sz w:val="14"/>
                <w:szCs w:val="14"/>
                <w:color w:val="auto"/>
              </w:rPr>
            </w:pPr>
          </w:p>
        </w:tc>
      </w:tr>
      <w:tr>
        <w:trPr>
          <w:trHeight w:val="227"/>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Amarin Corporation plc</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AMRN</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Stock Market LLC</w:t>
            </w:r>
          </w:p>
        </w:tc>
      </w:tr>
    </w:tbl>
    <w:p>
      <w:pPr>
        <w:spacing w:after="0" w:line="90"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8" w:lineRule="exact"/>
        <w:rPr>
          <w:sz w:val="24"/>
          <w:szCs w:val="24"/>
          <w:color w:val="auto"/>
        </w:rPr>
      </w:pPr>
    </w:p>
    <w:p>
      <w:pPr>
        <w:ind w:right="120"/>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64"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32"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403,828,955 common shares were outstanding as of October 21, 2022, including 383,347,128 shares held as American Depositary Shares (ADSs), each representing one Ordinary Share, 50 pence par value per share and 20,481,827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100" w:type="dxa"/>
            <w:vAlign w:val="bottom"/>
            <w:gridSpan w:val="13"/>
          </w:tcPr>
          <w:p>
            <w:pPr>
              <w:jc w:val="center"/>
              <w:ind w:right="188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1020" w:type="dxa"/>
            <w:vAlign w:val="bottom"/>
          </w:tcPr>
          <w:p>
            <w:pPr>
              <w:spacing w:after="0"/>
              <w:rPr>
                <w:sz w:val="24"/>
                <w:szCs w:val="24"/>
                <w:color w:val="auto"/>
              </w:rPr>
            </w:pPr>
          </w:p>
        </w:tc>
      </w:tr>
      <w:tr>
        <w:trPr>
          <w:trHeight w:val="35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2460" w:type="dxa"/>
            <w:vAlign w:val="bottom"/>
            <w:tcBorders>
              <w:top w:val="single" w:sz="8" w:color="0000FF"/>
            </w:tcBorders>
            <w:gridSpan w:val="6"/>
          </w:tcPr>
          <w:p>
            <w:pPr>
              <w:spacing w:after="0"/>
              <w:rPr>
                <w:sz w:val="24"/>
                <w:szCs w:val="24"/>
                <w:color w:val="auto"/>
              </w:rPr>
            </w:pPr>
          </w:p>
        </w:tc>
        <w:tc>
          <w:tcPr>
            <w:tcW w:w="326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6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 as of September 30, 2022 and December 31, 2021</w:t>
            </w: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2022 and 2021</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Changes in Stockholders’ Equity for the nine months ended September 30, 2022</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69"/>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2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and 2021</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2022 and 2021</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3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3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3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40" w:type="dxa"/>
            <w:vAlign w:val="bottom"/>
            <w:gridSpan w:val="11"/>
          </w:tcPr>
          <w:p>
            <w:pPr>
              <w:jc w:val="center"/>
              <w:ind w:right="3360"/>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1020" w:type="dxa"/>
            <w:vAlign w:val="bottom"/>
          </w:tcPr>
          <w:p>
            <w:pPr>
              <w:spacing w:after="0"/>
              <w:rPr>
                <w:sz w:val="24"/>
                <w:szCs w:val="24"/>
                <w:color w:val="auto"/>
              </w:rPr>
            </w:pPr>
          </w:p>
        </w:tc>
      </w:tr>
      <w:tr>
        <w:trPr>
          <w:trHeight w:val="331"/>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2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280" w:type="dxa"/>
            <w:vAlign w:val="bottom"/>
            <w:tcBorders>
              <w:top w:val="single" w:sz="8" w:color="0000FF"/>
            </w:tcBorders>
            <w:gridSpan w:val="4"/>
          </w:tcPr>
          <w:p>
            <w:pPr>
              <w:spacing w:after="0"/>
              <w:rPr>
                <w:sz w:val="24"/>
                <w:szCs w:val="24"/>
                <w:color w:val="auto"/>
              </w:rPr>
            </w:pPr>
          </w:p>
        </w:tc>
        <w:tc>
          <w:tcPr>
            <w:tcW w:w="3360" w:type="dxa"/>
            <w:vAlign w:val="bottom"/>
            <w:gridSpan w:val="7"/>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3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3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56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3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331"/>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655"/>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16"/>
                <w:szCs w:val="16"/>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240,498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219,454</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63,203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234,674</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123,379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163,653</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227,606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234,676</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22,352</w:t>
            </w:r>
          </w:p>
        </w:tc>
        <w:tc>
          <w:tcPr>
            <w:tcW w:w="100" w:type="dxa"/>
            <w:vAlign w:val="bottom"/>
          </w:tcPr>
          <w:p>
            <w:pPr>
              <w:spacing w:after="0"/>
              <w:rPr>
                <w:sz w:val="18"/>
                <w:szCs w:val="18"/>
                <w:color w:val="auto"/>
              </w:rPr>
            </w:pPr>
          </w:p>
        </w:tc>
      </w:tr>
      <w:tr>
        <w:trPr>
          <w:trHeight w:val="209"/>
        </w:trPr>
        <w:tc>
          <w:tcPr>
            <w:tcW w:w="75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686,520</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878,727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34,996</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inventory</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187,964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121,254</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Intangible asset, net</w:t>
            </w: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21,638</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908,303</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1,068,065</w:t>
            </w: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93,157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114,922</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192,001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253,111</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Current deferred revenue</w:t>
            </w: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287,356</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370,682</w:t>
            </w:r>
          </w:p>
        </w:tc>
        <w:tc>
          <w:tcPr>
            <w:tcW w:w="100" w:type="dxa"/>
            <w:vAlign w:val="bottom"/>
          </w:tcPr>
          <w:p>
            <w:pPr>
              <w:spacing w:after="0"/>
              <w:rPr>
                <w:sz w:val="18"/>
                <w:szCs w:val="18"/>
                <w:color w:val="auto"/>
              </w:rPr>
            </w:pPr>
          </w:p>
        </w:tc>
      </w:tr>
      <w:tr>
        <w:trPr>
          <w:trHeight w:val="210"/>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Liabilities: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9,697</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100" w:type="dxa"/>
            <w:vAlign w:val="bottom"/>
          </w:tcPr>
          <w:p>
            <w:pPr>
              <w:spacing w:after="0"/>
              <w:rPr>
                <w:sz w:val="18"/>
                <w:szCs w:val="18"/>
                <w:color w:val="auto"/>
              </w:rPr>
            </w:pPr>
          </w:p>
        </w:tc>
      </w:tr>
      <w:tr>
        <w:trPr>
          <w:trHeight w:val="210"/>
        </w:trPr>
        <w:tc>
          <w:tcPr>
            <w:tcW w:w="75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320,476</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400,966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1"/>
        </w:trPr>
        <w:tc>
          <w:tcPr>
            <w:tcW w:w="7540" w:type="dxa"/>
            <w:vAlign w:val="bottom"/>
          </w:tcPr>
          <w:p>
            <w:pPr>
              <w:ind w:left="380"/>
              <w:spacing w:after="0" w:line="170" w:lineRule="exact"/>
              <w:rPr>
                <w:sz w:val="20"/>
                <w:szCs w:val="20"/>
                <w:color w:val="auto"/>
              </w:rPr>
            </w:pPr>
            <w:r>
              <w:rPr>
                <w:rFonts w:ascii="Times New Roman" w:cs="Times New Roman" w:eastAsia="Times New Roman" w:hAnsi="Times New Roman"/>
                <w:sz w:val="18"/>
                <w:szCs w:val="18"/>
                <w:color w:val="auto"/>
              </w:rPr>
              <w:t>Common stock, £0.50 par, unlimited authorized; 411,660,040 shares issued, 403,828,955 shares</w:t>
            </w: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5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outstanding as of September 30, 2022; 404,084,775 shares issued, 396,598,008 shares</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298,596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294,027</w:t>
            </w:r>
          </w:p>
        </w:tc>
        <w:tc>
          <w:tcPr>
            <w:tcW w:w="100" w:type="dxa"/>
            <w:vAlign w:val="bottom"/>
          </w:tcPr>
          <w:p>
            <w:pPr>
              <w:spacing w:after="0"/>
              <w:rPr>
                <w:sz w:val="20"/>
                <w:szCs w:val="20"/>
                <w:color w:val="auto"/>
              </w:rPr>
            </w:pPr>
          </w:p>
        </w:tc>
      </w:tr>
      <w:tr>
        <w:trPr>
          <w:trHeight w:val="216"/>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1,878,923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1,855,246</w:t>
            </w:r>
          </w:p>
        </w:tc>
        <w:tc>
          <w:tcPr>
            <w:tcW w:w="100" w:type="dxa"/>
            <w:vAlign w:val="bottom"/>
            <w:shd w:val="clear" w:color="auto" w:fill="CFF0FC"/>
          </w:tcPr>
          <w:p>
            <w:pPr>
              <w:spacing w:after="0"/>
              <w:rPr>
                <w:sz w:val="18"/>
                <w:szCs w:val="18"/>
                <w:color w:val="auto"/>
              </w:rPr>
            </w:pPr>
          </w:p>
        </w:tc>
      </w:tr>
      <w:tr>
        <w:trPr>
          <w:trHeight w:val="171"/>
        </w:trPr>
        <w:tc>
          <w:tcPr>
            <w:tcW w:w="7540" w:type="dxa"/>
            <w:vAlign w:val="bottom"/>
          </w:tcPr>
          <w:p>
            <w:pPr>
              <w:ind w:left="380"/>
              <w:spacing w:after="0" w:line="170" w:lineRule="exact"/>
              <w:rPr>
                <w:sz w:val="20"/>
                <w:szCs w:val="20"/>
                <w:color w:val="auto"/>
              </w:rPr>
            </w:pPr>
            <w:r>
              <w:rPr>
                <w:rFonts w:ascii="Times New Roman" w:cs="Times New Roman" w:eastAsia="Times New Roman" w:hAnsi="Times New Roman"/>
                <w:sz w:val="18"/>
                <w:szCs w:val="18"/>
                <w:color w:val="auto"/>
              </w:rPr>
              <w:t>Treasury stock; 7,831,085 shares as of September 30, 2022; 7,486,767 shares as of December</w:t>
            </w: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31, 2021</w:t>
            </w:r>
          </w:p>
        </w:tc>
        <w:tc>
          <w:tcPr>
            <w:tcW w:w="14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(61,585 )</w:t>
            </w:r>
          </w:p>
        </w:tc>
        <w:tc>
          <w:tcPr>
            <w:tcW w:w="220" w:type="dxa"/>
            <w:vAlign w:val="bottom"/>
          </w:tcPr>
          <w:p>
            <w:pPr>
              <w:spacing w:after="0"/>
              <w:rPr>
                <w:sz w:val="20"/>
                <w:szCs w:val="20"/>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(60,726 )</w:t>
            </w:r>
          </w:p>
        </w:tc>
      </w:tr>
      <w:tr>
        <w:trPr>
          <w:trHeight w:val="216"/>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(1,528,107 )</w:t>
            </w: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(1,421,448 )</w:t>
            </w:r>
          </w:p>
        </w:tc>
      </w:tr>
      <w:tr>
        <w:trPr>
          <w:trHeight w:val="210"/>
        </w:trPr>
        <w:tc>
          <w:tcPr>
            <w:tcW w:w="754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587,827</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667,099</w:t>
            </w:r>
          </w:p>
        </w:tc>
        <w:tc>
          <w:tcPr>
            <w:tcW w:w="100" w:type="dxa"/>
            <w:vAlign w:val="bottom"/>
            <w:tcBorders>
              <w:top w:val="single" w:sz="8" w:color="CFF0FC"/>
            </w:tcBorders>
          </w:tcPr>
          <w:p>
            <w:pPr>
              <w:spacing w:after="0"/>
              <w:rPr>
                <w:sz w:val="18"/>
                <w:szCs w:val="18"/>
                <w:color w:val="auto"/>
              </w:rPr>
            </w:pPr>
          </w:p>
        </w:tc>
      </w:tr>
      <w:tr>
        <w:trPr>
          <w:trHeight w:val="249"/>
        </w:trPr>
        <w:tc>
          <w:tcPr>
            <w:tcW w:w="75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908,303</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1,068,065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-4045585</wp:posOffset>
            </wp:positionV>
            <wp:extent cx="6858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-4045585</wp:posOffset>
            </wp:positionV>
            <wp:extent cx="6858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-3213735</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-2357120</wp:posOffset>
            </wp:positionV>
            <wp:extent cx="6858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-2357120</wp:posOffset>
            </wp:positionV>
            <wp:extent cx="685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-1508125</wp:posOffset>
            </wp:positionV>
            <wp:extent cx="6858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-316865</wp:posOffset>
            </wp:positionV>
            <wp:extent cx="685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ind w:left="426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2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5"/>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60" w:type="dxa"/>
            <w:vAlign w:val="bottom"/>
            <w:gridSpan w:val="5"/>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8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89,222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141,442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277,004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436,598</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tcPr>
          <w:p>
            <w:pPr>
              <w:spacing w:after="0"/>
              <w:rPr>
                <w:sz w:val="18"/>
                <w:szCs w:val="18"/>
                <w:color w:val="auto"/>
              </w:rPr>
            </w:pPr>
          </w:p>
        </w:tc>
      </w:tr>
      <w:tr>
        <w:trPr>
          <w:trHeight w:val="209"/>
        </w:trPr>
        <w:tc>
          <w:tcPr>
            <w:tcW w:w="48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revenue, net</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89,878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142,038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278,948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438,696</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90,692</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Cost of goods sold - restructuring inventory</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62,859</w:t>
            </w: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111,827</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178,880</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348,004</w:t>
            </w:r>
          </w:p>
        </w:tc>
        <w:tc>
          <w:tcPr>
            <w:tcW w:w="100" w:type="dxa"/>
            <w:vAlign w:val="bottom"/>
            <w:tcBorders>
              <w:top w:val="single" w:sz="8" w:color="CFF0FC"/>
            </w:tcBorders>
          </w:tcPr>
          <w:p>
            <w:pPr>
              <w:spacing w:after="0"/>
              <w:rPr>
                <w:sz w:val="18"/>
                <w:szCs w:val="18"/>
                <w:color w:val="auto"/>
              </w:rPr>
            </w:pP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236,285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315,966</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23,554</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13,706</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100" w:type="dxa"/>
            <w:vAlign w:val="bottom"/>
          </w:tcPr>
          <w:p>
            <w:pPr>
              <w:spacing w:after="0"/>
              <w:rPr>
                <w:sz w:val="18"/>
                <w:szCs w:val="18"/>
                <w:color w:val="auto"/>
              </w:rPr>
            </w:pPr>
          </w:p>
        </w:tc>
      </w:tr>
      <w:tr>
        <w:trPr>
          <w:trHeight w:val="209"/>
        </w:trPr>
        <w:tc>
          <w:tcPr>
            <w:tcW w:w="48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68,003</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124,900</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275,163</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18"/>
                <w:szCs w:val="18"/>
                <w:color w:val="auto"/>
              </w:rPr>
            </w:pP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 xml:space="preserve">(5,144 </w:t>
            </w:r>
            <w:r>
              <w:rPr>
                <w:rFonts w:ascii="Times New Roman" w:cs="Times New Roman" w:eastAsia="Times New Roman" w:hAnsi="Times New Roman"/>
                <w:sz w:val="18"/>
                <w:szCs w:val="18"/>
                <w:color w:val="auto"/>
                <w:highlight w:val="white"/>
              </w:rPr>
              <w:t>)</w:t>
            </w:r>
          </w:p>
        </w:tc>
        <w:tc>
          <w:tcPr>
            <w:tcW w:w="3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xml:space="preserve">(13,073 </w:t>
            </w:r>
            <w:r>
              <w:rPr>
                <w:rFonts w:ascii="Times New Roman" w:cs="Times New Roman" w:eastAsia="Times New Roman" w:hAnsi="Times New Roman"/>
                <w:sz w:val="18"/>
                <w:szCs w:val="18"/>
                <w:color w:val="auto"/>
                <w:highlight w:val="white"/>
              </w:rPr>
              <w:t>)</w:t>
            </w:r>
          </w:p>
        </w:tc>
        <w:tc>
          <w:tcPr>
            <w:tcW w:w="26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(96,283 </w:t>
            </w:r>
            <w:r>
              <w:rPr>
                <w:rFonts w:ascii="Times New Roman" w:cs="Times New Roman" w:eastAsia="Times New Roman" w:hAnsi="Times New Roman"/>
                <w:sz w:val="18"/>
                <w:szCs w:val="18"/>
                <w:color w:val="auto"/>
                <w:highlight w:val="white"/>
              </w:rPr>
              <w:t>)</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(5,631 </w:t>
            </w:r>
            <w:r>
              <w:rPr>
                <w:rFonts w:ascii="Times New Roman" w:cs="Times New Roman" w:eastAsia="Times New Roman" w:hAnsi="Times New Roman"/>
                <w:sz w:val="18"/>
                <w:szCs w:val="18"/>
                <w:color w:val="auto"/>
                <w:highlight w:val="white"/>
              </w:rPr>
              <w:t>)</w:t>
            </w: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(57 )</w:t>
            </w:r>
          </w:p>
        </w:tc>
        <w:tc>
          <w:tcPr>
            <w:tcW w:w="26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(1,990 )</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(390 )</w:t>
            </w: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(97,032</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Pr>
          <w:p>
            <w:pPr>
              <w:spacing w:after="0"/>
              <w:rPr>
                <w:sz w:val="18"/>
                <w:szCs w:val="18"/>
                <w:color w:val="auto"/>
              </w:rPr>
            </w:pP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(1,257 )</w:t>
            </w:r>
          </w:p>
        </w:tc>
        <w:tc>
          <w:tcPr>
            <w:tcW w:w="3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(184 )</w:t>
            </w:r>
          </w:p>
        </w:tc>
        <w:tc>
          <w:tcPr>
            <w:tcW w:w="26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(9,627 )</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(1,867 )</w:t>
            </w:r>
          </w:p>
        </w:tc>
      </w:tr>
      <w:tr>
        <w:trPr>
          <w:trHeight w:val="250"/>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(106,659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4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Loss per share:</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(0.01 )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(0.03 )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(0.27 )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(0.02 )</w:t>
            </w: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(0.01 )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(0.27 )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(0.02 )</w:t>
            </w: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404,614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396,618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399,944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395,681</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404,614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396,618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399,944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395,681</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-2545715</wp:posOffset>
            </wp:positionV>
            <wp:extent cx="7747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-2545715</wp:posOffset>
            </wp:positionV>
            <wp:extent cx="7683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5972175</wp:posOffset>
            </wp:positionH>
            <wp:positionV relativeFrom="paragraph">
              <wp:posOffset>-2545715</wp:posOffset>
            </wp:positionV>
            <wp:extent cx="6858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-2545715</wp:posOffset>
            </wp:positionV>
            <wp:extent cx="6858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-847725</wp:posOffset>
            </wp:positionV>
            <wp:extent cx="3128645"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28645" cy="162560"/>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52070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20" w:right="399" w:bottom="1440" w:gutter="0" w:footer="0" w:header="0"/>
        </w:sectPr>
      </w:pPr>
    </w:p>
    <w:bookmarkStart w:id="4" w:name="page5"/>
    <w:bookmarkEnd w:id="4"/>
    <w:p>
      <w:pPr>
        <w:ind w:left="434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2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40" w:type="dxa"/>
            <w:vAlign w:val="bottom"/>
          </w:tcPr>
          <w:p>
            <w:pPr>
              <w:spacing w:after="0"/>
              <w:rPr>
                <w:sz w:val="12"/>
                <w:szCs w:val="12"/>
                <w:color w:val="auto"/>
              </w:rPr>
            </w:pPr>
          </w:p>
        </w:tc>
        <w:tc>
          <w:tcPr>
            <w:tcW w:w="1280" w:type="dxa"/>
            <w:vAlign w:val="bottom"/>
            <w:gridSpan w:val="2"/>
          </w:tcPr>
          <w:p>
            <w:pPr>
              <w:jc w:val="center"/>
              <w:ind w:right="168"/>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40" w:type="dxa"/>
            <w:vAlign w:val="bottom"/>
          </w:tcPr>
          <w:p>
            <w:pPr>
              <w:spacing w:after="0"/>
              <w:rPr>
                <w:sz w:val="12"/>
                <w:szCs w:val="12"/>
                <w:color w:val="auto"/>
              </w:rPr>
            </w:pPr>
          </w:p>
        </w:tc>
        <w:tc>
          <w:tcPr>
            <w:tcW w:w="76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2"/>
                <w:szCs w:val="12"/>
                <w:color w:val="auto"/>
              </w:rPr>
            </w:pPr>
          </w:p>
        </w:tc>
        <w:tc>
          <w:tcPr>
            <w:tcW w:w="960" w:type="dxa"/>
            <w:vAlign w:val="bottom"/>
            <w:gridSpan w:val="2"/>
          </w:tcPr>
          <w:p>
            <w:pPr>
              <w:jc w:val="center"/>
              <w:ind w:right="288"/>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2"/>
                <w:szCs w:val="12"/>
                <w:color w:val="auto"/>
              </w:rPr>
            </w:pPr>
          </w:p>
        </w:tc>
        <w:tc>
          <w:tcPr>
            <w:tcW w:w="1100" w:type="dxa"/>
            <w:vAlign w:val="bottom"/>
            <w:gridSpan w:val="2"/>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2"/>
                <w:szCs w:val="12"/>
                <w:color w:val="auto"/>
              </w:rPr>
            </w:pPr>
          </w:p>
        </w:tc>
        <w:tc>
          <w:tcPr>
            <w:tcW w:w="9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5"/>
                <w:szCs w:val="15"/>
                <w:color w:val="auto"/>
              </w:rPr>
            </w:pPr>
          </w:p>
        </w:tc>
        <w:tc>
          <w:tcPr>
            <w:tcW w:w="1280" w:type="dxa"/>
            <w:vAlign w:val="bottom"/>
            <w:gridSpan w:val="2"/>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76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5"/>
                <w:szCs w:val="15"/>
                <w:color w:val="auto"/>
              </w:rPr>
            </w:pPr>
          </w:p>
        </w:tc>
        <w:tc>
          <w:tcPr>
            <w:tcW w:w="960" w:type="dxa"/>
            <w:vAlign w:val="bottom"/>
            <w:gridSpan w:val="2"/>
          </w:tcPr>
          <w:p>
            <w:pPr>
              <w:jc w:val="center"/>
              <w:ind w:right="288"/>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5"/>
                <w:szCs w:val="15"/>
                <w:color w:val="auto"/>
              </w:rPr>
            </w:pPr>
          </w:p>
        </w:tc>
        <w:tc>
          <w:tcPr>
            <w:tcW w:w="1100" w:type="dxa"/>
            <w:vAlign w:val="bottom"/>
            <w:gridSpan w:val="2"/>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404,084,775</w:t>
            </w:r>
          </w:p>
        </w:tc>
        <w:tc>
          <w:tcPr>
            <w:tcW w:w="240" w:type="dxa"/>
            <w:vAlign w:val="bottom"/>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(7,486,767</w:t>
            </w:r>
          </w:p>
        </w:tc>
        <w:tc>
          <w:tcPr>
            <w:tcW w:w="2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294,027</w:t>
            </w: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1,855,246</w:t>
            </w: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(60,726</w:t>
            </w:r>
          </w:p>
        </w:tc>
        <w:tc>
          <w:tcPr>
            <w:tcW w:w="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(1,421,448</w:t>
            </w:r>
          </w:p>
        </w:tc>
        <w:tc>
          <w:tcPr>
            <w:tcW w:w="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667,099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10,602</w:t>
            </w:r>
          </w:p>
        </w:tc>
        <w:tc>
          <w:tcPr>
            <w:tcW w:w="240" w:type="dxa"/>
            <w:vAlign w:val="bottom"/>
          </w:tcPr>
          <w:p>
            <w:pPr>
              <w:spacing w:after="0"/>
              <w:rPr>
                <w:sz w:val="15"/>
                <w:szCs w:val="15"/>
                <w:color w:val="auto"/>
              </w:rPr>
            </w:pPr>
          </w:p>
        </w:tc>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493,381</w:t>
            </w:r>
          </w:p>
        </w:tc>
        <w:tc>
          <w:tcPr>
            <w:tcW w:w="1520" w:type="dxa"/>
            <w:vAlign w:val="bottom"/>
            <w:gridSpan w:val="3"/>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(161,083 )</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(331 )</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(535 )</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(535 )</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for the period</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(31,563 )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(31,563 )</w:t>
            </w:r>
          </w:p>
        </w:tc>
        <w:tc>
          <w:tcPr>
            <w:tcW w:w="0" w:type="dxa"/>
            <w:vAlign w:val="bottom"/>
          </w:tcPr>
          <w:p>
            <w:pPr>
              <w:spacing w:after="0"/>
              <w:rPr>
                <w:sz w:val="1"/>
                <w:szCs w:val="1"/>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404,588,758</w:t>
            </w:r>
          </w:p>
        </w:tc>
        <w:tc>
          <w:tcPr>
            <w:tcW w:w="240" w:type="dxa"/>
            <w:vAlign w:val="bottom"/>
          </w:tcPr>
          <w:p>
            <w:pPr>
              <w:spacing w:after="0"/>
              <w:rPr>
                <w:sz w:val="14"/>
                <w:szCs w:val="14"/>
                <w:color w:val="auto"/>
              </w:rPr>
            </w:pP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(7,647,850 )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294,364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1,861,017</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(61,261 )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(1,453,011 )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641,109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92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Issuance of common stock under employee</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265,214</w:t>
            </w:r>
          </w:p>
        </w:tc>
        <w:tc>
          <w:tcPr>
            <w:tcW w:w="240" w:type="dxa"/>
            <w:vAlign w:val="bottom"/>
            <w:shd w:val="clear" w:color="auto" w:fill="CFF0FC"/>
          </w:tcPr>
          <w:p>
            <w:pPr>
              <w:spacing w:after="0"/>
              <w:rPr>
                <w:sz w:val="10"/>
                <w:szCs w:val="10"/>
                <w:color w:val="auto"/>
              </w:rPr>
            </w:pPr>
          </w:p>
        </w:tc>
        <w:tc>
          <w:tcPr>
            <w:tcW w:w="1280" w:type="dxa"/>
            <w:vAlign w:val="bottom"/>
            <w:gridSpan w:val="2"/>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9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108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8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6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6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920" w:type="dxa"/>
            <w:vAlign w:val="bottom"/>
            <w:vMerge w:val="continue"/>
            <w:shd w:val="clear" w:color="auto" w:fill="CFF0FC"/>
          </w:tcPr>
          <w:p>
            <w:pPr>
              <w:spacing w:after="0"/>
              <w:rPr>
                <w:sz w:val="6"/>
                <w:szCs w:val="6"/>
                <w:color w:val="auto"/>
              </w:rPr>
            </w:pPr>
          </w:p>
        </w:tc>
        <w:tc>
          <w:tcPr>
            <w:tcW w:w="108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0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8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14,645</w:t>
            </w:r>
          </w:p>
        </w:tc>
        <w:tc>
          <w:tcPr>
            <w:tcW w:w="240" w:type="dxa"/>
            <w:vAlign w:val="bottom"/>
          </w:tcPr>
          <w:p>
            <w:pPr>
              <w:spacing w:after="0"/>
              <w:rPr>
                <w:sz w:val="15"/>
                <w:szCs w:val="15"/>
                <w:color w:val="auto"/>
              </w:rPr>
            </w:pPr>
          </w:p>
        </w:tc>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187,835</w:t>
            </w:r>
          </w:p>
        </w:tc>
        <w:tc>
          <w:tcPr>
            <w:tcW w:w="1520" w:type="dxa"/>
            <w:vAlign w:val="bottom"/>
            <w:gridSpan w:val="3"/>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(61,551 )</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(120 )</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(158 )</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(158 )</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for the period</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(69,956 )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(69,956 )</w:t>
            </w:r>
          </w:p>
        </w:tc>
        <w:tc>
          <w:tcPr>
            <w:tcW w:w="0" w:type="dxa"/>
            <w:vAlign w:val="bottom"/>
          </w:tcPr>
          <w:p>
            <w:pPr>
              <w:spacing w:after="0"/>
              <w:rPr>
                <w:sz w:val="1"/>
                <w:szCs w:val="1"/>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405,056,452</w:t>
            </w:r>
          </w:p>
        </w:tc>
        <w:tc>
          <w:tcPr>
            <w:tcW w:w="240" w:type="dxa"/>
            <w:vAlign w:val="bottom"/>
          </w:tcPr>
          <w:p>
            <w:pPr>
              <w:spacing w:after="0"/>
              <w:rPr>
                <w:sz w:val="14"/>
                <w:szCs w:val="14"/>
                <w:color w:val="auto"/>
              </w:rPr>
            </w:pP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(7,709,401 )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294,659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1,869,770</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(61,419 )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(1,522,967 )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580,043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92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Issuance of common stock for milestone</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5,817,942</w:t>
            </w:r>
          </w:p>
        </w:tc>
        <w:tc>
          <w:tcPr>
            <w:tcW w:w="2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3,461</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4,742</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8,203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9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payment</w:t>
            </w:r>
          </w:p>
        </w:tc>
        <w:tc>
          <w:tcPr>
            <w:tcW w:w="108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6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920" w:type="dxa"/>
            <w:vAlign w:val="bottom"/>
            <w:vMerge w:val="continue"/>
            <w:shd w:val="clear" w:color="auto" w:fill="CFF0FC"/>
          </w:tcPr>
          <w:p>
            <w:pPr>
              <w:spacing w:after="0"/>
              <w:rPr>
                <w:sz w:val="6"/>
                <w:szCs w:val="6"/>
                <w:color w:val="auto"/>
              </w:rPr>
            </w:pPr>
          </w:p>
        </w:tc>
        <w:tc>
          <w:tcPr>
            <w:tcW w:w="108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0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8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8,056</w:t>
            </w:r>
          </w:p>
        </w:tc>
        <w:tc>
          <w:tcPr>
            <w:tcW w:w="240" w:type="dxa"/>
            <w:vAlign w:val="bottom"/>
          </w:tcPr>
          <w:p>
            <w:pPr>
              <w:spacing w:after="0"/>
              <w:rPr>
                <w:sz w:val="15"/>
                <w:szCs w:val="15"/>
                <w:color w:val="auto"/>
              </w:rPr>
            </w:pPr>
          </w:p>
        </w:tc>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777,590</w:t>
            </w:r>
          </w:p>
        </w:tc>
        <w:tc>
          <w:tcPr>
            <w:tcW w:w="1520" w:type="dxa"/>
            <w:vAlign w:val="bottom"/>
            <w:gridSpan w:val="3"/>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(121,684 )</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(471 )</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(166 )</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(166 )</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for the period</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(5,140 )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(5,140 )</w:t>
            </w:r>
          </w:p>
        </w:tc>
        <w:tc>
          <w:tcPr>
            <w:tcW w:w="0" w:type="dxa"/>
            <w:vAlign w:val="bottom"/>
          </w:tcPr>
          <w:p>
            <w:pPr>
              <w:spacing w:after="0"/>
              <w:rPr>
                <w:sz w:val="1"/>
                <w:szCs w:val="1"/>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411,660,040</w:t>
            </w:r>
          </w:p>
        </w:tc>
        <w:tc>
          <w:tcPr>
            <w:tcW w:w="240" w:type="dxa"/>
            <w:vAlign w:val="bottom"/>
          </w:tcPr>
          <w:p>
            <w:pPr>
              <w:spacing w:after="0"/>
              <w:rPr>
                <w:sz w:val="14"/>
                <w:szCs w:val="14"/>
                <w:color w:val="auto"/>
              </w:rPr>
            </w:pP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(7,831,085 )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298,596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1,878,923</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(61,585 )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(1,528,107 )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587,827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40" w:type="dxa"/>
            <w:vAlign w:val="bottom"/>
          </w:tcPr>
          <w:p>
            <w:pPr>
              <w:spacing w:after="0"/>
              <w:rPr>
                <w:sz w:val="12"/>
                <w:szCs w:val="12"/>
                <w:color w:val="auto"/>
              </w:rPr>
            </w:pPr>
          </w:p>
        </w:tc>
        <w:tc>
          <w:tcPr>
            <w:tcW w:w="1280" w:type="dxa"/>
            <w:vAlign w:val="bottom"/>
            <w:gridSpan w:val="2"/>
          </w:tcPr>
          <w:p>
            <w:pPr>
              <w:jc w:val="center"/>
              <w:ind w:right="168"/>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40" w:type="dxa"/>
            <w:vAlign w:val="bottom"/>
          </w:tcPr>
          <w:p>
            <w:pPr>
              <w:spacing w:after="0"/>
              <w:rPr>
                <w:sz w:val="12"/>
                <w:szCs w:val="12"/>
                <w:color w:val="auto"/>
              </w:rPr>
            </w:pPr>
          </w:p>
        </w:tc>
        <w:tc>
          <w:tcPr>
            <w:tcW w:w="76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2"/>
                <w:szCs w:val="12"/>
                <w:color w:val="auto"/>
              </w:rPr>
            </w:pPr>
          </w:p>
        </w:tc>
        <w:tc>
          <w:tcPr>
            <w:tcW w:w="960" w:type="dxa"/>
            <w:vAlign w:val="bottom"/>
            <w:gridSpan w:val="2"/>
          </w:tcPr>
          <w:p>
            <w:pPr>
              <w:jc w:val="center"/>
              <w:ind w:right="288"/>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2"/>
                <w:szCs w:val="12"/>
                <w:color w:val="auto"/>
              </w:rPr>
            </w:pPr>
          </w:p>
        </w:tc>
        <w:tc>
          <w:tcPr>
            <w:tcW w:w="1100" w:type="dxa"/>
            <w:vAlign w:val="bottom"/>
            <w:gridSpan w:val="2"/>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2"/>
                <w:szCs w:val="12"/>
                <w:color w:val="auto"/>
              </w:rPr>
            </w:pPr>
          </w:p>
        </w:tc>
        <w:tc>
          <w:tcPr>
            <w:tcW w:w="9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5"/>
                <w:szCs w:val="15"/>
                <w:color w:val="auto"/>
              </w:rPr>
            </w:pPr>
          </w:p>
        </w:tc>
        <w:tc>
          <w:tcPr>
            <w:tcW w:w="1280" w:type="dxa"/>
            <w:vAlign w:val="bottom"/>
            <w:gridSpan w:val="2"/>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76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5"/>
                <w:szCs w:val="15"/>
                <w:color w:val="auto"/>
              </w:rPr>
            </w:pPr>
          </w:p>
        </w:tc>
        <w:tc>
          <w:tcPr>
            <w:tcW w:w="960" w:type="dxa"/>
            <w:vAlign w:val="bottom"/>
            <w:gridSpan w:val="2"/>
          </w:tcPr>
          <w:p>
            <w:pPr>
              <w:jc w:val="center"/>
              <w:ind w:right="288"/>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5"/>
                <w:szCs w:val="15"/>
                <w:color w:val="auto"/>
              </w:rPr>
            </w:pPr>
          </w:p>
        </w:tc>
        <w:tc>
          <w:tcPr>
            <w:tcW w:w="1100" w:type="dxa"/>
            <w:vAlign w:val="bottom"/>
            <w:gridSpan w:val="2"/>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398,425,000</w:t>
            </w:r>
          </w:p>
        </w:tc>
        <w:tc>
          <w:tcPr>
            <w:tcW w:w="24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(5,886,919</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290,115</w:t>
            </w:r>
          </w:p>
        </w:tc>
        <w:tc>
          <w:tcPr>
            <w:tcW w:w="2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1,817,649</w:t>
            </w:r>
          </w:p>
        </w:tc>
        <w:tc>
          <w:tcPr>
            <w:tcW w:w="2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(51,082</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(1,429,177</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627,505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783,320</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2,447,405</w:t>
            </w:r>
          </w:p>
        </w:tc>
        <w:tc>
          <w:tcPr>
            <w:tcW w:w="152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(1,003,965 )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(1,709 )</w:t>
            </w:r>
          </w:p>
        </w:tc>
        <w:tc>
          <w:tcPr>
            <w:tcW w:w="140" w:type="dxa"/>
            <w:vAlign w:val="bottom"/>
          </w:tcPr>
          <w:p>
            <w:pPr>
              <w:spacing w:after="0"/>
              <w:rPr>
                <w:sz w:val="15"/>
                <w:szCs w:val="15"/>
                <w:color w:val="auto"/>
              </w:rPr>
            </w:pP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(7,252 )</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(7,252 )</w:t>
            </w:r>
          </w:p>
        </w:tc>
        <w:tc>
          <w:tcPr>
            <w:tcW w:w="0" w:type="dxa"/>
            <w:vAlign w:val="bottom"/>
          </w:tcPr>
          <w:p>
            <w:pPr>
              <w:spacing w:after="0"/>
              <w:rPr>
                <w:sz w:val="1"/>
                <w:szCs w:val="1"/>
                <w:color w:val="auto"/>
              </w:rPr>
            </w:pPr>
          </w:p>
        </w:tc>
      </w:tr>
      <w:tr>
        <w:trPr>
          <w:trHeight w:val="175"/>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13,925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for the period</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(1,626 )</w:t>
            </w:r>
          </w:p>
        </w:tc>
        <w:tc>
          <w:tcPr>
            <w:tcW w:w="2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(1,626 )</w:t>
            </w:r>
          </w:p>
        </w:tc>
        <w:tc>
          <w:tcPr>
            <w:tcW w:w="0" w:type="dxa"/>
            <w:vAlign w:val="bottom"/>
          </w:tcPr>
          <w:p>
            <w:pPr>
              <w:spacing w:after="0"/>
              <w:rPr>
                <w:sz w:val="1"/>
                <w:szCs w:val="1"/>
                <w:color w:val="auto"/>
              </w:rPr>
            </w:pPr>
          </w:p>
        </w:tc>
      </w:tr>
      <w:tr>
        <w:trPr>
          <w:trHeight w:val="209"/>
        </w:trPr>
        <w:tc>
          <w:tcPr>
            <w:tcW w:w="2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401,655,725</w:t>
            </w:r>
          </w:p>
        </w:tc>
        <w:tc>
          <w:tcPr>
            <w:tcW w:w="2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(6,890,884</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292,360</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1,831,388</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(58,334</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(1,430,803</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634,611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Issuance of common stock under employee</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226,402</w:t>
            </w:r>
          </w:p>
        </w:tc>
        <w:tc>
          <w:tcPr>
            <w:tcW w:w="240" w:type="dxa"/>
            <w:vAlign w:val="bottom"/>
          </w:tcPr>
          <w:p>
            <w:pPr>
              <w:spacing w:after="0"/>
              <w:rPr>
                <w:sz w:val="10"/>
                <w:szCs w:val="10"/>
                <w:color w:val="auto"/>
              </w:rPr>
            </w:pPr>
          </w:p>
        </w:tc>
        <w:tc>
          <w:tcPr>
            <w:tcW w:w="12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27,139</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346,010</w:t>
            </w:r>
          </w:p>
        </w:tc>
        <w:tc>
          <w:tcPr>
            <w:tcW w:w="152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(142,204 )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(242 )</w:t>
            </w:r>
          </w:p>
        </w:tc>
        <w:tc>
          <w:tcPr>
            <w:tcW w:w="140" w:type="dxa"/>
            <w:vAlign w:val="bottom"/>
          </w:tcPr>
          <w:p>
            <w:pPr>
              <w:spacing w:after="0"/>
              <w:rPr>
                <w:sz w:val="15"/>
                <w:szCs w:val="15"/>
                <w:color w:val="auto"/>
              </w:rPr>
            </w:pP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(677 )</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(677 )</w:t>
            </w:r>
          </w:p>
        </w:tc>
        <w:tc>
          <w:tcPr>
            <w:tcW w:w="0" w:type="dxa"/>
            <w:vAlign w:val="bottom"/>
          </w:tcPr>
          <w:p>
            <w:pPr>
              <w:spacing w:after="0"/>
              <w:rPr>
                <w:sz w:val="1"/>
                <w:szCs w:val="1"/>
                <w:color w:val="auto"/>
              </w:rPr>
            </w:pPr>
          </w:p>
        </w:tc>
      </w:tr>
      <w:tr>
        <w:trPr>
          <w:trHeight w:val="175"/>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for the period</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402,255,276</w:t>
            </w:r>
          </w:p>
        </w:tc>
        <w:tc>
          <w:tcPr>
            <w:tcW w:w="2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(7,033,088</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292,782</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1,834,548</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(59,011</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(1,422,995</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645,324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9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Exercise of stock options</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184,462</w:t>
            </w:r>
          </w:p>
        </w:tc>
        <w:tc>
          <w:tcPr>
            <w:tcW w:w="240" w:type="dxa"/>
            <w:vAlign w:val="bottom"/>
          </w:tcPr>
          <w:p>
            <w:pPr>
              <w:spacing w:after="0"/>
              <w:rPr>
                <w:sz w:val="13"/>
                <w:szCs w:val="13"/>
                <w:color w:val="auto"/>
              </w:rPr>
            </w:pPr>
          </w:p>
        </w:tc>
        <w:tc>
          <w:tcPr>
            <w:tcW w:w="1280" w:type="dxa"/>
            <w:vAlign w:val="bottom"/>
            <w:gridSpan w:val="2"/>
          </w:tcPr>
          <w:p>
            <w:pPr>
              <w:jc w:val="right"/>
              <w:ind w:right="1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128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353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481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332,491</w:t>
            </w:r>
          </w:p>
        </w:tc>
        <w:tc>
          <w:tcPr>
            <w:tcW w:w="1520" w:type="dxa"/>
            <w:vAlign w:val="bottom"/>
            <w:gridSpan w:val="3"/>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(125,735 )</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(230 )</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(591 )</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(591 )</w:t>
            </w: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for the period</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(13,151 )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(13,151 )</w:t>
            </w:r>
          </w:p>
        </w:tc>
        <w:tc>
          <w:tcPr>
            <w:tcW w:w="0" w:type="dxa"/>
            <w:vAlign w:val="bottom"/>
          </w:tcPr>
          <w:p>
            <w:pPr>
              <w:spacing w:after="0"/>
              <w:rPr>
                <w:sz w:val="1"/>
                <w:szCs w:val="1"/>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402,772,229</w:t>
            </w:r>
          </w:p>
        </w:tc>
        <w:tc>
          <w:tcPr>
            <w:tcW w:w="240" w:type="dxa"/>
            <w:vAlign w:val="bottom"/>
          </w:tcPr>
          <w:p>
            <w:pPr>
              <w:spacing w:after="0"/>
              <w:rPr>
                <w:sz w:val="14"/>
                <w:szCs w:val="14"/>
                <w:color w:val="auto"/>
              </w:rPr>
            </w:pP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(7,158,823 )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293,140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1,845,103</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(59,602 )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(1,436,146 )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642,495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-4259580</wp:posOffset>
            </wp:positionV>
            <wp:extent cx="7683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-4259580</wp:posOffset>
            </wp:positionV>
            <wp:extent cx="7747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-4259580</wp:posOffset>
            </wp:positionV>
            <wp:extent cx="7747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-4259580</wp:posOffset>
            </wp:positionV>
            <wp:extent cx="6858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-4259580</wp:posOffset>
            </wp:positionV>
            <wp:extent cx="6858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-4259580</wp:posOffset>
            </wp:positionV>
            <wp:extent cx="6858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-4259580</wp:posOffset>
            </wp:positionV>
            <wp:extent cx="6858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-3462655</wp:posOffset>
            </wp:positionV>
            <wp:extent cx="76835"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-3462655</wp:posOffset>
            </wp:positionV>
            <wp:extent cx="7747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-3462655</wp:posOffset>
            </wp:positionV>
            <wp:extent cx="7747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-3462655</wp:posOffset>
            </wp:positionV>
            <wp:extent cx="6858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-3462655</wp:posOffset>
            </wp:positionV>
            <wp:extent cx="6858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-3462655</wp:posOffset>
            </wp:positionV>
            <wp:extent cx="6858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-3462655</wp:posOffset>
            </wp:positionV>
            <wp:extent cx="6858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-2665095</wp:posOffset>
            </wp:positionV>
            <wp:extent cx="76835"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-2665095</wp:posOffset>
            </wp:positionV>
            <wp:extent cx="7747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-2665095</wp:posOffset>
            </wp:positionV>
            <wp:extent cx="7747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-2665095</wp:posOffset>
            </wp:positionV>
            <wp:extent cx="6858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-2665095</wp:posOffset>
            </wp:positionV>
            <wp:extent cx="6858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-2665095</wp:posOffset>
            </wp:positionV>
            <wp:extent cx="6858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-1414145</wp:posOffset>
            </wp:positionV>
            <wp:extent cx="4603115" cy="2317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603115" cy="23177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-616585</wp:posOffset>
            </wp:positionV>
            <wp:extent cx="460311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603115" cy="13716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-145415</wp:posOffset>
            </wp:positionV>
            <wp:extent cx="7683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-145415</wp:posOffset>
            </wp:positionV>
            <wp:extent cx="7747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-145415</wp:posOffset>
            </wp:positionV>
            <wp:extent cx="7747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-145415</wp:posOffset>
            </wp:positionV>
            <wp:extent cx="6858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-145415</wp:posOffset>
            </wp:positionV>
            <wp:extent cx="6858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-145415</wp:posOffset>
            </wp:positionV>
            <wp:extent cx="6858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376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2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70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(106,659 )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(6,969 )</w:t>
            </w: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loss to net cash used in operating activities:</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investments</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40,274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8"/>
                <w:szCs w:val="18"/>
                <w:color w:val="auto"/>
              </w:rPr>
            </w:pPr>
          </w:p>
        </w:tc>
        <w:tc>
          <w:tcPr>
            <w:tcW w:w="13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(59,640 )</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(120,404 )</w:t>
            </w: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(5,706 )</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receivable</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8"/>
                <w:szCs w:val="18"/>
                <w:color w:val="auto"/>
              </w:rPr>
            </w:pPr>
          </w:p>
        </w:tc>
        <w:tc>
          <w:tcPr>
            <w:tcW w:w="13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(1,012 )</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(1,500 )</w:t>
            </w: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(74,672 )</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(995 )</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(181,644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Maturities of securities</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240,614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312,150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securities</w:t>
            </w:r>
          </w:p>
        </w:tc>
        <w:tc>
          <w:tcPr>
            <w:tcW w:w="280" w:type="dxa"/>
            <w:vAlign w:val="bottom"/>
          </w:tcPr>
          <w:p>
            <w:pPr>
              <w:spacing w:after="0"/>
              <w:rPr>
                <w:sz w:val="18"/>
                <w:szCs w:val="18"/>
                <w:color w:val="auto"/>
              </w:rPr>
            </w:pPr>
          </w:p>
        </w:tc>
        <w:tc>
          <w:tcPr>
            <w:tcW w:w="13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(37,507 )</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(233,067 )</w:t>
            </w: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 of furniture, fixtures and equipment</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20" w:type="dxa"/>
            <w:vAlign w:val="bottom"/>
            <w:tcBorders>
              <w:top w:val="single" w:sz="8" w:color="CFF0FC"/>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203,107</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79,087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common stock, net of transaction costs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 net of transaction costs</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paid related to stock-based awards</w:t>
            </w:r>
          </w:p>
        </w:tc>
        <w:tc>
          <w:tcPr>
            <w:tcW w:w="280" w:type="dxa"/>
            <w:vAlign w:val="bottom"/>
          </w:tcPr>
          <w:p>
            <w:pPr>
              <w:spacing w:after="0"/>
              <w:rPr>
                <w:sz w:val="18"/>
                <w:szCs w:val="18"/>
                <w:color w:val="auto"/>
              </w:rPr>
            </w:pPr>
          </w:p>
        </w:tc>
        <w:tc>
          <w:tcPr>
            <w:tcW w:w="13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(859 )</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(8,520 )</w:t>
            </w:r>
          </w:p>
        </w:tc>
        <w:tc>
          <w:tcPr>
            <w:tcW w:w="0" w:type="dxa"/>
            <w:vAlign w:val="bottom"/>
          </w:tcPr>
          <w:p>
            <w:pPr>
              <w:spacing w:after="0"/>
              <w:rPr>
                <w:sz w:val="1"/>
                <w:szCs w:val="1"/>
                <w:color w:val="auto"/>
              </w:rPr>
            </w:pPr>
          </w:p>
        </w:tc>
      </w:tr>
      <w:tr>
        <w:trPr>
          <w:trHeight w:val="209"/>
        </w:trPr>
        <w:tc>
          <w:tcPr>
            <w:tcW w:w="702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64"/>
        </w:trPr>
        <w:tc>
          <w:tcPr>
            <w:tcW w:w="702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NET INCREASE IN CASH AND CASH EQUIVALENTS AND</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21,046</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02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CASH AND CASH EQUIVALENTS AND RESTRICTED CASH, BEGINNING OF</w:t>
            </w:r>
          </w:p>
        </w:tc>
        <w:tc>
          <w:tcPr>
            <w:tcW w:w="28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223,372</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PERIOD</w:t>
            </w:r>
          </w:p>
        </w:tc>
        <w:tc>
          <w:tcPr>
            <w:tcW w:w="2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244,418</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received during the year for:</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0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(1,490 )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0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non-cash transactions:</w:t>
            </w: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Initial recognition of operating lease right-of-use asset</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Laxdale Milestone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-2965450</wp:posOffset>
            </wp:positionV>
            <wp:extent cx="6858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-2965450</wp:posOffset>
            </wp:positionV>
            <wp:extent cx="60325"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-2407920</wp:posOffset>
            </wp:positionV>
            <wp:extent cx="6858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-2407920</wp:posOffset>
            </wp:positionV>
            <wp:extent cx="6032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-1559560</wp:posOffset>
            </wp:positionV>
            <wp:extent cx="68580" cy="2660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-1559560</wp:posOffset>
            </wp:positionV>
            <wp:extent cx="60325" cy="2660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26606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-1045210</wp:posOffset>
            </wp:positionV>
            <wp:extent cx="685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-1045210</wp:posOffset>
            </wp:positionV>
            <wp:extent cx="6032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-462280</wp:posOffset>
            </wp:positionV>
            <wp:extent cx="1080135"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80135" cy="163195"/>
                    </a:xfrm>
                    <a:prstGeom prst="rect">
                      <a:avLst/>
                    </a:prstGeom>
                    <a:noFill/>
                  </pic:spPr>
                </pic:pic>
              </a:graphicData>
            </a:graphic>
          </wp:anchor>
        </w:drawing>
      </w: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20" w:right="8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Quarterly Report on Form 10-Q, ordinary shares may also be referred to as “common shares” or “common stock.”</w:t>
      </w:r>
    </w:p>
    <w:p>
      <w:pPr>
        <w:spacing w:after="0" w:line="31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Nature of Business and Basis of Presentation</w:t>
      </w:r>
    </w:p>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Business</w:t>
      </w:r>
    </w:p>
    <w:p>
      <w:pPr>
        <w:spacing w:after="0" w:line="10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Amarin Corporation plc, or Amarin, or the Company, is a pharmaceutical company focused on the commercialization and development of therapeutics to improve cardiovascular, or CV, health and reduce CV risk. Most of the Company’s historical revenue and sales, marketing and administrative activities and costs have been associated with commercial operations in the United States, or U.S. The Company has launched commercial operations in certain European countries, such as the United Kingdom, or the UK, and continues pre-launch commercial activities throughout the rest of Europe. The Company’s operations outside of the U.S. and Europe are in early stages of development with reliance on third-party commercial partners in select geographies, including China where regulatory approval for the Company’s lead product is being actively sought.</w:t>
      </w:r>
    </w:p>
    <w:p>
      <w:pPr>
        <w:spacing w:after="0" w:line="79"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18"/>
          <w:szCs w:val="18"/>
          <w:color w:val="auto"/>
        </w:rPr>
        <w:t>The Company’s lead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was first approved by the U.S. Food and Drug Administration, or U.S. FDA, in July 2012 for use as an adjunct to diet to reduce triglyceride, or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hypertriglyceridemia. In January 2013, the Company launched 1-gram size VASCEPA in the U.S. and in October 2016, introduced a smaller 0.5-gram capsule size. On December 13, 2019, the U.S. FDA approved another indication and label expansion for VASCEPA based on the results of the Company’s long-term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approved by the U.S. FDA as an adjunct to maximally tolerated statin therapy for reducing persistent cardiovascular risk in select high risk patients.</w:t>
      </w:r>
    </w:p>
    <w:p>
      <w:pPr>
        <w:spacing w:after="0" w:line="7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or, collectively, the Defendants, that declared as invalid several of the Company's patents covering the first U.S. FDA-approved use of its drug, for use to reduce severely high triglyceride levels, which is known as the MARINE indication. The Company sought appeals of the Nevada Court judgment up to the United States Supreme Court, but the Company was unsuccessful. On June 18, 2021, the Company was notified that its petition for writ of certiorari to the United States Supreme Court was denied. As a result, the following generic versions of VASCEPA have obtained U.S. FDA approval with labeling consistent with the MARINE indication of VASCEPA and have entered the U.S. market:</w:t>
      </w:r>
    </w:p>
    <w:p>
      <w:pPr>
        <w:spacing w:after="0" w:line="297"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60" w:type="dxa"/>
            <w:vAlign w:val="bottom"/>
          </w:tcPr>
          <w:p>
            <w:pPr>
              <w:spacing w:after="0"/>
              <w:rPr>
                <w:sz w:val="16"/>
                <w:szCs w:val="16"/>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4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 Approval</w:t>
            </w:r>
          </w:p>
        </w:tc>
        <w:tc>
          <w:tcPr>
            <w:tcW w:w="34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r>
      <w:tr>
        <w:trPr>
          <w:trHeight w:val="210"/>
        </w:trPr>
        <w:tc>
          <w:tcPr>
            <w:tcW w:w="6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340" w:type="dxa"/>
            <w:vAlign w:val="bottom"/>
            <w:shd w:val="clear" w:color="auto" w:fill="CFF0FC"/>
          </w:tcPr>
          <w:p>
            <w:pPr>
              <w:spacing w:after="0"/>
              <w:rPr>
                <w:sz w:val="18"/>
                <w:szCs w:val="18"/>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2020</w:t>
            </w:r>
          </w:p>
        </w:tc>
        <w:tc>
          <w:tcPr>
            <w:tcW w:w="340" w:type="dxa"/>
            <w:vAlign w:val="bottom"/>
            <w:shd w:val="clear" w:color="auto" w:fill="CFF0FC"/>
          </w:tcPr>
          <w:p>
            <w:pPr>
              <w:spacing w:after="0"/>
              <w:rPr>
                <w:sz w:val="18"/>
                <w:szCs w:val="18"/>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November 2020</w:t>
            </w:r>
          </w:p>
        </w:tc>
      </w:tr>
      <w:tr>
        <w:trPr>
          <w:trHeight w:val="164"/>
        </w:trPr>
        <w:tc>
          <w:tcPr>
            <w:tcW w:w="60" w:type="dxa"/>
            <w:vAlign w:val="bottom"/>
          </w:tcPr>
          <w:p>
            <w:pPr>
              <w:spacing w:after="0"/>
              <w:rPr>
                <w:sz w:val="14"/>
                <w:szCs w:val="14"/>
                <w:color w:val="auto"/>
              </w:rPr>
            </w:pPr>
          </w:p>
        </w:tc>
        <w:tc>
          <w:tcPr>
            <w:tcW w:w="478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Dr. Reddy’s Laboratories, Inc.</w:t>
            </w:r>
          </w:p>
        </w:tc>
        <w:tc>
          <w:tcPr>
            <w:tcW w:w="340" w:type="dxa"/>
            <w:vAlign w:val="bottom"/>
          </w:tcPr>
          <w:p>
            <w:pPr>
              <w:spacing w:after="0"/>
              <w:rPr>
                <w:sz w:val="14"/>
                <w:szCs w:val="14"/>
                <w:color w:val="auto"/>
              </w:rPr>
            </w:pPr>
          </w:p>
        </w:tc>
        <w:tc>
          <w:tcPr>
            <w:tcW w:w="232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August 2020</w:t>
            </w:r>
          </w:p>
        </w:tc>
        <w:tc>
          <w:tcPr>
            <w:tcW w:w="340" w:type="dxa"/>
            <w:vAlign w:val="bottom"/>
          </w:tcPr>
          <w:p>
            <w:pPr>
              <w:spacing w:after="0"/>
              <w:rPr>
                <w:sz w:val="14"/>
                <w:szCs w:val="14"/>
                <w:color w:val="auto"/>
              </w:rPr>
            </w:pPr>
          </w:p>
        </w:tc>
        <w:tc>
          <w:tcPr>
            <w:tcW w:w="232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June 2021</w:t>
            </w:r>
          </w:p>
        </w:tc>
      </w:tr>
      <w:tr>
        <w:trPr>
          <w:trHeight w:val="268"/>
        </w:trPr>
        <w:tc>
          <w:tcPr>
            <w:tcW w:w="60" w:type="dxa"/>
            <w:vAlign w:val="bottom"/>
          </w:tcPr>
          <w:p>
            <w:pPr>
              <w:spacing w:after="0"/>
              <w:rPr>
                <w:sz w:val="23"/>
                <w:szCs w:val="23"/>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340" w:type="dxa"/>
            <w:vAlign w:val="bottom"/>
          </w:tcPr>
          <w:p>
            <w:pPr>
              <w:spacing w:after="0"/>
              <w:rPr>
                <w:sz w:val="23"/>
                <w:szCs w:val="2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2020</w:t>
            </w:r>
          </w:p>
        </w:tc>
        <w:tc>
          <w:tcPr>
            <w:tcW w:w="340" w:type="dxa"/>
            <w:vAlign w:val="bottom"/>
          </w:tcPr>
          <w:p>
            <w:pPr>
              <w:spacing w:after="0"/>
              <w:rPr>
                <w:sz w:val="23"/>
                <w:szCs w:val="23"/>
                <w:color w:val="auto"/>
              </w:rPr>
            </w:pPr>
          </w:p>
        </w:tc>
        <w:tc>
          <w:tcPr>
            <w:tcW w:w="2320" w:type="dxa"/>
            <w:vAlign w:val="bottom"/>
          </w:tcPr>
          <w:p>
            <w:pPr>
              <w:jc w:val="center"/>
              <w:spacing w:after="0" w:line="267" w:lineRule="exact"/>
              <w:rPr>
                <w:sz w:val="20"/>
                <w:szCs w:val="20"/>
                <w:color w:val="auto"/>
              </w:rPr>
            </w:pPr>
            <w:r>
              <w:rPr>
                <w:rFonts w:ascii="Times New Roman" w:cs="Times New Roman" w:eastAsia="Times New Roman" w:hAnsi="Times New Roman"/>
                <w:sz w:val="18"/>
                <w:szCs w:val="18"/>
                <w:color w:val="auto"/>
                <w:w w:val="96"/>
              </w:rPr>
              <w:t xml:space="preserve">September 2022 </w:t>
            </w:r>
            <w:r>
              <w:rPr>
                <w:rFonts w:ascii="Times New Roman" w:cs="Times New Roman" w:eastAsia="Times New Roman" w:hAnsi="Times New Roman"/>
                <w:sz w:val="24"/>
                <w:szCs w:val="24"/>
                <w:color w:val="auto"/>
                <w:w w:val="96"/>
                <w:vertAlign w:val="superscript"/>
              </w:rPr>
              <w:t>(1)</w:t>
            </w:r>
          </w:p>
        </w:tc>
      </w:tr>
      <w:tr>
        <w:trPr>
          <w:trHeight w:val="234"/>
        </w:trPr>
        <w:tc>
          <w:tcPr>
            <w:tcW w:w="6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3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3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2022</w:t>
            </w:r>
          </w:p>
        </w:tc>
      </w:tr>
      <w:tr>
        <w:trPr>
          <w:trHeight w:val="30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 Teva's launch consisted only of a 0.5-gram capsule.</w:t>
            </w: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-479425</wp:posOffset>
            </wp:positionV>
            <wp:extent cx="641223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5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On March 26, 2021, the European Commission, or EC, approved the marketing authorization application for VAZKEPA, hereinafter along with the U.S. brand name VASCEPA, collectively referred to as VASCEPA, in the European Union, or EU, to reduce the risk of cardiovascular events in high-risk, statin-treated adult patients who have elevated triglycerides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150 mg/dL) and either established cardiovascular disease or diabetes and at least one additional cardiovascular risk event. On April 22, 2021, the Company announced that the Medicines and Healthcare Products Regulatory Agency, or MHRA, approved VAZKEPA in England, Scotland and Wales to reduce cardiovascular risk through MHRA’s new ‘reliance’ route. Collectively CHMP, EMA, EC and MHRA are referred to herein as the European Regulatory Authorities.</w:t>
      </w:r>
    </w:p>
    <w:p>
      <w:pPr>
        <w:spacing w:after="0" w:line="8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In November 2020, the Company announced topline results from the Phase 3 clinical trial of VASCEPA conducted by the Company’s partner in China. On February 9, 2021, the Company announced that regulatory review processes for approval of VASCEPA in Mainland China and Hong Kong had commenced. The Chinese National Medical Products Administration, or NMPA, has accepted for review the new drug application for VASCEPA based on the results from the Phase 3 clinical trial and the results from the Company’s prior studies of VASCEPA. On February 23, 2022, the Hong Kong Department of Health concluded their evaluation and approved the use of VASCEPA under the REDUCE-IT indication.</w:t>
      </w:r>
    </w:p>
    <w:p>
      <w:pPr>
        <w:spacing w:after="0" w:line="7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The Company currently has strategic collaborations to develop and commercialize VASCEPA in select territories outside the United States. Amarin is responsible for supplying VASCEPA to all markets in which the product is sold, including the United States, the United Kingdom and Sweden, as well as, in Canada, Lebanon and the United Arab Emirates where the drug is promoted and sold via collaboration with third-party companies that compensate Amarin for such supply. Amarin is not responsible for providing any generic company with drug product. The Company operates in one business segment.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7" w:name="page8"/>
    <w:bookmarkEnd w:id="7"/>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w:t>
      </w:r>
    </w:p>
    <w:p>
      <w:pPr>
        <w:spacing w:after="0" w:line="121"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 in accordance with accounting principles generally accepted in the United States, or GAAP,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2021, or the Form 10-K, filed with the SEC. The balance sheet amounts in this report were derived from the Company’s audited consolidated financial statements included in the Form 10-K.</w:t>
      </w:r>
    </w:p>
    <w:p>
      <w:pPr>
        <w:spacing w:after="0" w:line="7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and nine months ended September 30, 2022 and 2021 are not necessarily indicative of the results for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w:t>
      </w:r>
    </w:p>
    <w:p>
      <w:pPr>
        <w:spacing w:after="0" w:line="78"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as well as the ongoing global pandemic, COVID-19.</w:t>
      </w:r>
    </w:p>
    <w:p>
      <w:pPr>
        <w:spacing w:after="0" w:line="61"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At September 30, 2022, the Company had Total assets of $908.3 million, of which $306.0 million consisted of cash and liquid short-term and long-term investments. More specifically, the Company had Current assets of $686.5 million, including Cash and cash equivalents of $240.5 million, Short-term investments of $63.2 million, Accounts receivable, net, of $123.4 million and Inventory of $227.6 million. In addition, as of September 30, 2022, the Company had Long-term investments of $2.3 million and Long-term inventory of $188.0 million. As of September 30, 2022, the Company had no debt outstanding.</w:t>
      </w:r>
    </w:p>
    <w:p>
      <w:pPr>
        <w:spacing w:after="0" w:line="28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11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8—Revenue Recognition.</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 and Restricted Cash</w:t>
      </w:r>
    </w:p>
    <w:p>
      <w:pPr>
        <w:spacing w:after="0" w:line="12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Cash and cash equivalents consist of cash, deposits with banks and short-term highly liquid money market instruments with original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w:t>
      </w:r>
    </w:p>
    <w:p>
      <w:pPr>
        <w:spacing w:after="0" w:line="10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w:t>
      </w: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8" w:name="page9"/>
    <w:bookmarkEnd w:id="8"/>
    <w:p>
      <w:pPr>
        <w:jc w:val="both"/>
        <w:ind w:right="160"/>
        <w:spacing w:after="0" w:line="296" w:lineRule="auto"/>
        <w:rPr>
          <w:sz w:val="20"/>
          <w:szCs w:val="20"/>
          <w:color w:val="auto"/>
        </w:rPr>
      </w:pPr>
      <w:r>
        <w:rPr>
          <w:rFonts w:ascii="Times New Roman" w:cs="Times New Roman" w:eastAsia="Times New Roman" w:hAnsi="Times New Roman"/>
          <w:sz w:val="17"/>
          <w:szCs w:val="17"/>
          <w:color w:val="auto"/>
        </w:rPr>
        <w:t>experienced any significant credit losses. All customer accounts are actively managed and no losses in excess of amounts reserved are currently expected; however, the Company is monitoring the potential negative impact of COVID-19 on the Company’s customers’ ability to meet their financial obligations.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of accounts receivable reserves on the gross trade accounts receivable balances as of September 30, 2022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199" w:lineRule="exact"/>
        <w:rPr>
          <w:sz w:val="20"/>
          <w:szCs w:val="20"/>
          <w:color w:val="auto"/>
        </w:rPr>
      </w:pPr>
    </w:p>
    <w:tbl>
      <w:tblPr>
        <w:tblLayout w:type="fixed"/>
        <w:tblInd w:w="1540" w:type="dxa"/>
        <w:tblCellMar>
          <w:top w:w="0" w:type="dxa"/>
          <w:left w:w="0" w:type="dxa"/>
          <w:bottom w:w="0" w:type="dxa"/>
          <w:right w:w="0" w:type="dxa"/>
        </w:tblCellMar>
      </w:tblPr>
      <w:tr>
        <w:trPr>
          <w:trHeight w:val="187"/>
        </w:trPr>
        <w:tc>
          <w:tcPr>
            <w:tcW w:w="49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6"/>
                <w:szCs w:val="16"/>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trade accounts receivable</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182,829</w:t>
            </w: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262,948</w:t>
            </w:r>
          </w:p>
        </w:tc>
        <w:tc>
          <w:tcPr>
            <w:tcW w:w="8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Trade allowances</w:t>
            </w:r>
          </w:p>
        </w:tc>
        <w:tc>
          <w:tcPr>
            <w:tcW w:w="1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(47,656 )</w:t>
            </w:r>
          </w:p>
        </w:tc>
        <w:tc>
          <w:tcPr>
            <w:tcW w:w="1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(86,636 )</w:t>
            </w: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Chargebacks</w:t>
            </w: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(10,849 )</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(11,714 )</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(945 )</w:t>
            </w:r>
          </w:p>
        </w:tc>
        <w:tc>
          <w:tcPr>
            <w:tcW w:w="1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(945 )</w:t>
            </w:r>
          </w:p>
        </w:tc>
      </w:tr>
      <w:tr>
        <w:trPr>
          <w:trHeight w:val="250"/>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123,379</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163,653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Inventory</w:t>
      </w:r>
    </w:p>
    <w:p>
      <w:pPr>
        <w:spacing w:after="0" w:line="121"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The Company classifies inventory as long-term inventory when consumption of the inventory is expected beyond the operating cycle.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9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w:t>
      </w:r>
    </w:p>
    <w:p>
      <w:pPr>
        <w:spacing w:after="0" w:line="8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 as applicable.</w:t>
      </w:r>
    </w:p>
    <w:p>
      <w:pPr>
        <w:spacing w:after="0" w:line="69" w:lineRule="exact"/>
        <w:rPr>
          <w:sz w:val="20"/>
          <w:szCs w:val="20"/>
          <w:color w:val="auto"/>
        </w:rPr>
      </w:pPr>
    </w:p>
    <w:p>
      <w:pPr>
        <w:ind w:right="480"/>
        <w:spacing w:after="0" w:line="250" w:lineRule="auto"/>
        <w:rPr>
          <w:sz w:val="20"/>
          <w:szCs w:val="20"/>
          <w:color w:val="auto"/>
        </w:rPr>
      </w:pPr>
      <w:r>
        <w:rPr>
          <w:rFonts w:ascii="Times New Roman" w:cs="Times New Roman" w:eastAsia="Times New Roman" w:hAnsi="Times New Roman"/>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82"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share-based payments are recognized as an income tax benefit and expense, respectively, in the condensed consolidated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8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 authorities, including the Internal Revenue Service, or IRS, and states. The Company is currently under audit by the IRS for the Company’s 2018 U.S. income tax return and by the New Jersey Department of Treasury for the years 2012 to 2015. Although the outcome of tax audits is always uncertain and could result in significant cash tax payments, the Company does not believe the outcome of these audits will have a material adverse effect on its consolidated financial position or results of operations.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Loss per Share</w:t>
      </w:r>
    </w:p>
    <w:p>
      <w:pPr>
        <w:spacing w:after="0" w:line="10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from the exercise of stock options and vesting of restricted stock units calculated using the treasury stock method. In periods with reported net operating losses, all stock options and restricted stock units outstanding are deemed anti-dilutive such that basic and diluted net loss per share are equal.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9" w:name="page10"/>
    <w:bookmarkEnd w:id="9"/>
    <w:p>
      <w:pPr>
        <w:ind w:right="260"/>
        <w:spacing w:after="0" w:line="282" w:lineRule="auto"/>
        <w:rPr>
          <w:sz w:val="20"/>
          <w:szCs w:val="20"/>
          <w:color w:val="auto"/>
        </w:rPr>
      </w:pPr>
      <w:r>
        <w:rPr>
          <w:rFonts w:ascii="Times New Roman" w:cs="Times New Roman" w:eastAsia="Times New Roman" w:hAnsi="Times New Roman"/>
          <w:sz w:val="18"/>
          <w:szCs w:val="18"/>
          <w:color w:val="auto"/>
        </w:rPr>
        <w:t>The calculation of net loss and the number of shares used to compute basic and diluted net loss per share for the three and nine months ended September 30, 2022 and 2021 are as follows:</w:t>
      </w:r>
    </w:p>
    <w:p>
      <w:pPr>
        <w:spacing w:after="0" w:line="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98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00" w:type="dxa"/>
            <w:vAlign w:val="bottom"/>
          </w:tcPr>
          <w:p>
            <w:pPr>
              <w:spacing w:after="0"/>
              <w:rPr>
                <w:sz w:val="13"/>
                <w:szCs w:val="13"/>
                <w:color w:val="auto"/>
              </w:rPr>
            </w:pPr>
          </w:p>
        </w:tc>
        <w:tc>
          <w:tcPr>
            <w:tcW w:w="2660" w:type="dxa"/>
            <w:vAlign w:val="bottom"/>
            <w:gridSpan w:val="5"/>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298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loss—basic and diluted</w:t>
            </w: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(13,151</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(106,659</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outstanding—basic and diluted</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404,614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399,944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(0.01 )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(0.03 )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(0.27 )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2022 and 2021, the following potentially dilutive securities were not included in the computation of net loss per share because the effect would be anti-dilutive or because performance criteria were not yet met for awards contingent upon such measures:</w:t>
      </w:r>
    </w:p>
    <w:p>
      <w:pPr>
        <w:spacing w:after="0" w:line="12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1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20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80" w:type="dxa"/>
            <w:vAlign w:val="bottom"/>
          </w:tcPr>
          <w:p>
            <w:pPr>
              <w:spacing w:after="0"/>
              <w:rPr>
                <w:sz w:val="13"/>
                <w:szCs w:val="13"/>
                <w:color w:val="auto"/>
              </w:rPr>
            </w:pPr>
          </w:p>
        </w:tc>
      </w:tr>
      <w:tr>
        <w:trPr>
          <w:trHeight w:val="187"/>
        </w:trPr>
        <w:tc>
          <w:tcPr>
            <w:tcW w:w="340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r>
      <w:tr>
        <w:trPr>
          <w:trHeight w:val="169"/>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6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98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19,040</w:t>
            </w:r>
          </w:p>
        </w:tc>
        <w:tc>
          <w:tcPr>
            <w:tcW w:w="1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19,146</w:t>
            </w:r>
          </w:p>
        </w:tc>
        <w:tc>
          <w:tcPr>
            <w:tcW w:w="16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19,040</w:t>
            </w:r>
          </w:p>
        </w:tc>
        <w:tc>
          <w:tcPr>
            <w:tcW w:w="1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19,146</w:t>
            </w:r>
          </w:p>
        </w:tc>
        <w:tc>
          <w:tcPr>
            <w:tcW w:w="80" w:type="dxa"/>
            <w:vAlign w:val="bottom"/>
            <w:shd w:val="clear" w:color="auto" w:fill="CFF0FC"/>
          </w:tcPr>
          <w:p>
            <w:pPr>
              <w:spacing w:after="0"/>
              <w:rPr>
                <w:sz w:val="18"/>
                <w:szCs w:val="18"/>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14,663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80" w:type="dxa"/>
            <w:vAlign w:val="bottom"/>
          </w:tcPr>
          <w:p>
            <w:pPr>
              <w:spacing w:after="0"/>
              <w:rPr>
                <w:sz w:val="20"/>
                <w:szCs w:val="20"/>
                <w:color w:val="auto"/>
              </w:rPr>
            </w:pPr>
          </w:p>
        </w:tc>
      </w:tr>
    </w:tbl>
    <w:p>
      <w:pPr>
        <w:spacing w:after="0" w:line="3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Stock options are anti-dilutive during periods of net earnings when the exercise price of the stock options exceeds the market price of the underlying shares on the last day of the reporting period. Restricted stock and restricted stock units are anti-dilutive during periods of net earnings when underlying performance-based vesting requirements were not achieved as of the last day of the reporting period.</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Credit Risk</w:t>
      </w:r>
    </w:p>
    <w:p>
      <w:pPr>
        <w:spacing w:after="0" w:line="9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short-term and long-term investments, and accounts receivable. The Company maintains substantially all of its cash and cash equivalents and short-term and long-term investments, in financial institutions believed to be of high-credit quality.</w:t>
      </w:r>
    </w:p>
    <w:p>
      <w:pPr>
        <w:spacing w:after="0" w:line="5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26%, 36%, and 31%, respectively, of gross product sales for the nine months ended September 30, 2022, and represented 41%, 32%, and 22%, respectively, of the gross accounts receivable balance as of September 30, 2022. Customers A, B, and C accounted for 27%, 37%, and 28%, respectively, of gross product sales for the nine months ended September 30, 2021 and represented 34%, 37%, and 21%, respectively, of the gross accounts receivable balance as of September 30, 2021. The Company has not experienced any significant write-offs of its accounts receivable. All customer accounts are actively managed and no losses in excess of amounts reserved are currently expected; however, the Company is monitoring the potential negative impact of COVID-19 on the Company’s customers’ ability to meet their financial obligations.</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Suppliers</w:t>
      </w:r>
    </w:p>
    <w:p>
      <w:pPr>
        <w:spacing w:after="0" w:line="10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6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including as a result of COVID-19, or the Company’s failure to enter into new and similar agreements in a timely fashion, if needed, could have a material adverse effect on its business, condition (financial and other), prospects or results of operations.</w:t>
      </w:r>
    </w:p>
    <w:p>
      <w:pPr>
        <w:spacing w:after="0" w:line="83"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The Company currently has manufacturing agreements with multiple independent API manufacturers and several independent API encapsulators and packagers for VASCEPA manufacturing. Each of these API manufacturers, encapsulators and packagers is U.S. FDA-approved and certain of these API manufacturers, encapsulators and packagers are also approved by the European Regulatory Authorities for manufacturing VAZKEPA in Europe. These suppliers are also used by the Company to source supply to meet the clinical trial and commercial demands of its partners in other countries. Each of these suppliers has qualified and validated its manufacturing processes.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potential global demand for VASCEPA.</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61" w:lineRule="exact"/>
        <w:rPr>
          <w:sz w:val="20"/>
          <w:szCs w:val="20"/>
          <w:color w:val="auto"/>
        </w:rPr>
      </w:pPr>
    </w:p>
    <w:p>
      <w:pPr>
        <w:ind w:right="880"/>
        <w:spacing w:after="0" w:line="266"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that the Company has the ability to access at the measurement date.</w:t>
      </w:r>
    </w:p>
    <w:p>
      <w:pPr>
        <w:spacing w:after="0" w:line="6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reflect the Company’s estimates of the assumptions that market participants would use in pricing the asset or liability.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these inputs based on the best information available, including its own data.</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estimated fair value of the Company’s assets and liabilities as of September 30, 2022 and December 31, 2021 and indicate the fair value hierarchy of the valuation techniques the Company utilized to determine such fair value:</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0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117,301</w:t>
            </w: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117,301</w:t>
            </w:r>
          </w:p>
        </w:tc>
        <w:tc>
          <w:tcPr>
            <w:tcW w:w="7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Shares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21,519</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21,519</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Deposit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Non-US Government</w:t>
            </w: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195,933</w:t>
            </w:r>
          </w:p>
        </w:tc>
        <w:tc>
          <w:tcPr>
            <w:tcW w:w="3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125,360</w:t>
            </w:r>
          </w:p>
        </w:tc>
        <w:tc>
          <w:tcPr>
            <w:tcW w:w="26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70,573</w:t>
            </w:r>
          </w:p>
        </w:tc>
        <w:tc>
          <w:tcPr>
            <w:tcW w:w="26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0"/>
        </w:trPr>
        <w:tc>
          <w:tcPr>
            <w:tcW w:w="3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1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95,063</w:t>
            </w: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95,063</w:t>
            </w:r>
          </w:p>
        </w:tc>
        <w:tc>
          <w:tcPr>
            <w:tcW w:w="7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Shares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23,219</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23,219</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121,773</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121,773</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Deposit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Non-US Government</w:t>
            </w: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374,911</w:t>
            </w: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118,282</w:t>
            </w:r>
          </w:p>
        </w:tc>
        <w:tc>
          <w:tcPr>
            <w:tcW w:w="7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256,629</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0"/>
        </w:trPr>
        <w:tc>
          <w:tcPr>
            <w:tcW w:w="3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-1945005</wp:posOffset>
            </wp:positionV>
            <wp:extent cx="685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-1945005</wp:posOffset>
            </wp:positionV>
            <wp:extent cx="6032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-1945005</wp:posOffset>
            </wp:positionV>
            <wp:extent cx="60325"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-1945005</wp:posOffset>
            </wp:positionV>
            <wp:extent cx="6032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-170815</wp:posOffset>
            </wp:positionV>
            <wp:extent cx="685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-170815</wp:posOffset>
            </wp:positionV>
            <wp:extent cx="6032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6032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2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the purchase of 90 days or less.</w:t>
      </w:r>
    </w:p>
    <w:p>
      <w:pPr>
        <w:spacing w:after="0" w:line="82"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Company’s held-to-maturity investments are stated at amortized cost, which approximates fair value. The Company does not intend to sell these investment securities and the contractual maturities are not greater than 24 months. Those with original maturities greater than 90 days and maturities less than 12 months are included in short-term investments on its condensed consolidated balance sheet. Those with remaining maturities in excess of 12 months are included in long-term investments on its condensed consolidated balance sheet.</w:t>
      </w:r>
    </w:p>
    <w:p>
      <w:pPr>
        <w:spacing w:after="0" w:line="69"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Unrealized gains or losses on held-to-maturity securities are not recognized until maturity, except other-than-temporary unrealized losses which are recognized in earnings in the period incurred. The Company evaluates securities with unrealized losses to determine whether such losses are other than temporary. The unrealized gain or loss for the nine months ended September 30, 2022 and 2021 was a loss of $0.7 million and a gain of $0.1 million, respectively. Interest on investments is reported in interest income.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accounts payable and accrued liabilities approximate fair value because of their short-term nature.</w:t>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and Geographical Information</w:t>
      </w:r>
    </w:p>
    <w:p>
      <w:pPr>
        <w:spacing w:after="0" w:line="12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Restructuring</w:t>
      </w:r>
    </w:p>
    <w:p>
      <w:pPr>
        <w:spacing w:after="0" w:line="12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On September 22, 2021, the Company announced a Go-to-Market strategy for VASCEPA. As part of this strategy, the Company completed a reduction of its U.S. field force to approximately 300 sales representatives, enhanced managed care access and optimized VASCEPA prescriptions for cardiovascular risk reduction. During the year ended December 31, 2021, the Company recognized approximately $13.7 million in charges related to the reduction in force, substantially all of which were cash expenditures for one-time termination benefits and associated costs.</w:t>
      </w:r>
    </w:p>
    <w:p>
      <w:pPr>
        <w:spacing w:after="0" w:line="6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On June 6, 2022, the Company announced a Comprehensive Cost Reduction Plan which includes an organizational restructuring plan to address current shifts within the Company’s U.S. business. As part of the plan, the Company completed a reduction of its U.S. field force from approximately 300 sales representatives to approximately 75 sales representatives. During the nine months ended September 30, 2022 the Company recognized approximately $9.4 million within Restructuring expense on the condensed consolidated statement of operations related to the reduction in force, substantially all of which are cash expenditures. The Company also reviewed its contractual supplier purchase obligations and has taken steps to amend supplier agreements to align supply arrangements with current and future market demand resulting in charges of $3.1 million and $18.1 million recognized within Cost of goods sold - restructuring inventory for the three and nine months ended September 30, 2022, respectively, on the condensed consolidated statement of operations. The Company continues to negotiate with other contract suppliers to align its supply arrangements with current and future global demand which may result in additional costs to the Company.</w:t>
      </w:r>
    </w:p>
    <w:p>
      <w:pPr>
        <w:spacing w:after="0" w:line="9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On August 19, 2022, the Company announced that after the conclusion of the fourth and final round of negotiations with the National Association of Statutory Health Insurance Funds, or GKV-SV, a viable agreement on the reimbursement price of VAZKEPA in Germany could not be reached. As a result of the negotiation outcome with the GKV-SV, the Company discontinued its German business operations effective September 1, 2022. The Company recognized approximately $4.4 million within Restructuring expense on the condensed consolidated statement of operations, substantially all of which are cash expenditures.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restructuring charges for the three and nine months ended September 30, 2022 and 2021:</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00" w:type="dxa"/>
            <w:vAlign w:val="bottom"/>
          </w:tcPr>
          <w:p>
            <w:pPr>
              <w:spacing w:after="0"/>
              <w:rPr>
                <w:sz w:val="16"/>
                <w:szCs w:val="16"/>
                <w:color w:val="auto"/>
              </w:rPr>
            </w:pPr>
          </w:p>
        </w:tc>
      </w:tr>
      <w:tr>
        <w:trPr>
          <w:trHeight w:val="169"/>
        </w:trPr>
        <w:tc>
          <w:tcPr>
            <w:tcW w:w="32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4"/>
        </w:trPr>
        <w:tc>
          <w:tcPr>
            <w:tcW w:w="3200" w:type="dxa"/>
            <w:vAlign w:val="bottom"/>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Employee restructuring separation</w:t>
            </w:r>
          </w:p>
        </w:tc>
        <w:tc>
          <w:tcPr>
            <w:tcW w:w="2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100" w:type="dxa"/>
            <w:vAlign w:val="bottom"/>
            <w:shd w:val="clear" w:color="auto" w:fill="CFF0FC"/>
          </w:tcPr>
          <w:p>
            <w:pPr>
              <w:spacing w:after="0"/>
              <w:rPr>
                <w:sz w:val="20"/>
                <w:szCs w:val="20"/>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Vendor contract charges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3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restructuring expense</w:t>
            </w:r>
          </w:p>
        </w:tc>
        <w:tc>
          <w:tcPr>
            <w:tcW w:w="2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13,706</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inventory</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3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forfeitures</w:t>
            </w: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restructuring costs incurred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32,375</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100" w:type="dxa"/>
            <w:vAlign w:val="bottom"/>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-479425</wp:posOffset>
            </wp:positionV>
            <wp:extent cx="342900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00" cy="17145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-170815</wp:posOffset>
            </wp:positionV>
            <wp:extent cx="6858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-170815</wp:posOffset>
            </wp:positionV>
            <wp:extent cx="6032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6032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 in restructuring liability which is included within accrued expenses and other current liabilities: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60" w:type="dxa"/>
            <w:vAlign w:val="bottom"/>
          </w:tcPr>
          <w:p>
            <w:pPr>
              <w:spacing w:after="0"/>
              <w:rPr>
                <w:sz w:val="16"/>
                <w:szCs w:val="16"/>
                <w:color w:val="auto"/>
              </w:rPr>
            </w:pPr>
          </w:p>
        </w:tc>
        <w:tc>
          <w:tcPr>
            <w:tcW w:w="3560" w:type="dxa"/>
            <w:vAlign w:val="bottom"/>
            <w:gridSpan w:val="2"/>
          </w:tcPr>
          <w:p>
            <w:pPr>
              <w:jc w:val="right"/>
              <w:ind w:right="1500"/>
              <w:spacing w:after="0"/>
              <w:rPr>
                <w:sz w:val="20"/>
                <w:szCs w:val="20"/>
                <w:color w:val="auto"/>
              </w:rPr>
            </w:pPr>
            <w:r>
              <w:rPr>
                <w:rFonts w:ascii="Times New Roman" w:cs="Times New Roman" w:eastAsia="Times New Roman" w:hAnsi="Times New Roman"/>
                <w:sz w:val="14"/>
                <w:szCs w:val="14"/>
                <w:b w:val="1"/>
                <w:bCs w:val="1"/>
                <w:color w:val="auto"/>
              </w:rPr>
              <w:t>Restructuring Liability</w:t>
            </w: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760" w:type="dxa"/>
            <w:vAlign w:val="bottom"/>
            <w:tcBorders>
              <w:top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incurred</w:t>
            </w:r>
          </w:p>
        </w:tc>
        <w:tc>
          <w:tcPr>
            <w:tcW w:w="760" w:type="dxa"/>
            <w:vAlign w:val="bottom"/>
          </w:tcPr>
          <w:p>
            <w:pPr>
              <w:spacing w:after="0"/>
              <w:rPr>
                <w:sz w:val="18"/>
                <w:szCs w:val="18"/>
                <w:color w:val="auto"/>
              </w:rPr>
            </w:pP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32,375</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760" w:type="dxa"/>
            <w:vAlign w:val="bottom"/>
            <w:shd w:val="clear" w:color="auto" w:fill="CFF0FC"/>
          </w:tcPr>
          <w:p>
            <w:pPr>
              <w:spacing w:after="0"/>
              <w:rPr>
                <w:sz w:val="18"/>
                <w:szCs w:val="18"/>
                <w:color w:val="auto"/>
              </w:rPr>
            </w:pPr>
          </w:p>
        </w:tc>
        <w:tc>
          <w:tcPr>
            <w:tcW w:w="3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(27,614 )</w:t>
            </w:r>
          </w:p>
        </w:tc>
      </w:tr>
      <w:tr>
        <w:trPr>
          <w:trHeight w:val="210"/>
        </w:trPr>
        <w:tc>
          <w:tcPr>
            <w:tcW w:w="5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00" w:type="dxa"/>
            <w:vAlign w:val="bottom"/>
            <w:tcBorders>
              <w:top w:val="single" w:sz="8" w:color="CFF0FC"/>
            </w:tcBorders>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94" w:lineRule="exact"/>
        <w:rPr>
          <w:sz w:val="20"/>
          <w:szCs w:val="20"/>
          <w:color w:val="auto"/>
        </w:rPr>
      </w:pPr>
    </w:p>
    <w:p>
      <w:pPr>
        <w:ind w:right="460"/>
        <w:spacing w:after="0" w:line="253"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early adopted by the Company or adopted as of the specified effective date.</w:t>
      </w: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12" w:name="page13"/>
    <w:bookmarkEnd w:id="12"/>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evaluated all recently issued accounting pronouncements through the date of the financial statements and found that no recently issued accounting pronouncements, when adopted, will have a material impact on the Company’s condensed consolidated financial position, results of operations, and cash flows, or do not apply to the Company’s operations.</w:t>
      </w:r>
    </w:p>
    <w:p>
      <w:pPr>
        <w:spacing w:after="0" w:line="27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tab/>
        <w:t>Intangible Asset</w:t>
      </w:r>
    </w:p>
    <w:p>
      <w:pPr>
        <w:spacing w:after="0" w:line="12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Intangible asset is a result of VASCEPA receiving marketing approval in the U.S. for the first indication in 2012, the expanded label in 2019 and marketing approval in Europe in 2021. In accordance with ASC 350, the Company evaluates the remaining useful life of the intangible asset at each reporting period to determine if any events or circumstances warrant a revision to the remaining period of amortization. As of September 30, 2022, the intangible asset has an estimated weighted-average remaining life of 8.5 years. The carrying value as of September 30, 2022 and December 31, 2021 is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6"/>
                <w:szCs w:val="16"/>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rights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32,081</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32,081</w:t>
            </w:r>
          </w:p>
        </w:tc>
        <w:tc>
          <w:tcPr>
            <w:tcW w:w="8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(10,443 )</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(8,534 )</w:t>
            </w:r>
          </w:p>
        </w:tc>
      </w:tr>
      <w:tr>
        <w:trPr>
          <w:trHeight w:val="249"/>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21,638</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-25400</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capitalizes its purchases of saleable inventory of VASCEPA from suppliers that have been qualified by regulatory authorities. Inventories as of September 30, 2022 and December 31, 2021 consist of the following:</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6"/>
                <w:szCs w:val="16"/>
                <w:color w:val="auto"/>
              </w:rPr>
            </w:pPr>
          </w:p>
        </w:tc>
      </w:tr>
      <w:tr>
        <w:trPr>
          <w:trHeight w:val="21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128,921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107,695</w:t>
            </w:r>
          </w:p>
        </w:tc>
        <w:tc>
          <w:tcPr>
            <w:tcW w:w="80" w:type="dxa"/>
            <w:vAlign w:val="bottom"/>
            <w:shd w:val="clear" w:color="auto" w:fill="CFF0FC"/>
          </w:tcPr>
          <w:p>
            <w:pPr>
              <w:spacing w:after="0"/>
              <w:rPr>
                <w:sz w:val="18"/>
                <w:szCs w:val="18"/>
                <w:color w:val="auto"/>
              </w:rPr>
            </w:pPr>
          </w:p>
        </w:tc>
      </w:tr>
      <w:tr>
        <w:trPr>
          <w:trHeight w:val="164"/>
        </w:trPr>
        <w:tc>
          <w:tcPr>
            <w:tcW w:w="576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14"/>
                <w:szCs w:val="14"/>
                <w:color w:val="auto"/>
              </w:rPr>
            </w:pPr>
          </w:p>
        </w:tc>
        <w:tc>
          <w:tcPr>
            <w:tcW w:w="14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59,017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41,965</w:t>
            </w:r>
          </w:p>
        </w:tc>
        <w:tc>
          <w:tcPr>
            <w:tcW w:w="80" w:type="dxa"/>
            <w:vAlign w:val="bottom"/>
          </w:tcPr>
          <w:p>
            <w:pPr>
              <w:spacing w:after="0"/>
              <w:rPr>
                <w:sz w:val="14"/>
                <w:szCs w:val="14"/>
                <w:color w:val="auto"/>
              </w:rPr>
            </w:pPr>
          </w:p>
        </w:tc>
      </w:tr>
      <w:tr>
        <w:trPr>
          <w:trHeight w:val="268"/>
        </w:trPr>
        <w:tc>
          <w:tcPr>
            <w:tcW w:w="57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Finished goods </w:t>
            </w:r>
            <w:r>
              <w:rPr>
                <w:rFonts w:ascii="Times New Roman" w:cs="Times New Roman" w:eastAsia="Times New Roman" w:hAnsi="Times New Roman"/>
                <w:sz w:val="24"/>
                <w:szCs w:val="24"/>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227,632</w:t>
            </w:r>
          </w:p>
        </w:tc>
        <w:tc>
          <w:tcPr>
            <w:tcW w:w="2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206,270</w:t>
            </w:r>
          </w:p>
        </w:tc>
        <w:tc>
          <w:tcPr>
            <w:tcW w:w="80" w:type="dxa"/>
            <w:vAlign w:val="bottom"/>
          </w:tcPr>
          <w:p>
            <w:pPr>
              <w:spacing w:after="0"/>
              <w:rPr>
                <w:sz w:val="23"/>
                <w:szCs w:val="23"/>
                <w:color w:val="auto"/>
              </w:rPr>
            </w:pPr>
          </w:p>
        </w:tc>
      </w:tr>
      <w:tr>
        <w:trPr>
          <w:trHeight w:val="20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415,570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355,930</w:t>
            </w:r>
          </w:p>
        </w:tc>
        <w:tc>
          <w:tcPr>
            <w:tcW w:w="8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-307975</wp:posOffset>
            </wp:positionV>
            <wp:extent cx="5700395" cy="3086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00395" cy="308610"/>
                    </a:xfrm>
                    <a:prstGeom prst="rect">
                      <a:avLst/>
                    </a:prstGeom>
                    <a:noFill/>
                  </pic:spPr>
                </pic:pic>
              </a:graphicData>
            </a:graphic>
          </wp:anchor>
        </w:drawing>
      </w:r>
    </w:p>
    <w:p>
      <w:pPr>
        <w:spacing w:after="0" w:line="70" w:lineRule="exact"/>
        <w:rPr>
          <w:sz w:val="20"/>
          <w:szCs w:val="20"/>
          <w:color w:val="auto"/>
        </w:rPr>
      </w:pPr>
    </w:p>
    <w:p>
      <w:pPr>
        <w:ind w:left="1360" w:right="1860" w:hanging="4"/>
        <w:spacing w:after="0" w:line="266" w:lineRule="auto"/>
        <w:tabs>
          <w:tab w:leader="none" w:pos="16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During the nine months ended September 30, 2022 approximately $9.6 million of inventory was expensed through Cost of goods sold related to unsellable inventory not related to product dating.</w:t>
      </w:r>
    </w:p>
    <w:p>
      <w:pPr>
        <w:spacing w:after="0" w:line="5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$188.0 million and $121.3 million of Long-term inventory, respectively, as consumption is expected beyond the Company's operating cycle.</w:t>
      </w:r>
    </w:p>
    <w:p>
      <w:pPr>
        <w:spacing w:after="0" w:line="25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Commitments and Contingencies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 U.S. ANDAs</w:t>
      </w:r>
    </w:p>
    <w:p>
      <w:pPr>
        <w:spacing w:after="0" w:line="11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March 30, 2020, the Nevada Court, ruled in favor of two generics companies, Hikma and Dr. Reddy’s, in Amarin’s patent litigation related to its ANDAs that sought U.S. FDA approval for sale of generic versions of VASCEPA for the original indication of VASCEPA as an adjunct to diet to reduce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hypertriglyceridemia. On September 3, 2020, the U.S. Court of Appeals for the Federal Circuit, or the Federal Circuit, upheld the March ruling by the Nevada Court in favor of the two generics companies. On October 2, 2020, the Company filed a combined petition for panel rehearing or rehearing en banc. On November 4, 2020, the Company’s rehearing and en banc petitions were denied. On February 11, 2021, Amarin filed a petition for a writ of certiorari with the United States Supreme Court to ask the Court to hear the Company’s appeal in this litigation, which was denied on June 18, 2021.</w:t>
      </w:r>
    </w:p>
    <w:p>
      <w:pPr>
        <w:spacing w:after="0" w:line="7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On May 22, 2020 and August 10, 2020, Hikma and Dr. Reddy’s, respectively, received U.S. FDA approval to market its generic versions of VASCEPA. During the ANDA litigation, the Company reached agreements with Teva and Apotex, under which they received royalty-free license agreements to promote a generic version of icosapent ethyl in the U.S. under certain circumstances, one of which circumstances was achieved when the Federal Circuit upheld the ruling by the Nevada Court and Hikma launched its generic version of icosapent ethyl. On September 11, 2020, and June 30, 2021, Teva and Apotex, respectively, received U.S. FDA approval to market their respective generic versions of icosapent ethyl. In November 2020, Hikma announced the price and launched its generic version of icosapent ethyl. In June 2021, Dr. Reddy’s announced the price and launched its generic version of icosapent ethyl. In January 2022, Apotex announced the price and launched its generic version of icosapent ethyl. In September 2022, Teva announced the price and launched its generic version of icosapent ethyl for the 0.5-gram capsule only. All generic versions of icosapent ethyl as approved by the U.S. FDA pertains to the MARINE indication of VASCEPA, lowering of TG levels in patients with very high TG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Current generic competition, together with past and on-going litigation related to such generic versions of icosapent ethyl are applicable to the U.S. only. The Company did not seek, nor is VAZKEPA approved in Europe for lowering of TG levels in patients with very high TG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3" w:name="page14"/>
    <w:bookmarkEnd w:id="13"/>
    <w:p>
      <w:pPr>
        <w:ind w:right="20"/>
        <w:spacing w:after="0" w:line="250" w:lineRule="auto"/>
        <w:rPr>
          <w:sz w:val="20"/>
          <w:szCs w:val="20"/>
          <w:color w:val="auto"/>
        </w:rPr>
      </w:pPr>
      <w:r>
        <w:rPr>
          <w:rFonts w:ascii="Times New Roman" w:cs="Times New Roman" w:eastAsia="Times New Roman" w:hAnsi="Times New Roman"/>
          <w:sz w:val="18"/>
          <w:szCs w:val="18"/>
          <w:color w:val="auto"/>
        </w:rPr>
        <w:t>The active pharmaceutical ingredient in VASCEPA is difficult and time consuming to manufacture, often requires considerable advanced planning and long-term financial commitment, including manufacturing infrastructure such as dedicated facilities, to ensure sufficient capacity is available when needed. The Company has invested over a decade of resources and expenses to develop with individual members of its third-party, active pharmaceutical ingredient supply chain the technical knowhow, manufacturing processes and related regulatory approvals that have helped enable the Company’s suppliers to supply the Company’s need for clinical and commercial supply globally.</w:t>
      </w:r>
    </w:p>
    <w:p>
      <w:pPr>
        <w:spacing w:after="0" w:line="6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In November 2020, the Company filed a patent infringement lawsuit against Hikma in the United States District Court in Delaware. The complaint alleges that Hikma induced the infringement of VASCEPA-related CV risk reduction U.S. Patent Nos. 9,700,537 (Composition for preventing the occurrence of cardiovascular event in multiple risk patient), 8,642,077 (Stable pharmaceutical composition and methods of using same), and 10,568,861 (Methods of reducing the risk of a cardiovascular event in a subject at risk for cardiovascular disease) by making, selling, offering to sell and importing generic icosapent ethyl capsules in or into the United States.</w:t>
      </w:r>
    </w:p>
    <w:p>
      <w:pPr>
        <w:spacing w:after="0" w:line="7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In January 2021, the Company expanded the scope of the VASCEPA CV risk reduction patent infringement lawsuit against Hikma to include a health care insurance provider in the United States, Health Net. Through insurance coverage and economic incentives the Company alleges that Health Net has actively induced pharmacies to dispense, and patients to use, Hikma generic icosapent ethyl capsules in infringement of the related patents. In the complaint, the Company is seeking remedies including a permanent injunction against the unlawful inducement by Hikma and Health Net of infringing uses of the Hikma generic product, i.e., uses to reduce cardiovascular risk as detailed in the patents, and monetary damages in an amount sufficient to compensate the Company for such infringement. On January 4, 2022, the district court hearing the case granted Hikma's motion to dismiss. On October 13, 2022, the district court granted final judgement on the aspect of the litigation relating to the Company and Hikma. The Company intends to appeal the decision of the district court now that it is permitted to do so and also intends to continue to vigorously pursue its ongoing litigation with Health Net, but cannot predict the outcome or the impact on its business. The Company will continue to consider its legal options against parties similarly situated to Health Net and Hikma and acting in concert with either by making or selling any drug product or component thereof covered by the subject patents, or inducing others to do the same. The Company intends to vigorously enforce its intellectual property rights relating to VASCEPA, but cannot predict the outcome of these lawsuits or any subsequently filed lawsuits.</w:t>
      </w:r>
    </w:p>
    <w:p>
      <w:pPr>
        <w:spacing w:after="0" w:line="77"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8"/>
          <w:szCs w:val="18"/>
          <w:color w:val="auto"/>
        </w:rPr>
        <w:t>As has been a practice in the generic pharmaceutical industry, on April 27, 2021, Dr. Reddy’s filed a complaint against the Company in the United States District Court for the District of New Jersey, Civil action No.21-cv-10309, alleging various antitrust violations stemming from alleged anticompetitive practices related to the supply of active pharmaceutical ingredient of VASCEPA. The complaint also includes a related state law tortious interference claim. Damages sought include recovery for alleged economic harm to Dr. Reddy’s, payors and consumers, treble damages and other costs and fees. Injunctive relief against the alleged violative activities is also being sought by Dr. Reddy’s. Amarin believes it has valid defenses and will vigorously defend against the claims.</w:t>
      </w:r>
    </w:p>
    <w:p>
      <w:pPr>
        <w:spacing w:after="0" w:line="72"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In March 2021, Amarin received a civil investigative demand, or CID, from the U.S. Federal Trade Commission and a subpoena from the New York Attorney General with respect to information on the same antitrust topic covered in the Dr. Reddy's litigation. Similarly, in June 2020, the Company received a CID from the U.S. Department of Justice, or the DOJ, informing Amarin that the DOJ is investigating whether aspects of its promotional speaker programs and copayment waiver program during the period from January 1, 2015 to the present violated the U.S. Anti-Kickback Statute and the U.S. Civil False Claims Act, in relation to the sale and marketing of VASCEPA by the Company and its previous co-marketing partner, Kowa Pharmaceuticals America, Inc. The Company believes such contact from the governments may have been prompted by a generic competitor. The inquiries require the Company to produce documents and answer written questions, or interrogatories, relevant to specified time periods. Amarin is cooperating with the government agencies and cannot predict when these investigations will be resolved, the outcome of the investigations or their potential impact on the Company’s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has been a practice of class action legal counsel following governmental investigations and litigation by generics companies, Amarin is also named as a defendant in five antitrust class action lawsuits in the District Court for the District of New Jersey. Amarin is a defendant in a class action lawsuit filed by Uniformed Fire Officers Association Family Protection Plan Local 854 and the Uniformed Fire Officers Association for Retired Fire Officers Family Protection Plan, on behalf of indirect purchasers, in the District Court for the District of New Jersey, Civil Action No. 21-12061, alleging Amarin and its co-defendant suppliers violated state and federal antitrust laws by monopolizing and engaging in a conspiracy to restrain trade in the icosapent ethyl drug and API markets. Amarin is a defendant in a class action lawsuit filed by The International Union of Operating Engineers Locals 137, 137A, 137B, 137C, 137R, on behalf of indirect purchasers, in the District Court for the District of New Jersey, Civil Action No. 21-12416, alleging Amarin violated state and federal antitrust laws by monopolizing and engaging in a conspiracy to restrain trade in the icosapent ethyl drug and API markets. Amarin is a defendant in a class action lawsuit filed by KPH Healthcare Services, Inc., on behalf of direct purchasers, in the District Court for the District of New Jersey, Civil Action No. 21-12747, alleging Amarin and its co-defendant suppliers violated state and federal antitrust laws by monopolizing and engaging in a conspiracy to restrain trade in the icosapent ethyl drug and API markets. Amarin is a defendant in a class action lawsuit filed by Local 464A United Food and Commercial Workers Union Welfare Service Benefit Fund, on behalf of direct purchasers, in the District Court for the District of New Jersey, Civil Action No. 21-13009. Amarin is a defendant in a class action lawsuit filed by Teamsters Health &amp; Welfare Fund of Philadelphia and Vicinity, on behalf of indirect purchasers, in the District Court for the District of New Jersey, Civil Action No. 21-13406, alleging Amarin</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violated state and federal antitrust laws by monopolizing and engaging in a conspiracy to restrain trade in the icosapent ethyl drug and API markets.</w:t>
      </w:r>
    </w:p>
    <w:p>
      <w:pPr>
        <w:spacing w:after="0" w:line="117" w:lineRule="exact"/>
        <w:rPr>
          <w:sz w:val="20"/>
          <w:szCs w:val="20"/>
          <w:color w:val="auto"/>
        </w:rPr>
      </w:pPr>
    </w:p>
    <w:p>
      <w:pPr>
        <w:jc w:val="both"/>
        <w:ind w:right="240"/>
        <w:spacing w:after="0" w:line="250" w:lineRule="auto"/>
        <w:rPr>
          <w:sz w:val="20"/>
          <w:szCs w:val="20"/>
          <w:color w:val="auto"/>
        </w:rPr>
      </w:pPr>
      <w:r>
        <w:rPr>
          <w:rFonts w:ascii="Times New Roman" w:cs="Times New Roman" w:eastAsia="Times New Roman" w:hAnsi="Times New Roman"/>
          <w:sz w:val="18"/>
          <w:szCs w:val="18"/>
          <w:color w:val="auto"/>
        </w:rPr>
        <w:t>Such antitrust litigation and investigations can be lengthy, costly and could materially affect and disrupt the Company’s business. The Company cannot predict when these matters will be resolved, their outcome or their potential impact on the Company’s business. If a government determines that Amarin has violated antitrust law, the Company could be subject to significant civil fines and penalties.</w:t>
      </w:r>
    </w:p>
    <w:p>
      <w:pPr>
        <w:spacing w:after="0" w:line="8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intends to vigorously enforce its intellectual property rights relating to VASCEPA, but cannot predict the outcome of these lawsuits or any subsequently filed lawsuits.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 Other</w:t>
      </w:r>
    </w:p>
    <w:p>
      <w:pPr>
        <w:spacing w:after="0" w:line="11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On February 22, 2019, a purported investor in the Company’s publicly traded securities filed a putative class action lawsuit against Amarin Corporation plc, the chief executive officer and chief scientific officer in the U.S. District Court for the District of New Jersey, Debendra Sharma v. Amarin Corporation plc, John F. Thero and Steven Ketchum, No. 2:19-cv-06601 (D.N.J. Feb. 22, 2019). On March 12, 2019, another purported investor filed a substantially similar lawsuit captioned Richard Borghesi v. Amarin Corporation plc, John F. Thero and Steven Ketchum, No. 3:19-cv-08423 (D.N.J. March 12, 2019). On May 14, 2019 the court consolidated the cases under the caption In re Amarin Corporation PLC Securities Litigation, No. 3:19-cv-06601 and appointed two other purported shareholders, Dan Kotecki and the Gaetano Cecchini Living Trust, as Co-Lead Plaintiffs. Co-Lead Plaintiffs filed a consolidated amended complaint, or Amended Complaint, on July 22, 2019 that added as defendants the Company’s former chief medical officer and the Company’s former chief executive officer. The Amended Complaint alleged that from September 24, 2018 to November 9, 2018 the Company misled investors by releasing topline results for the REDUCE-IT study without disclosing data on biomarker increases in the placebo group as compared with baseline measurement. The Amended Complaint alleged that these data suggest that the mineral oil placebo used in the REDUCE-IT study may have interfered with statin absorption in the placebo group, which they alleged may have increased adverse outcomes in the placebo group. The Amended Complaint further alleged that these purported misrepresentations and omissions inflated the share price. Based on these allegations, the suit asserted claims under the Securities Exchange Act of 1934 and sought unspecified monetary damages and attorneys’ fees and costs.</w:t>
      </w:r>
    </w:p>
    <w:p>
      <w:pPr>
        <w:spacing w:after="0" w:line="9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On March 29, 2021, the court granted the Company’s motion to dismiss this litigation for failure to state a valid claim. The litigation was dismissed without prejudice, giving the plaintiffs the right to file an amended complaint. Plaintiffs in this action did not file an amended complaint within the permitted filing deadline. Plaintiffs filed a notice of appeal of the motion to dismiss ruling, which has been denominated </w:t>
      </w:r>
      <w:r>
        <w:rPr>
          <w:rFonts w:ascii="Times New Roman" w:cs="Times New Roman" w:eastAsia="Times New Roman" w:hAnsi="Times New Roman"/>
          <w:sz w:val="18"/>
          <w:szCs w:val="18"/>
          <w:i w:val="1"/>
          <w:iCs w:val="1"/>
          <w:color w:val="auto"/>
        </w:rPr>
        <w:t>In re: Amarin Corp. PLC</w:t>
      </w:r>
      <w:r>
        <w:rPr>
          <w:rFonts w:ascii="Times New Roman" w:cs="Times New Roman" w:eastAsia="Times New Roman" w:hAnsi="Times New Roman"/>
          <w:sz w:val="18"/>
          <w:szCs w:val="18"/>
          <w:color w:val="auto"/>
        </w:rPr>
        <w:t>, case number 21-2071 (3d Cir.). On June 14, 2022, the Court of Appeals for the Third Circuit affirmed the dismissal of the matter by the trial district court.</w:t>
      </w:r>
    </w:p>
    <w:p>
      <w:pPr>
        <w:spacing w:after="0" w:line="6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On October 21, 2021, a purported investor in the Company's publicly traded securities filed a putative class action lawsuit against Amarin Corporation plc, the former chief executive officer and the chief financial officer in the U.S. District Court for the District of New Jersey, Vincent Dang v. Amarin Corporation plc, John F. Thero and Michael W. Kalb, No. 1:21-cv-19212 (D.N.J. Oct. 21, 2021) and a subsequent case, Dorfman v. Amarin Corporation plc, et al., No. 3:21-cv-19911 (D.N.J. filed Nov. 10, 2021), was filed in November 2021. In December 2021, several Amarin shareholders moved to consolidate the cases, or the Securities Litigation, and appoint a lead plaintiff and lead counsel pursuant to the Private Securities Litigation Reform Act. The complaints in these actions are nearly identical and allege that the Company misled investors by allegedly downplaying the risk associated with the ANDA litigation described above and the risk that certain of the Company's patents would be invalidated. Based on these allegations, plaintiff alleges that he purchased securities at an inflated share price and brings claims under the Securities and Exchange Act of 1934 seeking unspecified monetary damages and attorneys' fees and costs. The Company believes it has valid defenses and will vigorously defend against the claims but cannot predict the outcome. The Company is unable to reasonably estimate the loss exposure, if any, associated with these claims.</w:t>
      </w:r>
    </w:p>
    <w:p>
      <w:pPr>
        <w:spacing w:after="0" w:line="7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On April 7, 2022, a purported investor in the Company's publicly traded securities filed a derivative lawsuit naming the same officer defendants from the Securities Litigation, the Officer Defendants, and also the members of the Company's board of directors, and the Company as nominal defendant in the U.S. District Court for the District of New Jersey, Gary Schader v. Amarin Corporation plc, John F. Thero, Michael W. Kalb, Lars G. Ekman, Jan Van Heek, Karim Mikhail, Patrick J. O'Sullivan, Per Wold-Olsen, Kristine Peterson, David Stack, and Joseph S. Zakrzewski, No. 3:22-cv-02017 (D.N.J. Apr. 7, 2022). The complaint alleges, like the Securities Litigation, that the defendants allegedly downplayed the risk associated with the ANDA litigation and the risk that certain of the Company's patents would be invalidated. Based on the allegations, plaintiffs allege that the directors breached their fiduciary duties and that the Officer Defendants were unjustly enriched, and plaintiffs seek contribution from the Officer Defendants for any liability they incur in the Securities Litigation and for which they are indemnified by the Company. On July 1, 2022, the plaintiff voluntarily dismissed this matter.</w:t>
      </w:r>
    </w:p>
    <w:p>
      <w:pPr>
        <w:spacing w:after="0" w:line="9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Supply Purchase Obligations</w:t>
      </w:r>
    </w:p>
    <w:p>
      <w:pPr>
        <w:spacing w:after="0" w:line="119" w:lineRule="exact"/>
        <w:rPr>
          <w:sz w:val="20"/>
          <w:szCs w:val="20"/>
          <w:color w:val="auto"/>
        </w:rPr>
      </w:pPr>
    </w:p>
    <w:p>
      <w:pPr>
        <w:jc w:val="both"/>
        <w:ind w:right="420"/>
        <w:spacing w:after="0" w:line="250" w:lineRule="auto"/>
        <w:rPr>
          <w:sz w:val="20"/>
          <w:szCs w:val="20"/>
          <w:color w:val="auto"/>
        </w:rPr>
      </w:pPr>
      <w:r>
        <w:rPr>
          <w:rFonts w:ascii="Times New Roman" w:cs="Times New Roman" w:eastAsia="Times New Roman" w:hAnsi="Times New Roman"/>
          <w:sz w:val="18"/>
          <w:szCs w:val="18"/>
          <w:color w:val="auto"/>
        </w:rPr>
        <w:t>The Company currently has long-term supply agreements with multiple API suppliers and encapsulators. The Company is relying on these suppliers to meet current and potential future global demand for its lead product. Certain supply agreements require annual minimum volume commitments by the Company and certain volume shortfalls may require payments for such shortfalls.</w:t>
      </w:r>
    </w:p>
    <w:p>
      <w:pPr>
        <w:spacing w:after="0" w:line="82" w:lineRule="exact"/>
        <w:rPr>
          <w:sz w:val="20"/>
          <w:szCs w:val="20"/>
          <w:color w:val="auto"/>
        </w:rPr>
      </w:pPr>
    </w:p>
    <w:p>
      <w:pPr>
        <w:jc w:val="both"/>
        <w:ind w:right="420"/>
        <w:spacing w:after="0" w:line="250" w:lineRule="auto"/>
        <w:rPr>
          <w:sz w:val="20"/>
          <w:szCs w:val="20"/>
          <w:color w:val="auto"/>
        </w:rPr>
      </w:pPr>
      <w:r>
        <w:rPr>
          <w:rFonts w:ascii="Times New Roman" w:cs="Times New Roman" w:eastAsia="Times New Roman" w:hAnsi="Times New Roman"/>
          <w:sz w:val="18"/>
          <w:szCs w:val="18"/>
          <w:color w:val="auto"/>
        </w:rPr>
        <w:t>These agreements include requirements for the suppliers to meet certain product specifications and qualify their materials and facilities with applicable regulatory authorities, including the U.S. FDA. The Company has incurred certain costs associated with the qualification of product produced by these suppliers.</w:t>
      </w:r>
    </w:p>
    <w:p>
      <w:pPr>
        <w:spacing w:after="0" w:line="82"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On June 6, 2022, the Company announced a Comprehensive Cost Reduction Plan which includes a comprehensive cost and organizational restructuring plan to address current shifts within the Company’s U.S. business as a result of the generic competition. As part of this plan, the Company has reviewed its contractual supplier purchase obligations and has entered into agreements with suppliers to amend supplier agreements to align supply arrangements with current and future market demand. The Company continues to negotiate with other contract suppliers to align its supply arrangements with current and future global demand which may result in additional costs to the Company. As of September 30, 2022, the Company has a total of approximately $81.5 million in future contractual purchase obligations without consideration to ongoing discussions with other suppliers.</w:t>
      </w:r>
    </w:p>
    <w:p>
      <w:pPr>
        <w:spacing w:after="0" w:line="74"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On March 26, 2021, the EC approved the marketing authorization application for VAZKEPA. Under the 2004 share repurchase agreement with Laxdale, upon receipt of pricing approval in Europe for the first indication for VASCEPA (or first indication of any product containing intellectual property acquired from Laxdale in 2004), the Company was obligated to make an aggregate stock or cash payment to the former shareholders of Laxdale (at the sole option of each of such former shareholders) of £7.5 million. On July 13, 2022 in connection with the United Kingdom's National Institute for Health and Care Excellence, or NICE's, final guidance for reimbursement of VAZKEPA and use across the National Health Service, or NHS, in England and Wales, representing receipt of marketing approval in Europe for the first indication for VAZKEPA, the Company became obligated to make the aggregate milestone payment of £7.5 million to Laxdale’s former shareholders (in either stock or cash at the election of each shareholder). As of September 30, 2022, the Company has settled the first European indication approval milestone through issuance of stock or cash payments based on the respective shareholder's election.</w:t>
      </w:r>
    </w:p>
    <w:p>
      <w:pPr>
        <w:spacing w:after="0" w:line="7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Also under the Laxdale agreement, upon receipt of a marketing approval in Europe for a further indication of VASCEPA (or further indication of any other product acquired from Laxdale in 2004), the Company must make an aggregate stock or cash payment (at the sole option of each of such former shareholder) of £5 million (approximately $5.5 million as of September 30, 2022) for the potential market approval.</w:t>
      </w:r>
    </w:p>
    <w:p>
      <w:pPr>
        <w:spacing w:after="0" w:line="6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has no provision for any of these obligations, except as noted above, since the amounts are either not paid or payable as of September 30, 2022.</w:t>
      </w:r>
    </w:p>
    <w:p>
      <w:pPr>
        <w:spacing w:after="0" w:line="2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119"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On July 13 2022, in connection with the United Kingdom's National Institute for Health and Care Excellence, or NICE's, final guidance for reimbursement of VAZKEPA and use across the National Health Service, or NHS, in England and Wales, representing receipt of marketing approval in Europe for the first indication for VAZKEPA, the Company became obligated to make an aggregate milestone payment of £7.5 million to Laxdale’s former shareholders (in either stock or cash at the election of each shareholder) under the 2004 purchase agreement among the Company and such former shareholders. One of the shareholders elected to receive payment in stock for its pro rata portion of the milestone payment, resulting in the issuance of 5,817,942 shares at a price of $1.41 per share in July 2022.</w:t>
      </w:r>
    </w:p>
    <w:p>
      <w:pPr>
        <w:spacing w:after="0" w:line="85"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2022 and 2021, in addition to ordinary shares issued as described in </w:t>
      </w:r>
      <w:r>
        <w:rPr>
          <w:rFonts w:ascii="Times New Roman" w:cs="Times New Roman" w:eastAsia="Times New Roman" w:hAnsi="Times New Roman"/>
          <w:sz w:val="18"/>
          <w:szCs w:val="18"/>
          <w:i w:val="1"/>
          <w:iCs w:val="1"/>
          <w:color w:val="auto"/>
        </w:rPr>
        <w:t>Incentive Equity Awards</w:t>
      </w:r>
      <w:r>
        <w:rPr>
          <w:rFonts w:ascii="Times New Roman" w:cs="Times New Roman" w:eastAsia="Times New Roman" w:hAnsi="Times New Roman"/>
          <w:sz w:val="18"/>
          <w:szCs w:val="18"/>
          <w:color w:val="auto"/>
        </w:rPr>
        <w:t xml:space="preserve"> below, the Company issued 265,214 and 226,402 ordinary shares, respectively, under the Amarin Corporation plc 2017 Employee Stock Purchase Plan.</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Equity Awards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aggregate number of stock options and restricted stock units, or RSUs, outstanding under the Amarin Corporation plc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Stock Incentive Plan, or the 2020 Plan, as of September 30,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480" w:type="dxa"/>
            <w:vAlign w:val="bottom"/>
            <w:gridSpan w:val="3"/>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0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3340" w:type="dxa"/>
            <w:vAlign w:val="bottom"/>
            <w:shd w:val="clear" w:color="auto" w:fill="CFF0FC"/>
          </w:tcPr>
          <w:p>
            <w:pPr>
              <w:spacing w:after="0"/>
              <w:rPr>
                <w:sz w:val="18"/>
                <w:szCs w:val="18"/>
                <w:color w:val="auto"/>
              </w:rPr>
            </w:pPr>
          </w:p>
        </w:tc>
        <w:tc>
          <w:tcPr>
            <w:tcW w:w="3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19,039,667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outstanding shares on a fully diluted basis</w:t>
            </w:r>
          </w:p>
        </w:tc>
        <w:tc>
          <w:tcPr>
            <w:tcW w:w="6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RSUs</w:t>
            </w:r>
          </w:p>
        </w:tc>
        <w:tc>
          <w:tcPr>
            <w:tcW w:w="6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14,662,947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outstanding shares on a fully diluted basis</w:t>
            </w:r>
          </w:p>
        </w:tc>
        <w:tc>
          <w:tcPr>
            <w:tcW w:w="6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400"/>
        </w:trPr>
        <w:tc>
          <w:tcPr>
            <w:tcW w:w="4480" w:type="dxa"/>
            <w:vAlign w:val="bottom"/>
          </w:tcPr>
          <w:p>
            <w:pPr>
              <w:spacing w:after="0"/>
              <w:rPr>
                <w:sz w:val="24"/>
                <w:szCs w:val="24"/>
                <w:color w:val="auto"/>
              </w:rPr>
            </w:pPr>
          </w:p>
        </w:tc>
        <w:tc>
          <w:tcPr>
            <w:tcW w:w="334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16</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4480" w:type="dxa"/>
            <w:vAlign w:val="bottom"/>
            <w:tcBorders>
              <w:bottom w:val="single" w:sz="8" w:color="9A9A9A"/>
            </w:tcBorders>
          </w:tcPr>
          <w:p>
            <w:pPr>
              <w:spacing w:after="0"/>
              <w:rPr>
                <w:sz w:val="7"/>
                <w:szCs w:val="7"/>
                <w:color w:val="auto"/>
              </w:rPr>
            </w:pPr>
          </w:p>
        </w:tc>
        <w:tc>
          <w:tcPr>
            <w:tcW w:w="3340" w:type="dxa"/>
            <w:vAlign w:val="bottom"/>
            <w:tcBorders>
              <w:bottom w:val="single" w:sz="8" w:color="9A9A9A"/>
            </w:tcBorders>
          </w:tcPr>
          <w:p>
            <w:pPr>
              <w:spacing w:after="0"/>
              <w:rPr>
                <w:sz w:val="7"/>
                <w:szCs w:val="7"/>
                <w:color w:val="auto"/>
              </w:rPr>
            </w:pPr>
          </w:p>
        </w:tc>
        <w:tc>
          <w:tcPr>
            <w:tcW w:w="3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65" w:right="2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following table represents equity awards activity during the nine months ended September 30, 2022 and 2021: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gridSpan w:val="4"/>
          </w:tcPr>
          <w:p>
            <w:pPr>
              <w:jc w:val="right"/>
              <w:ind w:right="1233"/>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shares issued for stock option exercises</w:t>
            </w:r>
          </w:p>
        </w:tc>
        <w:tc>
          <w:tcPr>
            <w:tcW w:w="5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33,303</w:t>
            </w:r>
          </w:p>
        </w:tc>
        <w:tc>
          <w:tcPr>
            <w:tcW w:w="4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994,921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and net proceeds from stock option exercises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shares issued in settlement of vested RSUs</w:t>
            </w:r>
          </w:p>
        </w:tc>
        <w:tc>
          <w:tcPr>
            <w:tcW w:w="5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1,458,806</w:t>
            </w:r>
          </w:p>
        </w:tc>
        <w:tc>
          <w:tcPr>
            <w:tcW w:w="4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1,202,590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Shares retained for settlement of employee tax obligations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RSUs</w:t>
            </w:r>
          </w:p>
        </w:tc>
        <w:tc>
          <w:tcPr>
            <w:tcW w:w="5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344,318</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Common shares issued in settlement of vested Performance-Based RSUs </w:t>
            </w:r>
            <w:r>
              <w:rPr>
                <w:rFonts w:ascii="Times New Roman" w:cs="Times New Roman" w:eastAsia="Times New Roman" w:hAnsi="Times New Roman"/>
                <w:sz w:val="24"/>
                <w:szCs w:val="24"/>
                <w:color w:val="auto"/>
                <w:vertAlign w:val="superscript"/>
              </w:rPr>
              <w:t>(1)</w:t>
            </w:r>
          </w:p>
        </w:tc>
        <w:tc>
          <w:tcPr>
            <w:tcW w:w="5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1,923,316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88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Shares retained for settlement of employee tax obligations ─ Performance-Based</w:t>
            </w:r>
          </w:p>
        </w:tc>
        <w:tc>
          <w:tcPr>
            <w:tcW w:w="58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816,931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5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88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60" w:right="14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RSUs vested in connection with the achievement of certain regulatory and sales performance conditions associated with the REDUCE-IT clinical trial and subsequent revenue growth. These performance-based RSUs have fully vested as of August 2021.</w:t>
      </w:r>
    </w:p>
    <w:p>
      <w:pPr>
        <w:spacing w:after="0" w:line="6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June 27, 2022, the Company granted a total of 661,459 RSUs and 817,873 stock options to members of the Company’s Board of Directors under the 2020 Plan and in accordance with the Company's non-employee Director compensation policy. The RSUs vest in equal installments over a three-year period upon the earlier of the anniversary of the grant date or the Company’s annual general meeting of shareholders in such anniversary year, and are subject to deferred settlement upon the Director’s separation of service with the Company. The stock options vest in full upon the earlier of the one-year anniversary of the grant date or the Company’s annual general meeting of shareholders in such anniversary year. Upon termination of service to the Company or upon a change of control as defined in the 2020 Plan, each Director shall be entitled to a payment equal to the fair market value of one share of Amarin common stock per award vested or granted, respectively, which is required to be made in shares.</w:t>
      </w:r>
    </w:p>
    <w:p>
      <w:pPr>
        <w:spacing w:after="0" w:line="92"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On February 4, 2022, the Company granted a total of 5,987,500 RSUs and 1,976,600 stock options to employees under the 2020 Plan. The RSUs vest annually over a three-year period and the stock options vest quarterly over a four-year period with a one-year cliff vesting. Also on February 4, 2022, the Company granted a total of 1,089,500 RSUs to certain employees under the 2020 Plan that vest upon the achievement of specified sales and operational performance conditions.</w:t>
      </w:r>
    </w:p>
    <w:p>
      <w:pPr>
        <w:spacing w:after="0" w:line="6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On January 10, 2022 and May 16, 2022, the Company granted a total of 81,082 and 360,000 RSUs, respectively, and 103,569 and 447,438 stock options, respectively, to newly appointed members of the Company’s Board of Directors under the 2020 Plan and in accordance with the Company's non-employee Director compensation policy. The RSUs vest in equal installments over a three-year period upon the anniversary of the grant date, and are subject to deferred settlement upon the Director’s separation of service with the Company. The stock options vest in full upon the one-year anniversary of the grant date. Upon termination of service to the Company or upon a change of control as defined in the 2020 Plan, each Director shall be entitled to a payment equal to the fair market value of one share of Amarin common stock per award vested or granted, respectively, which is required to be made in shares.</w:t>
      </w:r>
    </w:p>
    <w:p>
      <w:pPr>
        <w:spacing w:after="0" w:line="6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On June 14, 2021, the Company granted a total of 218,000 RSUs and 278,271 stock options to members of the Company’s Board of Directors under the 2020 Plan and in accordance with the Company's non-employee Director compensation policy. The RSUs vest in equal installments over a three-year period upon the earlier of the anniversary of the grant date or the Company’s annual general meeting of shareholders in such anniversary year, and are subject to deferred settlement upon the Director’s separation of service with the Company. The stock options vest in full upon the earlier of the one-year anniversary of the grant date or the Company’s annual general meeting of shareholders in such anniversary year. Upon termination of service to the Company or upon a change of control as defined in the 2020 plan, each Director shall be entitled to a payment equal to the fair market value of one share of Amarin common stock per award vested or granted, respectively, which is required to be made in shares.</w:t>
      </w:r>
    </w:p>
    <w:p>
      <w:pPr>
        <w:spacing w:after="0" w:line="73"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On January 4, 2021, the Company granted a total of 3,265,700 RSUs and 3,100,200 stock options to employees under the 2020 Plan. The RSUs vest annually over a three-year period and the stock options vest quarterly over a four-year period with a one-year cliff vesting. Also on January 4, 2021, the Company granted a total of 1,345,800 RSUs to certain employees under the 2020 Plan that vest upon the achievement of specified sales and operational performance conditions.</w:t>
      </w:r>
    </w:p>
    <w:p>
      <w:pPr>
        <w:spacing w:after="0" w:line="28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Co-Promotion Agreement</w:t>
      </w:r>
    </w:p>
    <w:p>
      <w:pPr>
        <w:spacing w:after="0" w:line="121"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On March 31, 2014, the Company entered into a Co-Promotion Agreement, or the Agreement, with Kowa Pharmaceuticals America, Inc. related to the commercialization of VASCEPA capsules in the United States. The Company and Kowa Pharmaceuticals America, Inc. intentionally designed the Agreement to naturally end as of December 31, 2018 and mutually agreed not to renew the Agreement.</w:t>
      </w:r>
    </w:p>
    <w:p>
      <w:pPr>
        <w:spacing w:after="0" w:line="82" w:lineRule="exact"/>
        <w:rPr>
          <w:sz w:val="20"/>
          <w:szCs w:val="20"/>
          <w:color w:val="auto"/>
        </w:rPr>
      </w:pPr>
    </w:p>
    <w:p>
      <w:pPr>
        <w:jc w:val="both"/>
        <w:ind w:right="160"/>
        <w:spacing w:after="0" w:line="247" w:lineRule="auto"/>
        <w:rPr>
          <w:sz w:val="20"/>
          <w:szCs w:val="20"/>
          <w:color w:val="auto"/>
        </w:rPr>
      </w:pPr>
      <w:r>
        <w:rPr>
          <w:rFonts w:ascii="Times New Roman" w:cs="Times New Roman" w:eastAsia="Times New Roman" w:hAnsi="Times New Roman"/>
          <w:sz w:val="18"/>
          <w:szCs w:val="18"/>
          <w:color w:val="auto"/>
        </w:rPr>
        <w:t>During 2018, which was the last year of the co-promotion of VASCEPA by Kowa Pharmaceuticals America, Inc., the Company incurred expense for co-promotion tail payments which are calculated as a percentage of the 2018 co-promotion fee, which was eighteen and a half percent (18.5%) of VASCEPA gross margin in 2018. The accrued tail payments are paid over three years with</w:t>
      </w: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7" w:name="page18"/>
    <w:bookmarkEnd w:id="17"/>
    <w:p>
      <w:pPr>
        <w:ind w:right="20"/>
        <w:spacing w:after="0" w:line="282" w:lineRule="auto"/>
        <w:rPr>
          <w:sz w:val="20"/>
          <w:szCs w:val="20"/>
          <w:color w:val="auto"/>
        </w:rPr>
      </w:pPr>
      <w:r>
        <w:rPr>
          <w:rFonts w:ascii="Times New Roman" w:cs="Times New Roman" w:eastAsia="Times New Roman" w:hAnsi="Times New Roman"/>
          <w:sz w:val="18"/>
          <w:szCs w:val="18"/>
          <w:color w:val="auto"/>
        </w:rPr>
        <w:t>declining amounts each year. Kowa Pharmaceuticals America, Inc. was eligible to receive $17.8 million in co-promotion tail payments, the present value of which $16.6 million, was fully accrued as of December 31, 2018.</w:t>
      </w:r>
    </w:p>
    <w:p>
      <w:pPr>
        <w:spacing w:after="0" w:line="40"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18"/>
          <w:szCs w:val="18"/>
          <w:color w:val="auto"/>
        </w:rPr>
        <w:t>During the first quarter of 2022, the final co-promotion tail payment was made to Kowa Pharmaceuticals America, Inc. As of December 31, 2021, a net payable to Kowa Pharmaceuticals America, Inc. of $0.6 million was classified as current on the condensed consolidated balance sheet, representing the remaining accrued co-promotion tail payments.</w:t>
      </w:r>
    </w:p>
    <w:p>
      <w:pPr>
        <w:spacing w:after="0" w:line="27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Revenue Recognition</w:t>
      </w:r>
    </w:p>
    <w:p>
      <w:pPr>
        <w:spacing w:after="0" w:line="108"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The Company sells VASCEPA principally to a limited number of major wholesalers, as well as selected regional wholesalers and specialty pharmacy providers in the United States and Europe, or collectively, its distributors or its customers, most of whom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8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Revenues from product sales are recognized when the distributor obtains control of the Company’s product, which occurs at a point in time, typically upon delivery to the distributor. Payments from distributors are generally received 30-60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Times New Roman" w:cs="Times New Roman" w:eastAsia="Times New Roman" w:hAnsi="Times New Roman"/>
          <w:sz w:val="18"/>
          <w:szCs w:val="18"/>
          <w:color w:val="00B050"/>
        </w:rPr>
        <w:t>.</w:t>
      </w:r>
      <w:r>
        <w:rPr>
          <w:rFonts w:ascii="Times New Roman" w:cs="Times New Roman" w:eastAsia="Times New Roman" w:hAnsi="Times New Roman"/>
          <w:sz w:val="18"/>
          <w:szCs w:val="18"/>
          <w:color w:val="auto"/>
        </w:rPr>
        <w:t xml:space="preserve"> The Company calculates gross product revenues generally based on the wholesale acquisition cost or list price that the Company charges its distributors for VASCEPA.</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11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73" w:lineRule="exact"/>
        <w:rPr>
          <w:sz w:val="20"/>
          <w:szCs w:val="20"/>
          <w:color w:val="auto"/>
        </w:rPr>
      </w:pPr>
    </w:p>
    <w:p>
      <w:pPr>
        <w:ind w:left="520" w:right="2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Trade Allowances: </w:t>
      </w:r>
      <w:r>
        <w:rPr>
          <w:rFonts w:ascii="Times New Roman" w:cs="Times New Roman" w:eastAsia="Times New Roman" w:hAnsi="Times New Roman"/>
          <w:sz w:val="18"/>
          <w:szCs w:val="18"/>
          <w:color w:val="auto"/>
        </w:rPr>
        <w:t>The Company generally provides invoice discounts on VASCEPA sales to its distributors for prompt payment and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services, such as fees for certain data that distributors provide to the Company. The payment terms for sales to distributors in the U.S. and Europe generally include a 2-3%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82" w:lineRule="exact"/>
        <w:rPr>
          <w:sz w:val="20"/>
          <w:szCs w:val="20"/>
          <w:color w:val="auto"/>
        </w:rPr>
      </w:pPr>
    </w:p>
    <w:p>
      <w:pPr>
        <w:ind w:left="520" w:right="40" w:firstLine="509"/>
        <w:spacing w:after="0"/>
        <w:rPr>
          <w:sz w:val="20"/>
          <w:szCs w:val="20"/>
          <w:color w:val="auto"/>
        </w:rPr>
      </w:pPr>
      <w:r>
        <w:rPr>
          <w:rFonts w:ascii="Times New Roman" w:cs="Times New Roman" w:eastAsia="Times New Roman" w:hAnsi="Times New Roman"/>
          <w:sz w:val="18"/>
          <w:szCs w:val="18"/>
          <w:i w:val="1"/>
          <w:iCs w:val="1"/>
          <w:color w:val="auto"/>
        </w:rPr>
        <w:t xml:space="preserve">Rebates, Chargebacks and Discounts: </w:t>
      </w:r>
      <w:r>
        <w:rPr>
          <w:rFonts w:ascii="Times New Roman" w:cs="Times New Roman" w:eastAsia="Times New Roman" w:hAnsi="Times New Roman"/>
          <w:sz w:val="18"/>
          <w:szCs w:val="18"/>
          <w:color w:val="auto"/>
        </w:rPr>
        <w:t>The Company contracts with Medicaid, Medicare, other government agencies and various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8" w:name="page19"/>
    <w:bookmarkEnd w:id="18"/>
    <w:p>
      <w:pPr>
        <w:jc w:val="both"/>
        <w:ind w:left="520" w:right="280"/>
        <w:spacing w:after="0" w:line="258" w:lineRule="auto"/>
        <w:rPr>
          <w:sz w:val="20"/>
          <w:szCs w:val="20"/>
          <w:color w:val="auto"/>
        </w:rPr>
      </w:pPr>
      <w:r>
        <w:rPr>
          <w:rFonts w:ascii="Times New Roman" w:cs="Times New Roman" w:eastAsia="Times New Roman" w:hAnsi="Times New Roman"/>
          <w:sz w:val="18"/>
          <w:szCs w:val="18"/>
          <w:color w:val="auto"/>
        </w:rPr>
        <w:t>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59" w:lineRule="exact"/>
        <w:rPr>
          <w:sz w:val="20"/>
          <w:szCs w:val="20"/>
          <w:color w:val="auto"/>
        </w:rPr>
      </w:pPr>
    </w:p>
    <w:p>
      <w:pPr>
        <w:ind w:left="520" w:firstLine="509"/>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distributors have the right to return unopened unprescribed VASCEPA during the 18-month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six months prior to the labeled expiration date and ending 12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81" w:lineRule="exact"/>
        <w:rPr>
          <w:sz w:val="20"/>
          <w:szCs w:val="20"/>
          <w:color w:val="auto"/>
        </w:rPr>
      </w:pPr>
    </w:p>
    <w:p>
      <w:pPr>
        <w:ind w:left="520" w:right="20" w:firstLine="509"/>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that the Company offers to indirect customers include co-pay mitigation rebates provided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activity in each of the net product revenue allowance and reserve categories described above for the nine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2021:</w:t>
      </w:r>
    </w:p>
    <w:p>
      <w:pPr>
        <w:spacing w:after="0" w:line="18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4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Trade</w:t>
            </w:r>
          </w:p>
        </w:tc>
        <w:tc>
          <w:tcPr>
            <w:tcW w:w="120" w:type="dxa"/>
            <w:vAlign w:val="bottom"/>
          </w:tcPr>
          <w:p>
            <w:pPr>
              <w:spacing w:after="0"/>
              <w:rPr>
                <w:sz w:val="13"/>
                <w:szCs w:val="13"/>
                <w:color w:val="auto"/>
              </w:rPr>
            </w:pPr>
          </w:p>
        </w:tc>
        <w:tc>
          <w:tcPr>
            <w:tcW w:w="1180" w:type="dxa"/>
            <w:vAlign w:val="bottom"/>
            <w:gridSpan w:val="3"/>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40" w:type="dxa"/>
            <w:vAlign w:val="bottom"/>
          </w:tcPr>
          <w:p>
            <w:pPr>
              <w:spacing w:after="0"/>
              <w:rPr>
                <w:sz w:val="13"/>
                <w:szCs w:val="13"/>
                <w:color w:val="auto"/>
              </w:rPr>
            </w:pPr>
          </w:p>
        </w:tc>
        <w:tc>
          <w:tcPr>
            <w:tcW w:w="960" w:type="dxa"/>
            <w:vAlign w:val="bottom"/>
            <w:gridSpan w:val="3"/>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Product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6"/>
                <w:szCs w:val="16"/>
                <w:color w:val="auto"/>
              </w:rPr>
            </w:pPr>
          </w:p>
        </w:tc>
        <w:tc>
          <w:tcPr>
            <w:tcW w:w="10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3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40" w:type="dxa"/>
            <w:vAlign w:val="bottom"/>
          </w:tcPr>
          <w:p>
            <w:pPr>
              <w:spacing w:after="0"/>
              <w:rPr>
                <w:sz w:val="16"/>
                <w:szCs w:val="16"/>
                <w:color w:val="auto"/>
              </w:rPr>
            </w:pPr>
          </w:p>
        </w:tc>
        <w:tc>
          <w:tcPr>
            <w:tcW w:w="9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86,636</w:t>
            </w: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184,726</w:t>
            </w: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8,090</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2,745</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282,197</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490,995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21,048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584,945</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0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(26,746 )</w:t>
            </w:r>
          </w:p>
        </w:tc>
        <w:tc>
          <w:tcPr>
            <w:tcW w:w="12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(360,256 )</w:t>
            </w:r>
          </w:p>
        </w:tc>
        <w:tc>
          <w:tcPr>
            <w:tcW w:w="14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(19,423 )</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(406,425 )</w:t>
            </w:r>
          </w:p>
        </w:tc>
      </w:tr>
      <w:tr>
        <w:trPr>
          <w:trHeight w:val="216"/>
        </w:trPr>
        <w:tc>
          <w:tcPr>
            <w:tcW w:w="4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(83,398 )</w:t>
            </w:r>
          </w:p>
        </w:tc>
        <w:tc>
          <w:tcPr>
            <w:tcW w:w="1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(176,107 )</w:t>
            </w:r>
          </w:p>
        </w:tc>
        <w:tc>
          <w:tcPr>
            <w:tcW w:w="14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(1,408 )</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(2,630 )</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(263,543 )</w:t>
            </w:r>
          </w:p>
        </w:tc>
      </w:tr>
      <w:tr>
        <w:trPr>
          <w:trHeight w:val="210"/>
        </w:trPr>
        <w:tc>
          <w:tcPr>
            <w:tcW w:w="4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47,656</w:t>
            </w: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140,525</w:t>
            </w: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8,420</w:t>
            </w:r>
          </w:p>
        </w:tc>
        <w:tc>
          <w:tcPr>
            <w:tcW w:w="16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1,740</w:t>
            </w:r>
          </w:p>
        </w:tc>
        <w:tc>
          <w:tcPr>
            <w:tcW w:w="16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198,341</w:t>
            </w:r>
          </w:p>
        </w:tc>
        <w:tc>
          <w:tcPr>
            <w:tcW w:w="100" w:type="dxa"/>
            <w:vAlign w:val="bottom"/>
            <w:tcBorders>
              <w:top w:val="single" w:sz="8" w:color="CFF0FC"/>
            </w:tcBorders>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4"/>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8"/>
        </w:trPr>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Trade</w:t>
            </w:r>
          </w:p>
        </w:tc>
        <w:tc>
          <w:tcPr>
            <w:tcW w:w="120" w:type="dxa"/>
            <w:vAlign w:val="bottom"/>
          </w:tcPr>
          <w:p>
            <w:pPr>
              <w:spacing w:after="0"/>
              <w:rPr>
                <w:sz w:val="12"/>
                <w:szCs w:val="12"/>
                <w:color w:val="auto"/>
              </w:rPr>
            </w:pPr>
          </w:p>
        </w:tc>
        <w:tc>
          <w:tcPr>
            <w:tcW w:w="11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40" w:type="dxa"/>
            <w:vAlign w:val="bottom"/>
          </w:tcPr>
          <w:p>
            <w:pPr>
              <w:spacing w:after="0"/>
              <w:rPr>
                <w:sz w:val="12"/>
                <w:szCs w:val="12"/>
                <w:color w:val="auto"/>
              </w:rPr>
            </w:pPr>
          </w:p>
        </w:tc>
        <w:tc>
          <w:tcPr>
            <w:tcW w:w="960" w:type="dxa"/>
            <w:vAlign w:val="bottom"/>
            <w:gridSpan w:val="3"/>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Product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7"/>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6"/>
                <w:szCs w:val="16"/>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3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40" w:type="dxa"/>
            <w:vAlign w:val="bottom"/>
          </w:tcPr>
          <w:p>
            <w:pPr>
              <w:spacing w:after="0"/>
              <w:rPr>
                <w:sz w:val="16"/>
                <w:szCs w:val="16"/>
                <w:color w:val="auto"/>
              </w:rPr>
            </w:pPr>
          </w:p>
        </w:tc>
        <w:tc>
          <w:tcPr>
            <w:tcW w:w="9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40" w:type="dxa"/>
            <w:vAlign w:val="bottom"/>
          </w:tcPr>
          <w:p>
            <w:pPr>
              <w:spacing w:after="0"/>
              <w:rPr>
                <w:sz w:val="16"/>
                <w:szCs w:val="16"/>
                <w:color w:val="auto"/>
              </w:rPr>
            </w:pPr>
          </w:p>
        </w:tc>
        <w:tc>
          <w:tcPr>
            <w:tcW w:w="10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36,242</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141,201</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7,797</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5,587</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tcBorders>
              <w:top w:val="single" w:sz="8" w:color="auto"/>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190,827</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497,726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627,571</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(854 )</w:t>
            </w:r>
          </w:p>
        </w:tc>
        <w:tc>
          <w:tcPr>
            <w:tcW w:w="14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(854 )</w:t>
            </w:r>
          </w:p>
        </w:tc>
      </w:tr>
      <w:tr>
        <w:trPr>
          <w:trHeight w:val="216"/>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0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(27,635 )</w:t>
            </w: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(303,029 )</w:t>
            </w:r>
          </w:p>
        </w:tc>
        <w:tc>
          <w:tcPr>
            <w:tcW w:w="14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(31,796 )</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(362,460 )</w:t>
            </w:r>
          </w:p>
        </w:tc>
      </w:tr>
      <w:tr>
        <w:trPr>
          <w:trHeight w:val="216"/>
        </w:trPr>
        <w:tc>
          <w:tcPr>
            <w:tcW w:w="4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(34,511 )</w:t>
            </w:r>
          </w:p>
        </w:tc>
        <w:tc>
          <w:tcPr>
            <w:tcW w:w="1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(131,320 )</w:t>
            </w:r>
          </w:p>
        </w:tc>
        <w:tc>
          <w:tcPr>
            <w:tcW w:w="14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(958 )</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(5,589 )</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(172,378 )</w:t>
            </w:r>
          </w:p>
        </w:tc>
      </w:tr>
      <w:tr>
        <w:trPr>
          <w:trHeight w:val="210"/>
        </w:trPr>
        <w:tc>
          <w:tcPr>
            <w:tcW w:w="4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64,857</w:t>
            </w:r>
          </w:p>
        </w:tc>
        <w:tc>
          <w:tcPr>
            <w:tcW w:w="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203,724</w:t>
            </w:r>
          </w:p>
        </w:tc>
        <w:tc>
          <w:tcPr>
            <w:tcW w:w="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9,486</w:t>
            </w:r>
          </w:p>
        </w:tc>
        <w:tc>
          <w:tcPr>
            <w:tcW w:w="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4,639</w:t>
            </w:r>
          </w:p>
        </w:tc>
        <w:tc>
          <w:tcPr>
            <w:tcW w:w="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282,706</w:t>
            </w:r>
          </w:p>
        </w:tc>
        <w:tc>
          <w:tcPr>
            <w:tcW w:w="100" w:type="dxa"/>
            <w:vAlign w:val="bottom"/>
            <w:tcBorders>
              <w:top w:val="single" w:sz="8" w:color="CFF0FC"/>
            </w:tcBorders>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-1473835</wp:posOffset>
            </wp:positionV>
            <wp:extent cx="6858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-1473835</wp:posOffset>
            </wp:positionV>
            <wp:extent cx="6858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-1473835</wp:posOffset>
            </wp:positionV>
            <wp:extent cx="6032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-1473835</wp:posOffset>
            </wp:positionV>
            <wp:extent cx="6032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-1473835</wp:posOffset>
            </wp:positionV>
            <wp:extent cx="6032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-170815</wp:posOffset>
            </wp:positionV>
            <wp:extent cx="685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-170815</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032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032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286" w:lineRule="exact"/>
        <w:rPr>
          <w:sz w:val="20"/>
          <w:szCs w:val="20"/>
          <w:color w:val="auto"/>
        </w:rPr>
      </w:pPr>
    </w:p>
    <w:p>
      <w:pPr>
        <w:ind w:right="320"/>
        <w:spacing w:after="0" w:line="296" w:lineRule="auto"/>
        <w:rPr>
          <w:sz w:val="20"/>
          <w:szCs w:val="20"/>
          <w:color w:val="auto"/>
        </w:rPr>
      </w:pPr>
      <w:r>
        <w:rPr>
          <w:rFonts w:ascii="Times New Roman" w:cs="Times New Roman" w:eastAsia="Times New Roman" w:hAnsi="Times New Roman"/>
          <w:sz w:val="17"/>
          <w:szCs w:val="17"/>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above.</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Licensing Revenue</w:t>
      </w:r>
    </w:p>
    <w:p>
      <w:pPr>
        <w:spacing w:after="0" w:line="119"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9" w:name="page20"/>
    <w:bookmarkEnd w:id="19"/>
    <w:p>
      <w:pPr>
        <w:ind w:right="40"/>
        <w:spacing w:after="0" w:line="258" w:lineRule="auto"/>
        <w:rPr>
          <w:sz w:val="20"/>
          <w:szCs w:val="20"/>
          <w:color w:val="auto"/>
        </w:rPr>
      </w:pPr>
      <w:r>
        <w:rPr>
          <w:rFonts w:ascii="Times New Roman" w:cs="Times New Roman" w:eastAsia="Times New Roman" w:hAnsi="Times New Roman"/>
          <w:sz w:val="18"/>
          <w:szCs w:val="18"/>
          <w:color w:val="auto"/>
        </w:rPr>
        <w:t>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and royalty revenues.</w:t>
      </w:r>
    </w:p>
    <w:p>
      <w:pPr>
        <w:spacing w:after="0" w:line="6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69"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67"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7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regulatory and commercial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80"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8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tab/>
        <w:t>Development, Commercialization and Supply Agreements</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In-licenses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Mochida Pharmaceutical Co., Ltd.</w:t>
      </w:r>
    </w:p>
    <w:p>
      <w:pPr>
        <w:spacing w:after="0" w:line="1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United States and certain other territories and the parties will collaborate to research and develop new products and indications based on EPA for the Company’s commercialization in the United States and certain other territories. The potential new product and indication opportunities contemplated under this agreement are currently in early stages of development.</w:t>
      </w:r>
    </w:p>
    <w:p>
      <w:pPr>
        <w:spacing w:after="0" w:line="87" w:lineRule="exact"/>
        <w:rPr>
          <w:sz w:val="20"/>
          <w:szCs w:val="20"/>
          <w:color w:val="auto"/>
        </w:rPr>
      </w:pPr>
    </w:p>
    <w:p>
      <w:pPr>
        <w:ind w:right="440"/>
        <w:spacing w:after="0" w:line="247" w:lineRule="auto"/>
        <w:rPr>
          <w:sz w:val="20"/>
          <w:szCs w:val="20"/>
          <w:color w:val="auto"/>
        </w:rPr>
      </w:pPr>
      <w:r>
        <w:rPr>
          <w:rFonts w:ascii="Times New Roman" w:cs="Times New Roman" w:eastAsia="Times New Roman" w:hAnsi="Times New Roman"/>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0" w:name="page21"/>
    <w:bookmarkEnd w:id="20"/>
    <w:p>
      <w:pPr>
        <w:ind w:right="420"/>
        <w:spacing w:after="0" w:line="282" w:lineRule="auto"/>
        <w:rPr>
          <w:sz w:val="20"/>
          <w:szCs w:val="20"/>
          <w:color w:val="auto"/>
        </w:rPr>
      </w:pPr>
      <w:r>
        <w:rPr>
          <w:rFonts w:ascii="Times New Roman" w:cs="Times New Roman" w:eastAsia="Times New Roman" w:hAnsi="Times New Roman"/>
          <w:sz w:val="18"/>
          <w:szCs w:val="18"/>
          <w:color w:val="auto"/>
        </w:rPr>
        <w:t>In January 2022 and 2021, the Company exercised certain rights under the agreement, resulting in payments of $1.0 million, respectively, to Mochida, which was recorded as Research and development expense in the condensed consolidated statement of operations.</w:t>
      </w:r>
    </w:p>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u w:val="single" w:color="auto"/>
          <w:color w:val="auto"/>
        </w:rPr>
        <w:t>Out-licenses</w:t>
      </w: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Eddingpharm (Asia) Macao Commercial Offshore Limited</w:t>
      </w:r>
    </w:p>
    <w:p>
      <w:pPr>
        <w:spacing w:after="0" w:line="11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In February 2015, the Company entered into a Development, Commercialization and Supply Agreement, or the DCS Agreement, with Eddingpharm (Asia) Macao Commercial Offshore Limited, or Edding, related to the development and commercialization of VASCEPA in Mainland China, Hong Kong, Macau and Taiwan, or the China Territory. Under the terms of the DCS Agreement, the Company granted to Edding an exclusive (including as to the Company) license with right to sublicense to develop and commercialize VASCEPA in the China Territory for uses that are currently commercialized and under development by the Company based on the Company’s MARINE, ANCHOR and REDUCE-IT clinical trials of VASCEPA.</w:t>
      </w:r>
    </w:p>
    <w:p>
      <w:pPr>
        <w:spacing w:after="0" w:line="7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spacing w:after="0" w:line="5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 Company and Edding agreed to form a joint development committee to oversee regulatory and development activities for VASCEPA in the China Territory in accordance with a negotiated development plan and formed a separate joint commercialization committee in advance of expected approval in the China Territory to oversee VASCEPA planning and pre-launch commercialization activities in the China Territory. Development costs are paid by Edding to the extent such costs are incurred in connection with the negotiated development plan or otherwise incurred by Edding. Edding is responsible for preparing and filing regulatory applications in all countries of the China Territory at Edding’s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8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The term of the DCS Agreement expires, on a product-by-product basis, upon the later of (i) the date on which such product is no longer covered by a valid claim under a licensed patent in the China Territory, or (ii) the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 has the right to terminate the DCS Agreement for convenience with 12 months’ prior notice. Neither party may assign or transfer the DCS Agreement without the prior consent of the other party, provided that the Company may assign the DCS Agreement in the event of a change of control transaction.</w:t>
      </w:r>
    </w:p>
    <w:p>
      <w:pPr>
        <w:spacing w:after="0" w:line="74"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Upon closing of the DCS Agreement, the Company received a non-refundable $15.0 million up-front payment. In March 2016, Edding submitted its clinical trial application, or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 commenced a pivotal clinical trial aimed to support the regulatory approval of the first indication of VASCEPA in a patient population with severe hypertriglyceridemia in Mainland China. In November 2020, the Company announced statistically significant topline results from the Phase 3 clinical trial of VASCEPA conducted by Edding, which is being used to seek regulatory approval in Mainland China. The Company received approval of VASCEPA under the REDUCE-IT indication in Hong Kong in February 2022.</w:t>
      </w:r>
    </w:p>
    <w:p>
      <w:pPr>
        <w:spacing w:after="0" w:line="87"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7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1" w:name="page22"/>
    <w:bookmarkEnd w:id="21"/>
    <w:p>
      <w:pPr>
        <w:ind w:right="100"/>
        <w:spacing w:after="0" w:line="282" w:lineRule="auto"/>
        <w:rPr>
          <w:sz w:val="20"/>
          <w:szCs w:val="20"/>
          <w:color w:val="auto"/>
        </w:rPr>
      </w:pPr>
      <w:r>
        <w:rPr>
          <w:rFonts w:ascii="Times New Roman" w:cs="Times New Roman" w:eastAsia="Times New Roman" w:hAnsi="Times New Roman"/>
          <w:sz w:val="18"/>
          <w:szCs w:val="18"/>
          <w:color w:val="auto"/>
        </w:rPr>
        <w:t>regulatory assistance. Based on the analysis performed, the Company concluded that the identified performance obligations are not distinct and therefore a combined performance obligation.</w:t>
      </w:r>
    </w:p>
    <w:p>
      <w:pPr>
        <w:spacing w:after="0" w:line="4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The transaction price includes the $15.0 million up-front consideration received and the $1.0 million milestone payment received related to the successful submission of the CTA for the MARINE indication. None of the other clinical or regulatory milestones have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73"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During the nine months ended September 30, 2022 and 2021, the Company recognized $0.4 million and $0.8 million, respectively, as licensing revenue related to the up-front and milestone payments received in connection with the Edding agreement. From contract inception through September 30, 2022 and December 31, 2021, the Company recognized $7.5 million and $7.1 million, respectively, as licensing revenue under the DCS Agreement concurrent with the input measure of support hours provided by Amarin to Edding in achieving the combined development and regulatory performance obligation, which in the Company’s judgment is the best measure of progress towards satisfying this performance obligation. The remaining transaction price of $9.4 million and $9.8 million is recorded in deferred revenue as of September 30, 2022 and December 31, 2021, respectively, on the condensed consolidated balance sheets and will be recognized as revenue over the remaining period of 12 years.</w:t>
      </w:r>
    </w:p>
    <w:p>
      <w:pPr>
        <w:spacing w:after="0" w:line="7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nil and $0.2 million for the three months ended September 30, 2022 and 2021, respectively, and nil and $0.3 million for the nine months ended September 30, 2022 and 2021, respectively, related to sales to Edding.</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Biologix FZCo</w:t>
      </w:r>
    </w:p>
    <w:p>
      <w:pPr>
        <w:spacing w:after="0" w:line="10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received approval of VASCEPA under the MARINE and REDUCE-IT indications in the following countries: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8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260" w:type="dxa"/>
            <w:vAlign w:val="bottom"/>
          </w:tcPr>
          <w:p>
            <w:pPr>
              <w:spacing w:after="0"/>
              <w:rPr>
                <w:sz w:val="16"/>
                <w:szCs w:val="16"/>
                <w:color w:val="auto"/>
              </w:rPr>
            </w:pPr>
          </w:p>
        </w:tc>
        <w:tc>
          <w:tcPr>
            <w:tcW w:w="1580" w:type="dxa"/>
            <w:vAlign w:val="bottom"/>
            <w:tcBorders>
              <w:bottom w:val="single" w:sz="8" w:color="auto"/>
            </w:tcBorders>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100" w:type="dxa"/>
            <w:vAlign w:val="bottom"/>
          </w:tcPr>
          <w:p>
            <w:pPr>
              <w:spacing w:after="0"/>
              <w:rPr>
                <w:sz w:val="16"/>
                <w:szCs w:val="16"/>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Lebanon</w:t>
            </w: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center"/>
              <w:ind w:left="254"/>
              <w:spacing w:after="0"/>
              <w:rPr>
                <w:sz w:val="20"/>
                <w:szCs w:val="20"/>
                <w:color w:val="auto"/>
              </w:rPr>
            </w:pPr>
            <w:r>
              <w:rPr>
                <w:rFonts w:ascii="Times New Roman" w:cs="Times New Roman" w:eastAsia="Times New Roman" w:hAnsi="Times New Roman"/>
                <w:sz w:val="18"/>
                <w:szCs w:val="18"/>
                <w:color w:val="auto"/>
                <w:w w:val="99"/>
              </w:rPr>
              <w:t>August 2021</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2018</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2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260" w:type="dxa"/>
            <w:vAlign w:val="bottom"/>
          </w:tcPr>
          <w:p>
            <w:pPr>
              <w:spacing w:after="0"/>
              <w:rPr>
                <w:sz w:val="18"/>
                <w:szCs w:val="18"/>
                <w:color w:val="auto"/>
              </w:rPr>
            </w:pPr>
          </w:p>
        </w:tc>
        <w:tc>
          <w:tcPr>
            <w:tcW w:w="1580" w:type="dxa"/>
            <w:vAlign w:val="bottom"/>
          </w:tcPr>
          <w:p>
            <w:pPr>
              <w:jc w:val="center"/>
              <w:ind w:left="254"/>
              <w:spacing w:after="0"/>
              <w:rPr>
                <w:sz w:val="20"/>
                <w:szCs w:val="20"/>
                <w:color w:val="auto"/>
              </w:rPr>
            </w:pPr>
            <w:r>
              <w:rPr>
                <w:rFonts w:ascii="Times New Roman" w:cs="Times New Roman" w:eastAsia="Times New Roman" w:hAnsi="Times New Roman"/>
                <w:sz w:val="18"/>
                <w:szCs w:val="18"/>
                <w:color w:val="auto"/>
              </w:rPr>
              <w:t>October 2021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center"/>
              <w:ind w:left="254"/>
              <w:spacing w:after="0"/>
              <w:rPr>
                <w:sz w:val="20"/>
                <w:szCs w:val="20"/>
                <w:color w:val="auto"/>
              </w:rPr>
            </w:pPr>
            <w:r>
              <w:rPr>
                <w:rFonts w:ascii="Times New Roman" w:cs="Times New Roman" w:eastAsia="Times New Roman" w:hAnsi="Times New Roman"/>
                <w:sz w:val="18"/>
                <w:szCs w:val="18"/>
                <w:color w:val="auto"/>
              </w:rPr>
              <w:t>April 2021</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20" w:type="dxa"/>
            <w:vAlign w:val="bottom"/>
            <w:shd w:val="clear" w:color="auto" w:fill="CFF0FC"/>
          </w:tcPr>
          <w:p>
            <w:pPr>
              <w:ind w:left="1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Bahrain</w:t>
            </w:r>
          </w:p>
        </w:tc>
        <w:tc>
          <w:tcPr>
            <w:tcW w:w="2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260" w:type="dxa"/>
            <w:vAlign w:val="bottom"/>
          </w:tcPr>
          <w:p>
            <w:pPr>
              <w:spacing w:after="0"/>
              <w:rPr>
                <w:sz w:val="18"/>
                <w:szCs w:val="18"/>
                <w:color w:val="auto"/>
              </w:rPr>
            </w:pPr>
          </w:p>
        </w:tc>
        <w:tc>
          <w:tcPr>
            <w:tcW w:w="1580" w:type="dxa"/>
            <w:vAlign w:val="bottom"/>
          </w:tcPr>
          <w:p>
            <w:pPr>
              <w:jc w:val="center"/>
              <w:ind w:left="254"/>
              <w:spacing w:after="0"/>
              <w:rPr>
                <w:sz w:val="20"/>
                <w:szCs w:val="20"/>
                <w:color w:val="auto"/>
              </w:rPr>
            </w:pPr>
            <w:r>
              <w:rPr>
                <w:rFonts w:ascii="Times New Roman" w:cs="Times New Roman" w:eastAsia="Times New Roman" w:hAnsi="Times New Roman"/>
                <w:sz w:val="18"/>
                <w:szCs w:val="18"/>
                <w:color w:val="auto"/>
              </w:rPr>
              <w:t>April 2022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Kuwait</w:t>
            </w: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920" w:type="dxa"/>
            <w:vAlign w:val="bottom"/>
            <w:shd w:val="clear" w:color="auto" w:fill="CFF0FC"/>
          </w:tcPr>
          <w:p>
            <w:pPr>
              <w:ind w:left="1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2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20"/>
                <w:szCs w:val="20"/>
                <w:color w:val="auto"/>
              </w:rPr>
            </w:pPr>
          </w:p>
        </w:tc>
        <w:tc>
          <w:tcPr>
            <w:tcW w:w="192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bl>
    <w:p>
      <w:pPr>
        <w:spacing w:after="0" w:line="7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 recognized net product revenue of nil and $0.5 for the three months ended September 30, 2022 and 2021, respectively, and nil and $1.0 million for the nine months ended September 30, 2022 and 2021, respectively, related to sales to Biologix.</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HLS Therapeutics, Inc.</w:t>
      </w:r>
    </w:p>
    <w:p>
      <w:pPr>
        <w:spacing w:after="0" w:line="11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September 2017, the Company entered into an agreement with HLS Therapeutics Inc., or HLS, a company incorporated under the laws of Canada, to register, commercialize and distribute VASCEPA in Canada. Under the agreement, HLS will be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6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received a non-refundable $2.5 million milestone payment. Following approval from Health Canada in December 2019, the Company received a non-refundable milestone payment of $2.5 million in February 2020. In addition, in January 2020 HLS obtained regulatory exclusivity from the Office of Patented Medicines and Liaison, or OPML, as a result the Company received a non-refundable $3.8 million milestone payment. In addition to the non-refundable, up-front and regulatory milestone payments just described, the Company is entitled to receive certain sales-based milestone payments of up to an additional $50.0 million, as well as tiered double-digit royalties on net sales of VASCEPA in Canada.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2" w:name="page23"/>
    <w:bookmarkEnd w:id="22"/>
    <w:p>
      <w:pPr>
        <w:ind w:right="60"/>
        <w:spacing w:after="0" w:line="250"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83"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The transaction price includes the $5.0 million up-front consideration, the $2.5 million milestone related to the achievement of the REDUCE-IT trial primary endpoint, the $2.5 million milestone related to obtaining approval from Health Canada and $3.8 million milestone related to obtaining regulatory exclusivity from the OPML.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73"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During the nine months ended September 30, 2022 and 2021, the Company recognized $0.5 million and $0.7 million, respectively, as licensing revenue related to up-front and milestone payments received in connection with the HLS agreement. From the contract’s inception through September 30, 2022 and December 31, 2021, the Company has recognized $8.0 million and $7.5 million, respectively, as licensing revenue is recognized under the agreement concurrent with the input measure of support hours provided by Amarin to HLS in achieving this performance obligation, which in the Company’s judgment is the best measure of progress towards satisfying the combined development and regulatory performance obligation. The remaining transaction price of $5.7 million and $6.2 million is recorded in deferred revenue as of September 30, 2022 and December 31, 2021, respectively, on the condensed consolidated balance sheets and will be recognized as revenue over the remaining period of 8 years.</w:t>
      </w:r>
    </w:p>
    <w:p>
      <w:pPr>
        <w:spacing w:after="0" w:line="7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$0.6 million and nil for the three months ended September 30, 2022 and 2021, respectively, and $2.9 million and nil for the nine months ended September 30, 2022 and 2021, respectively, related to sales to HLS.</w:t>
      </w:r>
    </w:p>
    <w:p>
      <w:pPr>
        <w:spacing w:after="0" w:line="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presents changes in the balances of the Company’s contract assets and liabilities during the nine months ended September 30, 2022 and 2021:</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4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38"/>
              <w:spacing w:after="0" w:line="160"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jc w:val="right"/>
              <w:ind w:right="336"/>
              <w:spacing w:after="0" w:line="160"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3"/>
                <w:szCs w:val="13"/>
                <w:color w:val="auto"/>
              </w:rPr>
            </w:pPr>
          </w:p>
        </w:tc>
      </w:tr>
      <w:tr>
        <w:trPr>
          <w:trHeight w:val="189"/>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6"/>
                <w:szCs w:val="16"/>
                <w:color w:val="auto"/>
              </w:rPr>
            </w:pPr>
          </w:p>
        </w:tc>
        <w:tc>
          <w:tcPr>
            <w:tcW w:w="12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20" w:type="dxa"/>
            <w:vAlign w:val="bottom"/>
          </w:tcPr>
          <w:p>
            <w:pPr>
              <w:spacing w:after="0"/>
              <w:rPr>
                <w:sz w:val="16"/>
                <w:szCs w:val="16"/>
                <w:color w:val="auto"/>
              </w:rPr>
            </w:pPr>
          </w:p>
        </w:tc>
        <w:tc>
          <w:tcPr>
            <w:tcW w:w="12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100" w:type="dxa"/>
            <w:vAlign w:val="bottom"/>
          </w:tcPr>
          <w:p>
            <w:pPr>
              <w:spacing w:after="0"/>
              <w:rPr>
                <w:sz w:val="16"/>
                <w:szCs w:val="16"/>
                <w:color w:val="auto"/>
              </w:rPr>
            </w:pPr>
          </w:p>
        </w:tc>
      </w:tr>
      <w:tr>
        <w:trPr>
          <w:trHeight w:val="223"/>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2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(1,012 )</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15,697</w:t>
            </w:r>
          </w:p>
        </w:tc>
        <w:tc>
          <w:tcPr>
            <w:tcW w:w="100" w:type="dxa"/>
            <w:vAlign w:val="bottom"/>
          </w:tcPr>
          <w:p>
            <w:pPr>
              <w:spacing w:after="0"/>
              <w:rPr>
                <w:sz w:val="18"/>
                <w:szCs w:val="18"/>
                <w:color w:val="auto"/>
              </w:rPr>
            </w:pPr>
          </w:p>
        </w:tc>
      </w:tr>
      <w:tr>
        <w:trPr>
          <w:trHeight w:val="229"/>
        </w:trPr>
        <w:tc>
          <w:tcPr>
            <w:tcW w:w="4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2021:</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w w:val="88"/>
              </w:rPr>
              <w:t>92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(1,592 )</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17,132</w:t>
            </w:r>
          </w:p>
        </w:tc>
        <w:tc>
          <w:tcPr>
            <w:tcW w:w="100" w:type="dxa"/>
            <w:vAlign w:val="bottom"/>
            <w:shd w:val="clear" w:color="auto" w:fill="CFF0FC"/>
          </w:tcPr>
          <w:p>
            <w:pPr>
              <w:spacing w:after="0"/>
              <w:rPr>
                <w:sz w:val="18"/>
                <w:szCs w:val="18"/>
                <w:color w:val="auto"/>
              </w:rPr>
            </w:pPr>
          </w:p>
        </w:tc>
      </w:tr>
    </w:tbl>
    <w:p>
      <w:pPr>
        <w:spacing w:after="0" w:line="2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and 2021, the Company recognized the following revenues as a result of changes in the contract asset and contract liability balances in the respective periods: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96"/>
        </w:trPr>
        <w:tc>
          <w:tcPr>
            <w:tcW w:w="74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r>
      <w:tr>
        <w:trPr>
          <w:trHeight w:val="210"/>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included in contract liability at the beginning of the period</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3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shd w:val="clear" w:color="auto" w:fill="CFF0FC"/>
          </w:tcPr>
          <w:p>
            <w:pPr>
              <w:spacing w:after="0"/>
              <w:rPr>
                <w:sz w:val="18"/>
                <w:szCs w:val="18"/>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2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3" w:name="page24"/>
    <w:bookmarkEnd w:id="23"/>
    <w:p>
      <w:pPr>
        <w:ind w:right="200"/>
        <w:spacing w:after="0" w:line="282" w:lineRule="auto"/>
        <w:rPr>
          <w:sz w:val="20"/>
          <w:szCs w:val="20"/>
          <w:color w:val="auto"/>
        </w:rPr>
      </w:pPr>
      <w:r>
        <w:rPr>
          <w:rFonts w:ascii="Times New Roman" w:cs="Times New Roman" w:eastAsia="Times New Roman" w:hAnsi="Times New Roman"/>
          <w:sz w:val="18"/>
          <w:szCs w:val="18"/>
          <w:color w:val="auto"/>
        </w:rPr>
        <w:t>accounts for short-term leases (i.e., lease term of 12 months or less) by making the short-term lease policy election and will not apply the recognition and measurement requirements of ASC 842.</w:t>
      </w:r>
    </w:p>
    <w:p>
      <w:pPr>
        <w:spacing w:after="0" w:line="40"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87"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On February 5, 2019, the Company entered into a lease agreement for new office space in Bridgewater, New Jersey, or the New Jersey Lease. The New Jersey Lease commenced on August 15, 2019, or the New Jersey Commencement Date, for an 11-year period, with two five-year renewal options. Subject to the terms of the New Jersey Lease, the Company will have a one-time option to terminate the agreement effective on the first day of the 97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month after the New Jersey Commencement Date upon advance written notice and a termination payment specified in the Lease. Under the New Jersey Lease, the Company paid monthly rent of approximately $0.1 million for the first year following the New Jersey Commencement Date, and such rent increases by a nominal percentage every year following the first anniversary of the New Jersey Commencement Date. In addition, Amarin receives certain abatements subject to the limitations in the New Jersey Lease.</w:t>
      </w:r>
    </w:p>
    <w:p>
      <w:pPr>
        <w:spacing w:after="0" w:line="92"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18"/>
          <w:szCs w:val="18"/>
          <w:color w:val="auto"/>
        </w:rPr>
        <w:t>On November 17, 2021, the Company entered into a lease agreement for new office space in Zug Switzerland, or the Zug Lease. The Zug Lease commenced on February 1, 2022, or the Zug Commencement Date, for a 5-year period, with one five-year renewal option. Under the Zug Lease, the Company will pay annual rent of approximately $0.2 million for the first year following the Zug Commencement Date, and such rent increases by a nominal percentage every year following the first anniversary of the Zug Commencement Date. In addition to the real estate leases, the Company leases various vehicles with terms ranging from month to month up to 36 months.</w:t>
      </w:r>
    </w:p>
    <w:p>
      <w:pPr>
        <w:spacing w:after="0" w:line="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total operating lease liability is $11.0 million and $10.3 million, respectively, and the total operating lease right-of-use asset is $8.5 million and $7.7 million, respectively.</w:t>
      </w:r>
    </w:p>
    <w:p>
      <w:pPr>
        <w:spacing w:after="0" w:line="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lease expense for the three and nine months ended September 30, 2022 is approximately $0.7 million and $1.9 million, respectively. The lease expense for the three and nine months ended September 30, 2021 is approximately $0.5 million and $1.5 million, respectively.</w:t>
      </w:r>
    </w:p>
    <w:p>
      <w:pPr>
        <w:spacing w:after="0" w:line="6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September 30,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Undiscounted</w:t>
            </w:r>
          </w:p>
        </w:tc>
      </w:tr>
      <w:tr>
        <w:trPr>
          <w:trHeight w:val="149"/>
        </w:trPr>
        <w:tc>
          <w:tcPr>
            <w:tcW w:w="40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lease</w:t>
            </w:r>
          </w:p>
        </w:tc>
      </w:tr>
      <w:tr>
        <w:trPr>
          <w:trHeight w:val="148"/>
        </w:trPr>
        <w:tc>
          <w:tcPr>
            <w:tcW w:w="40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r>
      <w:tr>
        <w:trPr>
          <w:trHeight w:val="187"/>
        </w:trPr>
        <w:tc>
          <w:tcPr>
            <w:tcW w:w="40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($000s)</w:t>
            </w:r>
          </w:p>
        </w:tc>
      </w:tr>
      <w:tr>
        <w:trPr>
          <w:trHeight w:val="210"/>
        </w:trPr>
        <w:tc>
          <w:tcPr>
            <w:tcW w:w="40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4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00" w:type="dxa"/>
            <w:vAlign w:val="bottom"/>
          </w:tcPr>
          <w:p>
            <w:pPr>
              <w:spacing w:after="0"/>
              <w:rPr>
                <w:sz w:val="18"/>
                <w:szCs w:val="18"/>
                <w:color w:val="auto"/>
              </w:rPr>
            </w:pPr>
          </w:p>
        </w:tc>
      </w:tr>
      <w:tr>
        <w:trPr>
          <w:trHeight w:val="209"/>
        </w:trPr>
        <w:tc>
          <w:tcPr>
            <w:tcW w:w="4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5160" w:type="dxa"/>
            <w:vAlign w:val="bottom"/>
            <w:tcBorders>
              <w:bottom w:val="single" w:sz="8" w:color="CFF0FC"/>
            </w:tcBorders>
            <w:gridSpan w:val="2"/>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Adjustments</w:t>
            </w:r>
          </w:p>
        </w:tc>
        <w:tc>
          <w:tcPr>
            <w:tcW w:w="5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(5,451 )</w:t>
            </w:r>
          </w:p>
        </w:tc>
      </w:tr>
      <w:tr>
        <w:trPr>
          <w:trHeight w:val="210"/>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5160" w:type="dxa"/>
            <w:vAlign w:val="bottom"/>
            <w:gridSpan w:val="2"/>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shd w:val="clear" w:color="auto" w:fill="CFF0FC"/>
          </w:tcPr>
          <w:p>
            <w:pPr>
              <w:spacing w:after="0"/>
              <w:rPr>
                <w:sz w:val="18"/>
                <w:szCs w:val="18"/>
                <w:color w:val="auto"/>
              </w:rPr>
            </w:pP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5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100" w:type="dxa"/>
            <w:vAlign w:val="bottom"/>
          </w:tcPr>
          <w:p>
            <w:pPr>
              <w:spacing w:after="0"/>
              <w:rPr>
                <w:sz w:val="20"/>
                <w:szCs w:val="20"/>
                <w:color w:val="auto"/>
              </w:rPr>
            </w:pPr>
          </w:p>
        </w:tc>
      </w:tr>
      <w:tr>
        <w:trPr>
          <w:trHeight w:val="414"/>
        </w:trPr>
        <w:tc>
          <w:tcPr>
            <w:tcW w:w="4020" w:type="dxa"/>
            <w:vAlign w:val="bottom"/>
          </w:tcPr>
          <w:p>
            <w:pPr>
              <w:spacing w:after="0"/>
              <w:rPr>
                <w:sz w:val="24"/>
                <w:szCs w:val="24"/>
                <w:color w:val="auto"/>
              </w:rPr>
            </w:pPr>
          </w:p>
        </w:tc>
        <w:tc>
          <w:tcPr>
            <w:tcW w:w="4940" w:type="dxa"/>
            <w:vAlign w:val="bottom"/>
          </w:tcPr>
          <w:p>
            <w:pPr>
              <w:jc w:val="right"/>
              <w:ind w:right="315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4020" w:type="dxa"/>
            <w:vAlign w:val="bottom"/>
            <w:tcBorders>
              <w:bottom w:val="single" w:sz="8" w:color="9A9A9A"/>
            </w:tcBorders>
          </w:tcPr>
          <w:p>
            <w:pPr>
              <w:spacing w:after="0"/>
              <w:rPr>
                <w:sz w:val="8"/>
                <w:szCs w:val="8"/>
                <w:color w:val="auto"/>
              </w:rPr>
            </w:pPr>
          </w:p>
        </w:tc>
        <w:tc>
          <w:tcPr>
            <w:tcW w:w="4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4" w:name="page25"/>
    <w:bookmarkEnd w:id="2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i w:val="1"/>
          <w:iCs w:val="1"/>
          <w:color w:val="auto"/>
        </w:rPr>
        <w:t>This Quarterly Report on Form 10-Q, or this Quarterly Report,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2021, or our Annual Report, and under Part II, Item IA, “Risk Factors” of this Quarterly Report.</w:t>
      </w:r>
    </w:p>
    <w:p>
      <w:pPr>
        <w:spacing w:after="0" w:line="74"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7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together with our unaudited condensed consolidated financial statements and notes thereto included elsewhere in this Quarterly Report, and the audited consolidated financial statements and accompanying notes, as well as Management’s Discussion and Analysis of Financial Condition and Results of Operations contained in our Annual Report.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40" w:firstLine="509"/>
        <w:spacing w:after="0" w:line="219" w:lineRule="auto"/>
        <w:rPr>
          <w:sz w:val="20"/>
          <w:szCs w:val="20"/>
          <w:color w:val="auto"/>
        </w:rPr>
      </w:pPr>
      <w:r>
        <w:rPr>
          <w:rFonts w:ascii="Times New Roman" w:cs="Times New Roman" w:eastAsia="Times New Roman" w:hAnsi="Times New Roman"/>
          <w:sz w:val="18"/>
          <w:szCs w:val="18"/>
          <w:color w:val="auto"/>
        </w:rPr>
        <w:t>We are a pharmaceutical company focused on the commercialization and development of therapeutics to improve cardiovascular, or CV, health and reduce CV risk. Our lead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was first approved by the United States Food and Drug Administration, or U.S. FDA, for use as an adjunct to diet to reduce triglyceride, or TG, levels in adult patients with severe (≥500 mg/dL) hypertriglyceridemia, or the MARINE indication. We launched VASCEPA in the United States, or U.S., in January 2013 under the MARINE indication. On December 13, 2019 the U.S. FDA approved an indication and label expansion for VASCEPA based on the landmark results of our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the first and only drug approved by the U.S. FDA as an adjunct to maximally tolerated statin therapy for reducing persistent cardiovascular risk in select high risk-patients, or the REDUCE-IT indication. On March 26, 2021, the European Commission, or EC, granted approval of the marketing authorization application in the European Union, or EU, for VAZKEPA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hereinafter along with the U.S. brand name VASCEPA, collectively referred to as VASCEPA, which is the first and only EC approved therapy to reduce cardiovascular risk in high-risk statin-treated patients with elevated TG levels. On April 22, 2021, we announced that we received marketing authorization from the Medicines and Healthcare Products Regulatory Agency, or MHRA, for VAZKEPA in England, Wales and Scotland to reduce cardiovascular risk through MHRA’s new ‘reliance’ route.</w:t>
      </w:r>
    </w:p>
    <w:p>
      <w:pPr>
        <w:spacing w:after="0" w:line="83"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VASCEPA is currently available by prescription in the U.S., the United Kingdom, or UK, Sweden, Canada, Lebanon and the United Arab Emirates. We are responsible for supplying VASCEPA to all markets in which the branded product is sold, either to and through our collaborations with third-party companies or by us. Subject to commercial launches in additional countries within Europe and Hong Kong and approval in China, we will be responsible for supplying products to those markets as well. We are not responsible for providing any generic company with drug product. Geographies outside the United States in which VASCEPA is sold and under regulatory review are not subject to the U.S. patent litigation and judgment described below. No similar litigation involving potential generic versions of VASCEPA is pending outside the United States.</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08" w:lineRule="exact"/>
        <w:rPr>
          <w:sz w:val="20"/>
          <w:szCs w:val="20"/>
          <w:color w:val="auto"/>
        </w:rPr>
      </w:pPr>
    </w:p>
    <w:p>
      <w:pPr>
        <w:ind w:right="40" w:firstLine="509"/>
        <w:spacing w:after="0" w:line="238" w:lineRule="auto"/>
        <w:rPr>
          <w:sz w:val="20"/>
          <w:szCs w:val="20"/>
          <w:color w:val="auto"/>
        </w:rPr>
      </w:pPr>
      <w:r>
        <w:rPr>
          <w:rFonts w:ascii="Times New Roman" w:cs="Times New Roman" w:eastAsia="Times New Roman" w:hAnsi="Times New Roman"/>
          <w:sz w:val="18"/>
          <w:szCs w:val="18"/>
          <w:color w:val="auto"/>
        </w:rPr>
        <w:t>We commenced the commercial launch of VASCEPA in the United States in January 2013 based on the MARINE indication for VASCEPA. In October 2016, in addition to the original 1-gram capsule size, we introduced a smaller 0.5-gram capsule size. The U.S. FDA-approved dosing for VASCEPA continues to be 4 grams per day, and as expected, the majority of new and existing patients continue to be prescribed the 1-gram size VASCEPA capsule. VASCEPA is sold principally to a limited number of major wholesalers, as well as selected regional wholesalers and mail order pharmacy providers, or collectively, our distributors or our customers, most of whom in turn resell VASCEPA to retail pharmacies for subsequent resale to patients and healthcare providers. We employ various medical affairs and marketing personnel to support our commercialization of VASCEPA.</w:t>
      </w:r>
    </w:p>
    <w:p>
      <w:pPr>
        <w:spacing w:after="0" w:line="78" w:lineRule="exact"/>
        <w:rPr>
          <w:sz w:val="20"/>
          <w:szCs w:val="20"/>
          <w:color w:val="auto"/>
        </w:rPr>
      </w:pPr>
    </w:p>
    <w:p>
      <w:pPr>
        <w:ind w:right="240" w:firstLine="509"/>
        <w:spacing w:after="0" w:line="245" w:lineRule="auto"/>
        <w:rPr>
          <w:sz w:val="20"/>
          <w:szCs w:val="20"/>
          <w:color w:val="auto"/>
        </w:rPr>
      </w:pPr>
      <w:r>
        <w:rPr>
          <w:rFonts w:ascii="Times New Roman" w:cs="Times New Roman" w:eastAsia="Times New Roman" w:hAnsi="Times New Roman"/>
          <w:sz w:val="18"/>
          <w:szCs w:val="18"/>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or, collectively, the Defendants, that declared as invalid several of our patents covering the MARINE indication for use to reduce severely high triglyceride levels. We sought appeals of the Nevada Court judgment up to the United States Supreme Court, but we were unsuccessful. On June 18, 2021, we were notified that our petition for writ of certiorari to the United States Supreme Court was denied.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5" w:name="page26"/>
    <w:bookmarkEnd w:id="25"/>
    <w:p>
      <w:pPr>
        <w:ind w:firstLine="544"/>
        <w:spacing w:after="0" w:line="244" w:lineRule="auto"/>
        <w:rPr>
          <w:sz w:val="20"/>
          <w:szCs w:val="20"/>
          <w:color w:val="auto"/>
        </w:rPr>
      </w:pPr>
      <w:r>
        <w:rPr>
          <w:rFonts w:ascii="Times New Roman" w:cs="Times New Roman" w:eastAsia="Times New Roman" w:hAnsi="Times New Roman"/>
          <w:sz w:val="18"/>
          <w:szCs w:val="18"/>
          <w:color w:val="auto"/>
        </w:rPr>
        <w:t>On May 22, 2020, Hikma received U.S. FDA approval to market its generic versions of VASCEPA for the MARINE indication of VASCEPA as an adjunct to diet to reduce TG levels in adult patients with severe (≥500 mg/dL) hypertriglyceridemia. In November 2020, Hikma launched their generic version of VASCEPA.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cardiovascular risk. The earlier ANDA litigation did not pertain to our patents covering cardiovascular risk reduction. On January 25, 2021, we expanded the scope of the patent infringement lawsuit to include a health care insurance provider, Health Net, LLC. On January 4, 2022, the district court hearing the case granted Hikma's motion to dismiss. On October 13, 2022, the district court granted final judgement on the aspect of the litigation relating to the Company and Hikma. The Company intends to appeal the decision of the district court now that it is permitted to do so and also intends to continue to vigorously pursue its ongoing litigation with Health Net, but cannot predict the outcome or the impact on its business.</w:t>
      </w:r>
    </w:p>
    <w:p>
      <w:pPr>
        <w:spacing w:after="0" w:line="77" w:lineRule="exact"/>
        <w:rPr>
          <w:sz w:val="20"/>
          <w:szCs w:val="20"/>
          <w:color w:val="auto"/>
        </w:rPr>
      </w:pPr>
    </w:p>
    <w:p>
      <w:pPr>
        <w:ind w:right="120" w:firstLine="544"/>
        <w:spacing w:after="0" w:line="246" w:lineRule="auto"/>
        <w:rPr>
          <w:sz w:val="20"/>
          <w:szCs w:val="20"/>
          <w:color w:val="auto"/>
        </w:rPr>
      </w:pPr>
      <w:r>
        <w:rPr>
          <w:rFonts w:ascii="Times New Roman" w:cs="Times New Roman" w:eastAsia="Times New Roman" w:hAnsi="Times New Roman"/>
          <w:sz w:val="18"/>
          <w:szCs w:val="18"/>
          <w:color w:val="auto"/>
        </w:rPr>
        <w:t>On August 10, 2020, Dr. Reddy's received U.S. FDA approval to market its generic version for the MARINE indication of VASCEPA. In June 2021, Dr. Reddy’s launched its generic version of VASCEPA. On September 11, 2020, Teva Pharmaceuticals USA, Inc.'s, or Teva's, ANDA was approved by the U.S. FDA and on June 30, 2021, Apotex, Inc.'s, or Apotex's, ANDA was approved by the U.S. FDA. In January 2022, Apotex launched its generic version of VASCEPA. In September 2022, Teva launched its generic version of VASCEPA with only the 0.5-gram capsules. Each of the generic products have consistent labeling to Hikma, not the cardiovascular risk reduction indication.</w:t>
      </w:r>
    </w:p>
    <w:p>
      <w:pPr>
        <w:spacing w:after="0" w:line="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June 2022, to address current shifts within our U.S. business due to generic competitors, we announced a comprehensive cost and organizational restructuring plan. Our U.S. cost reduction plan includes:</w:t>
      </w:r>
    </w:p>
    <w:p>
      <w:pPr>
        <w:spacing w:after="0" w:line="52" w:lineRule="exact"/>
        <w:rPr>
          <w:sz w:val="20"/>
          <w:szCs w:val="20"/>
          <w:color w:val="auto"/>
        </w:rPr>
      </w:pPr>
    </w:p>
    <w:p>
      <w:pPr>
        <w:ind w:left="1020" w:right="1040" w:hanging="503"/>
        <w:spacing w:after="0" w:line="28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workplace reduction: </w:t>
      </w:r>
      <w:r>
        <w:rPr>
          <w:rFonts w:ascii="Times New Roman" w:cs="Times New Roman" w:eastAsia="Times New Roman" w:hAnsi="Times New Roman"/>
          <w:sz w:val="18"/>
          <w:szCs w:val="18"/>
          <w:color w:val="auto"/>
        </w:rPr>
        <w:t>The reduction of our U.S. field force and corporate positions. Our U.S. field force was reduced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300 sales representatives to approximately 75 sales representatives.</w:t>
      </w:r>
    </w:p>
    <w:p>
      <w:pPr>
        <w:spacing w:after="0" w:line="36" w:lineRule="exact"/>
        <w:rPr>
          <w:rFonts w:ascii="Times New Roman" w:cs="Times New Roman" w:eastAsia="Times New Roman" w:hAnsi="Times New Roman"/>
          <w:sz w:val="18"/>
          <w:szCs w:val="18"/>
          <w:color w:val="auto"/>
        </w:rPr>
      </w:pPr>
    </w:p>
    <w:p>
      <w:pPr>
        <w:ind w:left="1020" w:right="20" w:hanging="503"/>
        <w:spacing w:after="0" w:line="259"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Streamlined operational expenditures: </w:t>
      </w:r>
      <w:r>
        <w:rPr>
          <w:rFonts w:ascii="Times New Roman" w:cs="Times New Roman" w:eastAsia="Times New Roman" w:hAnsi="Times New Roman"/>
          <w:sz w:val="18"/>
          <w:szCs w:val="18"/>
          <w:color w:val="auto"/>
        </w:rPr>
        <w:t>Includes reductions and reallocations in overall selling, general and administrative expenses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savings related to refining our research and development strategy to a more focused, stepwise approach for our fixed-dose combination, or FDC, program.</w:t>
      </w:r>
    </w:p>
    <w:p>
      <w:pPr>
        <w:spacing w:after="0" w:line="61" w:lineRule="exact"/>
        <w:rPr>
          <w:sz w:val="20"/>
          <w:szCs w:val="20"/>
          <w:color w:val="auto"/>
        </w:rPr>
      </w:pPr>
    </w:p>
    <w:p>
      <w:pPr>
        <w:ind w:right="6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U.S. cost reduction plan, our focus is primarily on engaging with our top prescribers, maintaining our exclusive formulary coverage with specific payers and targeted promotional initiatives amid the continued pressure from generic competitors.</w:t>
      </w:r>
    </w:p>
    <w:p>
      <w:pPr>
        <w:spacing w:after="0" w:line="68"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We obtain data from two third parties, Symphony Health and IQVIA, who collect and report estimates of weekly, monthly, quarterly and annual prescription information. There is a limited amount of information available to determine the actual number of total prescriptions for prescription products like VASCEPA during such periods. Each vendor’s estimates utilize a proprietary projection methodology and are based on a combination of data received from pharmacies and other distributors, and historical data when actual data is unavailable. Based on data from Symphony Health and IQVIA, the below chart represents the estimated number of normalized total VASCEPA prescriptions.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58420</wp:posOffset>
            </wp:positionV>
            <wp:extent cx="4954905" cy="29832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54905"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6" w:name="page27"/>
    <w:bookmarkEnd w:id="26"/>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61" w:lineRule="exact"/>
        <w:rPr>
          <w:sz w:val="20"/>
          <w:szCs w:val="20"/>
          <w:color w:val="auto"/>
        </w:rPr>
      </w:pPr>
    </w:p>
    <w:p>
      <w:pPr>
        <w:ind w:right="200" w:firstLine="509"/>
        <w:spacing w:after="0" w:line="247" w:lineRule="auto"/>
        <w:rPr>
          <w:sz w:val="20"/>
          <w:szCs w:val="20"/>
          <w:color w:val="auto"/>
        </w:rPr>
      </w:pPr>
      <w:r>
        <w:rPr>
          <w:rFonts w:ascii="Times New Roman" w:cs="Times New Roman" w:eastAsia="Times New Roman" w:hAnsi="Times New Roman"/>
          <w:sz w:val="18"/>
          <w:szCs w:val="18"/>
          <w:color w:val="auto"/>
        </w:rPr>
        <w:t>The resulting conclusions from Symphony Health and IQVIA are rarely identical and should be viewed with caution. The previous calculations of prescription levels by these vendors can change between periods and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We are not responsible for the accuracy of these companies’ information and we do not receive prescription data directly from retail pharmacies.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108"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In August 2020, we announced our plans to launch VAZKEPA in major markets in Europe through our own European sales and marketing team. Such an approach allows us to retain substantially all of the economic potential of VAZKEPA in Europe and helps ensure that VAZKEPA would get the highest level of priority and focus. On January 28, 2021, the Committee for Medicinal Products for Human Use, or CHMP, of the European Medicines Agency, or EMA, adopted a positive opinion, recommending that a marketing authorization be granted to icosapent ethyl in the EU for the reduction of risk of cardiovascular events in patients at high cardiovascular risk, under the brand name VAZKEPA. On March 26, 2021, the EC granted approval of the marketing authorization application in the EU. On April 22, 2021, we announced that we received marketing authorization from MHRA for VAZKEPA in England, Wales and Scotland.</w:t>
      </w:r>
    </w:p>
    <w:p>
      <w:pPr>
        <w:spacing w:after="0" w:line="87"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In Europe, launch of VAZKEPA in individual countries is gated by timing of achieving product reimbursement on a country-by-country basis as is typical for new drugs. In seeking market access, during 2021 we filed ten dossiers in European countries, including in all of the largest countries in Europe, and filed three additional dossiers in Europe during 2022. In most European countries, securing product reimbursement is a requisite to launching. In certain countries, such as Denmark, individual patient reimbursement is allowed prior to national, general organization reimbursement. In all countries, securing adequate reimbursement is a requisite for commercial success of any therapeutic.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the assessment of the commercial opportunity of VAZKEPA in Europe. Through the date of this Quarterly Report, we have received reimbursement in the following countries:</w:t>
      </w:r>
    </w:p>
    <w:p>
      <w:pPr>
        <w:spacing w:after="0" w:line="78" w:lineRule="exact"/>
        <w:rPr>
          <w:sz w:val="20"/>
          <w:szCs w:val="20"/>
          <w:color w:val="auto"/>
        </w:rPr>
      </w:pPr>
    </w:p>
    <w:p>
      <w:pPr>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we received official confirmation that the Swedish Dental and Pharmaceutical Benefits Agency, or TLV, approved VAZKEPA for national reimbursement in Sweden.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we received individual patient reimbursement in Denmark.</w:t>
      </w:r>
    </w:p>
    <w:p>
      <w:pPr>
        <w:spacing w:after="0" w:line="103"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the United Kingdom, or UK’s, National Institute for Health and Care Excellence, or NICE, announced final guidance for reimbursement for VAZKEPA and use across the National Health Service, or NHS, in England and Wales to reduce the risk of CV events in adult statin-treated patients at high cardiovascular risk who have elevated triglycerides (≥150 mg/dL [≥ 1.7 mmol/L]), LDL-C levels &gt;1.04 mmol/L (and ≤ 2.60 mmol/L) and established cardiovascular disease.</w:t>
      </w:r>
    </w:p>
    <w:p>
      <w:pPr>
        <w:spacing w:after="0" w:line="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2022, we received individual patient reimbursement in Austria.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Finland's Pharmaceuticals Pricing Board approved VAZKEPA for national reimbursement in Finland.</w:t>
      </w:r>
    </w:p>
    <w:p>
      <w:pPr>
        <w:spacing w:after="0" w:line="104"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In order to launch impactfully throughout Europe, we are building a core team of experienced professionals and a highly capable commercial team involved with pre-launch planning and other commercial preparation activities and are leveraging third-party relationships for various support activities. We are building a digitally native commercial model balancing optimally digital and face-to-face approach for more impact and cost efficiency, which will be utilized throughout Europe as launches commence. Through the date of this Quarterly Report, we have commercial operations in the following countries:</w:t>
      </w:r>
    </w:p>
    <w:p>
      <w:pPr>
        <w:spacing w:after="0" w:line="8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VAZKEPA was made available in Sweden.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VAZKEPA was launched within the UK.</w:t>
      </w:r>
    </w:p>
    <w:p>
      <w:pPr>
        <w:spacing w:after="0" w:line="104" w:lineRule="exact"/>
        <w:rPr>
          <w:sz w:val="20"/>
          <w:szCs w:val="20"/>
          <w:color w:val="auto"/>
        </w:rPr>
      </w:pPr>
    </w:p>
    <w:p>
      <w:pPr>
        <w:jc w:val="both"/>
        <w:ind w:right="400" w:firstLine="509"/>
        <w:spacing w:after="0" w:line="247" w:lineRule="auto"/>
        <w:rPr>
          <w:sz w:val="20"/>
          <w:szCs w:val="20"/>
          <w:color w:val="auto"/>
        </w:rPr>
      </w:pPr>
      <w:r>
        <w:rPr>
          <w:rFonts w:ascii="Times New Roman" w:cs="Times New Roman" w:eastAsia="Times New Roman" w:hAnsi="Times New Roman"/>
          <w:sz w:val="18"/>
          <w:szCs w:val="18"/>
          <w:color w:val="auto"/>
        </w:rPr>
        <w:t>In Europe, patients at high risk for cardiovascular disease tend, in contrast to the United States, to be treated more often by specialists, such as cardiologists rather than by physicians who are general practitioners. Privacy laws and other factors impact the availability of data to inform European commercial operations at an individual physician level. Generally, less data is available and at reduced frequencies as compared to the United States.</w:t>
      </w:r>
    </w:p>
    <w:p>
      <w:pPr>
        <w:spacing w:after="0" w:line="2"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8"/>
          <w:szCs w:val="18"/>
          <w:color w:val="auto"/>
        </w:rPr>
        <w:t>However, this greater concentration of at-risk patients being treated by specialists in Europe should allow for more efficient promotion in Europe than in the United States. In Europe, VAZKEPA has the benefit of ten years of market protection, and we have been issued a patent that expires in 2033 with additional pending applications that could extend exclusivity into 2039.</w:t>
      </w: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7" w:name="page28"/>
    <w:bookmarkEnd w:id="27"/>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In September 2021, as part of the German reimbursement process, VAZKEPA was made available in Germany with temporary reimbursement while negotiations for final reimbursement were ongoing and VAZKEPA was included in the country's electronic prescribing system as of October 1, 2021. On August 19, 2022 reimbursement negotiations concluded with a deal unable to be agreed upon. As a result of the negotiation outcome, we discontinued our German business operations as of September 1, 2022. Following the local reimbursement process and initiated by GBA-KV, we moved to the Arbitration board with an expected decision by the end of 2022. German legislation allows re-submission of a pricing and reimbursement dossier with new data and we plan to resubmit once we have a new dossier ready.</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 of World</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China</w:t>
      </w:r>
    </w:p>
    <w:p>
      <w:pPr>
        <w:spacing w:after="0" w:line="106"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In February 2015, we announced an exclusive agreement with Eddingpharm (Asia) Macao Commercial Offshore Limited, or Edding, to develop and commercialize VASCEPA capsules in what we refer to as the China Territory, consisting of the territories of Mainland China, Hong Kong, Macau and Taiwan, for uses that are currently commercialized and under development by us in the United States. Edding, with our support, conducted a clinical trial of VASCEPA in China, which evaluated the effect of VASCEPA on patients with very high triglyceride levels (≥500 mg/dL). In November 2020, we announced statistically significant topline positive results from this Phase 3 clinical trial of VASCEPA conducted by Edding. The study, which investigated VASCEPA as a treatment for patients with very high triglycerides (≥500 mg/dL), met its primary efficacy endpoint as defined in the clinical trial protocol and demonstrated a safety profile similar to placebo. Importantly, the VASCEPA 4 grams per day dose in this study appeared to be well-tolerated with a safety profile similar to placebo. There were no treatment-related serious adverse events in this study. On February 9, 2021, we announced that the regulatory review processes in Mainland China and Hong Kong have commenced. The National Medical Products Administration, or NMPA, accepted for review the new drug application for VASCEPA, submitted by Edding, based on the results from the Phase 3 clinical trial and the results from our prior studies of VASCEPA. On February 23, 2022 the Hong Kong Department of Health completed their evaluation and approved the use of VASCEPA under the REDUCE-IT indication. Edding has communicated that they still anticipate an approval could be achieved before year-end.</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Middle East and North Africa (MENA)</w:t>
      </w:r>
    </w:p>
    <w:p>
      <w:pPr>
        <w:spacing w:after="0" w:line="10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Biologix obtained approval of VASCEPA under the MARINE and REDUCE-IT indications, and subsequently launched commercially, in the following countries: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8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260" w:type="dxa"/>
            <w:vAlign w:val="bottom"/>
          </w:tcPr>
          <w:p>
            <w:pPr>
              <w:spacing w:after="0"/>
              <w:rPr>
                <w:sz w:val="16"/>
                <w:szCs w:val="16"/>
                <w:color w:val="auto"/>
              </w:rPr>
            </w:pPr>
          </w:p>
        </w:tc>
        <w:tc>
          <w:tcPr>
            <w:tcW w:w="1580" w:type="dxa"/>
            <w:vAlign w:val="bottom"/>
            <w:tcBorders>
              <w:bottom w:val="single" w:sz="8" w:color="auto"/>
            </w:tcBorders>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100" w:type="dxa"/>
            <w:vAlign w:val="bottom"/>
          </w:tcPr>
          <w:p>
            <w:pPr>
              <w:spacing w:after="0"/>
              <w:rPr>
                <w:sz w:val="16"/>
                <w:szCs w:val="16"/>
                <w:color w:val="auto"/>
              </w:rPr>
            </w:pPr>
          </w:p>
        </w:tc>
      </w:tr>
      <w:tr>
        <w:trPr>
          <w:trHeight w:val="210"/>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Lebanon</w:t>
            </w: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center"/>
              <w:ind w:left="254"/>
              <w:spacing w:after="0"/>
              <w:rPr>
                <w:sz w:val="20"/>
                <w:szCs w:val="20"/>
                <w:color w:val="auto"/>
              </w:rPr>
            </w:pPr>
            <w:r>
              <w:rPr>
                <w:rFonts w:ascii="Times New Roman" w:cs="Times New Roman" w:eastAsia="Times New Roman" w:hAnsi="Times New Roman"/>
                <w:sz w:val="18"/>
                <w:szCs w:val="18"/>
                <w:color w:val="auto"/>
                <w:w w:val="99"/>
              </w:rPr>
              <w:t>August 2021</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2018</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2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260" w:type="dxa"/>
            <w:vAlign w:val="bottom"/>
          </w:tcPr>
          <w:p>
            <w:pPr>
              <w:spacing w:after="0"/>
              <w:rPr>
                <w:sz w:val="18"/>
                <w:szCs w:val="18"/>
                <w:color w:val="auto"/>
              </w:rPr>
            </w:pPr>
          </w:p>
        </w:tc>
        <w:tc>
          <w:tcPr>
            <w:tcW w:w="1580" w:type="dxa"/>
            <w:vAlign w:val="bottom"/>
          </w:tcPr>
          <w:p>
            <w:pPr>
              <w:jc w:val="center"/>
              <w:ind w:left="254"/>
              <w:spacing w:after="0"/>
              <w:rPr>
                <w:sz w:val="20"/>
                <w:szCs w:val="20"/>
                <w:color w:val="auto"/>
              </w:rPr>
            </w:pPr>
            <w:r>
              <w:rPr>
                <w:rFonts w:ascii="Times New Roman" w:cs="Times New Roman" w:eastAsia="Times New Roman" w:hAnsi="Times New Roman"/>
                <w:sz w:val="18"/>
                <w:szCs w:val="18"/>
                <w:color w:val="auto"/>
              </w:rPr>
              <w:t>October 2021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center"/>
              <w:ind w:left="254"/>
              <w:spacing w:after="0"/>
              <w:rPr>
                <w:sz w:val="20"/>
                <w:szCs w:val="20"/>
                <w:color w:val="auto"/>
              </w:rPr>
            </w:pPr>
            <w:r>
              <w:rPr>
                <w:rFonts w:ascii="Times New Roman" w:cs="Times New Roman" w:eastAsia="Times New Roman" w:hAnsi="Times New Roman"/>
                <w:sz w:val="18"/>
                <w:szCs w:val="18"/>
                <w:color w:val="auto"/>
              </w:rPr>
              <w:t>April 2021</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20" w:type="dxa"/>
            <w:vAlign w:val="bottom"/>
            <w:shd w:val="clear" w:color="auto" w:fill="CFF0FC"/>
          </w:tcPr>
          <w:p>
            <w:pPr>
              <w:ind w:left="1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Bahrain</w:t>
            </w:r>
          </w:p>
        </w:tc>
        <w:tc>
          <w:tcPr>
            <w:tcW w:w="2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260" w:type="dxa"/>
            <w:vAlign w:val="bottom"/>
          </w:tcPr>
          <w:p>
            <w:pPr>
              <w:spacing w:after="0"/>
              <w:rPr>
                <w:sz w:val="18"/>
                <w:szCs w:val="18"/>
                <w:color w:val="auto"/>
              </w:rPr>
            </w:pPr>
          </w:p>
        </w:tc>
        <w:tc>
          <w:tcPr>
            <w:tcW w:w="1580" w:type="dxa"/>
            <w:vAlign w:val="bottom"/>
          </w:tcPr>
          <w:p>
            <w:pPr>
              <w:jc w:val="center"/>
              <w:ind w:left="254"/>
              <w:spacing w:after="0"/>
              <w:rPr>
                <w:sz w:val="20"/>
                <w:szCs w:val="20"/>
                <w:color w:val="auto"/>
              </w:rPr>
            </w:pPr>
            <w:r>
              <w:rPr>
                <w:rFonts w:ascii="Times New Roman" w:cs="Times New Roman" w:eastAsia="Times New Roman" w:hAnsi="Times New Roman"/>
                <w:sz w:val="18"/>
                <w:szCs w:val="18"/>
                <w:color w:val="auto"/>
              </w:rPr>
              <w:t>April 2022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Kuwait</w:t>
            </w: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920" w:type="dxa"/>
            <w:vAlign w:val="bottom"/>
            <w:shd w:val="clear" w:color="auto" w:fill="CFF0FC"/>
          </w:tcPr>
          <w:p>
            <w:pPr>
              <w:ind w:left="1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2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20"/>
                <w:szCs w:val="20"/>
                <w:color w:val="auto"/>
              </w:rPr>
            </w:pPr>
          </w:p>
        </w:tc>
        <w:tc>
          <w:tcPr>
            <w:tcW w:w="192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bl>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Canada</w:t>
      </w:r>
    </w:p>
    <w:p>
      <w:pPr>
        <w:spacing w:after="0" w:line="119"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In March 2019, HLS received formal confirmation from Health Canada that the Canadian regulatory authority has granted priority review status for the upcoming New Drug Submission, which was filed in April 2019, for VASCEPA. In December 2019, HLS received formal confirmation from Health Canada that the Canadian regulatory authority granted approval for VASCEPA to reduce the risk of cardiovascular events (cardiovascular death, non-fatal myocardial infarction, non-fatal stroke, coronary revascularization or hospitalization for unstable angina) in statin-treated patients with elevated triglycerides, who are at high risk of cardiovascular events due to: established cardiovascular disease, or diabetes, and at least one other cardiovascular risk factor. In January 2020, HLS obtained a regulatory exclusivity designation and launched commercially in February 2020. In July 2020, the Canadian Agency for Drugs and Technologies in Health recommended that VASCEPA be reimbursed by participating public drug plans for statin-treated patients with established cardiovascular diseases and elevated triglycerides. In April 2022, HLS completed negotiations with Canada’s pan-Canadian Pharmaceutical Alliance for the terms and conditions under which VASCEPA would qualify for public market reimbursement in Canada. Following these negotiations, HLS has signed a Letter of Intent which allows HLS to work with all participating provincial jurisdictions to secure coverage from publicly funded drug plans across Canada, and for VASCEPA to potentially be added to their respective plans. HLS also received notification by the Patented Medical Prices Review Board that, further to its review, VASCEPA’s price did not trigger the investigation criteria for excessive pricing. As of September 30, 2022, reimbursement coverage is approximately 70% of publicly covered lives and 95% for private coverage. Public reimbursement is now available in Ontario, Quebec, Saskatchewan, New Brunswick Northwest Territories and for the Non-Insured Health Benefits program for the First Nations and Inuit people. Coverage of patients with established cardiovascular disease represents a substantial portion of VASCEPA’s approved label in Canada. VASCEPA has the benefit of data protection afforded through Health Canada until the end of 2027, in addition to separate patent protection with expiration dates that could extend into 2039.</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119" w:lineRule="exact"/>
        <w:rPr>
          <w:sz w:val="20"/>
          <w:szCs w:val="20"/>
          <w:color w:val="auto"/>
        </w:rPr>
      </w:pPr>
    </w:p>
    <w:p>
      <w:pPr>
        <w:ind w:right="320" w:firstLine="509"/>
        <w:spacing w:after="0" w:line="250" w:lineRule="auto"/>
        <w:rPr>
          <w:sz w:val="20"/>
          <w:szCs w:val="20"/>
          <w:color w:val="auto"/>
        </w:rPr>
      </w:pPr>
      <w:r>
        <w:rPr>
          <w:rFonts w:ascii="Times New Roman" w:cs="Times New Roman" w:eastAsia="Times New Roman" w:hAnsi="Times New Roman"/>
          <w:sz w:val="18"/>
          <w:szCs w:val="18"/>
          <w:color w:val="auto"/>
        </w:rPr>
        <w:t>We continue to assess other potential partnership opportunities for VASCEPA with partners outside of the United States and Europe with the intention of partnering in all other international markets. Our plan is to file three waves of regulatory submissions for approval of VASCEPA in 20 additional countries in order to ensure that patients in the top 50 cardiometabolic markets worldwide can benefit from VASCEPA. We have initiated the first wave of regulatory filings in 2022 and have filed for regulatory review of VASCEPA in 10 countries, including Australia and New Zealand.</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06"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Based on REDUCE-IT results, as of the date of the filing of this Quarterly Report, more than 30 clinical treatment guidelines, consensus statements or scientific statements from medical societies, scientific bodies, or journals have been updated recommending the use of icosapent ethyl in appropriate at-risk patients, including those statements which we were informed of by our global partners in Canada, China and the Middle East as well as guidelines or statements which were newly received during the third quarter of 2022 through the filing date of this Quarterly Report with recent examples as listed below:</w:t>
      </w:r>
    </w:p>
    <w:p>
      <w:pPr>
        <w:spacing w:after="0" w:line="46" w:lineRule="exact"/>
        <w:rPr>
          <w:sz w:val="20"/>
          <w:szCs w:val="20"/>
          <w:color w:val="auto"/>
        </w:rPr>
      </w:pPr>
    </w:p>
    <w:p>
      <w:pPr>
        <w:ind w:left="1020" w:right="100" w:hanging="503"/>
        <w:spacing w:after="0" w:line="24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Taiwan Society of Lipids in Atherosclerosis, in collaboration with experts and opinion leaders from the Taiwan Association of Family Medicine, Taiwan Society of Cardiology, Taiwan Stroke Society, Taiwan Diabetes Association, Taiwan Association of Diabetes Educators, Taiwan Society of Nephrology, and Taiwan Association of Lipid Educators published guidelines that IPE can be considered for management of dyslipidemia in patients with ASCVD or with diabetes and ≥1 risk factor who are already on maximally tolerated statin therapy with high TG levels (&gt;150 mg/dL).</w:t>
      </w:r>
    </w:p>
    <w:p>
      <w:pPr>
        <w:spacing w:after="0" w:line="46"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Spanish Society of Cardiology and the Spanish Diabetes Society released a consensus statement on the treatment of hypertriglyceridemia with IPE in patients aged ≥45 years with established CVD or aged ≥50 years with type 2 diabetes and at least 1 CV risk factor who are taking statins and with LDL-C &lt;100 mg/dL and TG levels 200–499 mg/dL, IPE 2 g twice daily is recommended.</w:t>
      </w:r>
    </w:p>
    <w:p>
      <w:pPr>
        <w:spacing w:after="0" w:line="61"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In August 2022, we added to our growing body of knowledge on VASCEPA as a result of our continued analysis of the REDUCE-IT trial results. A new post hoc exploratory analysis of REDUCE-IT found VASCEPA significantly reduced the risk of cardiovascular death, strokes, heart attacks, coronary revascularization and unstable angina in current/former smokers by 23% and former smokers by 29%.</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 and Clinical Supply</w:t>
      </w:r>
    </w:p>
    <w:p>
      <w:pPr>
        <w:spacing w:after="0" w:line="10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manage the manufacturing and supply of VASCEPA internally and have done so since we began clinical development of VASCEPA prior to the drug’s marketing approval by the U.S. FDA in 2012. We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We also have multiple international API suppliers, encapsulators and packagers to support the commercialization of VASCEPA in geographies where the drug is approved outside the United States. Not all of our suppliers approved by the U.S. FDA are approved in every other geography. The regulatory process generally requires extensive details as part of the submission provided to a country or region in connection with a company's request for regulatory approval. Suppliers must be specifically identified as part of the submission for qualification and approval for commercialization in a country or region. As a result, only supply, as approved, may be used in finished goods available for sale in a specific country or region. The amount of supply we seek to purchase in future periods will depend on the level of growth of VASCEPA revenues and minimum purchase commitments with certain suppliers. In 2022, we reviewed our contractual supplier purchase obligations and have taken steps to amend supplier agreements to align supply arrangements with current and future market demand. We continue to negotiate with other contract suppliers to align our supply arrangements with current and future global market demand.</w:t>
      </w:r>
    </w:p>
    <w:p>
      <w:pPr>
        <w:spacing w:after="0" w:line="2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Impact of COVID-19</w:t>
      </w:r>
    </w:p>
    <w:p>
      <w:pPr>
        <w:spacing w:after="0" w:line="106" w:lineRule="exact"/>
        <w:rPr>
          <w:sz w:val="20"/>
          <w:szCs w:val="20"/>
          <w:color w:val="auto"/>
        </w:rPr>
      </w:pPr>
    </w:p>
    <w:p>
      <w:pPr>
        <w:ind w:right="340" w:firstLine="509"/>
        <w:spacing w:after="0" w:line="250" w:lineRule="auto"/>
        <w:rPr>
          <w:sz w:val="20"/>
          <w:szCs w:val="20"/>
          <w:color w:val="auto"/>
        </w:rPr>
      </w:pPr>
      <w:r>
        <w:rPr>
          <w:rFonts w:ascii="Times New Roman" w:cs="Times New Roman" w:eastAsia="Times New Roman" w:hAnsi="Times New Roman"/>
          <w:sz w:val="18"/>
          <w:szCs w:val="18"/>
          <w:color w:val="auto"/>
        </w:rPr>
        <w:t>In both the United States and Europe, the spread of COVID-19 limited our access and ability to directly promote VASCEPA to health care professionals. We continue to pursue face-to-face interactions where allowed while also exploring other avenues, including digital, to reach and engage healthcare professionals.</w:t>
      </w:r>
    </w:p>
    <w:p>
      <w:pPr>
        <w:spacing w:after="0" w:line="82"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While COVID-19 has created some added logistical challenges regarding supply deliveries, these challenges have been manageable and COVID-19 has not materially impacted our ability to secure and deliver supply of VASCEPA. And, thus far, COVID-19 is not known to have significantly impacted ongoing clinical trials of VASCEPA.</w:t>
      </w:r>
    </w:p>
    <w:p>
      <w:pPr>
        <w:spacing w:after="0" w:line="82" w:lineRule="exact"/>
        <w:rPr>
          <w:sz w:val="20"/>
          <w:szCs w:val="20"/>
          <w:color w:val="auto"/>
        </w:rPr>
      </w:pPr>
    </w:p>
    <w:p>
      <w:pPr>
        <w:ind w:right="420" w:firstLine="509"/>
        <w:spacing w:after="0" w:line="246" w:lineRule="auto"/>
        <w:rPr>
          <w:sz w:val="20"/>
          <w:szCs w:val="20"/>
          <w:color w:val="auto"/>
        </w:rPr>
      </w:pPr>
      <w:r>
        <w:rPr>
          <w:rFonts w:ascii="Times New Roman" w:cs="Times New Roman" w:eastAsia="Times New Roman" w:hAnsi="Times New Roman"/>
          <w:sz w:val="18"/>
          <w:szCs w:val="18"/>
          <w:color w:val="auto"/>
        </w:rPr>
        <w:t>The extent to which COVID-19 impacts our business, results of operations and financial condition will depend on future developments, which, despite progress in vaccination efforts, are highly uncertain and cannot be predicted with confidence, including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29" w:name="page30"/>
    <w:bookmarkEnd w:id="29"/>
    <w:p>
      <w:pPr>
        <w:ind w:right="80"/>
        <w:spacing w:after="0" w:line="245" w:lineRule="auto"/>
        <w:rPr>
          <w:sz w:val="20"/>
          <w:szCs w:val="20"/>
          <w:color w:val="auto"/>
        </w:rPr>
      </w:pPr>
      <w:r>
        <w:rPr>
          <w:rFonts w:ascii="Times New Roman" w:cs="Times New Roman" w:eastAsia="Times New Roman" w:hAnsi="Times New Roman"/>
          <w:sz w:val="18"/>
          <w:szCs w:val="18"/>
          <w:color w:val="auto"/>
        </w:rPr>
        <w:t>the duration of the pandemic, new information that may emerge concerning the severity of COVID-19, such as new strains of the virus that may emerge, which may impact rates of infection and vaccination efforts, developments or perceptions regarding the safety of vaccines and the extent and effectiveness of actions to contain COVID-19 or treat its impact, including vaccination campaigns and lockdown measures, among others. We are actively monitoring the situation and evaluating the pandemic's effect on patients, distributors, customers and our employees, as well as on our operations and the operations of our business partners and communities. We may take precautionary and preemptive or reactive actions that we determine are in the best interests of our business. We cannot predict the effects that such actions may have on our business or on our financial results, in particular with respect to demand for or access to VASCEPA.</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4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All of our product revenue is derived from product sales of 1-gram and 0.5-gram size capsules of VASCEPA,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discounts, incentives, rebates, chargebacks and returns. In the United States, we sell product to a limited number of major wholesalers, as well as selected regional wholesalers and mail order pharmacy providers, or collectively, our distributors or our customers, most of whom resell the product to retail pharmacies for purposes of their reselling the product to fill patient prescriptions. Revenues from product sales are recognized when the customer obtains control of our product, which occurs at a point in time, typically upon delivery to the customer. Timing of shipments to wholesalers, as used for revenue recognition, and timing of prescriptions as estimated by third-party sources such as Symphony Health and IQVIA may differ from period to period. During the quarters ended September 30, 2022 and 2021, our Product revenue, net, included adjustment for co-pay mitigation rebates provided by us to commercially insured patients. Such support is intended to offset a portion of the out-of-pocket expense that patients are required to pay for VASCEPA based upon the benefit design of their prescription drug coverage. Our cost for these co-payment support payments in both of the quarters ended September 30, 2022 and 2021 was up to $150 per 30-day prescription filled and up to $450 per 90-day prescription filled. Currently the majority of our product revenue is derived from direct sales of VASCEPA in the United States.</w:t>
      </w:r>
    </w:p>
    <w:p>
      <w:pPr>
        <w:spacing w:after="0" w:line="82"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Outside of the United States, currently the majority of our product revenue is derived from the sales of VASCEPA to our commercial partners based on the net price for VASCEPA established in our contracts with such partners. These commercial partners then resell the product in their agreed commercial territory. Revenues from product sales to our international commercial partners are recognized when the commercial partners obtain control of our product, which occurs at a point in time, typically upon delivery to the commercial partner.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We also derive product revenue from sales of our product to a limited number of wholesalers in Europe, most of whom in turn resell the product to pharmacies for purposes of their reselling the product to fill patient prescriptions.</w:t>
      </w:r>
    </w:p>
    <w:p>
      <w:pPr>
        <w:spacing w:after="0" w:line="207" w:lineRule="exact"/>
        <w:rPr>
          <w:sz w:val="20"/>
          <w:szCs w:val="20"/>
          <w:color w:val="auto"/>
        </w:rPr>
      </w:pPr>
    </w:p>
    <w:p>
      <w:pPr>
        <w:jc w:val="both"/>
        <w:ind w:right="56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currently consists of revenue attributable to receipt of up-front, non-refundable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milestone payments and sales-based payments related to license and distribution agreements for VASCEPA outside the United States. We recognize revenue from licensing arrangements as we fulfill the performance obligations under each of the agreements.</w:t>
      </w:r>
    </w:p>
    <w:p>
      <w:pPr>
        <w:spacing w:after="0" w:line="215"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includes the cost of API for VASCEPA on which revenue was recognized during the period,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Our cost of goods sold is not materially impacted by whether we sell VASCEPA directly in a country or we sell VASCEPA to a commercial partner for resale in a country. In the nine months ended September 30, 2022, we incurred costs of $18.1 million in Cost of goods sold - restructuring inventory related to steps taken to amend supplier agreements to align supply arrangements with current and future market demand.</w:t>
      </w:r>
    </w:p>
    <w:p>
      <w:pPr>
        <w:spacing w:after="0" w:line="208"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consists primarily of salaries and other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stock-based compensation expense, for personnel in our sales, marketing, executive, business development, finance and information technology functions. Other costs primarily include facility costs and professional fees for accounting, consulting and legal services.</w:t>
      </w:r>
    </w:p>
    <w:p>
      <w:pPr>
        <w:spacing w:after="0" w:line="194"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consists primarily of fees paid to professional service providers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w:t>
      </w: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0" w:name="page31"/>
    <w:bookmarkEnd w:id="30"/>
    <w:p>
      <w:pPr>
        <w:ind w:right="60"/>
        <w:spacing w:after="0" w:line="250" w:lineRule="auto"/>
        <w:rPr>
          <w:sz w:val="20"/>
          <w:szCs w:val="20"/>
          <w:color w:val="auto"/>
        </w:rPr>
      </w:pPr>
      <w:r>
        <w:rPr>
          <w:rFonts w:ascii="Times New Roman" w:cs="Times New Roman" w:eastAsia="Times New Roman" w:hAnsi="Times New Roman"/>
          <w:sz w:val="18"/>
          <w:szCs w:val="18"/>
          <w:color w:val="auto"/>
        </w:rPr>
        <w:t>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Pharmaceutical Co., Ltd., or Mochida. We expense research and development costs as incurred.</w:t>
      </w:r>
    </w:p>
    <w:p>
      <w:pPr>
        <w:spacing w:after="0" w:line="216"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consists of restructuring costs incurred under our June 2022 cost reduction plan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discontinuation of German operations, which consists of severance pay, incentive compensation, insurance benefits, stock-based compensation expense and other contract related costs.</w:t>
      </w:r>
    </w:p>
    <w:p>
      <w:pPr>
        <w:spacing w:after="0" w:line="215"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Interest income, net and other income (expense), net</w:t>
      </w:r>
      <w:r>
        <w:rPr>
          <w:rFonts w:ascii="Times New Roman" w:cs="Times New Roman" w:eastAsia="Times New Roman" w:hAnsi="Times New Roman"/>
          <w:sz w:val="18"/>
          <w:szCs w:val="18"/>
          <w:color w:val="auto"/>
        </w:rPr>
        <w:t>. Interest income, net consists primarily of interest earned on our cash and cash equivalents,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our short-term and long-term investments. Other income (expense), net, consists primarily of foreign exchange losses and gains.</w:t>
      </w:r>
    </w:p>
    <w:p>
      <w:pPr>
        <w:spacing w:after="0" w:line="172" w:lineRule="exact"/>
        <w:rPr>
          <w:sz w:val="20"/>
          <w:szCs w:val="20"/>
          <w:color w:val="auto"/>
        </w:rPr>
      </w:pPr>
    </w:p>
    <w:p>
      <w:pPr>
        <w:ind w:right="20" w:firstLine="509"/>
        <w:spacing w:after="0"/>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deferred tax assets and liabilities, and reserves for unrecognized tax benefits reflect management’s best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assessment of estimated future taxes to be paid. We are subject to income taxes in both the United States and foreign jurisdictions. In applying guidance prescribed under ASC 740 and based on present evidence and conclusions around the realizability of deferred tax assets, we determined that any tax benefit related to the pretax losses generated for 2022 and 2021 are not more likely than not to be realized.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08"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7"/>
          <w:szCs w:val="17"/>
          <w:color w:val="auto"/>
        </w:rPr>
        <w:t>This management's discussion and analysis of our financial condition and results of operations is based on our unaudited condensed consolidated financial statements and notes, which have been prepared in accordance with accounting principles generally accepted in the United States, or GAAP. The preparation of these condensed consolidated financial statements in conformity with GAAP requires us to make estimates, judgments and assumptions that affect the reported amounts of assets, liabilities, revenue and expenses. On an ongoing basis, we evaluate our estimates and judgments.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Estimates are assessed each period and updated to reflect current information. A summary of our critical accounting policies, significant judgments and estimates is presented in Part II, Item 7 of our Annual Report. There have been no material changes to our critical accounting policies, significant judgments and estimates described in our Annual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2—Significant Accounting Policies to our unaudited condensed consolidated financial statements included elsewhere in this Quarterly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impact of inflation on operations has been minimal during the past three years.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2022 and September 30, 2021</w:t>
      </w:r>
    </w:p>
    <w:p>
      <w:pPr>
        <w:spacing w:after="0" w:line="241"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Total revenue, net. </w:t>
      </w:r>
      <w:r>
        <w:rPr>
          <w:rFonts w:ascii="Times New Roman" w:cs="Times New Roman" w:eastAsia="Times New Roman" w:hAnsi="Times New Roman"/>
          <w:sz w:val="18"/>
          <w:szCs w:val="18"/>
          <w:color w:val="auto"/>
        </w:rPr>
        <w:t>We recorded total revenue, net, of $89.9 million and $142.0 million during the three months ended September 30, 2022 and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$52.2 million, or 37%. Total revenue, net consists primarily of revenue from the sale of VASCEPA in the United States. In addition to the United States, during the three months ending September 30, 2022 we also sold VASCEPA by prescription in Germany and Sweden and is available by prescription in Canada, Lebanon and the United Arab Emirates through collaborations with third-party companies. As further discussed below, this decrease consists of a $52.9 million decrease in U.S. net product revenue, offset by a $0.6 million increase in net product revenue outside of the United States and a $0.1 million increase in licensing and royalty revenue.</w:t>
      </w:r>
    </w:p>
    <w:p>
      <w:pPr>
        <w:spacing w:after="0" w:line="207" w:lineRule="exact"/>
        <w:rPr>
          <w:sz w:val="20"/>
          <w:szCs w:val="20"/>
          <w:color w:val="auto"/>
        </w:rPr>
      </w:pPr>
    </w:p>
    <w:p>
      <w:pPr>
        <w:ind w:right="300" w:firstLine="539"/>
        <w:spacing w:after="0" w:line="268"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We recorded product revenue, net, of $89.2 million and $141.4 million during the three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2021, respectively, a decrease of $52.2 million, or 37%.</w:t>
      </w:r>
    </w:p>
    <w:p>
      <w:pPr>
        <w:spacing w:after="0" w:line="66" w:lineRule="exact"/>
        <w:rPr>
          <w:sz w:val="20"/>
          <w:szCs w:val="20"/>
          <w:color w:val="auto"/>
        </w:rPr>
      </w:pPr>
    </w:p>
    <w:p>
      <w:pPr>
        <w:ind w:firstLine="539"/>
        <w:spacing w:after="0" w:line="246" w:lineRule="auto"/>
        <w:rPr>
          <w:sz w:val="20"/>
          <w:szCs w:val="20"/>
          <w:color w:val="auto"/>
        </w:rPr>
      </w:pPr>
      <w:r>
        <w:rPr>
          <w:rFonts w:ascii="Times New Roman" w:cs="Times New Roman" w:eastAsia="Times New Roman" w:hAnsi="Times New Roman"/>
          <w:sz w:val="18"/>
          <w:szCs w:val="18"/>
          <w:color w:val="auto"/>
        </w:rPr>
        <w:t>This decrease was driven primarily by a 38% decrease in VASCEPA sales in the United States. This decrease was driven by a decline in volume as a result of the impact of increased generic competition in the market. During the three months ended September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30, 2022, there were three generics in the market. During the three months ended September 30, 2021 there were two generics in the market.</w:t>
      </w:r>
    </w:p>
    <w:p>
      <w:pPr>
        <w:spacing w:after="0" w:line="117" w:lineRule="exact"/>
        <w:rPr>
          <w:sz w:val="20"/>
          <w:szCs w:val="20"/>
          <w:color w:val="auto"/>
        </w:rPr>
      </w:pPr>
    </w:p>
    <w:p>
      <w:pPr>
        <w:ind w:right="200" w:firstLine="539"/>
        <w:spacing w:after="0" w:line="246" w:lineRule="auto"/>
        <w:rPr>
          <w:sz w:val="20"/>
          <w:szCs w:val="20"/>
          <w:color w:val="auto"/>
        </w:rPr>
      </w:pPr>
      <w:r>
        <w:rPr>
          <w:rFonts w:ascii="Times New Roman" w:cs="Times New Roman" w:eastAsia="Times New Roman" w:hAnsi="Times New Roman"/>
          <w:sz w:val="18"/>
          <w:szCs w:val="18"/>
          <w:color w:val="auto"/>
        </w:rPr>
        <w:t>The overall icosapent ethyl market in the United States, based on prescription levels reported by Symphony Health increased for the three months ended September 30, 2022 by 5% as compared to the three months ended September 30, 2021. Our share of the icosapent ethyl market has decreased to approximately 62% in the three months ended September 30, 2022 compared to approximately 83% in the three months ended September 30, 2021. Additionally, based on prescription levels reported by Symphony Health, VASCEPA branded prescriptions decreased by 22% in the three months ended September 30, 2022 compared to the three months ended September 30, 2021.</w:t>
      </w:r>
    </w:p>
    <w:p>
      <w:pPr>
        <w:spacing w:after="0" w:line="73" w:lineRule="exact"/>
        <w:rPr>
          <w:sz w:val="20"/>
          <w:szCs w:val="20"/>
          <w:color w:val="auto"/>
        </w:rPr>
      </w:pPr>
    </w:p>
    <w:p>
      <w:pPr>
        <w:ind w:right="80" w:firstLine="539"/>
        <w:spacing w:after="0" w:line="250" w:lineRule="auto"/>
        <w:rPr>
          <w:sz w:val="20"/>
          <w:szCs w:val="20"/>
          <w:color w:val="auto"/>
        </w:rPr>
      </w:pPr>
      <w:r>
        <w:rPr>
          <w:rFonts w:ascii="Times New Roman" w:cs="Times New Roman" w:eastAsia="Times New Roman" w:hAnsi="Times New Roman"/>
          <w:sz w:val="18"/>
          <w:szCs w:val="18"/>
          <w:color w:val="auto"/>
        </w:rPr>
        <w:t>In Europe, our commercial launch and growth of the market has been slower than expected due to the resurgence of COVID-19 earlier in the year throughout Europe and political unrest in eastern Europe resulting in product revenue, net, of $0.7 million during the three months ended September 30, 2022. We began commercialization in Europe in September 2021, and as such recorded $0.2 million in product revenue, net during the three months ended September 30, 2021.</w:t>
      </w:r>
    </w:p>
    <w:p>
      <w:pPr>
        <w:spacing w:after="0" w:line="69" w:lineRule="exact"/>
        <w:rPr>
          <w:sz w:val="20"/>
          <w:szCs w:val="20"/>
          <w:color w:val="auto"/>
        </w:rPr>
      </w:pPr>
    </w:p>
    <w:p>
      <w:pPr>
        <w:ind w:right="240" w:firstLine="539"/>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we recorded $0.6 million of product revenue, net, to our collaboration partners compared to $0.6 million during the three months ended September 30, 2021.</w:t>
      </w:r>
    </w:p>
    <w:p>
      <w:pPr>
        <w:spacing w:after="0" w:line="40" w:lineRule="exact"/>
        <w:rPr>
          <w:sz w:val="20"/>
          <w:szCs w:val="20"/>
          <w:color w:val="auto"/>
        </w:rPr>
      </w:pPr>
    </w:p>
    <w:p>
      <w:pPr>
        <w:ind w:firstLine="539"/>
        <w:spacing w:after="0" w:line="247" w:lineRule="auto"/>
        <w:rPr>
          <w:sz w:val="20"/>
          <w:szCs w:val="20"/>
          <w:color w:val="auto"/>
        </w:rPr>
      </w:pPr>
      <w:r>
        <w:rPr>
          <w:rFonts w:ascii="Times New Roman" w:cs="Times New Roman" w:eastAsia="Times New Roman" w:hAnsi="Times New Roman"/>
          <w:sz w:val="18"/>
          <w:szCs w:val="18"/>
          <w:color w:val="auto"/>
        </w:rPr>
        <w:t>Despite the generic competition in the U.S., including a third generic entrant in January 2022 and a fourth generic entrant in September 2022 for the 0.5-gram capsule only, we remain confident that the global patient need for VASCEPA is high. In July 2022, the UK's NICE announced final guidance for reimbursement for VAZKEPA and use across the NHS in England and Wales. We launched commercial operations in the UK in October 2022 and expect to launch commercial operations in up to 5 additional countries throughout Europe in 2022, while also receiving up to 8 reimbursement decisions in 2022. As a result of the impact of generic competition in the U.S. and challenges for most drugs seeking market access in Europe, we are not providing revenue guidance at this time.</w:t>
      </w:r>
    </w:p>
    <w:p>
      <w:pPr>
        <w:spacing w:after="0" w:line="191" w:lineRule="exact"/>
        <w:rPr>
          <w:sz w:val="20"/>
          <w:szCs w:val="20"/>
          <w:color w:val="auto"/>
        </w:rPr>
      </w:pPr>
    </w:p>
    <w:p>
      <w:pPr>
        <w:ind w:right="160" w:firstLine="509"/>
        <w:spacing w:after="0" w:line="243"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during the three months ended September 30, 2022 and 2021 was $0.7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$0.6 million, respectively, an increase of $0.1 million, or 10%. Licensing and royalty revenue relates to the recognition of amounts received in connection with the following VASCEPA licensing agreements:</w:t>
      </w:r>
    </w:p>
    <w:p>
      <w:pPr>
        <w:spacing w:after="0" w:line="75" w:lineRule="exact"/>
        <w:rPr>
          <w:sz w:val="20"/>
          <w:szCs w:val="20"/>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Edding – a $15.0 million up-front payment received in February 2015 and a $1.0 million milestone payment achieved in March 2016.</w:t>
      </w:r>
    </w:p>
    <w:p>
      <w:pPr>
        <w:spacing w:after="0" w:line="103" w:lineRule="exact"/>
        <w:rPr>
          <w:rFonts w:ascii="Times New Roman" w:cs="Times New Roman" w:eastAsia="Times New Roman" w:hAnsi="Times New Roman"/>
          <w:sz w:val="18"/>
          <w:szCs w:val="18"/>
          <w:color w:val="auto"/>
        </w:rPr>
      </w:pPr>
    </w:p>
    <w:p>
      <w:pPr>
        <w:ind w:left="900" w:right="42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U.S. FDA approval of another indication and label expansion in December 2019, and a $3.8 million milestone payment that was received as a result of obtaining a regulatory exclusivity designation in January 2020.</w:t>
      </w:r>
    </w:p>
    <w:p>
      <w:pPr>
        <w:spacing w:after="0" w:line="77" w:lineRule="exact"/>
        <w:rPr>
          <w:sz w:val="20"/>
          <w:szCs w:val="20"/>
          <w:color w:val="auto"/>
        </w:rPr>
      </w:pPr>
    </w:p>
    <w:p>
      <w:pPr>
        <w:jc w:val="both"/>
        <w:ind w:right="300" w:firstLine="509"/>
        <w:spacing w:after="0" w:line="258" w:lineRule="auto"/>
        <w:rPr>
          <w:sz w:val="20"/>
          <w:szCs w:val="20"/>
          <w:color w:val="auto"/>
        </w:rPr>
      </w:pPr>
      <w:r>
        <w:rPr>
          <w:rFonts w:ascii="Times New Roman" w:cs="Times New Roman" w:eastAsia="Times New Roman" w:hAnsi="Times New Roman"/>
          <w:sz w:val="18"/>
          <w:szCs w:val="18"/>
          <w:color w:val="auto"/>
        </w:rPr>
        <w:t>The up-front and milestone payments under such agreements are being recognized over the estimated period in which we are required to provide regulatory and development support pursuant to the agreements. The amount of licensing and royalty revenue is expected to vary from period to period based on timing of milestones achieved and changes in estimates of the timing and level of support required.</w:t>
      </w:r>
    </w:p>
    <w:p>
      <w:pPr>
        <w:spacing w:after="0" w:line="6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part of our licensing agreements covering certain territories outside of the United States, we are entitled to a percentage of revenue earned based on sales by our partners. The royalty payments are being recognized as earned based on revenue recognized by our current partners.</w:t>
      </w:r>
    </w:p>
    <w:p>
      <w:pPr>
        <w:spacing w:after="0" w:line="173"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Cost of goods sold. </w:t>
      </w:r>
      <w:r>
        <w:rPr>
          <w:rFonts w:ascii="Times New Roman" w:cs="Times New Roman" w:eastAsia="Times New Roman" w:hAnsi="Times New Roman"/>
          <w:sz w:val="17"/>
          <w:szCs w:val="17"/>
          <w:color w:val="auto"/>
        </w:rPr>
        <w:t>Cost of goods sold during the three months ended September 30, 2022 and 2021 was $27.0 million and $30.2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a decrease of $3.2 million, or 11%.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During the three months ended September 30, 2022, as part of our cost reduction plan we continued to take steps to amend our supplier agreements to align supply arrangements with current and future demand resulting in a $3.1 million charge, which was recorded as Cost of goods sold - restructuring inventory.</w:t>
      </w:r>
    </w:p>
    <w:p>
      <w:pPr>
        <w:spacing w:after="0" w:line="57"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quarters ended September 30, 2022 and 2021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The average cost may be variable from period to period depending upon the timing and quantity of API purchased from each supplier.</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2" w:name="page33"/>
    <w:bookmarkEnd w:id="32"/>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Our overall gross margin on product sales for the three months ended September 30, 2022 and 2021 was 70% and 79%, respectively. Excluding the restructuring inventory, gross margin was 73% for the three months ended September 30, 2022. The remaining decrease in gross margin is primarily as a result of a decrease in net selling price.</w:t>
      </w:r>
    </w:p>
    <w:p>
      <w:pPr>
        <w:spacing w:after="0" w:line="188" w:lineRule="exact"/>
        <w:rPr>
          <w:sz w:val="20"/>
          <w:szCs w:val="20"/>
          <w:color w:val="auto"/>
        </w:rPr>
      </w:pPr>
    </w:p>
    <w:p>
      <w:pPr>
        <w:jc w:val="both"/>
        <w:ind w:right="12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three months ended September 30, 2022 and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$58.7 million and $103.0 million, respectively, a decrease of $44.2 million, or 43%. Selling, general and administrative expenses for the three months ended September 30, 2022 and 2021 are summarized in the table below:</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6"/>
                <w:szCs w:val="16"/>
                <w:color w:val="auto"/>
              </w:rPr>
            </w:pPr>
          </w:p>
        </w:tc>
      </w:tr>
      <w:tr>
        <w:trPr>
          <w:trHeight w:val="169"/>
        </w:trPr>
        <w:tc>
          <w:tcPr>
            <w:tcW w:w="6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61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Selling expense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67,895</w:t>
            </w:r>
          </w:p>
        </w:tc>
        <w:tc>
          <w:tcPr>
            <w:tcW w:w="80" w:type="dxa"/>
            <w:vAlign w:val="bottom"/>
            <w:shd w:val="clear" w:color="auto" w:fill="CFF0FC"/>
          </w:tcPr>
          <w:p>
            <w:pPr>
              <w:spacing w:after="0"/>
              <w:rPr>
                <w:sz w:val="18"/>
                <w:szCs w:val="18"/>
                <w:color w:val="auto"/>
              </w:rPr>
            </w:pPr>
          </w:p>
        </w:tc>
      </w:tr>
      <w:tr>
        <w:trPr>
          <w:trHeight w:val="216"/>
        </w:trPr>
        <w:tc>
          <w:tcPr>
            <w:tcW w:w="61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25,828</w:t>
            </w:r>
          </w:p>
        </w:tc>
        <w:tc>
          <w:tcPr>
            <w:tcW w:w="80" w:type="dxa"/>
            <w:vAlign w:val="bottom"/>
          </w:tcPr>
          <w:p>
            <w:pPr>
              <w:spacing w:after="0"/>
              <w:rPr>
                <w:sz w:val="18"/>
                <w:szCs w:val="18"/>
                <w:color w:val="auto"/>
              </w:rPr>
            </w:pPr>
          </w:p>
        </w:tc>
      </w:tr>
      <w:tr>
        <w:trPr>
          <w:trHeight w:val="216"/>
        </w:trPr>
        <w:tc>
          <w:tcPr>
            <w:tcW w:w="618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(3)</w:t>
            </w: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58,745</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102,965</w:t>
            </w:r>
          </w:p>
        </w:tc>
        <w:tc>
          <w:tcPr>
            <w:tcW w:w="8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-170815</wp:posOffset>
            </wp:positionV>
            <wp:extent cx="60325"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12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32" w:lineRule="exact"/>
        <w:rPr>
          <w:sz w:val="20"/>
          <w:szCs w:val="20"/>
          <w:color w:val="auto"/>
        </w:rPr>
      </w:pPr>
    </w:p>
    <w:p>
      <w:pPr>
        <w:ind w:left="480" w:right="20" w:hanging="383"/>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three months ended September 30, 2022 and 2021 was $32.4 million and $67.9 million, respectively, a decrease of $35.5 million, or 52%. This decrease is primarily due to a reduction in costs associated with our previously announced Go-to-Market strategy in September 2021 and Comprehensive Cost Reduction Plan in June 2022 resulting in decreased promotional initiatives, reduced travel and a decrease in our U.S. sales force.</w:t>
      </w:r>
    </w:p>
    <w:p>
      <w:pPr>
        <w:spacing w:after="0" w:line="1" w:lineRule="exact"/>
        <w:rPr>
          <w:rFonts w:ascii="Times New Roman" w:cs="Times New Roman" w:eastAsia="Times New Roman" w:hAnsi="Times New Roman"/>
          <w:sz w:val="18"/>
          <w:szCs w:val="18"/>
          <w:color w:val="auto"/>
        </w:rPr>
      </w:pPr>
    </w:p>
    <w:p>
      <w:pPr>
        <w:ind w:left="480" w:right="220" w:hanging="383"/>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three months ended September 30, 2022 and 2021 was $21.9 million and $25.8 million, respectively, a decrease of $3.9 million, or 15%. This decrease is primarily due to a decrease in employee related costs resulting from the Comprehensive Cost Reduction Plan in June 2022. The decrease was further impacted by higher legal fees related to the patent infringement litigation during the three months ended September 30, 2021.</w:t>
      </w:r>
    </w:p>
    <w:p>
      <w:pPr>
        <w:spacing w:after="0" w:line="1" w:lineRule="exact"/>
        <w:rPr>
          <w:rFonts w:ascii="Times New Roman" w:cs="Times New Roman" w:eastAsia="Times New Roman" w:hAnsi="Times New Roman"/>
          <w:sz w:val="18"/>
          <w:szCs w:val="18"/>
          <w:color w:val="auto"/>
        </w:rPr>
      </w:pPr>
    </w:p>
    <w:p>
      <w:pPr>
        <w:ind w:left="480" w:right="160" w:hanging="383"/>
        <w:spacing w:after="0" w:line="246"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three months ended September 30, 2022 and 2021 was $4.4 million and $9.2 million, respectively, a decrease of $4.9 million, or 53%. Non-cash stock-based compensation expense represents the estimated costs associated with equity awards issued to internal personnel supporting our selling, general and administrative functions. The decrease is due to the reversal of expense associated with certain performance-based awards as it was no longer deemed probable that the performance criteria for vesting would be achieved within the required timeframe.</w:t>
      </w:r>
    </w:p>
    <w:p>
      <w:pPr>
        <w:spacing w:after="0" w:line="208" w:lineRule="exact"/>
        <w:rPr>
          <w:sz w:val="20"/>
          <w:szCs w:val="20"/>
          <w:color w:val="auto"/>
        </w:rPr>
      </w:pPr>
    </w:p>
    <w:p>
      <w:pPr>
        <w:ind w:right="200" w:firstLine="509"/>
        <w:spacing w:after="0" w:line="242" w:lineRule="auto"/>
        <w:rPr>
          <w:sz w:val="20"/>
          <w:szCs w:val="20"/>
          <w:color w:val="auto"/>
        </w:rPr>
      </w:pPr>
      <w:r>
        <w:rPr>
          <w:rFonts w:ascii="Times New Roman" w:cs="Times New Roman" w:eastAsia="Times New Roman" w:hAnsi="Times New Roman"/>
          <w:sz w:val="18"/>
          <w:szCs w:val="18"/>
          <w:color w:val="auto"/>
        </w:rPr>
        <w:t>We are investing in building an appropriate foundation for the successful launch of VAZKEPA throughout Europe, advancing regulatory filings internationally and navigating the dynamic U.S. environment. As a result, we will continue to evaluate all of our spending commitments and priorities as well as adjust our level of education and promotional activities based on various factors, including the impact of U.S. generic competition.</w:t>
      </w:r>
    </w:p>
    <w:p>
      <w:pPr>
        <w:spacing w:after="0" w:line="222" w:lineRule="exact"/>
        <w:rPr>
          <w:sz w:val="20"/>
          <w:szCs w:val="20"/>
          <w:color w:val="auto"/>
        </w:rPr>
      </w:pPr>
    </w:p>
    <w:p>
      <w:pPr>
        <w:jc w:val="both"/>
        <w:ind w:right="2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for the three months ended September 30, 2022 and 2021 was $5.8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$7.8 million, respectively, a decrease of $2.1 million, or 26%. Research and development expenses for the three months ended September 30, 2022 and 2021 are summarized in the table below:</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6"/>
                <w:szCs w:val="16"/>
                <w:color w:val="auto"/>
              </w:rPr>
            </w:pPr>
          </w:p>
        </w:tc>
      </w:tr>
      <w:tr>
        <w:trPr>
          <w:trHeight w:val="169"/>
        </w:trPr>
        <w:tc>
          <w:tcPr>
            <w:tcW w:w="61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61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REDUCE-IT study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shd w:val="clear" w:color="auto" w:fill="CFF0FC"/>
          </w:tcPr>
          <w:p>
            <w:pPr>
              <w:spacing w:after="0"/>
              <w:rPr>
                <w:sz w:val="18"/>
                <w:szCs w:val="18"/>
                <w:color w:val="auto"/>
              </w:rPr>
            </w:pPr>
          </w:p>
        </w:tc>
      </w:tr>
      <w:tr>
        <w:trPr>
          <w:trHeight w:val="216"/>
        </w:trPr>
        <w:tc>
          <w:tcPr>
            <w:tcW w:w="6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Regulatory filing fees and expenses </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8"/>
                <w:szCs w:val="18"/>
                <w:color w:val="auto"/>
              </w:rPr>
            </w:pPr>
          </w:p>
        </w:tc>
      </w:tr>
      <w:tr>
        <w:trPr>
          <w:trHeight w:val="216"/>
        </w:trPr>
        <w:tc>
          <w:tcPr>
            <w:tcW w:w="61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Internal staffing, overhead and other </w:t>
            </w:r>
            <w:r>
              <w:rPr>
                <w:rFonts w:ascii="Times New Roman" w:cs="Times New Roman" w:eastAsia="Times New Roman" w:hAnsi="Times New Roman"/>
                <w:sz w:val="24"/>
                <w:szCs w:val="24"/>
                <w:color w:val="auto"/>
                <w:vertAlign w:val="superscript"/>
              </w:rPr>
              <w:t>(3)</w:t>
            </w: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80" w:type="dxa"/>
            <w:vAlign w:val="bottom"/>
          </w:tcPr>
          <w:p>
            <w:pPr>
              <w:spacing w:after="0"/>
              <w:rPr>
                <w:sz w:val="18"/>
                <w:szCs w:val="18"/>
                <w:color w:val="auto"/>
              </w:rPr>
            </w:pPr>
          </w:p>
        </w:tc>
      </w:tr>
      <w:tr>
        <w:trPr>
          <w:trHeight w:val="216"/>
        </w:trPr>
        <w:tc>
          <w:tcPr>
            <w:tcW w:w="61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(4)</w:t>
            </w: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8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-453390</wp:posOffset>
            </wp:positionV>
            <wp:extent cx="60325"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-453390</wp:posOffset>
            </wp:positionV>
            <wp:extent cx="51435"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-170815</wp:posOffset>
            </wp:positionV>
            <wp:extent cx="6032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2" w:lineRule="exact"/>
        <w:rPr>
          <w:sz w:val="20"/>
          <w:szCs w:val="20"/>
          <w:color w:val="auto"/>
        </w:rPr>
      </w:pPr>
    </w:p>
    <w:p>
      <w:pPr>
        <w:ind w:left="520" w:right="120" w:hanging="512"/>
        <w:spacing w:after="0" w:line="258"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we announced landmark positive topline results of the REDUCE-IT cardiovascular outcomes trial. The decrease in expenses is primarily driven by the completion in the prior year of certain analyses performed beyond the REDUCE-IT cardiovascular outcomes trial.</w:t>
      </w:r>
    </w:p>
    <w:p>
      <w:pPr>
        <w:ind w:left="520" w:hanging="512"/>
        <w:spacing w:after="0" w:line="25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filing fees in each of the quarters ended September 30, 2022 and 2021 included annual U.S. FDA fees for maintaining manufacturing sites. Such fees primarily represent fees for qualification of new suppliers, including increasing capacity capabilities, and fees to support international regulatory review of VASCEPA, particularly in Europe, sites used for the manufacture of product used in the REDUCE-IT clinical outcomes study.</w:t>
      </w:r>
    </w:p>
    <w:p>
      <w:pPr>
        <w:spacing w:after="0" w:line="1" w:lineRule="exact"/>
        <w:rPr>
          <w:rFonts w:ascii="Times New Roman" w:cs="Times New Roman" w:eastAsia="Times New Roman" w:hAnsi="Times New Roman"/>
          <w:sz w:val="18"/>
          <w:szCs w:val="18"/>
          <w:color w:val="auto"/>
        </w:rPr>
      </w:pPr>
    </w:p>
    <w:p>
      <w:pPr>
        <w:ind w:left="520" w:hanging="512"/>
        <w:spacing w:after="0" w:line="245"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including costs associated with securing regulatory approvals for VAZKEPA in Europe as achieved in 2021. Also included are costs related to qualifying suppliers, costs related to the development of a fixed-dose combination product and costs associated with various other investigations, including other costs in collaboration with Mochida and pilot studies regarding VASCEPA.</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33" w:name="page34"/>
    <w:bookmarkEnd w:id="33"/>
    <w:p>
      <w:pPr>
        <w:ind w:left="520" w:right="180" w:hanging="512"/>
        <w:spacing w:after="0" w:line="280" w:lineRule="auto"/>
        <w:tabs>
          <w:tab w:leader="none" w:pos="5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Non-cash stock-based compensation expense represents the estimated costs associated with equity awards issued to personnel supporting our research and development and regulatory functions. The decrease is due to the reversal of expense associated with certain performance-based awards as it was no longer deemed probable at the time that the performance criteria for vesting would be achieved within the required timeframe.</w:t>
      </w:r>
    </w:p>
    <w:p>
      <w:pPr>
        <w:spacing w:after="0" w:line="45"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We continuously evaluate all of our spending commitments and priorities and we plan to adjust our level of research and development activities based on the impact of generic competition.</w:t>
      </w:r>
    </w:p>
    <w:p>
      <w:pPr>
        <w:spacing w:after="0" w:line="120" w:lineRule="exact"/>
        <w:rPr>
          <w:sz w:val="20"/>
          <w:szCs w:val="20"/>
          <w:color w:val="auto"/>
        </w:rPr>
      </w:pPr>
    </w:p>
    <w:p>
      <w:pPr>
        <w:ind w:right="16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for the three months ended September 30, 2022 and 2021 was $3.5 million and $14.1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respectively, a decrease of $10.6 million, or 75%. The charge in the current year is due to the discontinuation of the German operations announced on August 19, 2022, which resulted from a viable agreement on the reimbursement price of VAZKEPA in Germany not being reached. The prior year charge was the result of a U.S. Go-to-Market strategy that reduced the U.S. sales force to 300 sales representatives at that time. Refer to </w:t>
      </w:r>
      <w:r>
        <w:rPr>
          <w:rFonts w:ascii="Times New Roman" w:cs="Times New Roman" w:eastAsia="Times New Roman" w:hAnsi="Times New Roman"/>
          <w:sz w:val="18"/>
          <w:szCs w:val="18"/>
          <w:i w:val="1"/>
          <w:iCs w:val="1"/>
          <w:color w:val="auto"/>
        </w:rPr>
        <w:t>Note 2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for additional information.</w:t>
      </w:r>
    </w:p>
    <w:p>
      <w:pPr>
        <w:spacing w:after="0" w:line="204"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for the three months ended September 30, 2022 and 2021 was $0.8 million and $0.2,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$0.6 million, or 360%. Interest income, net represents income earned on cash and investment balances. The increase is primarily due to higher rates in the current year period compared to the prior year period.</w:t>
      </w:r>
    </w:p>
    <w:p>
      <w:pPr>
        <w:spacing w:after="0" w:line="194"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for the three months ended September 30, 2022 and 2021 was income of $0.5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$0.1 million, respectively, an increase of $0.6 million, or 996%. Other income (expense), net, primarily consists of gains and losses on foreign exchange transactions. The increase in Other income (expense), net is due to the continued global expansion and related activity in foreign currencies.</w:t>
      </w:r>
    </w:p>
    <w:p>
      <w:pPr>
        <w:spacing w:after="0" w:line="194" w:lineRule="exact"/>
        <w:rPr>
          <w:sz w:val="20"/>
          <w:szCs w:val="20"/>
          <w:color w:val="auto"/>
        </w:rPr>
      </w:pPr>
    </w:p>
    <w:p>
      <w:pPr>
        <w:ind w:right="12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for the three months ended September 30, 2022 and 2021 was $1.3 million and $0.2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provision for the three months ended September 30, 2022 is the result of income generated by our U.S. operations for which tax expense has been recognized based on a full year estimated U.S. income tax liability.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2022 and September 30, 2021</w:t>
      </w:r>
    </w:p>
    <w:p>
      <w:pPr>
        <w:spacing w:after="0" w:line="241"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Total revenue, net. </w:t>
      </w:r>
      <w:r>
        <w:rPr>
          <w:rFonts w:ascii="Times New Roman" w:cs="Times New Roman" w:eastAsia="Times New Roman" w:hAnsi="Times New Roman"/>
          <w:sz w:val="18"/>
          <w:szCs w:val="18"/>
          <w:color w:val="auto"/>
        </w:rPr>
        <w:t>We recorded total revenue, net, of $278.9 million and $438.7 million during the nine months ended September 30, 2022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respectively, a decrease of $159.7 million, or 36%. Total revenue, net consists primarily of revenue from the sale of VASCEPA in the United States. In addition to the United States, during the nine months ended September 30, 2022 we also sold VASCEPA by prescription in Germany and Sweden and is available by prescription in Canada, Lebanon and the United Arab Emirates through collaborations with third-party companies. As further discussed below, this decrease consists of a $163.3 million decrease U.S. net product revenue and a $0.2 million decrease in licensing and royalty revenue offset by a $3.7 million increase in net product revenue outside of the United States.</w:t>
      </w:r>
    </w:p>
    <w:p>
      <w:pPr>
        <w:spacing w:after="0" w:line="207" w:lineRule="exact"/>
        <w:rPr>
          <w:sz w:val="20"/>
          <w:szCs w:val="20"/>
          <w:color w:val="auto"/>
        </w:rPr>
      </w:pPr>
    </w:p>
    <w:p>
      <w:pPr>
        <w:ind w:right="240" w:firstLine="53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We recorded product revenue, net, of $277.0 million and $436.6 million during the nine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2021, respectively, a decrease of $159.6 million, or 37%.</w:t>
      </w:r>
    </w:p>
    <w:p>
      <w:pPr>
        <w:spacing w:after="0" w:line="66" w:lineRule="exact"/>
        <w:rPr>
          <w:sz w:val="20"/>
          <w:szCs w:val="20"/>
          <w:color w:val="auto"/>
        </w:rPr>
      </w:pPr>
    </w:p>
    <w:p>
      <w:pPr>
        <w:ind w:firstLine="539"/>
        <w:spacing w:after="0" w:line="250" w:lineRule="auto"/>
        <w:rPr>
          <w:sz w:val="20"/>
          <w:szCs w:val="20"/>
          <w:color w:val="auto"/>
        </w:rPr>
      </w:pPr>
      <w:r>
        <w:rPr>
          <w:rFonts w:ascii="Times New Roman" w:cs="Times New Roman" w:eastAsia="Times New Roman" w:hAnsi="Times New Roman"/>
          <w:sz w:val="18"/>
          <w:szCs w:val="18"/>
          <w:color w:val="auto"/>
        </w:rPr>
        <w:t>This decrease was driven primarily by a 38% decrease in VASCEPA sales in the United States. This decrease was driven by a decline in volume and net selling price as a result of the impact from an increase in generic competition in the market. During the nine months ended September 30, 2022 there were three generics in the market. During the majority of the nine months ended September 30, 2021 there was only one generic in the market, with the second generic entering the market in the third quarter of 2021.</w:t>
      </w:r>
    </w:p>
    <w:p>
      <w:pPr>
        <w:spacing w:after="0" w:line="69" w:lineRule="exact"/>
        <w:rPr>
          <w:sz w:val="20"/>
          <w:szCs w:val="20"/>
          <w:color w:val="auto"/>
        </w:rPr>
      </w:pPr>
    </w:p>
    <w:p>
      <w:pPr>
        <w:ind w:right="220" w:firstLine="539"/>
        <w:spacing w:after="0" w:line="246" w:lineRule="auto"/>
        <w:rPr>
          <w:sz w:val="20"/>
          <w:szCs w:val="20"/>
          <w:color w:val="auto"/>
        </w:rPr>
      </w:pPr>
      <w:r>
        <w:rPr>
          <w:rFonts w:ascii="Times New Roman" w:cs="Times New Roman" w:eastAsia="Times New Roman" w:hAnsi="Times New Roman"/>
          <w:sz w:val="18"/>
          <w:szCs w:val="18"/>
          <w:color w:val="auto"/>
        </w:rPr>
        <w:t>The overall icosapent ethyl market in the United States, based on prescription levels reported by Symphony Health increased for the nine months ended September 30, 2022 by 8% as compared to the nine months ended September 30, 2021. Our share of the icosapent ethyl market has decreased to approximately 66% in the nine months ended September 30, 2022 compared to approximately 87% in the nine months ended September 30, 2021. Additionally, based on prescription levels reported by Symphony Health, VASCEPA branded prescriptions decreased by 18% in the nine months ended September 30, 2022 compared to the nine months ended September 30, 2021.</w:t>
      </w:r>
    </w:p>
    <w:p>
      <w:pPr>
        <w:spacing w:after="0" w:line="87" w:lineRule="exact"/>
        <w:rPr>
          <w:sz w:val="20"/>
          <w:szCs w:val="20"/>
          <w:color w:val="auto"/>
        </w:rPr>
      </w:pPr>
    </w:p>
    <w:p>
      <w:pPr>
        <w:ind w:firstLine="539"/>
        <w:spacing w:after="0" w:line="245" w:lineRule="auto"/>
        <w:rPr>
          <w:sz w:val="20"/>
          <w:szCs w:val="20"/>
          <w:color w:val="auto"/>
        </w:rPr>
      </w:pPr>
      <w:r>
        <w:rPr>
          <w:rFonts w:ascii="Times New Roman" w:cs="Times New Roman" w:eastAsia="Times New Roman" w:hAnsi="Times New Roman"/>
          <w:sz w:val="18"/>
          <w:szCs w:val="18"/>
          <w:color w:val="auto"/>
        </w:rPr>
        <w:t>In Europe, our commercial launch and growth of the market has been slower than expected due to the resurgence of COVID-19 earlier in the year throughout Europe, political unrest in eastern Europe and the Company's decision to cease commercial operations in Germany resulting in product revenue, net, of $2.2 million during the nine months ended September 30, 2022. We began commercialization in Europe in September 2021, and as such recorded product revenue, net of $0.2 million during the nine months ended September 30, 2021.</w:t>
      </w:r>
    </w:p>
    <w:p>
      <w:pPr>
        <w:spacing w:after="0" w:line="86" w:lineRule="exact"/>
        <w:rPr>
          <w:sz w:val="20"/>
          <w:szCs w:val="20"/>
          <w:color w:val="auto"/>
        </w:rPr>
      </w:pPr>
    </w:p>
    <w:p>
      <w:pPr>
        <w:ind w:right="260" w:firstLine="539"/>
        <w:spacing w:after="0" w:line="246" w:lineRule="auto"/>
        <w:rPr>
          <w:sz w:val="20"/>
          <w:szCs w:val="20"/>
          <w:color w:val="auto"/>
        </w:rPr>
      </w:pPr>
      <w:r>
        <w:rPr>
          <w:rFonts w:ascii="Times New Roman" w:cs="Times New Roman" w:eastAsia="Times New Roman" w:hAnsi="Times New Roman"/>
          <w:sz w:val="18"/>
          <w:szCs w:val="18"/>
          <w:color w:val="auto"/>
        </w:rPr>
        <w:t>For the nine months ended September 30, 2022 we recorded $2.9 million of product revenue, net, to our collaboration partners compared to $1.3 million during the nine months ended September 30, 2021.</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4" w:name="page35"/>
    <w:bookmarkEnd w:id="34"/>
    <w:p>
      <w:pPr>
        <w:ind w:firstLine="539"/>
        <w:spacing w:after="0" w:line="247" w:lineRule="auto"/>
        <w:rPr>
          <w:sz w:val="20"/>
          <w:szCs w:val="20"/>
          <w:color w:val="auto"/>
        </w:rPr>
      </w:pPr>
      <w:r>
        <w:rPr>
          <w:rFonts w:ascii="Times New Roman" w:cs="Times New Roman" w:eastAsia="Times New Roman" w:hAnsi="Times New Roman"/>
          <w:sz w:val="18"/>
          <w:szCs w:val="18"/>
          <w:color w:val="auto"/>
        </w:rPr>
        <w:t>Despite the generic competition in the U.S., including a third generic entrant in January 2022 and a fourth generic entrant in September 2022 for the 0.5-gram capsule only, we remain confident that the global patient need for VASCEPA is high. In July 2022, the UK's NICE announced final guidance for reimbursement for VAZKEPA and use across the NHS in England and Wales. We launched commercial operations in the UK in October 2022 and expect to launch commercial operations in up to 5 additional countries throughout Europe in 2022, while also receiving up to 8 reimbursement decisions during</w:t>
      </w:r>
    </w:p>
    <w:p>
      <w:pPr>
        <w:spacing w:after="0" w:line="3" w:lineRule="exact"/>
        <w:rPr>
          <w:sz w:val="20"/>
          <w:szCs w:val="20"/>
          <w:color w:val="auto"/>
        </w:rPr>
      </w:pPr>
    </w:p>
    <w:p>
      <w:pPr>
        <w:ind w:right="340"/>
        <w:spacing w:after="0" w:line="245" w:lineRule="auto"/>
        <w:rPr>
          <w:sz w:val="20"/>
          <w:szCs w:val="20"/>
          <w:color w:val="auto"/>
        </w:rPr>
      </w:pPr>
      <w:r>
        <w:rPr>
          <w:rFonts w:ascii="Times New Roman" w:cs="Times New Roman" w:eastAsia="Times New Roman" w:hAnsi="Times New Roman"/>
          <w:sz w:val="18"/>
          <w:szCs w:val="18"/>
          <w:color w:val="auto"/>
        </w:rPr>
        <w:t>2022. As a result of the impact of generic competition in the U.S. and challenges for most drugs seeking market access in Europe, we are not providing revenue guidance at this time.</w:t>
      </w:r>
    </w:p>
    <w:p>
      <w:pPr>
        <w:spacing w:after="0" w:line="192" w:lineRule="exact"/>
        <w:rPr>
          <w:sz w:val="20"/>
          <w:szCs w:val="20"/>
          <w:color w:val="auto"/>
        </w:rPr>
      </w:pPr>
    </w:p>
    <w:p>
      <w:pPr>
        <w:jc w:val="both"/>
        <w:ind w:right="30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during the nine months ended September 30, 2022 and 2021 was $1.9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 million, respectively, a decrease of $0.2 million, or 7%. Licensing and royalty revenue relates to the recognition of amounts received in connection with the following VASCEPA licensing agreements:</w:t>
      </w:r>
    </w:p>
    <w:p>
      <w:pPr>
        <w:spacing w:after="0" w:line="55" w:lineRule="exact"/>
        <w:rPr>
          <w:sz w:val="20"/>
          <w:szCs w:val="20"/>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Edding – a $15.0 million up-front payment received in February 2015 and a $1.0 million milestone payment achieved in March 2016.</w:t>
      </w:r>
    </w:p>
    <w:p>
      <w:pPr>
        <w:spacing w:after="0" w:line="103" w:lineRule="exact"/>
        <w:rPr>
          <w:rFonts w:ascii="Times New Roman" w:cs="Times New Roman" w:eastAsia="Times New Roman" w:hAnsi="Times New Roman"/>
          <w:sz w:val="18"/>
          <w:szCs w:val="18"/>
          <w:color w:val="auto"/>
        </w:rPr>
      </w:pPr>
    </w:p>
    <w:p>
      <w:pPr>
        <w:ind w:left="900" w:right="42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U.S. FDA approval of a new indication and label expansion in December 2019, and a $3.8 million milestone payment that was received as a result of obtaining a regulatory exclusivity designation in January 2020.</w:t>
      </w:r>
    </w:p>
    <w:p>
      <w:pPr>
        <w:spacing w:after="0" w:line="90" w:lineRule="exact"/>
        <w:rPr>
          <w:sz w:val="20"/>
          <w:szCs w:val="20"/>
          <w:color w:val="auto"/>
        </w:rPr>
      </w:pPr>
    </w:p>
    <w:p>
      <w:pPr>
        <w:jc w:val="both"/>
        <w:ind w:right="300" w:firstLine="509"/>
        <w:spacing w:after="0" w:line="250" w:lineRule="auto"/>
        <w:rPr>
          <w:sz w:val="20"/>
          <w:szCs w:val="20"/>
          <w:color w:val="auto"/>
        </w:rPr>
      </w:pPr>
      <w:r>
        <w:rPr>
          <w:rFonts w:ascii="Times New Roman" w:cs="Times New Roman" w:eastAsia="Times New Roman" w:hAnsi="Times New Roman"/>
          <w:sz w:val="18"/>
          <w:szCs w:val="18"/>
          <w:color w:val="auto"/>
        </w:rPr>
        <w:t>The up-front and milestone payments under such agreements are being recognized over the estimated period in which we are required to provide regulatory and development support pursuant to the agreements. The amount of licensing and royalty revenue is expected to vary from period to period based on timing of milestones achieved and changes in estimates of the timing and level of support required.</w:t>
      </w:r>
    </w:p>
    <w:p>
      <w:pPr>
        <w:spacing w:after="0" w:line="8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187"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nine months ended September 30, 2022 and 2021 was $100.1 million and $90.7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an increase of $9.4 million, or 10%.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During the nine months ended September 30, 2022, as part of our cost reduction plan we have taken steps to amend supplier agreements to align supply arrangements with current and future demand resulting in a $18.1 million charge which was recorded as Cost of goods sold - restructuring inventory. In addition during the nine months ended September 30, 2022, we recorded an approximately $9.6 million inventory write-off due to unsellable inventory unrelated to product dating.</w:t>
      </w:r>
    </w:p>
    <w:p>
      <w:pPr>
        <w:spacing w:after="0" w:line="87"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nine months ended September 30, 2022 and 2021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The average cost may be variable from period to period depending upon the timing and quantity of API purchased from each supplier.</w:t>
      </w:r>
    </w:p>
    <w:p>
      <w:pPr>
        <w:spacing w:after="0" w:line="73" w:lineRule="exact"/>
        <w:rPr>
          <w:sz w:val="20"/>
          <w:szCs w:val="20"/>
          <w:color w:val="auto"/>
        </w:rPr>
      </w:pPr>
    </w:p>
    <w:p>
      <w:pPr>
        <w:jc w:val="both"/>
        <w:ind w:right="640" w:firstLine="509"/>
        <w:spacing w:after="0" w:line="258" w:lineRule="auto"/>
        <w:rPr>
          <w:sz w:val="20"/>
          <w:szCs w:val="20"/>
          <w:color w:val="auto"/>
        </w:rPr>
      </w:pPr>
      <w:r>
        <w:rPr>
          <w:rFonts w:ascii="Times New Roman" w:cs="Times New Roman" w:eastAsia="Times New Roman" w:hAnsi="Times New Roman"/>
          <w:sz w:val="18"/>
          <w:szCs w:val="18"/>
          <w:color w:val="auto"/>
        </w:rPr>
        <w:t>Our overall gross margin on product sales for each of the nine months ended September 30, 2022 and 2021 was 64% and 79%, respectively. Excluding the restructuring inventory and inventory write-off charges, gross margin was 74% for the nine months ended September 30, 2022. The remaining decrease in gross margin is primarily as a result of a decrease in net selling price.</w:t>
      </w:r>
    </w:p>
    <w:p>
      <w:pPr>
        <w:spacing w:after="0" w:line="181" w:lineRule="exact"/>
        <w:rPr>
          <w:sz w:val="20"/>
          <w:szCs w:val="20"/>
          <w:color w:val="auto"/>
        </w:rPr>
      </w:pPr>
    </w:p>
    <w:p>
      <w:pPr>
        <w:ind w:right="10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nine months ended September 30, 2022 and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$236.3 million and $316.0 million, respectively, a decrease of $79.7 million, or 25%. Selling, general and administrative expenses for the nine months ended September 30, 2022 and 2021 are summarized in the table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6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Selling expense </w:t>
            </w:r>
            <w:r>
              <w:rPr>
                <w:rFonts w:ascii="Times New Roman" w:cs="Times New Roman" w:eastAsia="Times New Roman" w:hAnsi="Times New Roman"/>
                <w:sz w:val="24"/>
                <w:szCs w:val="24"/>
                <w:color w:val="auto"/>
                <w:vertAlign w:val="superscript"/>
              </w:rPr>
              <w:t>(1)</w:t>
            </w:r>
          </w:p>
        </w:tc>
        <w:tc>
          <w:tcPr>
            <w:tcW w:w="2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147,829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207,418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4"/>
                <w:szCs w:val="24"/>
                <w:color w:val="auto"/>
                <w:vertAlign w:val="superscript"/>
              </w:rPr>
              <w:t>(2)</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6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(3)</w:t>
            </w:r>
          </w:p>
        </w:tc>
        <w:tc>
          <w:tcPr>
            <w:tcW w:w="2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16,665</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23,966</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2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236,285</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315,966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2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-668020</wp:posOffset>
            </wp:positionV>
            <wp:extent cx="60325"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-668020</wp:posOffset>
            </wp:positionV>
            <wp:extent cx="51435"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5" w:name="page36"/>
    <w:bookmarkEnd w:id="35"/>
    <w:p>
      <w:pPr>
        <w:ind w:left="480" w:right="220" w:hanging="383"/>
        <w:spacing w:after="0" w:line="255"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nine months ended September 30, 2022 and 2021 was $147.8 million and $207.4 million, respectively, a decrease of $59.6 million, or 29%. This decrease is primarily due to a reduction in costs associated with our September 2021 Go-to-Market strategy and June 2022 Comprehensive Cost Reduction Plan resulting in decreased promotional initiatives, reduced travel and a decrease in our U.S. sales force.</w:t>
      </w:r>
    </w:p>
    <w:p>
      <w:pPr>
        <w:spacing w:after="0" w:line="1" w:lineRule="exact"/>
        <w:rPr>
          <w:rFonts w:ascii="Times New Roman" w:cs="Times New Roman" w:eastAsia="Times New Roman" w:hAnsi="Times New Roman"/>
          <w:sz w:val="18"/>
          <w:szCs w:val="18"/>
          <w:color w:val="auto"/>
        </w:rPr>
      </w:pPr>
    </w:p>
    <w:p>
      <w:pPr>
        <w:ind w:left="480" w:hanging="383"/>
        <w:spacing w:after="0" w:line="246"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nine months ended September 30, 2022 and 2021 was $71.8 million and $84.6 million, respectively, a decrease of $12.8 million, or 15%. This decrease is primarily due to a decrease in employee related costs as a result of the reduction in force from the September 2021 Go-to-Market strategy and the June 2022 Comprehensive Cost Reduction Plan. The decrease was further impacted due to a decrease in branded pharma fees as a result of lower sales due to additional generic entrants in the market as well as higher legal fees related to the patent infringement litigation during the nine months ended September 30, 2021.</w:t>
      </w:r>
    </w:p>
    <w:p>
      <w:pPr>
        <w:spacing w:after="0" w:line="5" w:lineRule="exact"/>
        <w:rPr>
          <w:rFonts w:ascii="Times New Roman" w:cs="Times New Roman" w:eastAsia="Times New Roman" w:hAnsi="Times New Roman"/>
          <w:sz w:val="18"/>
          <w:szCs w:val="18"/>
          <w:color w:val="auto"/>
        </w:rPr>
      </w:pPr>
    </w:p>
    <w:p>
      <w:pPr>
        <w:ind w:left="480" w:hanging="383"/>
        <w:spacing w:after="0" w:line="246"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nine months ended September 30, 2022 and 2021 was $16.7 million and $24.0 million, respectively, a decrease of $7.3 million, or 30%. Non-cash stock-based compensation expense represents the estimated costs associated with equity awards issued to internal personnel supporting our selling, general and administrative functions. The decrease is primarily due to the decrease in U.S. field force as well as the reversal of expense associate with certain performance-based awards as it was no longer deemed probable that the performance criteria for vesting would be achieved within the required timeframe.</w:t>
      </w:r>
    </w:p>
    <w:p>
      <w:pPr>
        <w:spacing w:after="0" w:line="60"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We are investing in building an appropriate foundation for the successful launch of VAZKEPA throughout Europe, advancing regulatory filings internationally and navigating the dynamic U.S. environment. As a result, we will continue to evaluate all of our spending commitments and priorities as well as adjust our level of education and promotional activities based on various factors, including the impact of U.S. generic competition.</w:t>
      </w:r>
    </w:p>
    <w:p>
      <w:pPr>
        <w:spacing w:after="0" w:line="202"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7"/>
          <w:szCs w:val="17"/>
          <w:i w:val="1"/>
          <w:iCs w:val="1"/>
          <w:color w:val="auto"/>
        </w:rPr>
        <w:t>Research and development expense</w:t>
      </w:r>
      <w:r>
        <w:rPr>
          <w:rFonts w:ascii="Times New Roman" w:cs="Times New Roman" w:eastAsia="Times New Roman" w:hAnsi="Times New Roman"/>
          <w:sz w:val="17"/>
          <w:szCs w:val="17"/>
          <w:color w:val="auto"/>
        </w:rPr>
        <w:t>. Research and development expense for the nine months ended September 30, 2022 and 2021 was $25.2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$23.6 million, respectively, an increase of $1.6 million, or 7%. Research and development expenses for the nine months ended September 30, 2022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are summarized in the table below:</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2"/>
                <w:szCs w:val="12"/>
                <w:color w:val="auto"/>
              </w:rPr>
            </w:pPr>
          </w:p>
        </w:tc>
        <w:tc>
          <w:tcPr>
            <w:tcW w:w="104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160" w:type="dxa"/>
            <w:vAlign w:val="bottom"/>
            <w:vMerge w:val="restart"/>
          </w:tcPr>
          <w:p>
            <w:pPr>
              <w:spacing w:after="0" w:line="204" w:lineRule="exact"/>
              <w:rPr>
                <w:sz w:val="20"/>
                <w:szCs w:val="20"/>
                <w:color w:val="auto"/>
              </w:rPr>
            </w:pPr>
            <w:r>
              <w:rPr>
                <w:rFonts w:ascii="Times New Roman" w:cs="Times New Roman" w:eastAsia="Times New Roman" w:hAnsi="Times New Roman"/>
                <w:sz w:val="17"/>
                <w:szCs w:val="17"/>
                <w:color w:val="auto"/>
              </w:rPr>
              <w:t xml:space="preserve">REDUCE-IT study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160" w:type="dxa"/>
            <w:vAlign w:val="bottom"/>
            <w:vMerge w:val="continue"/>
          </w:tcPr>
          <w:p>
            <w:pPr>
              <w:spacing w:after="0"/>
              <w:rPr>
                <w:sz w:val="13"/>
                <w:szCs w:val="13"/>
                <w:color w:val="auto"/>
              </w:rPr>
            </w:pPr>
          </w:p>
        </w:tc>
        <w:tc>
          <w:tcPr>
            <w:tcW w:w="200" w:type="dxa"/>
            <w:vAlign w:val="bottom"/>
          </w:tcPr>
          <w:p>
            <w:pPr>
              <w:jc w:val="right"/>
              <w:ind w:right="1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1,475</w:t>
            </w:r>
          </w:p>
        </w:tc>
        <w:tc>
          <w:tcPr>
            <w:tcW w:w="240" w:type="dxa"/>
            <w:vAlign w:val="bottom"/>
            <w:vMerge w:val="continue"/>
          </w:tcPr>
          <w:p>
            <w:pPr>
              <w:spacing w:after="0"/>
              <w:rPr>
                <w:sz w:val="13"/>
                <w:szCs w:val="13"/>
                <w:color w:val="auto"/>
              </w:rPr>
            </w:pPr>
          </w:p>
        </w:tc>
        <w:tc>
          <w:tcPr>
            <w:tcW w:w="300" w:type="dxa"/>
            <w:vAlign w:val="bottom"/>
          </w:tcPr>
          <w:p>
            <w:pPr>
              <w:jc w:val="right"/>
              <w:ind w:right="11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3,006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Regulatory filing fees and expenses </w:t>
            </w:r>
            <w:r>
              <w:rPr>
                <w:rFonts w:ascii="Times New Roman" w:cs="Times New Roman" w:eastAsia="Times New Roman" w:hAnsi="Times New Roman"/>
                <w:sz w:val="24"/>
                <w:szCs w:val="24"/>
                <w:color w:val="auto"/>
                <w:vertAlign w:val="superscript"/>
              </w:rPr>
              <w:t>(2)</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61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Internal staffing, overhead and other </w:t>
            </w:r>
            <w:r>
              <w:rPr>
                <w:rFonts w:ascii="Times New Roman" w:cs="Times New Roman" w:eastAsia="Times New Roman" w:hAnsi="Times New Roman"/>
                <w:sz w:val="24"/>
                <w:szCs w:val="24"/>
                <w:color w:val="auto"/>
                <w:vertAlign w:val="superscript"/>
              </w:rPr>
              <w:t>(3)</w:t>
            </w: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18,478</w:t>
            </w:r>
          </w:p>
        </w:tc>
        <w:tc>
          <w:tcPr>
            <w:tcW w:w="2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616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200" w:type="dxa"/>
            <w:vAlign w:val="bottom"/>
          </w:tcPr>
          <w:p>
            <w:pPr>
              <w:spacing w:after="0"/>
              <w:rPr>
                <w:sz w:val="13"/>
                <w:szCs w:val="13"/>
                <w:color w:val="auto"/>
              </w:rPr>
            </w:pPr>
          </w:p>
        </w:tc>
        <w:tc>
          <w:tcPr>
            <w:tcW w:w="10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21,645</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20,684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61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(4)</w:t>
            </w: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2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25,172</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-864870</wp:posOffset>
            </wp:positionV>
            <wp:extent cx="5700395"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-591185</wp:posOffset>
            </wp:positionV>
            <wp:extent cx="5700395" cy="5918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00395" cy="591820"/>
                    </a:xfrm>
                    <a:prstGeom prst="rect">
                      <a:avLst/>
                    </a:prstGeom>
                    <a:noFill/>
                  </pic:spPr>
                </pic:pic>
              </a:graphicData>
            </a:graphic>
          </wp:anchor>
        </w:drawing>
      </w:r>
    </w:p>
    <w:p>
      <w:pPr>
        <w:spacing w:after="0" w:line="205" w:lineRule="exact"/>
        <w:rPr>
          <w:sz w:val="20"/>
          <w:szCs w:val="20"/>
          <w:color w:val="auto"/>
        </w:rPr>
      </w:pPr>
    </w:p>
    <w:p>
      <w:pPr>
        <w:ind w:left="520" w:right="120" w:hanging="512"/>
        <w:spacing w:after="0" w:line="258"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we announced landmark positive topline results of the REDUCE-IT cardiovascular outcomes trial. The decrease in expenses is primarily driven by the completion in the prior year of certain analyses performed beyond the REDUCE-IT cardiovascular outcomes trial.</w:t>
      </w:r>
    </w:p>
    <w:p>
      <w:pPr>
        <w:ind w:left="520" w:hanging="512"/>
        <w:spacing w:after="0" w:line="250"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filing fees in each of the quarters ended September 30, 2022 and 2021 included annual U.S. FDA fees for maintaining manufacturing sites. Such fees primarily represent fees for qualification of new suppliers, including increasing capacity capabilities, and fees to support international regulatory review of VASCEPA, particularly in Europe, sites used for the manufacture of product used in the REDUCE-IT clinical outcomes study.</w:t>
      </w:r>
    </w:p>
    <w:p>
      <w:pPr>
        <w:spacing w:after="0" w:line="1" w:lineRule="exact"/>
        <w:rPr>
          <w:rFonts w:ascii="Times New Roman" w:cs="Times New Roman" w:eastAsia="Times New Roman" w:hAnsi="Times New Roman"/>
          <w:sz w:val="18"/>
          <w:szCs w:val="18"/>
          <w:color w:val="auto"/>
        </w:rPr>
      </w:pPr>
    </w:p>
    <w:p>
      <w:pPr>
        <w:ind w:left="520" w:hanging="512"/>
        <w:spacing w:after="0" w:line="24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including costs associated with securing regulatory approvals for VAZKEPA in Europe as achieved in 2021. Also included are costs related to qualifying suppliers, costs related to the development of a fixed dose combination product and costs associated with various other investigations, including other costs in collaboration with Mochida and pilot studies regarding VASCEPA.</w:t>
      </w:r>
    </w:p>
    <w:p>
      <w:pPr>
        <w:spacing w:after="0" w:line="5" w:lineRule="exact"/>
        <w:rPr>
          <w:rFonts w:ascii="Times New Roman" w:cs="Times New Roman" w:eastAsia="Times New Roman" w:hAnsi="Times New Roman"/>
          <w:sz w:val="18"/>
          <w:szCs w:val="18"/>
          <w:color w:val="auto"/>
        </w:rPr>
      </w:pPr>
    </w:p>
    <w:p>
      <w:pPr>
        <w:ind w:left="520" w:right="320" w:hanging="512"/>
        <w:spacing w:after="0" w:line="270" w:lineRule="auto"/>
        <w:tabs>
          <w:tab w:leader="none" w:pos="5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Non-cash stock-based compensation expense represents the estimated costs associated with equity awards issued to personnel supporting our research and development and regulatory functions. The increase is due to the reversal of expense occurring in the previous year associated with certain performance-based awards as it was no longer deemed probable at the time that the performance criteria for vesting would be achieved within the required timeframe being greater than the reversal of expense associated with certain performance-based awards in the current year.</w:t>
      </w:r>
    </w:p>
    <w:p>
      <w:pPr>
        <w:spacing w:after="0" w:line="5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continuously evaluate all of our spending commitments and priorities and we plan to adjust our level of research and development activities based on the impact of COVID-19 and generic competition.</w:t>
      </w:r>
    </w:p>
    <w:p>
      <w:pPr>
        <w:spacing w:after="0" w:line="92" w:lineRule="exact"/>
        <w:rPr>
          <w:sz w:val="20"/>
          <w:szCs w:val="20"/>
          <w:color w:val="auto"/>
        </w:rPr>
      </w:pPr>
    </w:p>
    <w:p>
      <w:pPr>
        <w:ind w:right="380" w:firstLine="509"/>
        <w:spacing w:after="0" w:line="248"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for the nine months ended September 30, 2022 and 2021 was $13.7 million and $14.1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$0.4 million, or 3%. The charge in the current year is due to the implementation of the Comprehensive Cost Reduction Plan announced on June 6, 2022 as well as the discontinuation of the German operations announced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6" w:name="page37"/>
    <w:bookmarkEnd w:id="36"/>
    <w:p>
      <w:pPr>
        <w:spacing w:after="0" w:line="250" w:lineRule="auto"/>
        <w:rPr>
          <w:sz w:val="20"/>
          <w:szCs w:val="20"/>
          <w:color w:val="auto"/>
        </w:rPr>
      </w:pPr>
      <w:r>
        <w:rPr>
          <w:rFonts w:ascii="Times New Roman" w:cs="Times New Roman" w:eastAsia="Times New Roman" w:hAnsi="Times New Roman"/>
          <w:sz w:val="18"/>
          <w:szCs w:val="18"/>
          <w:color w:val="auto"/>
        </w:rPr>
        <w:t xml:space="preserve">on August 19, 2022. These two plans were related to the reduction of our U.S. field force from approximately 300 sales representatives to approximately 75 sales representatives and the closure of our German operations due to a viable agreement on the reimbursement price of VAZKEPA in Germany not being reached, respectively. The prior year charge was the result of a September 2021 Go-to-Market strategy that reduced the U.S. sales force to 300 sales representatives at that time. Refer to </w:t>
      </w:r>
      <w:r>
        <w:rPr>
          <w:rFonts w:ascii="Times New Roman" w:cs="Times New Roman" w:eastAsia="Times New Roman" w:hAnsi="Times New Roman"/>
          <w:sz w:val="18"/>
          <w:szCs w:val="18"/>
          <w:i w:val="1"/>
          <w:iCs w:val="1"/>
          <w:color w:val="auto"/>
        </w:rPr>
        <w:t>Note 2 Significant Accounting Policies</w:t>
      </w:r>
      <w:r>
        <w:rPr>
          <w:rFonts w:ascii="Times New Roman" w:cs="Times New Roman" w:eastAsia="Times New Roman" w:hAnsi="Times New Roman"/>
          <w:sz w:val="18"/>
          <w:szCs w:val="18"/>
          <w:color w:val="auto"/>
        </w:rPr>
        <w:t xml:space="preserve"> for additional information.</w:t>
      </w:r>
    </w:p>
    <w:p>
      <w:pPr>
        <w:spacing w:after="0" w:line="216"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for the nine months ended September 30, 2022 and 2021 was $1.2 million and $0.9 million,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of $0.3 million, or 35%. Interest income, net represents income earned on cash and investment balances. The increase is primarily due to higher rates in the current year period compared to the prior year period.</w:t>
      </w:r>
    </w:p>
    <w:p>
      <w:pPr>
        <w:spacing w:after="0" w:line="215"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for the nine months ended September 30, 2022 and 2021 was expense of $2.0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$0.4 million, respectively, an increase of $1.6 million, or 410%. Other income (expense), net, primarily consists of gains and losses on foreign exchange transactions. The increase in Other income (expense), net is due to the continued global expansion and related activity in foreign currencies.</w:t>
      </w:r>
    </w:p>
    <w:p>
      <w:pPr>
        <w:spacing w:after="0" w:line="120"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for the nine months ended September 30, 2022 and 2021 was a provision of $9.6 million and $1.9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The provision for the nine months ended September 30, 2022 is the result of income generated by our U.S. and foreign operations for which tax expense has been recognized based on a full year estimated U.S. and foreign income tax liability.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Our aggregate sources of liquidity as of September 30, 2022 include cash and cash equivalents and restricted cash of $244.4 million, short-term investments of $63.2 million and long-term investments of $2.3 million, with no debt. Our cash and cash equivalents primarily include checking accounts and money market funds with original maturities less than 90 days. Our short-term investments consist of held-to-maturity securities that will be due in one year or less. Our long-term investments consist of held-to-maturity securities that will be due in more than one year.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spacing w:after="0" w:line="73" w:lineRule="exact"/>
        <w:rPr>
          <w:sz w:val="20"/>
          <w:szCs w:val="20"/>
          <w:color w:val="auto"/>
        </w:rPr>
      </w:pPr>
    </w:p>
    <w:p>
      <w:pPr>
        <w:ind w:right="800" w:firstLine="509"/>
        <w:spacing w:after="0" w:line="266"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condensed consolidated statements of cash flows, are summarized in the following table:</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65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provided by:</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(181.6 )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(38.3 )</w:t>
            </w:r>
          </w:p>
        </w:tc>
      </w:tr>
      <w:tr>
        <w:trPr>
          <w:trHeight w:val="216"/>
        </w:trPr>
        <w:tc>
          <w:tcPr>
            <w:tcW w:w="6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(0.4 )</w:t>
            </w:r>
          </w:p>
        </w:tc>
        <w:tc>
          <w:tcPr>
            <w:tcW w:w="3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(4.9 )</w:t>
            </w:r>
          </w:p>
        </w:tc>
      </w:tr>
      <w:tr>
        <w:trPr>
          <w:trHeight w:val="250"/>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cash and cash equivalents and restricted cash</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increased during the nine months ended September 30, 2022 as compared to the same period in 2021 is primarily as a result of a decrease in U.S. product revenue, costs associated with commercial and pre-launch operations in Europe as well as an increase in inventory purchases in the first half of 2022.</w:t>
      </w:r>
    </w:p>
    <w:p>
      <w:pPr>
        <w:spacing w:after="0" w:line="82" w:lineRule="exact"/>
        <w:rPr>
          <w:sz w:val="20"/>
          <w:szCs w:val="20"/>
          <w:color w:val="auto"/>
        </w:rPr>
      </w:pPr>
    </w:p>
    <w:p>
      <w:pPr>
        <w:ind w:right="280" w:firstLine="509"/>
        <w:spacing w:after="0" w:line="250" w:lineRule="auto"/>
        <w:rPr>
          <w:sz w:val="20"/>
          <w:szCs w:val="20"/>
          <w:color w:val="auto"/>
        </w:rPr>
      </w:pPr>
      <w:r>
        <w:rPr>
          <w:rFonts w:ascii="Times New Roman" w:cs="Times New Roman" w:eastAsia="Times New Roman" w:hAnsi="Times New Roman"/>
          <w:sz w:val="18"/>
          <w:szCs w:val="18"/>
          <w:color w:val="auto"/>
        </w:rPr>
        <w:t>Net cash provided by investing activities during the nine months ended September 30, 2022 is primarily due to the proceeds from the maturity of $240.6 million in investment-grade interest bearing instruments, partially offset by $37.5 million in purchases of investment-grade interest bearing instruments as compared to the same period in 2021 where proceeds from the maturity of investment-grade interest bearing instruments was $312.2 million, partially offset by $233.1 million in purchases of investment-grade interest bearing instruments.</w:t>
      </w:r>
    </w:p>
    <w:p>
      <w:pPr>
        <w:spacing w:after="0" w:line="6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Net cash used by financing activities during the nine months ended September 30, 2022 as compared to the same period in 2021 is primarily a result of an increase in taxes paid related to stock-based awards.</w:t>
      </w:r>
    </w:p>
    <w:p>
      <w:pPr>
        <w:spacing w:after="0" w:line="68"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As of September 30, 2022, we had net accounts receivable of $123.4 million, current inventory of $227.6 million and long-term inventory of $188.0 million. We have incurred annual operating losses since our inception and, as a result, we had an accumulated deficit of $1.5 billion as of September 30, 2022. We anticipate that quarterly net cash outflows in future periods will continue to be variable as a result of the timing of certain items, including our purchases of API, the generic competition in the United States of VAZKEPA in Europe. In addition, our June 2022 Comprehensive Cost Reduction Plan to address current shifts within our U.S. business is expected to result in savings of $100.0 million over twelve months compared to 2021 operating expenses. For Europe, VAZKEPA is available in the UK and Sweden and we commenced pre-launch planning and other commercial preparation activities,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7" w:name="page38"/>
    <w:bookmarkEnd w:id="37"/>
    <w:p>
      <w:pPr>
        <w:ind w:right="480"/>
        <w:spacing w:after="0" w:line="282" w:lineRule="auto"/>
        <w:rPr>
          <w:sz w:val="20"/>
          <w:szCs w:val="20"/>
          <w:color w:val="auto"/>
        </w:rPr>
      </w:pPr>
      <w:r>
        <w:rPr>
          <w:rFonts w:ascii="Times New Roman" w:cs="Times New Roman" w:eastAsia="Times New Roman" w:hAnsi="Times New Roman"/>
          <w:sz w:val="18"/>
          <w:szCs w:val="18"/>
          <w:color w:val="auto"/>
        </w:rPr>
        <w:t>and continue to grow our European staff by hiring Market access and Medical affairs teams, among others, across Europe as deemed appropriate on a country by country basis.</w:t>
      </w:r>
    </w:p>
    <w:p>
      <w:pPr>
        <w:spacing w:after="0" w:line="40"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As of September 30, 2022, we had cash and cash equivalents of $240.5 million and short-term investments of $63.2 million. In accordance with ASC 205-40, management is required to evaluate our ability to continue as a going concern for at least one year after the date of the financial statements are issued. We believe that our cash and cash equivalents and our short-term investments will be sufficient to fund our projected operations for at least one year from the issuance date of our unaudited condensed consolidated financial statements included elsewhere in this Quarterly Report and is adequate to support continued operations based on our current plans. We have based this estimate on assumptions that may prove to be wrong, including as a result of the risks discussed under “Risk Factors” in this Quarterly Report and we could use our capital resources sooner than we expect or fail to achieve positive cash flow.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0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contractual obligations consist mainly of payments related to purchase obligations with certain supply chain contracting parties and operating leases related to real estate used as office space. There have been no material changes during the nine months ended September 30, 2022 to our contractual obligations as presented in Part II, Item 7 of our Annual Report.</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special purpose entities or other off-balance sheet arrangements.</w:t>
      </w:r>
    </w:p>
    <w:p>
      <w:pPr>
        <w:spacing w:after="0" w:line="3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with respect to the information appearing in Part II, Item 7A “Quantitative and Qualitative Disclosures about Market Risk” of our Annual Report.</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or the Exchange Act) that are designed to ensure that information required to be disclosed by us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69"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40"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September 30, 2022. Based on such evaluation, our principal executive officer and principal financial officer have concluded that as of September 30, 2022, our disclosure controls and procedures were effective at the reasonable assurance level.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340" w:firstLine="509"/>
        <w:spacing w:after="0" w:line="247" w:lineRule="auto"/>
        <w:rPr>
          <w:sz w:val="20"/>
          <w:szCs w:val="20"/>
          <w:color w:val="auto"/>
        </w:rPr>
      </w:pPr>
      <w:r>
        <w:rPr>
          <w:rFonts w:ascii="Times New Roman" w:cs="Times New Roman" w:eastAsia="Times New Roman" w:hAnsi="Times New Roman"/>
          <w:sz w:val="18"/>
          <w:szCs w:val="18"/>
          <w:color w:val="auto"/>
        </w:rPr>
        <w:t>During the quarter ended September 30, 2022, there were no changes in our internal control over financial reporting, as such term is defined in Rules 13a-15(f) and 15(d)-15(f) under the Exchange Act, that have materially affected, or are reasonably likely to materially affect, our internal control over financial reporting.</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08"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relating to intellectual property, commercial arrangements and other matters. “Item 3. Legal Proceedings” of our Annual Report includes a discussion of our current legal proceedings. Refer to Note 5 – Commitments and Contingencies in this Quarterly Report for further details on our legal proceedings during the nine months ended September 30, 2022.</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and VAZKEPA, collectively referred to as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74"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Except where denoted with an “*”, these risk factors have not been materially updated from our Annual Report on 10-K for the year ended December 31, 2021 filed with the SEC on March 1, 2022, or our Annual Report.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Risk Factors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in evaluating our business. These risks include, but are not limited to, the following:</w:t>
      </w:r>
    </w:p>
    <w:p>
      <w:pPr>
        <w:spacing w:after="0" w:line="47" w:lineRule="exact"/>
        <w:rPr>
          <w:sz w:val="20"/>
          <w:szCs w:val="20"/>
          <w:color w:val="auto"/>
        </w:rPr>
      </w:pPr>
    </w:p>
    <w:p>
      <w:pPr>
        <w:ind w:left="900" w:hanging="383"/>
        <w:spacing w:after="0" w:line="234"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upon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its commercialization in the United States and its development, launch and commercialization in Europe and other major markets. In the United States, VASCEPA is facing increasing competition from generic versions of the drug. In Europe, we are in the process of obtaining relevant pricing approvals in various countries; however, we may not be successful in obtaining such approvals in a timely manner, or at all and, even if successfully obtained, we may not be successful in commercializing VAZKEPA in Europe or elsewhere.</w:t>
      </w:r>
    </w:p>
    <w:p>
      <w:pPr>
        <w:spacing w:after="0" w:line="91" w:lineRule="exact"/>
        <w:rPr>
          <w:rFonts w:ascii="Times New Roman" w:cs="Times New Roman" w:eastAsia="Times New Roman" w:hAnsi="Times New Roman"/>
          <w:sz w:val="18"/>
          <w:szCs w:val="18"/>
          <w:color w:val="auto"/>
        </w:rPr>
      </w:pPr>
    </w:p>
    <w:p>
      <w:pPr>
        <w:ind w:left="900" w:right="12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outside of our control make it more difficult for VASCEPA to achieve a level of market acceptance by physicians, patients, healthcare payors and others in the medical community at levels sufficient to meet our expectations for commercial success.</w:t>
      </w:r>
    </w:p>
    <w:p>
      <w:pPr>
        <w:spacing w:after="0" w:line="54"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 reduction and organizational restructuring plan may not be successful in addressing current shifts within the Company's U.S. business and developing sales internationally.</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promotion and supply of VASCEPA is subject to regulatory scrutiny and associated risk.</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effectively against our competitors’ pharmaceutical products.</w:t>
      </w:r>
    </w:p>
    <w:p>
      <w:pPr>
        <w:spacing w:after="0" w:line="103"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VASCEPA is a prescription-only omega-3 fatty acid product. Omega-3 fatty acids are also marketed by other companies as non-prescription dietary supplements. As a result, in the U.S., VASCEPA is subject to non-prescription competition and consumer substitution.</w:t>
      </w:r>
    </w:p>
    <w:p>
      <w:pPr>
        <w:spacing w:after="0" w:line="40" w:lineRule="exact"/>
        <w:rPr>
          <w:rFonts w:ascii="Times New Roman" w:cs="Times New Roman" w:eastAsia="Times New Roman" w:hAnsi="Times New Roman"/>
          <w:sz w:val="18"/>
          <w:szCs w:val="18"/>
          <w:color w:val="auto"/>
        </w:rPr>
      </w:pPr>
    </w:p>
    <w:p>
      <w:pPr>
        <w:ind w:left="900" w:right="140" w:hanging="383"/>
        <w:spacing w:after="0" w:line="258"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value of VASCEPA outside the United States may be smaller than we anticipate, including adequacy of product reimbursement which can vary from country to country. If we are unable to realize product reimbursement rates at reasonable levels, or at all, patient access to VASCEPA may be limited.</w:t>
      </w:r>
    </w:p>
    <w:p>
      <w:pPr>
        <w:spacing w:after="0" w:line="61" w:lineRule="exact"/>
        <w:rPr>
          <w:rFonts w:ascii="Times New Roman" w:cs="Times New Roman" w:eastAsia="Times New Roman" w:hAnsi="Times New Roman"/>
          <w:sz w:val="18"/>
          <w:szCs w:val="18"/>
          <w:color w:val="auto"/>
        </w:rPr>
      </w:pPr>
    </w:p>
    <w:p>
      <w:pPr>
        <w:ind w:left="900" w:right="62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of product for the commercial market and clinical trials is dependent upon relationships with third-party manufacturers and suppliers.</w:t>
      </w:r>
    </w:p>
    <w:p>
      <w:pPr>
        <w:spacing w:after="0" w:line="67"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 the distribution channel from our manufacturers to patients subject us to risks that limit our profitability and could limit our ability to supply VASCEPA to large market segments.</w:t>
      </w:r>
    </w:p>
    <w:p>
      <w:pPr>
        <w:spacing w:after="0" w:line="54"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of VASCEPA outside the United States is substantially dependent on third parties and other circumstances outside our control.</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patents, proprietary rights and confidentiality to protect the commercial value and potential of VASCEPA.</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39" w:name="page40"/>
    <w:bookmarkEnd w:id="39"/>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issued patents may not prevent competitors from competing with VASCEPA, even if we are successful in enforcing our patent rights.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any of our pending patent applications relating to VASCEPA or its use will issue as patents.</w:t>
      </w:r>
    </w:p>
    <w:p>
      <w:pPr>
        <w:spacing w:after="0" w:line="104"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and in the other information set forth in our Annual Report and this Quarterly Report on Form 10-Q, including our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Development of VASCEPA</w:t>
      </w:r>
    </w:p>
    <w:p>
      <w:pPr>
        <w:spacing w:after="0" w:line="239" w:lineRule="exact"/>
        <w:rPr>
          <w:sz w:val="20"/>
          <w:szCs w:val="20"/>
          <w:color w:val="auto"/>
        </w:rPr>
      </w:pPr>
    </w:p>
    <w:p>
      <w:pPr>
        <w:ind w:right="160" w:firstLine="509"/>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upon VASCEPA (icosapent ethyl), its commercialization in the United States and its development, launch and commercialization in Europe and other major markets. In the United States, VASCEPA is facing increasing competition from generic versions of the drug. In Europe, we are in the process of obtaining relevant pricing approvals in various countries; however, we may not be successful in obtaining such approvals in a timely manner or at all and even if successfully obtained, we may not be successful in commercializing VAZKEPA in Europe or elsewhere.</w:t>
      </w:r>
    </w:p>
    <w:p>
      <w:pPr>
        <w:spacing w:after="0" w:line="86"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success of our company depends on our ability to successfully commercialize our only product, VASCEPA (icosapent ethyl) capsules, in major markets globally. In recent years and currently, much of our financial results and revenue has been dependent on our ability to execute our development and commercial strategy for VASCEPA in the United States. Generic versions of VASCEPA launched in the United States for the 1-gram capsule in November 2020, June 2021, January 2022 and for the 0.5-gram capsule in September 2022. We expect that VASCEPA could face more competition from generic companies in the United States in the near term in light of the patent litigation rulings against us, applicable only in this territory. Increasing sales of generic versions of VASCEPA could continue to have a material and adverse impact on our revenues and results of operations in the United States. In June 2022, we implemented a cost and organizational restructuring plan, which included a further reduction to our U.S. commercial team from approximately 300 sales representatives to approximately 75 sales representatives. Although this has resulted in an improved expense structure, such efforts could impact employee morale and make hiring and retaining talented personnel more challenging, may not result in all of the cost-savings or other benefits we anticipate and are costly to implement.</w:t>
      </w:r>
    </w:p>
    <w:p>
      <w:pPr>
        <w:spacing w:after="0" w:line="78" w:lineRule="exact"/>
        <w:rPr>
          <w:sz w:val="20"/>
          <w:szCs w:val="20"/>
          <w:color w:val="auto"/>
        </w:rPr>
      </w:pPr>
    </w:p>
    <w:p>
      <w:pPr>
        <w:ind w:firstLine="509"/>
        <w:spacing w:after="0" w:line="237" w:lineRule="auto"/>
        <w:rPr>
          <w:sz w:val="20"/>
          <w:szCs w:val="20"/>
          <w:color w:val="auto"/>
        </w:rPr>
      </w:pPr>
      <w:r>
        <w:rPr>
          <w:rFonts w:ascii="Times New Roman" w:cs="Times New Roman" w:eastAsia="Times New Roman" w:hAnsi="Times New Roman"/>
          <w:sz w:val="18"/>
          <w:szCs w:val="18"/>
          <w:color w:val="auto"/>
        </w:rPr>
        <w:t>We continue our development efforts to support commercialization of VASCEPA in major markets outside the United States. In March 2021 we announced that the European Commission, or the EC, approved the marketing authorization application for icosapent ethyl, under the brand name VAZKEPA, hereafter along with VASCEPA, collectively referred to as VASCEPA, to reduce the risk of cardiovascular events in high-risk, statin-treated adult patients who have elevated triglycerides (≥150 mg/dL) and either established cardiovascular disease or diabetes and at least one additional cardiovascular risk factor. This process is conducted on a country-by-country basis and is time-consuming and complex. On March 25, 2022, Amarin received its first national reimbursement in a European country with official confirmation that the Swedish Dental and Pharmaceutical Benefits Agency, or TLV, approved VAZKEPA for national reimbursement in Sweden. On July 13, 2022 the UK’s National Institute for Health and Care Excellence, or NICE, announced final guidance for reimbursement for VAZKEPA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use across the National Health Service, or NHS, in England and Wales to reduce the risk of CV events in adult statin-treated patients at high cardiovascular risk who have elevated triglycerides (≥150 mg/dL [≥ 1.7 mmol/L]), LDL-C levels &gt;1.04 mmol/L (and ≤ 2.60 mmol/L) and established cardiovascular disease. In August 2022, we announced that we discontinued business operations in Germany following the conclusion of negotiations with the National Association of Statutory Health Insurance Funds during which a viable agreement on the reimbursement price of VAZKEPA could not be reached. Although the matter is now moving to the Arbitration Board for a final decision, and although we plan to resubmit a pricing and reimbursement dossier with new data in Germany once we have a new dossier ready, we may be unable to resume operations, including commercialization efforts, in Germany. We are in the process of obtaining further pricing and reimbursement approvals for VAZKEPA in relevant jurisdictions in Europe. As of September 30, 2022, in Canada reimbursement coverage is approximately 70% of publicly covered lives and 95% for private coverage. Public reimbursement is now available in Ontario, Quebec, Saskatchewan, New Brunswick Northwest Territories and for the Non-Insured Health Benefits program for the First Nations and Inuit people. We may not be successful in obtaining additional approvals in a timely manner with acceptable terms, or in additional countries.</w:t>
      </w:r>
    </w:p>
    <w:p>
      <w:pPr>
        <w:spacing w:after="0" w:line="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expansion and development of VASCEPA outside the United States is generally not subject to the adverse patent ruling in the United States. Development outside the United States is primarily based on the REDUCE-IT indication approved for VASCEPA in the United States. That second indication, which we believe has significantly more value potential, is for use of the drug in the reduction of cardiovascular risk in select high-risk patients.</w:t>
      </w:r>
    </w:p>
    <w:p>
      <w:pPr>
        <w:spacing w:after="0" w:line="61" w:lineRule="exact"/>
        <w:rPr>
          <w:sz w:val="20"/>
          <w:szCs w:val="20"/>
          <w:color w:val="auto"/>
        </w:rPr>
      </w:pPr>
    </w:p>
    <w:p>
      <w:pPr>
        <w:ind w:right="320" w:firstLine="509"/>
        <w:spacing w:after="0" w:line="247" w:lineRule="auto"/>
        <w:rPr>
          <w:sz w:val="20"/>
          <w:szCs w:val="20"/>
          <w:color w:val="auto"/>
        </w:rPr>
      </w:pPr>
      <w:r>
        <w:rPr>
          <w:rFonts w:ascii="Times New Roman" w:cs="Times New Roman" w:eastAsia="Times New Roman" w:hAnsi="Times New Roman"/>
          <w:sz w:val="18"/>
          <w:szCs w:val="18"/>
          <w:color w:val="auto"/>
        </w:rPr>
        <w:t>We have been developing VAZKEPA on our own in Europe for the approved cardiovascular risk reduction indication and are exploring possible strategic collaborations in smaller markets within Europe and in other major markets. We currently have multiple partners for the development and commercialization of VASCEPA in select geographies and are assessing potential partners to</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0" w:name="page41"/>
    <w:bookmarkEnd w:id="40"/>
    <w:p>
      <w:pPr>
        <w:ind w:right="180"/>
        <w:spacing w:after="0" w:line="250" w:lineRule="auto"/>
        <w:rPr>
          <w:sz w:val="20"/>
          <w:szCs w:val="20"/>
          <w:color w:val="auto"/>
        </w:rPr>
      </w:pPr>
      <w:r>
        <w:rPr>
          <w:rFonts w:ascii="Times New Roman" w:cs="Times New Roman" w:eastAsia="Times New Roman" w:hAnsi="Times New Roman"/>
          <w:sz w:val="18"/>
          <w:szCs w:val="18"/>
          <w:color w:val="auto"/>
        </w:rPr>
        <w:t>commercialize VASCEPA in other parts of the world. For example, we have strategic collaborations for the development and commercialization of VASCEPA in Canada, the Middle East and Greater China. However, we cannot make any guarantees as to the success of these efforts or that our beliefs about the value potential are accurate, and if commercialization plans for VASCEPA do not meet expectations in major markets such as the United States and Europe, our business and prospects could be materially and adversely affected.</w:t>
      </w:r>
    </w:p>
    <w:p>
      <w:pPr>
        <w:spacing w:after="0" w:line="83"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development and commercial time cycle for VASCEPA or other products that we may develop from our research and development efforts could result in delays in our ability to achieve commercial success. For example, it took over a decade of preceding product development before we received marketing approval for VAZKEPA in March 2021 from the EC.</w:t>
      </w:r>
    </w:p>
    <w:p>
      <w:pPr>
        <w:spacing w:after="0" w:line="82"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Likewise, if we seek to diversify our development programs or product offerings through licensing or acquisitions, such transactions are also time-consuming, may be dilutive to existing shareholdings, and may be initially disruptive to operations. These transactions may not be available on favorable terms, or at all. These dynamics can restrict our ability to respond rapidly to adverse business conditions for VASCEPA. If development of, or demand for, VASCEPA does not meet expectations,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19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*In the United States, we face increasing competition from generic drug companies in the near term and our revenues and results of operations could continue to be materially and adversely affected.</w:t>
      </w:r>
    </w:p>
    <w:p>
      <w:pPr>
        <w:spacing w:after="0" w:line="64"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or, collectively, the Defendants, that declared as invalid several patents of ours protecting the first U.S. FDA-approved use of our drug, for use to reduce severely high triglyceride levels, which is known as the MARINE indication. We sought appeals of the Nevada Court judgment up to the United States Supreme Court, but, we were unsuccessful.</w:t>
      </w:r>
    </w:p>
    <w:p>
      <w:pPr>
        <w:spacing w:after="0" w:line="8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7"/>
          <w:szCs w:val="17"/>
          <w:color w:val="auto"/>
        </w:rPr>
        <w:t>In November 2020, Hikma launched its generic version of VASCEPA on a limited scale and with a label that reflects the MARINE indication, and revised labeling based on the results of the REDUCE-IT trial. On November 30, 2020, we filed a patent infringement lawsuit against a Hikma affiliate for making, selling, offering to sell and importing generic icosapent ethyl capsules in and into the United States in a manner that we allege has induced the infringement of patents covering the use of VASCEPA to reduce specified cardiovascular risk. On January 25, 2021 we expanded the scope of this patent infringement lawsuit to include a health care insurance provider, Health Net, LLC. On January 4, 2022, the district court hearing the case granted Hikma's motion to dismiss. On October 13, 2022, the district court granted final judgement on the aspect of the litigation relating to the Company and Hikma. The Company intends to appeal the decision of the district court now that it is permitted to do so and also intends to continue to vigorously pursue its ongoing</w:t>
      </w:r>
    </w:p>
    <w:p>
      <w:pPr>
        <w:spacing w:after="0"/>
        <w:rPr>
          <w:sz w:val="20"/>
          <w:szCs w:val="20"/>
          <w:color w:val="auto"/>
        </w:rPr>
      </w:pPr>
      <w:r>
        <w:rPr>
          <w:rFonts w:ascii="Times New Roman" w:cs="Times New Roman" w:eastAsia="Times New Roman" w:hAnsi="Times New Roman"/>
          <w:sz w:val="18"/>
          <w:szCs w:val="18"/>
          <w:color w:val="auto"/>
        </w:rPr>
        <w:t>litigation with Health Net, but cannot predict the outcome or the impact on its business.</w:t>
      </w:r>
    </w:p>
    <w:p>
      <w:pPr>
        <w:spacing w:after="0" w:line="117"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June 2021, Dr. Reddy's launched its generic version of VASCEPA with labeling that is substantially similar to labeling of the Hikma generic product. In January 2022, Apotex Inc., or Apotex, launched its generic version of VASCEPA with labeling that is substantially consistent with the labeling of the other generic products. In September 2022, Teva Pharmaceuticals USA, Inc., or Teva, lauched its generic version of VASCEPA's 0.5-gram capsule with consistent labeling as the other generic products.</w:t>
      </w:r>
    </w:p>
    <w:p>
      <w:pPr>
        <w:spacing w:after="0" w:line="69"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The rulings of the Nevada Court and related appeal losses detailed above could permit each of Teva and Apotex to launch a generic version of VASCEPA under certain circumstances pursuant to their respective settlement agreement with us. For example, Teva and Apotex settlement agreements permit such companies to launch their generic version of VASCEPA under royalty-free licenses from us given that our petition for en banc Federal Circuit review was not granted, after issuance of the Federal Circuit mandate on November 12, 2020. Each generic launch is subject to procurement of adequate product supply.</w:t>
      </w:r>
    </w:p>
    <w:p>
      <w:pPr>
        <w:spacing w:after="0" w:line="69" w:lineRule="exact"/>
        <w:rPr>
          <w:sz w:val="20"/>
          <w:szCs w:val="20"/>
          <w:color w:val="auto"/>
        </w:rPr>
      </w:pPr>
    </w:p>
    <w:p>
      <w:pPr>
        <w:ind w:right="180" w:firstLine="494"/>
        <w:spacing w:after="0" w:line="258" w:lineRule="auto"/>
        <w:rPr>
          <w:sz w:val="20"/>
          <w:szCs w:val="20"/>
          <w:color w:val="auto"/>
        </w:rPr>
      </w:pPr>
      <w:r>
        <w:rPr>
          <w:rFonts w:ascii="Times New Roman" w:cs="Times New Roman" w:eastAsia="Times New Roman" w:hAnsi="Times New Roman"/>
          <w:sz w:val="17"/>
          <w:szCs w:val="17"/>
          <w:color w:val="auto"/>
        </w:rPr>
        <w:t>Generally, once a generic version of a drug is available in the market, the generic version is typically used in many U.S. states to fill a prescription for any use of the drug, subject, to state reimbursement laws. Although, in our case, use of generic versions of VASCEPA, whether with primarily a MARINE indication label or REDUCE-IT indication label, could be further subject to the potential for patent infringement under certain case law and subject to certain Teva and Apotex settlement agreement terms, we currently face generic competition from Hikma's, Dr. Reddy’s, Apotex's and Teva's</w:t>
      </w:r>
    </w:p>
    <w:p>
      <w:pPr>
        <w:spacing w:after="0" w:line="3"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(0.5-gram only) generic versions of VASCEPA in the United States, and could face increased competition from these or additional generic entrants in the near term, which could have a material and adverse impact on our revenues and our results of operations. There can be no assurance that we will be successful in preventing use of generic versions of VASCEPA in indications for which they have not been approved by U.S. FDA, even if such use is determined to infringe certain of our patent claims.</w:t>
      </w:r>
    </w:p>
    <w:p>
      <w:pPr>
        <w:spacing w:after="0" w:line="77" w:lineRule="exact"/>
        <w:rPr>
          <w:sz w:val="20"/>
          <w:szCs w:val="20"/>
          <w:color w:val="auto"/>
        </w:rPr>
      </w:pPr>
    </w:p>
    <w:p>
      <w:pPr>
        <w:ind w:right="60" w:firstLine="255"/>
        <w:spacing w:after="0" w:line="247" w:lineRule="auto"/>
        <w:rPr>
          <w:sz w:val="20"/>
          <w:szCs w:val="20"/>
          <w:color w:val="auto"/>
        </w:rPr>
      </w:pPr>
      <w:r>
        <w:rPr>
          <w:rFonts w:ascii="Times New Roman" w:cs="Times New Roman" w:eastAsia="Times New Roman" w:hAnsi="Times New Roman"/>
          <w:sz w:val="18"/>
          <w:szCs w:val="18"/>
          <w:color w:val="auto"/>
        </w:rPr>
        <w:t>Although we continue to believe that VASCEPA is difficult to manufacture and that building capacity to manufacture VASCEPA would be time-consuming and expensive for generic companies, we do not have direct visibility into the supply levels of any of the generic companies and we rely on our own experience together with information from third parties, which information may not be reliable. As such, generic companies could potentially find or develop sources of qualified VASCEPA supply that are not known to us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1" w:name="page42"/>
    <w:bookmarkEnd w:id="41"/>
    <w:p>
      <w:pPr>
        <w:ind w:right="80"/>
        <w:spacing w:after="0" w:line="282" w:lineRule="auto"/>
        <w:rPr>
          <w:sz w:val="20"/>
          <w:szCs w:val="20"/>
          <w:color w:val="auto"/>
        </w:rPr>
      </w:pPr>
      <w:r>
        <w:rPr>
          <w:rFonts w:ascii="Times New Roman" w:cs="Times New Roman" w:eastAsia="Times New Roman" w:hAnsi="Times New Roman"/>
          <w:sz w:val="18"/>
          <w:szCs w:val="18"/>
          <w:color w:val="auto"/>
        </w:rPr>
        <w:t>and that are more efficient or less expensive than our sources. Furthermore, generic companies could potentially convince suppliers to prioritize supply to the generic companies.</w:t>
      </w:r>
    </w:p>
    <w:p>
      <w:pPr>
        <w:spacing w:after="0" w:line="171" w:lineRule="exact"/>
        <w:rPr>
          <w:sz w:val="20"/>
          <w:szCs w:val="20"/>
          <w:color w:val="auto"/>
        </w:rPr>
      </w:pPr>
    </w:p>
    <w:p>
      <w:pPr>
        <w:ind w:right="26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company in commercializing VASCEPA outside of the United States and may be unsuccessful in developing sales internationally.</w:t>
      </w:r>
    </w:p>
    <w:p>
      <w:pPr>
        <w:spacing w:after="0" w:line="63"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While we have been working internally and with partners to support efforts toward approvals and commercialization outside the United States in light of the REDUCE-IT results and the EC approval of VAZKEPA, we may be unsuccessful in expanding our global footprint. For example, we are launching VAZKEPA on our own in the most commercially significant markets in Europe. The commercial launch of a new pharmaceutical product is a complex and resource heavy undertaking for a company to manage and be impacted by decisions by and interactions with local regulators, and we have no prior experience as a company operating a commercial-stage pharmaceutical business in Europe. For example, a viable agreement on the reimbursement price of VAZKEPA in Germany could not be reached with German regulators and we have discontinued our Germany business operations. Given the amount of time and resources, including capital, needed to support regulatory and commercial efforts aimed at international expansion, if we are unsuccessful or delayed in generating revenues overseas, our results of operations could be materially and adversely impacted.</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could inhibit our efforts to successfully commercialize VASCEPA include:</w:t>
      </w:r>
    </w:p>
    <w:p>
      <w:pPr>
        <w:spacing w:after="0" w:line="104" w:lineRule="exact"/>
        <w:rPr>
          <w:sz w:val="20"/>
          <w:szCs w:val="20"/>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expiration of regulatory exclusivities and entry into the market of additional generic versions of VASCEPA;</w:t>
      </w:r>
    </w:p>
    <w:p>
      <w:pPr>
        <w:spacing w:after="0" w:line="117"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adequate numbers of effective sales and marketing personnel, particularly in light of our recent reductions in force;</w:t>
      </w:r>
    </w:p>
    <w:p>
      <w:pPr>
        <w:spacing w:after="0" w:line="54" w:lineRule="exact"/>
        <w:rPr>
          <w:rFonts w:ascii="Times New Roman" w:cs="Times New Roman" w:eastAsia="Times New Roman" w:hAnsi="Times New Roman"/>
          <w:sz w:val="18"/>
          <w:szCs w:val="18"/>
          <w:color w:val="auto"/>
        </w:rPr>
      </w:pPr>
    </w:p>
    <w:p>
      <w:pPr>
        <w:ind w:left="900" w:right="62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train our sales and marketing personnel and our inability to adequately monitor compliance with applicable regulatory and other legal requirements;</w:t>
      </w:r>
    </w:p>
    <w:p>
      <w:pPr>
        <w:spacing w:after="0" w:line="40" w:lineRule="exact"/>
        <w:rPr>
          <w:rFonts w:ascii="Times New Roman" w:cs="Times New Roman" w:eastAsia="Times New Roman" w:hAnsi="Times New Roman"/>
          <w:sz w:val="18"/>
          <w:szCs w:val="18"/>
          <w:color w:val="auto"/>
        </w:rPr>
      </w:pPr>
    </w:p>
    <w:p>
      <w:pPr>
        <w:ind w:left="900" w:right="36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overestimated the addressable market, the inability of our sales personnel, to obtain access to or persuade adequate numbers of physicians to prescribe or patients to use VASCEPA;</w:t>
      </w:r>
    </w:p>
    <w:p>
      <w:pPr>
        <w:spacing w:after="0" w:line="67" w:lineRule="exact"/>
        <w:rPr>
          <w:rFonts w:ascii="Times New Roman" w:cs="Times New Roman" w:eastAsia="Times New Roman" w:hAnsi="Times New Roman"/>
          <w:sz w:val="18"/>
          <w:szCs w:val="18"/>
          <w:color w:val="auto"/>
        </w:rPr>
      </w:pPr>
    </w:p>
    <w:p>
      <w:pPr>
        <w:ind w:left="900" w:right="26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impose restrictions on VASCEPA’s conditions for use, distribution or marketing, and may impose ongoing requirements for post-market surveillance, post-approval studies or clinical trials, which may be costly or result in label or other use restrictions;</w:t>
      </w:r>
    </w:p>
    <w:p>
      <w:pPr>
        <w:spacing w:after="0" w:line="54"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challenges in connection with pricing and reimbursement, including our ability to secure adequate reimbursement coverage, which in Europe is almost exclusively covered through public national funding, and not individual private insurance companies;</w:t>
      </w:r>
    </w:p>
    <w:p>
      <w:pPr>
        <w:spacing w:after="0" w:line="40" w:lineRule="exact"/>
        <w:rPr>
          <w:rFonts w:ascii="Times New Roman" w:cs="Times New Roman" w:eastAsia="Times New Roman" w:hAnsi="Times New Roman"/>
          <w:sz w:val="18"/>
          <w:szCs w:val="18"/>
          <w:color w:val="auto"/>
        </w:rPr>
      </w:pPr>
    </w:p>
    <w:p>
      <w:pPr>
        <w:ind w:left="900" w:right="22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by us or our partners to obtain regulatory and marketing approval or establish marketing channels in foreign jurisdictions;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operating a new independent sales and marketing organization; and</w:t>
      </w:r>
    </w:p>
    <w:p>
      <w:pPr>
        <w:spacing w:after="0" w:line="103" w:lineRule="exact"/>
        <w:rPr>
          <w:rFonts w:ascii="Times New Roman" w:cs="Times New Roman" w:eastAsia="Times New Roman" w:hAnsi="Times New Roman"/>
          <w:sz w:val="18"/>
          <w:szCs w:val="18"/>
          <w:color w:val="auto"/>
        </w:rPr>
      </w:pPr>
    </w:p>
    <w:p>
      <w:pPr>
        <w:ind w:left="900" w:right="440" w:hanging="383"/>
        <w:spacing w:after="0" w:line="258"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or resumed impact from COVID-19 on healthcare providers, patients and personnel which may vary considerably from jurisdiction to jurisdiction, as well as on local restrictions and practices, including the complexities of having to understand and navigate multiple and evolving sets of protocols and the accessibility and rates of vaccinations in various geographies.</w:t>
      </w:r>
    </w:p>
    <w:p>
      <w:pPr>
        <w:spacing w:after="0" w:line="6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If we experience one or more of the setbacks described above, we may not be able to pursue international regulatory and commercial efforts in a cost effective manner, or at all, which could cause our stock price to decline.</w:t>
      </w:r>
    </w:p>
    <w:p>
      <w:pPr>
        <w:spacing w:after="0" w:line="199" w:lineRule="exact"/>
        <w:rPr>
          <w:sz w:val="20"/>
          <w:szCs w:val="20"/>
          <w:color w:val="auto"/>
        </w:rPr>
      </w:pPr>
    </w:p>
    <w:p>
      <w:pPr>
        <w:ind w:right="78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meaningful revenues outside of the United States may be limited, including due to the strict price controls and reimbursement limitations imposed by payors outside of the United States.</w:t>
      </w:r>
    </w:p>
    <w:p>
      <w:pPr>
        <w:spacing w:after="0" w:line="50"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Our ability to generate meaningful revenues of VASCEPA outside of the United States is dependent on the availability and extent of coverage and reimbursement from third-party payors. In many markets around the world, these payors, including government health systems, private health insurers and other organizations, remain focused on reducing the cost of healthcare, and their efforts have intensified as a result of rising healthcare costs and economic challenges. Drugs remain heavily scrutinized for cost containment. As a result, payors are becoming more restrictive regarding the use of biopharmaceutical products and scrutinizing the prices of these products while requiring a higher level of clinical evidence to support the benefits such products bring to patients and the broader healthcare system. These pressures are intensified where our products are subject to competition, including from biosimilars.</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2" w:right="419" w:bottom="1440" w:gutter="0" w:footer="0" w:header="0"/>
        </w:sectPr>
      </w:pPr>
    </w:p>
    <w:bookmarkStart w:id="42" w:name="page43"/>
    <w:bookmarkEnd w:id="42"/>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In many countries outside the United States, government-sponsored healthcare systems are the primary payors for drugs. With increasing budgetary constraints and differing views on or challenges in valuing medicines, governments and payors in many countries are applying a variety of measures to exert downward price pressure. These measures can include mandatory price controls, price referencing, therapeutic-reference pricing, increases in mandates, incentives for generic substitution and biosimilar usage and government-mandated price cuts. In this regard, many countries have health technology assessment organizations that use formal economic metrics such as cost-effectiveness to determine prices, coverage and reimbursement of new therapies; and these organizations are expanding in established and emerging markets. Many countries also limit coverage to populations narrower than the regulatory agency approved product label or impose volume caps to limit utilization. We expect that countries will continue to take aggressive actions to seek to reduce expenditures on drugs. Similarly, fiscal constraints may also affect the extent to which countries are willing to approve new and innovative therapies and/or allow access to new technologies.</w:t>
      </w:r>
    </w:p>
    <w:p>
      <w:pPr>
        <w:spacing w:after="0" w:line="77"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The dynamics and developments discussed above serve to create pressure on the pricing and potential usage of our products and the industry. Given the diverse interests in play among payors, biopharmaceutical manufacturers, policy makers, healthcare providers and independent organizations, if and whether the parties involved can achieve alignment on the matters discussed above remains unclear and the outcome of any such alignment is difficult to predict. We are committed to working with the entire healthcare community to ensure continued innovation and to facilitate patient access to needed medicines; however, if reimbursement of VASCEPA is unavailable or limited in scope or amount, or if pricing is set at unsatisfactory levels, our ability to successfully commercialize VASCEPA outside of the United States may be harmed, which could have a material and negative impact on our overall business.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Government and commercial payor actions outside the United States have affected and will continue to affect access to and sales of our products</w:t>
      </w:r>
    </w:p>
    <w:p>
      <w:pPr>
        <w:spacing w:after="0" w:line="10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Outside the United States, we expect countries will continue to take actions to reduce their drug expenditures. International reference pricing, or IRP, has been widely used by many countries outside the United States to control costs based on an external benchmark of a product’s price in other countries. IRP policies can change quickly and frequently and may not reflect differences in the burden of disease, indications, market structures, or affordability differences across countries or regions.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Some countries also allow additional rebates or discounts to be negotiated. The outcome of such negotiations can be uncertain and could become publicly disclosed in the future. Some countries decide on reimbursement between potentially competing products through national or regional tenders that often result in one product receiving most or all of the sales in that country or region. Thus, there can be no certainty that we will negotiate satisfactory reimbursement or pricing rates in markets outside the United States in a timely manner, or at all, or even if we are successful in obtaining satisfactory coverage and reimbursement, we may be unsuccessful in sustaining such coverage and reimbursement, or could face challenges as to the timeliness or certainty of payment by payors to physicians and other providers, which would have a material and adverse impact on our commercialization efforts outside of the United States. Furthermore, despite having skilled and experienced individuals deployed in such efforts, we as an organization have limited experience in navigating the pricing and reimbursement regimes, outside of the United States, which foreign regimes are varied and complex, which might hinder our effectiveness in establishing satisfactory pricing, coverage and reimbursement levels in a timely manner or at all.</w:t>
      </w:r>
    </w:p>
    <w:p>
      <w:pPr>
        <w:spacing w:after="0" w:line="19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Factors outside of our control may make it more difficult for VASCEPA to achieve market acceptance by physicians, patients, healthcare payors and others in the medical community at levels sufficient to meet our expectations for commercial success.</w:t>
      </w:r>
    </w:p>
    <w:p>
      <w:pPr>
        <w:spacing w:after="0" w:line="64"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In January 2013, we launched VASCEPA based on the U.S. FDA approval of our MARINE indication, for use as an adjunct to diet to reduce triglyceride levels in adult patients with severe (TG  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cardiovascular risk. The effect of VASCEPA on the risk for pancreatitis in patients with severe hypertriglyceridemia has not been determined and our U.S. FDA-approved labeling and promotional efforts state this fact.</w:t>
      </w:r>
    </w:p>
    <w:p>
      <w:pPr>
        <w:spacing w:after="0" w:line="94" w:lineRule="exact"/>
        <w:rPr>
          <w:sz w:val="20"/>
          <w:szCs w:val="20"/>
          <w:color w:val="auto"/>
        </w:rPr>
      </w:pPr>
    </w:p>
    <w:p>
      <w:pPr>
        <w:ind w:right="40" w:firstLine="509"/>
        <w:spacing w:after="0" w:line="233" w:lineRule="auto"/>
        <w:rPr>
          <w:sz w:val="20"/>
          <w:szCs w:val="20"/>
          <w:color w:val="auto"/>
        </w:rPr>
      </w:pPr>
      <w:r>
        <w:rPr>
          <w:rFonts w:ascii="Times New Roman" w:cs="Times New Roman" w:eastAsia="Times New Roman" w:hAnsi="Times New Roman"/>
          <w:sz w:val="18"/>
          <w:szCs w:val="18"/>
          <w:color w:val="auto"/>
        </w:rPr>
        <w:t>In September 2018, we announced topline results from the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EPA—Intervention Trial cardiovascular outcomes study of VASCEPA. In November 2018, we announced the primary results of our REDUCE-IT cardiovascular outcomes study confirming 25% relative risk reduction for the topline primary endpoint result with multiple robust demonstrations of efficacy, including 20% reduction in cardiovascular death. REDUCE-IT was a multinational, prospective, randomized, double-blind, placebo-controlled study, enrollment for which started in November 2011. REDUCE-IT investigated the effects of VASCEPA on CV risk in statin-treated adults with well-controlled LDL-C 41-100 mg/dL (median baseline LDL-C: 75 mg/dL) and other CV risk factors, including persistent elevated TG 150-499 mg/dL (median baseline TG: 216 mg/dL). REDUCE-IT topline results showed the trial met its primary endpoint demonstrating an approximately 25% relative risk reduction, to a high degree of statistical significance (p&lt;0.001), in MACE in the intent-to-treat patient population with use of VASCEPA 4 grams per day as compared to placebo. MACE events were defined as a composite of cardiovascular death, nonfatal myocardial infarction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3" w:name="page44"/>
    <w:bookmarkEnd w:id="43"/>
    <w:p>
      <w:pPr>
        <w:ind w:right="500"/>
        <w:spacing w:after="0" w:line="258" w:lineRule="auto"/>
        <w:rPr>
          <w:sz w:val="20"/>
          <w:szCs w:val="20"/>
          <w:color w:val="auto"/>
        </w:rPr>
      </w:pPr>
      <w:r>
        <w:rPr>
          <w:rFonts w:ascii="Times New Roman" w:cs="Times New Roman" w:eastAsia="Times New Roman" w:hAnsi="Times New Roman"/>
          <w:sz w:val="18"/>
          <w:szCs w:val="18"/>
          <w:color w:val="auto"/>
        </w:rPr>
        <w:t>(MI), nonfatal stroke, coronary revascularization, or unstable angina requiring hospitalization. This result was supported by robust demonstrations of efficacy across multiple secondary endpoints. VASCEPA was well tolerated in REDUCE-IT with a safety profile generally consistent with clinical experience associated with omega-3 fatty acids and current U.S. FDA-approved labeling.</w:t>
      </w:r>
    </w:p>
    <w:p>
      <w:pPr>
        <w:spacing w:after="0" w:line="6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December 2019, the U.S. FDA approved another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w:t>
      </w:r>
    </w:p>
    <w:p>
      <w:pPr>
        <w:spacing w:after="0" w:line="61"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Despite U.S. FDA approval for this indication and expanded label for VASCEPA, we may not meet expectations for market acceptance by physicians, patients, healthcare payors and others in the medical community for this approved use, especially in light of our unsuccessful appeals efforts. If VASCEPA does not achieve an adequate level of acceptance, we may not generate product revenues sufficient to become profitable on an ongoing basis. The degree of market acceptance of VASCEPA for its approved indications and uses or otherwise will depend on a number of factors, including:</w:t>
      </w:r>
    </w:p>
    <w:p>
      <w:pPr>
        <w:spacing w:after="0" w:line="69" w:lineRule="exact"/>
        <w:rPr>
          <w:sz w:val="20"/>
          <w:szCs w:val="20"/>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outcome of pending patent litigation;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pricing of any current or potential generic versions of VASCEPA;</w:t>
      </w:r>
    </w:p>
    <w:p>
      <w:pPr>
        <w:spacing w:after="0" w:line="103" w:lineRule="exact"/>
        <w:rPr>
          <w:rFonts w:ascii="Times New Roman" w:cs="Times New Roman" w:eastAsia="Times New Roman" w:hAnsi="Times New Roman"/>
          <w:sz w:val="18"/>
          <w:szCs w:val="18"/>
          <w:color w:val="auto"/>
        </w:rPr>
      </w:pPr>
    </w:p>
    <w:p>
      <w:pPr>
        <w:ind w:left="900" w:right="540" w:hanging="383"/>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efficacy and safety of VASCEPA by prescribing healthcare professionals and patients, as compared to no treatment and as compared to alternative treatments in various at-risk patient populations;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review of different elements of REDUCE-IT results over time;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review and analysis of the results of REDUCE-IT by regulatory authorities internationally;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VASCEPA for sale at competitive prices;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effectiveness and strength of product education, marketing and distribution support, including our sales and marketing teams;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VASCEPA or competing products;</w:t>
      </w:r>
    </w:p>
    <w:p>
      <w:pPr>
        <w:spacing w:after="0" w:line="103" w:lineRule="exact"/>
        <w:rPr>
          <w:rFonts w:ascii="Times New Roman" w:cs="Times New Roman" w:eastAsia="Times New Roman" w:hAnsi="Times New Roman"/>
          <w:sz w:val="18"/>
          <w:szCs w:val="18"/>
          <w:color w:val="auto"/>
        </w:rPr>
      </w:pPr>
    </w:p>
    <w:p>
      <w:pPr>
        <w:ind w:left="900" w:right="180" w:hanging="383"/>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promote VASCEPA in the United States consistent with and outside of U.S. FDA-approved labeling and the related perception thereof;</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for VASCEPA and its prescribed uses, on-label and off-label;</w:t>
      </w:r>
    </w:p>
    <w:p>
      <w:pPr>
        <w:spacing w:after="0" w:line="103" w:lineRule="exact"/>
        <w:rPr>
          <w:rFonts w:ascii="Times New Roman" w:cs="Times New Roman" w:eastAsia="Times New Roman" w:hAnsi="Times New Roman"/>
          <w:sz w:val="18"/>
          <w:szCs w:val="18"/>
          <w:color w:val="auto"/>
        </w:rPr>
      </w:pPr>
    </w:p>
    <w:p>
      <w:pPr>
        <w:ind w:left="900" w:right="60" w:hanging="383"/>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pandemics such as COVID-19 and political unrest which could inhibit our ability to promote VASCEPA regionally and which could negatively affect product demand by creating obstacles for patients to seek treatment and fill prescriptions;</w:t>
      </w:r>
    </w:p>
    <w:p>
      <w:pPr>
        <w:spacing w:after="0" w:line="54"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40" w:lineRule="exact"/>
        <w:rPr>
          <w:rFonts w:ascii="Times New Roman" w:cs="Times New Roman" w:eastAsia="Times New Roman" w:hAnsi="Times New Roman"/>
          <w:sz w:val="18"/>
          <w:szCs w:val="18"/>
          <w:color w:val="auto"/>
        </w:rPr>
      </w:pPr>
    </w:p>
    <w:p>
      <w:pPr>
        <w:ind w:left="900" w:right="400" w:hanging="383"/>
        <w:spacing w:after="0" w:line="253"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efficacy of the product and the prevalence and severity of any side effects and warnings in VASCEPA’s approved labeling internationally.</w:t>
      </w: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4" w:name="page45"/>
    <w:bookmarkEnd w:id="44"/>
    <w:p>
      <w:pPr>
        <w:ind w:firstLine="509"/>
        <w:spacing w:after="0" w:line="242" w:lineRule="auto"/>
        <w:rPr>
          <w:sz w:val="20"/>
          <w:szCs w:val="20"/>
          <w:color w:val="auto"/>
        </w:rPr>
      </w:pPr>
      <w:r>
        <w:rPr>
          <w:rFonts w:ascii="Times New Roman" w:cs="Times New Roman" w:eastAsia="Times New Roman" w:hAnsi="Times New Roman"/>
          <w:sz w:val="18"/>
          <w:szCs w:val="18"/>
          <w:color w:val="auto"/>
        </w:rPr>
        <w:t>For example, two major factors that affect market use of prescription drugs are their perceived cost-effectiveness and the breadth of their use among different patient populations, both on label and off-label. In October 2019, the Institute for Clinical and Economic Review, or ICER, released its final evidence report regarding clinical effectiveness and economic impacts on VASCEPA. The conclusion from the report is that VASCEPA easily met even the most stringent “commonly cited thresholds for cost-effectiveness and therefore represent(s) a high long-term value for money,” based on the organization’s value assessment framework. As part of the public meeting held by ICER analyzing REDUCE-IT data, the ICER review committee discussed whether, based on REDUCE-IT, VASCEPA should be considered for use in patients as an add-on to statin therapy generally, and not just in patients with persistent elevated triglyceride levels after statin therapy, which ICER defined as triglyceride levels of at least 135 mg/dL. Use as an add-on to statin therapy generally represents a larger patient population than studied in REDUCE-IT and larger than covered by U.S. FDA-approved labeling. By contrast, U.S. FDA-approved labeling for VASCEPA reflects limitations such as use in patients with persistent elevated triglyceride levels defined as triglyceride levels of at least 150 mg/dL after statin therapy and specific criteria designed to ensure the patient populations approved for use had sufficiently high degrees of CV risk. While the clinical judgment of prescribing physicians is the most important factor that determines the breadth of a drug’s use in the United States and often results in prescriptions in patient populations that go beyond U.S. FDA labeling, U.S. FDA-approved labeling that is more closely tied to the patient population studied in a clinical trial could limit use generally and could make reimbursement more difficult.</w:t>
      </w:r>
    </w:p>
    <w:p>
      <w:pPr>
        <w:spacing w:after="0" w:line="199" w:lineRule="exact"/>
        <w:rPr>
          <w:sz w:val="20"/>
          <w:szCs w:val="20"/>
          <w:color w:val="auto"/>
        </w:rPr>
      </w:pPr>
    </w:p>
    <w:p>
      <w:pPr>
        <w:ind w:right="40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*Despite some recent remediation of the negative impacts on our business from the COVID-19 pandemic, the evolving and continued scale, scope and duration of business interruptions caused by the ongoing COVID-19 pandemic and related recovery efforts remain uncertain.</w:t>
      </w:r>
    </w:p>
    <w:p>
      <w:pPr>
        <w:spacing w:after="0" w:line="63"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Despite recent improvements, the global spread of COVID-19 has created significant volatility, uncertainty and disruption in healthcare, social, supply and economic infrastructures. The extent to which the coronavirus pandemic will continue to impact our business, operations and financial results will depend on numerous evolving factors that we may not be able to accurately predict or plan around, including:</w:t>
      </w:r>
    </w:p>
    <w:p>
      <w:pPr>
        <w:spacing w:after="0" w:line="61"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volatility and scope of the pandemic, including resurgences, and the efficacy of recovery efforts;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business and individuals’ actions that have been and continue to be taken in response to the pandemic;</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pandemic on economic and political activity and actions taken in response;</w:t>
      </w:r>
    </w:p>
    <w:p>
      <w:pPr>
        <w:spacing w:after="0" w:line="103" w:lineRule="exact"/>
        <w:rPr>
          <w:rFonts w:ascii="Times New Roman" w:cs="Times New Roman" w:eastAsia="Times New Roman" w:hAnsi="Times New Roman"/>
          <w:sz w:val="18"/>
          <w:szCs w:val="18"/>
          <w:color w:val="auto"/>
        </w:rPr>
      </w:pPr>
    </w:p>
    <w:p>
      <w:pPr>
        <w:ind w:left="900" w:right="360" w:hanging="383"/>
        <w:spacing w:after="0" w:line="258"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patients, healthcare providers and business partners, including patients’ ability to access supplies of VASCEPA and the willingness of patients to visit doctors for non-urgent medical examination or to visit labs for blood tests to assess biomarkers such as lipid levels;</w:t>
      </w:r>
    </w:p>
    <w:p>
      <w:pPr>
        <w:spacing w:after="0" w:line="61" w:lineRule="exact"/>
        <w:rPr>
          <w:rFonts w:ascii="Times New Roman" w:cs="Times New Roman" w:eastAsia="Times New Roman" w:hAnsi="Times New Roman"/>
          <w:sz w:val="18"/>
          <w:szCs w:val="18"/>
          <w:color w:val="auto"/>
        </w:rPr>
      </w:pPr>
    </w:p>
    <w:p>
      <w:pPr>
        <w:ind w:left="900" w:right="480" w:hanging="383"/>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VASCEPA, including if travel restrictions, social distancing and other containment measures are resumed or intensified;</w:t>
      </w:r>
    </w:p>
    <w:p>
      <w:pPr>
        <w:spacing w:after="0" w:line="67" w:lineRule="exact"/>
        <w:rPr>
          <w:rFonts w:ascii="Times New Roman" w:cs="Times New Roman" w:eastAsia="Times New Roman" w:hAnsi="Times New Roman"/>
          <w:sz w:val="18"/>
          <w:szCs w:val="18"/>
          <w:color w:val="auto"/>
        </w:rPr>
      </w:pPr>
    </w:p>
    <w:p>
      <w:pPr>
        <w:ind w:left="900" w:right="720" w:hanging="383"/>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enrollment or monitoring of patients in clinical trials, particularly at clinical trial sites located in highly impacted jurisdictions and jurisdictions where vaccination rates are low;</w:t>
      </w:r>
    </w:p>
    <w:p>
      <w:pPr>
        <w:spacing w:after="0" w:line="54"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access, secure and otherwise obtain and deliver sufficient and timely commercial or clinical supplies of VASCEPA at reasonable prices and sufficient to meet demand if the production capabilities of suppliers is disrupted;</w:t>
      </w:r>
    </w:p>
    <w:p>
      <w:pPr>
        <w:spacing w:after="0" w:line="40"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regulatory oversight and actions if regulators and industry professionals continue to expend significant and unexpected resources addressing COVID-19;</w:t>
      </w:r>
    </w:p>
    <w:p>
      <w:pPr>
        <w:spacing w:after="0" w:line="54"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reimbursement from government and health administration authorities, private health insurers and other third-party payors if the system continues to be overly strained;</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regulators to complete inspections and reviews of operations and applications, respectively, in a timely manner; and</w:t>
      </w:r>
    </w:p>
    <w:p>
      <w:pPr>
        <w:spacing w:after="0" w:line="10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further, prolonged or reinstated closures of our and our partners’ offices, operations and facilities impeding our ability to work together as a company and with our business and healthcare partners.</w:t>
      </w:r>
    </w:p>
    <w:p>
      <w:pPr>
        <w:spacing w:after="0" w:line="40" w:lineRule="exact"/>
        <w:rPr>
          <w:sz w:val="20"/>
          <w:szCs w:val="20"/>
          <w:color w:val="auto"/>
        </w:rPr>
      </w:pPr>
    </w:p>
    <w:p>
      <w:pPr>
        <w:ind w:right="200" w:firstLine="509"/>
        <w:spacing w:after="0" w:line="247" w:lineRule="auto"/>
        <w:rPr>
          <w:sz w:val="20"/>
          <w:szCs w:val="20"/>
          <w:color w:val="auto"/>
        </w:rPr>
      </w:pPr>
      <w:r>
        <w:rPr>
          <w:rFonts w:ascii="Times New Roman" w:cs="Times New Roman" w:eastAsia="Times New Roman" w:hAnsi="Times New Roman"/>
          <w:sz w:val="18"/>
          <w:szCs w:val="18"/>
          <w:color w:val="auto"/>
        </w:rPr>
        <w:t>Even as the impacts of the pandemic appear to subside, additional variants may emerge and as vaccine usage and protocols evolve, face-to-face interactions may continue to be challenging for us to predict. The circumstances surrounding COVID-19 vary geographically and vary over time, with continued risk of potential resurgences in COVID-19 cases, and the possibility of reinstitution of protocols, in various geographies as the efficacy of the vaccine on various strains remains uncertain. While we have supplemented our face-to-face interactions with virtual outreach, these efforts may not be as impactful as traditional, in-person interactions. Specifically, access to healthcare professionals through the internet or other channels, may not be as productive as in-person interactions.</w:t>
      </w:r>
    </w:p>
    <w:p>
      <w:pPr>
        <w:spacing w:after="0" w:line="72" w:lineRule="exact"/>
        <w:rPr>
          <w:sz w:val="20"/>
          <w:szCs w:val="20"/>
          <w:color w:val="auto"/>
        </w:rPr>
      </w:pPr>
    </w:p>
    <w:p>
      <w:pPr>
        <w:ind w:right="680" w:firstLine="509"/>
        <w:spacing w:after="0" w:line="253" w:lineRule="auto"/>
        <w:rPr>
          <w:sz w:val="20"/>
          <w:szCs w:val="20"/>
          <w:color w:val="auto"/>
        </w:rPr>
      </w:pPr>
      <w:r>
        <w:rPr>
          <w:rFonts w:ascii="Times New Roman" w:cs="Times New Roman" w:eastAsia="Times New Roman" w:hAnsi="Times New Roman"/>
          <w:sz w:val="18"/>
          <w:szCs w:val="18"/>
          <w:color w:val="auto"/>
        </w:rPr>
        <w:t>Although we have a geographically diversified supply chain for VASCEPA and believe we have sufficient inventory on hand at pharmacies throughout the United States and other markets where it is approved for sale, and at various stages of manufacturing with</w:t>
      </w: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5" w:name="page46"/>
    <w:bookmarkEnd w:id="45"/>
    <w:p>
      <w:pPr>
        <w:ind w:right="80"/>
        <w:spacing w:after="0" w:line="250" w:lineRule="auto"/>
        <w:rPr>
          <w:sz w:val="20"/>
          <w:szCs w:val="20"/>
          <w:color w:val="auto"/>
        </w:rPr>
      </w:pPr>
      <w:r>
        <w:rPr>
          <w:rFonts w:ascii="Times New Roman" w:cs="Times New Roman" w:eastAsia="Times New Roman" w:hAnsi="Times New Roman"/>
          <w:sz w:val="18"/>
          <w:szCs w:val="18"/>
          <w:color w:val="auto"/>
        </w:rPr>
        <w:t>our suppliers, the global spread of the pandemic and containment measures has been unprecedented and could have a negative impact on the availability of VASCEPA at various points in our supply chain, including limiting the ability of new suppliers to be inspected, which would have a material and adverse effect on our business. The ongoing demand for vaccines, including boosters, and potential for manufacturing facilities and materials to be commandeered under the Defense Production Act of 1950, or equivalent foreign legislation, may make it more difficult to obtain materials or manufacturing slots for the products needed for our commercial product, which could lead to issues with our commercial supply.</w:t>
      </w:r>
    </w:p>
    <w:p>
      <w:pPr>
        <w:spacing w:after="0" w:line="6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The disruptions associated with the coronavirus pandemic could also delay the timing of a determination on our ability to seek legal remedies as travel, operational resources and personnel are disrupted or slow to resume pre-pandemic levels, with respect to our efforts and capabilities, as well as those of our advisors and the courts. The disruptions associated with the coronavirus pandemic could delay the potential timing of subsequent steps for the launch of commercialization of VAZKEPA in Europe. Additionally, COVID-19 has already and could continue to limit our ability to have access with healthcare professionals to help educate them regarding VAZKEPA so that they are more likely to prescribe it to their at-risk patients. And, similar to our experience in the United States, the effects of COVID-19 and related preventative measures may reduce the frequency at which at-risk patients seek non-urgent preventative medical care.</w:t>
      </w:r>
    </w:p>
    <w:p>
      <w:pPr>
        <w:spacing w:after="0" w:line="204" w:lineRule="exact"/>
        <w:rPr>
          <w:sz w:val="20"/>
          <w:szCs w:val="20"/>
          <w:color w:val="auto"/>
        </w:rPr>
      </w:pPr>
    </w:p>
    <w:p>
      <w:pPr>
        <w:jc w:val="both"/>
        <w:ind w:right="140"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As with any cardiovascular outcomes trial, over time further data assessment related to REDUCE-IT by international regulatory authorities or otherwise could yield additional useful information to inform greater understanding of study outcome. If the additional data or related interpretations do not meet expectations, the perception of REDUCE-IT results and VASCEPA revenue potential may suffer and our stock price may decline.</w:t>
      </w:r>
    </w:p>
    <w:p>
      <w:pPr>
        <w:spacing w:after="0" w:line="60"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In December 2019, the U.S. FDA approved another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 Even though U.S. FDA has approved VASCEPA for this expanded label and indication based on the REDUCE-IT results, additional data assessment by international regulatory authorities or otherwise could yield additional useful information to inform greater understanding of study outcome. Generally, trial data assessment sufficient to convey a complete picture of trial outcome can take years to complete and publish. When new data are assessed and released or presented it could exceed, match or may not meet investor expectations.</w:t>
      </w:r>
    </w:p>
    <w:p>
      <w:pPr>
        <w:spacing w:after="0" w:line="72" w:lineRule="exact"/>
        <w:rPr>
          <w:sz w:val="20"/>
          <w:szCs w:val="20"/>
          <w:color w:val="auto"/>
        </w:rPr>
      </w:pPr>
    </w:p>
    <w:p>
      <w:pPr>
        <w:jc w:val="both"/>
        <w:ind w:right="80" w:firstLine="509"/>
        <w:spacing w:after="0" w:line="250" w:lineRule="auto"/>
        <w:rPr>
          <w:sz w:val="20"/>
          <w:szCs w:val="20"/>
          <w:color w:val="auto"/>
        </w:rPr>
      </w:pPr>
      <w:r>
        <w:rPr>
          <w:rFonts w:ascii="Times New Roman" w:cs="Times New Roman" w:eastAsia="Times New Roman" w:hAnsi="Times New Roman"/>
          <w:sz w:val="18"/>
          <w:szCs w:val="18"/>
          <w:color w:val="auto"/>
        </w:rPr>
        <w:t>In addition, the same set of data can sometimes be interpreted to reach different conclusions, as when Health Canada approved an indication based on REDUCE-IT data that was different in certain respects than that approved by U.S. FDA and by the EC in Europe. It is possible the scope of subsequent regulatory approvals, if any, could likewise differ based on the same data. Conflicting interpretations of data, or new data, could impact public and medical community perception of the totality of the efficacy and safety data from REDUCE-IT.</w:t>
      </w:r>
    </w:p>
    <w:p>
      <w:pPr>
        <w:spacing w:after="0" w:line="6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Regulatory authorities and medical guideline committees outside of the United States and Europe may consider the following additional factors, which could lead to evaluations of the totality of the efficacy and safety data from REDUCE-IT that differ from those of the U.S. FDA or the EC:</w:t>
      </w:r>
    </w:p>
    <w:p>
      <w:pPr>
        <w:spacing w:after="0" w:line="68" w:lineRule="exact"/>
        <w:rPr>
          <w:sz w:val="20"/>
          <w:szCs w:val="20"/>
          <w:color w:val="auto"/>
        </w:rPr>
      </w:pPr>
    </w:p>
    <w:p>
      <w:pPr>
        <w:ind w:left="900" w:right="500" w:hanging="383"/>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treatment benefit and related risks on the primary composite endpoint, its components, secondary endpoints and the primary and secondary risk prevention cohorts;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which components of the composite or secondary endpoints have the most clinical significance;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the primary and secondary outcomes;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findings across cohorts and important subgroups;</w:t>
      </w:r>
    </w:p>
    <w:p>
      <w:pPr>
        <w:spacing w:after="0" w:line="10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considerations and risk/benefit considerations (such as those related to adverse events, including bleeding and atrial fibrillation generally and in different sub-populations);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REDUCE-IT results in the context of other clinical studies;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the cumulative effect of VASCEPA in studied patients; and</w:t>
      </w:r>
    </w:p>
    <w:p>
      <w:pPr>
        <w:spacing w:after="0" w:line="117" w:lineRule="exact"/>
        <w:rPr>
          <w:rFonts w:ascii="Times New Roman" w:cs="Times New Roman" w:eastAsia="Times New Roman" w:hAnsi="Times New Roman"/>
          <w:sz w:val="18"/>
          <w:szCs w:val="18"/>
          <w:color w:val="auto"/>
        </w:rPr>
      </w:pPr>
    </w:p>
    <w:p>
      <w:pPr>
        <w:ind w:left="900" w:right="260" w:hanging="383"/>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conduct and data quality, integrity and consistency, including aspects such as analyses regarding the placebo used in REDUCE-IT and other studies of VASCEPA and its impact, if any, on the reliability of clinical data.</w:t>
      </w:r>
    </w:p>
    <w:p>
      <w:pPr>
        <w:spacing w:after="0" w:line="54"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If regulatory authorities and medical guideline committees outside of the United States and Europe draw conclusions that differ from those of the U.S. FDA or the EC, the U.S. FDA or the EC could reevaluate its conclusions as to the safety and efficacy of VASCEPA. Likewise, if additional data or analyses released from time to time do not meet expectations, the perception of REDUCE-IT results and the perceived and actual value of VASCEPA may suffer. In these instances our revenue and business could suffer and our stock price could significantly decline.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6" w:name="page47"/>
    <w:bookmarkEnd w:id="46"/>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clinical trials or new clinical data involving VASCEPA and similar moderate-to-high doses of eicosapentaenoic acid or icosapent ethyl could influence public perception of VASCEPA’s clinical profile and the commercial and regulatory prospects of VASCEPA.</w:t>
      </w:r>
    </w:p>
    <w:p>
      <w:pPr>
        <w:spacing w:after="0" w:line="37" w:lineRule="exact"/>
        <w:rPr>
          <w:sz w:val="20"/>
          <w:szCs w:val="20"/>
          <w:color w:val="auto"/>
        </w:rPr>
      </w:pPr>
    </w:p>
    <w:p>
      <w:pPr>
        <w:ind w:right="600" w:firstLine="509"/>
        <w:spacing w:after="0" w:line="266" w:lineRule="auto"/>
        <w:rPr>
          <w:sz w:val="20"/>
          <w:szCs w:val="20"/>
          <w:color w:val="auto"/>
        </w:rPr>
      </w:pPr>
      <w:r>
        <w:rPr>
          <w:rFonts w:ascii="Times New Roman" w:cs="Times New Roman" w:eastAsia="Times New Roman" w:hAnsi="Times New Roman"/>
          <w:sz w:val="18"/>
          <w:szCs w:val="18"/>
          <w:color w:val="auto"/>
        </w:rPr>
        <w:t>Ongoing trials of moderate-to-high doses of VASCEPA and icosapent ethyl, or a similar eicosapentaenoic acid product could provide further information on the effects of VASCEPA and its commercial and regulatory prospects.</w:t>
      </w:r>
    </w:p>
    <w:p>
      <w:pPr>
        <w:spacing w:after="0" w:line="68"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For example, 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Patients will be randomized to either a control group (standard treatment) or EPA group (standard treatment plus 1.8 grams per day of eicosapentaenoic acid), to examine the effects of a different formulation of icosapent ethyl than VASCEPA on the incidence of cardiovascular events. The relationship between the ratio of EPA to arachidonic acid and incidence of events will also be examined. Results from this study are expected to be presented during the 2022 American Heart Association Scientific Sessions in November 2022.</w:t>
      </w:r>
    </w:p>
    <w:p>
      <w:pPr>
        <w:spacing w:after="0" w:line="74"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November 2020, we announced statistically significant topline results from a Phase 3 clinical trial of VASCEPA, conducted by our partner in China, Eddingpharm (Asia) Macao Commercial Offshore Limited, or Edding, which investigated VASCEPA as a treatment for patients with very high triglycerides (≥500 mg/dL). Even though such results are similar to the results of the MARINE study, additional clinical development efforts may be necessary in this market to demonstrate the effectiveness of VASCEPA in reducing major adverse cardiovascular events in Chinese patients with persistent cardiovascular risk.</w:t>
      </w:r>
    </w:p>
    <w:p>
      <w:pPr>
        <w:spacing w:after="0" w:line="6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have also funded investigational studies on the use of VASCEPA in the setting of COVID-19 infection. On December 12, 2020, we announced at the National Lipid Association Scientific Sessions 2020 positive clinical results from the CardioLink-9 Trial, the first results of a study of VASCEPA in COVID-19 infected outpatients. Results from the investigator sponsored study in Argentina called PREPARE-IT-1 were presented by the lead trial investigator at the European Society of Cardiology on August 29, 2021 and the results did not meet the primary and/or other endpoints studied. Results from the investigator sponsored study in Argentina called PREPARE-IT-2 were presented by the lead trial investigator at the American Heart Association Scientific Sessions in November 2021 and the results did not meet the primary and/or other endpoints studied. Results from the other investigational study, called MITIGATE, are expected during the first half of 2023.</w:t>
      </w:r>
    </w:p>
    <w:p>
      <w:pPr>
        <w:spacing w:after="0" w:line="7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If the outcomes of one or more of these studies do not meet expectations, the perception of existing clinical results of VASCEPA, such as MARINE or REDUCE-IT, or the perceived clinical profile and commercial value of VASCEPA and its regulatory status may suffer. If this occurs our revenue and business could suffer and our stock price could significantly decline.</w:t>
      </w:r>
    </w:p>
    <w:p>
      <w:pPr>
        <w:spacing w:after="0" w:line="192" w:lineRule="exact"/>
        <w:rPr>
          <w:sz w:val="20"/>
          <w:szCs w:val="20"/>
          <w:color w:val="auto"/>
        </w:rPr>
      </w:pPr>
    </w:p>
    <w:p>
      <w:pPr>
        <w:ind w:right="28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cost reduction and organizational restructuring plan may not be successful in addressing the current shift in the United States business and developing sales internationally.</w:t>
      </w:r>
    </w:p>
    <w:p>
      <w:pPr>
        <w:spacing w:after="0" w:line="63"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If we are not successful in our efforts to continue to market and sell VASCEPA in the United States, including from the implementation of our cost reduction and organizational restructuring plan announced in June 2022, reduced sales force, our anticipated revenues or our expenses could be materially and negatively affected, and we may not maintain profitability in the United States or obtain profitability internationally, may need to cut back on research and development activities or implement other cost-containment measures, or we may need to raise additional funding that could result in substantial dilution or impose considerable restrictions on our business.</w:t>
      </w:r>
    </w:p>
    <w:p>
      <w:pPr>
        <w:spacing w:after="0" w:line="73"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Given the dynamics related to COVID-19, we cannot predict our ability to effectively sustain business efforts, or how those efforts will be impacted in the long term. While we have supplemented traditional face-to-face interactions with virtual outreach, these efforts may not be as successful as in-person interactions. Specifically, access to healthcare professionals through digital or other channels, may not be as productive as in-person interactions in promoting use of VASCEPA. We continue to adjust our promotional initiatives, including pursuing increased face-to-face interactions with health care professionals based on COVID-19 protocols that are in place. Such efforts are costly and there can be no assurance that they will result in an increase in VASCEPA prescriptions and sales in the near future, or at all.</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promotion and supply of VASCEPA is subject to regulatory scrutiny and associated risk.</w:t>
      </w:r>
    </w:p>
    <w:p>
      <w:pPr>
        <w:spacing w:after="0" w:line="121" w:lineRule="exact"/>
        <w:rPr>
          <w:sz w:val="20"/>
          <w:szCs w:val="20"/>
          <w:color w:val="auto"/>
        </w:rPr>
      </w:pPr>
    </w:p>
    <w:p>
      <w:pPr>
        <w:ind w:right="240" w:firstLine="509"/>
        <w:spacing w:after="0" w:line="246" w:lineRule="auto"/>
        <w:rPr>
          <w:sz w:val="20"/>
          <w:szCs w:val="20"/>
          <w:color w:val="auto"/>
        </w:rPr>
      </w:pPr>
      <w:r>
        <w:rPr>
          <w:rFonts w:ascii="Times New Roman" w:cs="Times New Roman" w:eastAsia="Times New Roman" w:hAnsi="Times New Roman"/>
          <w:sz w:val="18"/>
          <w:szCs w:val="18"/>
          <w:color w:val="auto"/>
        </w:rPr>
        <w:t>The Federal Food, Drug, and Cosmetic Act, or FDCA, has been interpreted by the U.S. FDA and the U.S. government to make it illegal for pharmaceutical companies to promote their U.S. FDA-approved products for uses that have not been approved by the U.S. FDA. Companies that market drugs for off-label uses or indications have been subject to related costly litigation, criminal penalties and civil liability under the FDCA and the FCA. However, case law over the last several years has called into question the extent to which government in the United States, including the U.S. FDA, can, and is willing to seek to, prevent truthful and non-misleading speech related to off-label uses of U.S. FDA-approved products such as VASCEPA.</w:t>
      </w:r>
    </w:p>
    <w:p>
      <w:pPr>
        <w:spacing w:after="0" w:line="73" w:lineRule="exact"/>
        <w:rPr>
          <w:sz w:val="20"/>
          <w:szCs w:val="20"/>
          <w:color w:val="auto"/>
        </w:rPr>
      </w:pPr>
    </w:p>
    <w:p>
      <w:pPr>
        <w:jc w:val="both"/>
        <w:ind w:right="180" w:firstLine="509"/>
        <w:spacing w:after="0" w:line="247" w:lineRule="auto"/>
        <w:rPr>
          <w:sz w:val="20"/>
          <w:szCs w:val="20"/>
          <w:color w:val="auto"/>
        </w:rPr>
      </w:pPr>
      <w:r>
        <w:rPr>
          <w:rFonts w:ascii="Times New Roman" w:cs="Times New Roman" w:eastAsia="Times New Roman" w:hAnsi="Times New Roman"/>
          <w:sz w:val="18"/>
          <w:szCs w:val="18"/>
          <w:color w:val="auto"/>
        </w:rPr>
        <w:t>In May 2015, we and a group of independent physicians filed a lawsuit against the U.S.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7" w:name="page48"/>
    <w:bookmarkEnd w:id="47"/>
    <w:p>
      <w:pPr>
        <w:spacing w:after="0" w:line="243" w:lineRule="auto"/>
        <w:rPr>
          <w:sz w:val="20"/>
          <w:szCs w:val="20"/>
          <w:color w:val="auto"/>
        </w:rPr>
      </w:pPr>
      <w:r>
        <w:rPr>
          <w:rFonts w:ascii="Times New Roman" w:cs="Times New Roman" w:eastAsia="Times New Roman" w:hAnsi="Times New Roman"/>
          <w:sz w:val="18"/>
          <w:szCs w:val="18"/>
          <w:color w:val="auto"/>
        </w:rPr>
        <w:t xml:space="preserve">non-misleading. This use of VASCEPA at issue reflected recognized medical practice at the time but was not approved by the U.S. FDA and was thus not covered by then U.S. FDA-approved labeling for the drug. Promotion of an off-label use has generally been considered by the U.S. FDA to be illegal under the FDCA. The lawsuit, captioned </w:t>
      </w:r>
      <w:r>
        <w:rPr>
          <w:rFonts w:ascii="Times New Roman" w:cs="Times New Roman" w:eastAsia="Times New Roman" w:hAnsi="Times New Roman"/>
          <w:sz w:val="18"/>
          <w:szCs w:val="18"/>
          <w:i w:val="1"/>
          <w:iCs w:val="1"/>
          <w:color w:val="auto"/>
        </w:rPr>
        <w:t>Amarin Pharma, Inc., et al. v. Food &amp; Drug Administration, et al.</w:t>
      </w:r>
      <w:r>
        <w:rPr>
          <w:rFonts w:ascii="Times New Roman" w:cs="Times New Roman" w:eastAsia="Times New Roman" w:hAnsi="Times New Roman"/>
          <w:sz w:val="18"/>
          <w:szCs w:val="18"/>
          <w:color w:val="auto"/>
        </w:rPr>
        <w:t>, 119 F. Supp. 3d 196 (S.D.N.Y. 2015), was filed in the United States District Court for the Southern District of New York. In the lawsuit, we contended principally that U.S.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treated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U.S. FDA opposed this lawsuit but did not dispute the veracity of the subject ANCHOR clinical trial data (the safety data from which was already and currently is in U.S. FDA-approved labeling of VASCEPA) or the peer-reviewed research related to VASCEPA and the potential for cardiovascular risk reduction.</w:t>
      </w:r>
    </w:p>
    <w:p>
      <w:pPr>
        <w:spacing w:after="0" w:line="78"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U.S. FDA did not appeal the court’s ruling. In March 2016, we settled this litigation under terms by which the U.S.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75"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While we believe we are now permitted under applicable law to more broadly promote VASCEPA, the U.S. FDA-approved labeling for VASCEPA did not change as a result of this litigation and settlement, and neither government nor other third-party coverage or reimbursement to pay for the off-label use of VASCEPA promoted under the court declaration was required. In addition to claims classically considered to be on-label based on our expanded label for VASCEPA based on the REDUCE-IT results, we proactively communicate information related to VASCEPA in a manner that we believe is truthful and non-misleading and thus protected under the freedom of speech clause of the First Amendment to the United States Constitution.</w:t>
      </w:r>
    </w:p>
    <w:p>
      <w:pPr>
        <w:spacing w:after="0" w:line="73"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Promotional activities in the biotechnology and pharmaceutical industries generally are subject to considerable regulatory scrutiny and, even though we have the benefit of a final settlement in this litigation, our efforts may be subject to enhanced scrutiny to ensure that our promotion remains within the scope covered by the settlement. For example, under the settlement, we remain responsible for ensuring our speech is truthful and non-misleading, which is subject to a considerable amount of judgment. We, the U.S. FDA, the U.S. government, our competitors and other interested parties may not agree on the truthfulness and non-misleading nature of our promotional materials. Federal and state governments or agencies may also seek to find other means to prevent our promotion of unapproved truthful and non-misleading information about VASCEPA.</w:t>
      </w:r>
    </w:p>
    <w:p>
      <w:pPr>
        <w:spacing w:after="0" w:line="7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June 2020, we received a civil investigative demand, or CID, from the U.S. Department of Justice, or the DOJ, informing us that the DOJ is investigating whether aspects of our promotional speaker programs and copayment waiver program during the period from January 1, 2015 to the present violated the U.S. Anti-Kickback Statute and the U.S. Civil False Claims Act, or the FCA, in relation to the sale and marketing of VASCEPA by us and our previous co-marketing partner, Kowa Pharmaceuticals America, Inc., or Kowa America. Similarly, in March 2021, the United States Federal Trade Commission, or the FTC, issued a CID to us in connection with the FTC’s investigation of whether we have engaged in, or are engaging in, anticompetitive practices or unfair methods of competition relating to VASCEPA. The New York State attorney general similarly issued a subpoena to us regarding the same subject matter on which the FTC CID is focused. The inquiries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w:t>
      </w:r>
    </w:p>
    <w:p>
      <w:pPr>
        <w:spacing w:after="0" w:line="94" w:lineRule="exact"/>
        <w:rPr>
          <w:sz w:val="20"/>
          <w:szCs w:val="20"/>
          <w:color w:val="auto"/>
        </w:rPr>
      </w:pPr>
    </w:p>
    <w:p>
      <w:pPr>
        <w:ind w:right="340" w:firstLine="509"/>
        <w:spacing w:after="0" w:line="242" w:lineRule="auto"/>
        <w:rPr>
          <w:sz w:val="20"/>
          <w:szCs w:val="20"/>
          <w:color w:val="auto"/>
        </w:rPr>
      </w:pPr>
      <w:r>
        <w:rPr>
          <w:rFonts w:ascii="Times New Roman" w:cs="Times New Roman" w:eastAsia="Times New Roman" w:hAnsi="Times New Roman"/>
          <w:sz w:val="18"/>
          <w:szCs w:val="18"/>
          <w:color w:val="auto"/>
        </w:rPr>
        <w:t>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be subject to liability based on fair competition-based statutes, such as the Lanham Act. Any allegations that our promotional activities are not truthful or misleading, even allegations without merit, could cause reputational harm and adversely affect our ability to operate our business and our results of operations.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8" w:name="page49"/>
    <w:bookmarkEnd w:id="4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effectively against our competitors’ pharmaceutical products.</w:t>
      </w:r>
    </w:p>
    <w:p>
      <w:pPr>
        <w:spacing w:after="0" w:line="108"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It is probable that the number of companies seeking to develop products and therapies similar to VASCEPA will increase. Many of these and other existing or potential competitors may have substantially greater financial, technical and human resources than we do and may be better equipped to develop, manufacture and market products. These companies may develop and introduce products and processes competitive with, more efficient than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73"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8"/>
          <w:szCs w:val="18"/>
          <w:color w:val="auto"/>
        </w:rPr>
        <w:t>Our competitors include large, well-established pharmaceutical and generic companies, specialty and generic pharmaceutical sales and marketing companies, and specialized cardiovascular treatment companies. With generic versions of VASCEPA launched in the U.S. by Hikma in November 2020, Dr. Reddy's in June 2021, Apotex in January 2022 and Teva for the 0.5-gram capsule only in September 2022, and with the potential for further generic versions being launched, it may not be viable for us to continue to invest in market education to grow the market and our ability to maintain current promotional efforts and attract favorable commercial terms in several aspects of our business will likely be adversely affected as we face increased generic competition, or if we launch our own generic version of VASCEPA.</w:t>
      </w:r>
    </w:p>
    <w:p>
      <w:pPr>
        <w:spacing w:after="0" w:line="79" w:lineRule="exact"/>
        <w:rPr>
          <w:sz w:val="20"/>
          <w:szCs w:val="20"/>
          <w:color w:val="auto"/>
        </w:rPr>
      </w:pPr>
    </w:p>
    <w:p>
      <w:pPr>
        <w:ind w:right="160" w:firstLine="509"/>
        <w:spacing w:after="0" w:line="226" w:lineRule="auto"/>
        <w:rPr>
          <w:sz w:val="20"/>
          <w:szCs w:val="20"/>
          <w:color w:val="auto"/>
        </w:rPr>
      </w:pPr>
      <w:r>
        <w:rPr>
          <w:rFonts w:ascii="Times New Roman" w:cs="Times New Roman" w:eastAsia="Times New Roman" w:hAnsi="Times New Roman"/>
          <w:sz w:val="18"/>
          <w:szCs w:val="18"/>
          <w:color w:val="auto"/>
        </w:rPr>
        <w:t>Woodward Pharma Services LLC currently sells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it acquired from GlaxoSmithKline plc in the third quarter of 2021.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 prescription-only omega-3 fatty acid indicated for patients with severe hypertriglyceridemia, was approved by the U.S. FDA in 2004 and has been on the market in the United States since 2005. Multiple generic versions of Lovaza are available in the United States. Other large companies with competitive products include AbbVie, Inc., which currently sells Tricor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Trilipix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severe hypertriglyceridemia and Niaspan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U.S. FDA-approved indicated uses, even though such products do not have U.S. FDA approval to reduce CV risk on top of statin therapy.</w:t>
      </w:r>
    </w:p>
    <w:p>
      <w:pPr>
        <w:spacing w:after="0" w:line="78"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In addition, in April 2014, Omtryg (omega-3-acid ethyl esters A) capsules, a free fatty acid form of omega-3 (comprised of 50% EPA and 40% DHA), developed by Trygg Pharma AS, received U.S. FDA approval for severe hypertriglyceridemia. Omtryg has not been commercially launched, but could launch at any time.</w:t>
      </w:r>
    </w:p>
    <w:p>
      <w:pPr>
        <w:spacing w:after="0" w:line="6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AstraZeneca conducted a long-term outcomes study to assess Statin Residual Risk Reduction With EpaNova in HiGh Cardiovascular Risk PatienTs With Hypertriglyceridemia, or STRENGTH. The study was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On January 13, 2020 following the recommendation of an independent Data Monitoring Committee, AstraZeneca decided to close the STRENGTH trial due to its low likelihood of demonstrating benefit to patients with mixed dyslipidemia who are at increased risk of cardiovascular disease. Full data from the STRENGTH trial was presented at the AHA's Scientific Sessions in November 2020, confirming that Epanova failed to meet the primary endpoint of CV risk reduction, and published in Journal of the American Medical Association (JAMA) in December 2020. In addition, in March 2017, Kowa Research Institute (a subsidiary of the Japanese company Kowa Co., Ltd) initiated a Phase 3 cardiovascular outcomes trial titled PROMINENT examining the effect of pemafibrate (experimental name K-877) in reducing cardiovascular events in Type II diabetic patients with hypertriglyceridemia. In April 2022, Kowa Research Institute announced the decision to not continue the PROMINENT study as the primary endpoint was unlikely to be met. Results of the PROMINENT trial are scheduled to be presented at the 2022 American Heart Association Scientific Session in November 2022.</w:t>
      </w:r>
    </w:p>
    <w:p>
      <w:pPr>
        <w:spacing w:after="0" w:line="77"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During 2018, two outcomes studies were completed of omega-3 mixtures which both failed to achieve their primary endpoints of cardiovascular risk reduction and two meta-analyses were published showing that omega-3 mixtures of are not effective in lowering cardiovascular risk. Results and analyses of these failed outcomes studies, as described below, while not done with VASCEPA, may negatively affect sales of VASCEPA if omega-3 mixtures are broadly viewed as ineffective.</w:t>
      </w:r>
    </w:p>
    <w:p>
      <w:pPr>
        <w:spacing w:after="0" w:line="69"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For example, results of one of these two studies, the VITamin D and OmegA-3 TriaL, or VITAL, as announced immediately before the presentation of REDUCE-IT results at the 2018 Scientific Sessions of the AHA on November 10, 2018, failed to achieve its primary endpoint of lowering cardiovascular events. VITAL was an NIH funded randomized double-blind, placebo-controlled, 2x2 factorial trial of 2000 IU per day of vitamin D3 and 1 gram per day of omega-3 fatty acid mixture supplementation (Lovaza) for the primary prevention of cancer and cardiovascular disease in a nationwide USA cohort of 25,874 adults not selected for elevated cardiovascular or cancer risk.</w:t>
      </w:r>
    </w:p>
    <w:p>
      <w:pPr>
        <w:spacing w:after="0" w:line="69"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Likewise, in 2018, results from the other outcome study, A Study of Cardiovascular Events iN Diabetes (ASCEND) trial were released and showed negligible results for omega-3 fatty acid mixtures 1 gram daily. ASCEND was a British Heart Foundation funded 2x2 factorial design, randomized study to assess whether aspirin 100 mg daily versus placebo and separately, omega-3 fatty acid mixtures 1 gram daily versus placebo, reduce the risk of cardiovascular events in a nationwide United Kingdom, or UK, cohort of over 15,000 individuals with diabetes who do not have ASCVD.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9" w:name="page50"/>
    <w:bookmarkEnd w:id="49"/>
    <w:p>
      <w:pPr>
        <w:ind w:firstLine="509"/>
        <w:spacing w:after="0" w:line="245" w:lineRule="auto"/>
        <w:rPr>
          <w:sz w:val="20"/>
          <w:szCs w:val="20"/>
          <w:color w:val="auto"/>
        </w:rPr>
      </w:pPr>
      <w:r>
        <w:rPr>
          <w:rFonts w:ascii="Times New Roman" w:cs="Times New Roman" w:eastAsia="Times New Roman" w:hAnsi="Times New Roman"/>
          <w:sz w:val="18"/>
          <w:szCs w:val="18"/>
          <w:color w:val="auto"/>
        </w:rPr>
        <w:t>In a meta-analysis, presented in 2018 by the Cochrane Foundation and separately as published in JAMA, additional omega-3 studies were evaluated. Similar to the VITAL and ASCEND studies, most of the studies in these omega-3 meta-analyses were of omega-3 mixtures, including DHA, and most were studies of relatively low doses of omega-3 as is associated with dietary supplementation and/or they studied relatively low risk patient populations. The exception was the JELIS study, conducted in Japan, of highly pure EPA which showed a positive outcome benefit but had significant limitations in its application to a wider population. The negative results from such omega-3 mixture studies could create misleading impressions about the use of omega-3s generally, including VASCEPA, despite REDUCE-IT positive results and the highly-pure and stable EPA active ingredient in VASCEPA and its higher dose regimen.</w:t>
      </w:r>
    </w:p>
    <w:p>
      <w:pPr>
        <w:spacing w:after="0" w:line="87" w:lineRule="exact"/>
        <w:rPr>
          <w:sz w:val="20"/>
          <w:szCs w:val="20"/>
          <w:color w:val="auto"/>
        </w:rPr>
      </w:pPr>
    </w:p>
    <w:p>
      <w:pPr>
        <w:ind w:right="220" w:firstLine="509"/>
        <w:spacing w:after="0" w:line="242" w:lineRule="auto"/>
        <w:rPr>
          <w:sz w:val="20"/>
          <w:szCs w:val="20"/>
          <w:color w:val="auto"/>
        </w:rPr>
      </w:pPr>
      <w:r>
        <w:rPr>
          <w:rFonts w:ascii="Times New Roman" w:cs="Times New Roman" w:eastAsia="Times New Roman" w:hAnsi="Times New Roman"/>
          <w:sz w:val="18"/>
          <w:szCs w:val="18"/>
          <w:color w:val="auto"/>
        </w:rPr>
        <w:t>More recently, in 2020, an additional Nordic trial known as OMEMI failed to demonstrate a reduction in cardiovascular events with an omega-3 fatty acid mixture. OMEMI, an investigator-initiated, multi-center, randomized clinical trial, was designed to evaluate the effects of daily treatment with omega-3 fatty acids compared with placebo among elderly patients (age 70-82) with recent myocardial infarction. Patients received 1.8 g omega-3 fatty acids (930 mg EPA and 660 mg DH) or placebo (corn oil) daily added to standard of care. Results presented in November 2020 at the AHA’s Scientific Sessions showed no significant differences in cardiovascular events between the treatment groups for the composite primary endpoint (non-fatal MI, unscheduled revascularization, stroke, hospitalization for heart failure or all-cause mortality), nor for the individual component of this endpoint after two years.</w:t>
      </w:r>
    </w:p>
    <w:p>
      <w:pPr>
        <w:spacing w:after="0" w:line="92"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Matinas BioPharma, Inc., or Matinas, is developing an omega-3-based therapeutic (MAT9001 also known as LYPDISO) for the treatment of severe hypertriglyceridemia and mixed dyslipidemia. In the fourth quarter of 2014 Matinas filed an IND with the U.S. FDA to conduct a human study in the treatment of severe hypertriglyceridemia and, in June 2015, the company announced topline results for its head-to-head comparative short duration pharmacokinetic and pharmacodynamic study of LYPDISO versus VASCEPA in patients under conditions inconsistent with the U.S. FDA-approved label for VASCEPA and presented results based on biomarker modification without outcomes data. In September 2017, Matinas announced that it will be seeking a partner company to develop and commercialize LYPDISO In March 2019, Matinas announced that net proceeds from a public offering of common stock would be used for development activities for LYPDISO In March 2020, Matinas announced that it completed the clinical dosing for a comparative clinical bridging bioavailability study and the in-life portion of a 90-day comparative toxicology study in the first quarter of 2020. Both studies were conducted to support a planned 505(b)(2) registration pathway. In March, Matinas also initiated an additional Phase 2 head-to-head pharmacokinetic and pharmacodynamic study, ENHANCE-IT, against VASCEPA in patients with elevated triglycerides (150-499 mg/dL), while the study was paused in the first quarter of 2020 due to the COVID-19 pandemic, enrollment resumed in June and was completed in August 2020. In the first quarter of 2021, Matinas announced topline results from the ENHANCE-IT study, stating that LYPDISO, or MAT9001, did not meet statistical significance over VASCEPA on the primary endpoint of percent change from baseline to end of treatment in triglycerides in the PD population. A key secondary endpoint in ENHANCE-IT was the measurement of eicosapentaenoic acid levels in the blood, which is regarded as a key surrogate marker in determining cardiovascular risk reduction. In ENHANCE-IT, plasma EPA concentrations were significantly higher with LYPDISO versus VASCEPA, with a 46% relative percentage increase in the change from baseline EPA level versus VASCEPA. ENHANCE-IT study results were published in March 2022 in the Journal of the American Heart Association (JAHA). Matinas has announced that the results from ENHANCE-IT suggest potential for LYPDISO as a drug for cardiovascular risk reduction and announced that it is pursuing external partnerships to further develop LYPDISO for cardiovascular outcomes indication. As a result, Matinas no longer plans to pursue an indication for the treatment of severe HTG, instead focusing on the broader cardiovascular risk reduction indication.</w:t>
      </w:r>
    </w:p>
    <w:p>
      <w:pPr>
        <w:spacing w:after="0" w:line="82"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In June 2018, NeuroBo Pharmaceuticals, Inc. (previously named Gemphire Therapeutics) announced positive topline results from a Phase 2b trial, or INDIGO-1, of its drug candidate, Gemcabene, in patients with severe hypertriglyceridemia. Gemcabene is an oral, once-daily pill for a number of hypercholesterolemic populations and severe hypertriglyceridemia. In August 2018, the U.S. FDA requested that Gemphire conduct an additional long-term toxicity study before commencing any further clinical testing, thereby effectively placing Gemcabene on clinical hold. In March 2020 NeuroBo announced the completion of the requested studies, and in May 2020 the company announced that it received written communication from the U.S. FDA that the clinical development program for Gemcabene remains on partial clinical hold for severe HTG. In June 2019, Gemphire announced top-line clinical results from a Phase 2 trial in Familial Partial Lipodystrophy (FPL)/NASH in which Gemcabene safely met the primary endpoint in a sub-set of patients. Phase 3 studies for homozygous familial (hypercholesterolemia, or HoFH), heterozygous familial hypercholesterolemia, or HeFH, and non-familial hypercholesterolemia in ASCVD patients are planned. NeuroBO is currently assessing Gemcabene for additional indications, including, as an acute treatment for COVID-19.</w:t>
      </w:r>
    </w:p>
    <w:p>
      <w:pPr>
        <w:spacing w:after="0" w:line="78"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Afimmune Ltd. has an oral, small molecule drug candidate, epeleuton (DS-102), in development for a number of conditions of the liver, lung, and metabolic system, including hypertriglyceridemia and cardiovascular risk reduction, Phase 2 clinical trials are currently ongoing for non-alcoholic fatty liver disease, or NAFLD, chronic obstructive pulmonary disease, or COPD, and planned for hypertriglyceridemia and type 2 diabetes (TRIAGE), in the United States. In November 2019, Afimmune Ltd. announced positive results from an exploratory Phase 2 study of epeleuton in patients with NAFLD in which the molecule decreased triglycerides, improved glycemic control, and decreased markers of inflammation. In August 2020, Afimmune reported Ph2a study results of epeleuton in patients with NAFLD. Although epeleuton failed to meet the primary endpoint to demonstrate effects on liver enzyme elevation, it demonstrated significant reduction of triglycerides, HbA1c and potential for CV risk reduction. In September 2020, Afimmune announced the start of TRIglyceride And Glucose control with Epeleuton in Metabolic Syndrome Patients, or TRIAGE, a</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0" w:name="page51"/>
    <w:bookmarkEnd w:id="50"/>
    <w:p>
      <w:pPr>
        <w:ind w:right="260"/>
        <w:spacing w:after="0" w:line="258" w:lineRule="auto"/>
        <w:rPr>
          <w:sz w:val="20"/>
          <w:szCs w:val="20"/>
          <w:color w:val="auto"/>
        </w:rPr>
      </w:pPr>
      <w:r>
        <w:rPr>
          <w:rFonts w:ascii="Times New Roman" w:cs="Times New Roman" w:eastAsia="Times New Roman" w:hAnsi="Times New Roman"/>
          <w:sz w:val="18"/>
          <w:szCs w:val="18"/>
          <w:color w:val="auto"/>
        </w:rPr>
        <w:t>Phase IIb study of epeleuton in patients with high triglycerides and type 2 diabetes to assess the safety and efficacy of orally administered epeleuton capsules vs placebo in the treatment of hypertriglyceridemia and type 2 diabetes. The trial completed in May 2022 and results are expected in the fourth quarter of 2022.</w:t>
      </w:r>
    </w:p>
    <w:p>
      <w:pPr>
        <w:spacing w:after="0" w:line="61" w:lineRule="exact"/>
        <w:rPr>
          <w:sz w:val="20"/>
          <w:szCs w:val="20"/>
          <w:color w:val="auto"/>
        </w:rPr>
      </w:pPr>
    </w:p>
    <w:p>
      <w:pPr>
        <w:ind w:right="200" w:firstLine="509"/>
        <w:spacing w:after="0" w:line="244" w:lineRule="auto"/>
        <w:rPr>
          <w:sz w:val="20"/>
          <w:szCs w:val="20"/>
          <w:color w:val="auto"/>
        </w:rPr>
      </w:pPr>
      <w:r>
        <w:rPr>
          <w:rFonts w:ascii="Times New Roman" w:cs="Times New Roman" w:eastAsia="Times New Roman" w:hAnsi="Times New Roman"/>
          <w:sz w:val="18"/>
          <w:szCs w:val="18"/>
          <w:color w:val="auto"/>
        </w:rPr>
        <w:t>Based on prior communications from the U.S. FDA, including communications in connection with its review of the ANCHOR indication for VASCEPA, it is our understanding that the U.S. FDA is not prepared to approve any therapy for treatment of cardiovascular risk based on biomarker modification without cardiovascular outcomes study data, with the potential exception of therapies which lower LDL-cholesterol, depending on the circumstances. In particular, it is our understanding that the U.S. FDA is not prepared to approve any therapy based primarily on data demonstrating lowering of triglyceride levels. In our view, this position from the U.S. FDA did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and extend beyond triglyceride reduction. If the U.S. FDA were to change this position, it could potentially have a negative impact on us by making it easier for other products to achieve a cardiovascular risk reduction indication without the need in advance to conduct a long and expensive cardiovascular outcomes study.</w:t>
      </w:r>
    </w:p>
    <w:p>
      <w:pPr>
        <w:spacing w:after="0" w:line="77"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7"/>
          <w:szCs w:val="17"/>
          <w:color w:val="auto"/>
        </w:rPr>
        <w:t>VASCEPA also faces competition from dietary supplement manufacturers marketing omega-3 products as nutritional supplements. Such products are classified as food, not as prescription drugs or over-the-counter drugs, by the U.S. FDA in the United States. Most regulatory regimes outside the United States are similar in this regard. Some of the promoters of such products have greater resources than us and are not restricted to the same standards as are prescription drugs with respect to promotional claims or manufacturing quality, consistency and subsequent product stability. Although we have taken successful legal action against supplement manufacturers attempting to use the REDUCE-IT results to promote their products, we cannot be sure physicians and pharmacists will view the U.S. FDA-approved, prescription-only status, and EPA-only purity and stability of VASCEPA or U.S. FDA’s stringent regulatory oversight, as significant advantages versus omega-3 dietary supplements regardless of clinical study results and other scientific data.</w:t>
      </w:r>
    </w:p>
    <w:p>
      <w:pPr>
        <w:spacing w:after="0" w:line="59"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Although VASCEPA is currently the only drug that is approved for cardiovascular risk reduction in Europe in the at-risk patient population studied in REDUCE-IT, and there is currently no other direct competition for Canada and the Middle East, consistent with the U.S., our competitors include large, well-established and experienced pharmaceutical companies, specialty and generic pharmaceutical companies, marketing companies, and specialized cardiovascular treatment companies and we have no experience as a company self-commercializing a product outside of the United States.</w:t>
      </w:r>
    </w:p>
    <w:p>
      <w:pPr>
        <w:spacing w:after="0" w:line="83" w:lineRule="exact"/>
        <w:rPr>
          <w:sz w:val="20"/>
          <w:szCs w:val="20"/>
          <w:color w:val="auto"/>
        </w:rPr>
      </w:pPr>
    </w:p>
    <w:p>
      <w:pPr>
        <w:ind w:right="20" w:firstLine="509"/>
        <w:spacing w:after="0" w:line="232" w:lineRule="auto"/>
        <w:rPr>
          <w:sz w:val="20"/>
          <w:szCs w:val="20"/>
          <w:color w:val="auto"/>
        </w:rPr>
      </w:pPr>
      <w:r>
        <w:rPr>
          <w:rFonts w:ascii="Times New Roman" w:cs="Times New Roman" w:eastAsia="Times New Roman" w:hAnsi="Times New Roman"/>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/Omacor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211" w:lineRule="exact"/>
        <w:rPr>
          <w:sz w:val="20"/>
          <w:szCs w:val="20"/>
          <w:color w:val="auto"/>
        </w:rPr>
      </w:pPr>
    </w:p>
    <w:p>
      <w:pPr>
        <w:ind w:right="74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As generic company competitors seek to compete with copies of VASCEPA in the United States and elsewhere we could face additional challenges to our patents and additional patent litigation.</w:t>
      </w:r>
    </w:p>
    <w:p>
      <w:pPr>
        <w:spacing w:after="0" w:line="63" w:lineRule="exact"/>
        <w:rPr>
          <w:sz w:val="20"/>
          <w:szCs w:val="20"/>
          <w:color w:val="auto"/>
        </w:rPr>
      </w:pPr>
    </w:p>
    <w:p>
      <w:pPr>
        <w:jc w:val="both"/>
        <w:ind w:right="20" w:firstLine="509"/>
        <w:spacing w:after="0" w:line="244" w:lineRule="auto"/>
        <w:rPr>
          <w:sz w:val="20"/>
          <w:szCs w:val="20"/>
          <w:color w:val="auto"/>
        </w:rPr>
      </w:pPr>
      <w:r>
        <w:rPr>
          <w:rFonts w:ascii="Times New Roman" w:cs="Times New Roman" w:eastAsia="Times New Roman" w:hAnsi="Times New Roman"/>
          <w:sz w:val="18"/>
          <w:szCs w:val="18"/>
          <w:color w:val="auto"/>
        </w:rPr>
        <w:t>The FDCA, as amended by the Drug Price Competition and Patent Term Restoration Act of 1984, as amended, or the Hatch-Waxman Amendments, permits the U.S.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74" w:lineRule="exact"/>
        <w:rPr>
          <w:sz w:val="20"/>
          <w:szCs w:val="20"/>
          <w:color w:val="auto"/>
        </w:rPr>
      </w:pPr>
    </w:p>
    <w:p>
      <w:pPr>
        <w:ind w:firstLine="509"/>
        <w:spacing w:after="0" w:line="231" w:lineRule="auto"/>
        <w:rPr>
          <w:sz w:val="20"/>
          <w:szCs w:val="20"/>
          <w:color w:val="auto"/>
        </w:rPr>
      </w:pPr>
      <w:r>
        <w:rPr>
          <w:rFonts w:ascii="Times New Roman" w:cs="Times New Roman" w:eastAsia="Times New Roman" w:hAnsi="Times New Roman"/>
          <w:sz w:val="18"/>
          <w:szCs w:val="18"/>
          <w:color w:val="auto"/>
        </w:rPr>
        <w:t>As an alternate path to U.S. FDA approval for modifications of products previously approved by the U.S. FDA, an applicant may submit a new drug application, or NDA, under Section 505(b)(2) of the FDCA (enacted as part of the Hatch-Waxman 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U.S. FDA findings of safety and effectiveness of a drug that has obtained U.S. FDA approval based on preclinical or clinical studies conducted by others. In addition to relying on U.S. FDA prior findings of safety and effectiveness for a referenced drug product, the U.S. FDA may require companies to perform additional preclinical or clinical studies to support approval of the modification to the referenced product.</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51" w:name="page52"/>
    <w:bookmarkEnd w:id="51"/>
    <w:p>
      <w:pPr>
        <w:ind w:right="40" w:firstLine="509"/>
        <w:spacing w:after="0"/>
        <w:rPr>
          <w:sz w:val="20"/>
          <w:szCs w:val="20"/>
          <w:color w:val="auto"/>
        </w:rPr>
      </w:pPr>
      <w:r>
        <w:rPr>
          <w:rFonts w:ascii="Times New Roman" w:cs="Times New Roman" w:eastAsia="Times New Roman" w:hAnsi="Times New Roman"/>
          <w:sz w:val="18"/>
          <w:szCs w:val="18"/>
          <w:color w:val="auto"/>
        </w:rPr>
        <w:t>If an application for a generic version of a branded product or a Section 505(b)(2) application relies on a prior U.S. FDA finding of safety and effectiveness of a previously-approved product including an alternative strength thereof, the applicant is required to certify to the U.S. FDA concerning any patents listed for the referenced product in the U.S. FDA publication called “Approved Drug Products with Therapeutic Equivalence Evaluations,” otherwise known as the “Orange Book.” Specifically, the applicant must certify in the application that:</w:t>
      </w:r>
    </w:p>
    <w:p>
      <w:pPr>
        <w:spacing w:after="0" w:line="90"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patent information listed for the reference drug;</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 for the reference drug;</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for the reference drug has not expired, but will expire on a particular date and approval is sought after patent expiration; or</w:t>
      </w:r>
    </w:p>
    <w:p>
      <w:pPr>
        <w:spacing w:after="0" w:line="10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for the reference drug is invalid, unenforceable, or will not be infringed by the manufacture, use or sale of the product for which the ANDA or 505(b)(2) NDA is submitted.</w:t>
      </w:r>
    </w:p>
    <w:p>
      <w:pPr>
        <w:spacing w:after="0" w:line="40"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The Hatch-Waxman Amendments require an applicant for a drug product that relies, in whole or in part, on the U.S.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U.S. FDA an acknowledgement letter stating that its ANDA is sufficiently complete to permit a substantive review.</w:t>
      </w:r>
    </w:p>
    <w:p>
      <w:pPr>
        <w:spacing w:after="0" w:line="87"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U.S.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U.S. FDA without regard to a stay. For products entitled to five-year exclusivity status, the Hatch-Waxman Amendments provide that an ANDA application may be submitted after four years following U.S. FDA approval of the branded product if it contains a certification of patent invalidity or non-infringement to a patent listed in the Orange Book.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U.S. FDA’s review of the application may be completed. Such litigation is often time-consuming and costly, and may result in generic competition if such patents are not upheld or if the generic competitor is found not to infringe such patents.</w:t>
      </w:r>
    </w:p>
    <w:p>
      <w:pPr>
        <w:spacing w:after="0" w:line="8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addition to the ANDA patent litigation described above, we could face patent litigation related to the patents filed in the Orange Book related to the REDUCE-IT study.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received three-year exclusivity in connection with the approval of our sNDA for REDUCE-IT study results. Such three-year exclusivity protection precludes, unless otherwise agreed, the U.S. FDA from approving a marketing application for an ANDA, a product candidate that the U.S. FDA views as having the same conditions of approval as VASCEPA (for example, the same indication and/or other conditions of use), or a 505(b)(2) NDA submitted to the U.S. FDA with VASCEPA as the reference product until December 13, 2022, three years from the date of U.S. FDA approval of the REDUCE-IT sNDA. While this three-year exclusivity would generally prevent such an approval based on our REDUCE-IT indication during such time, it does not preclude tentative or final approval of an ANDA based on our MARINE indication. The U.S. FDA may accept and commence review of such REDUCE-IT-related applications during the three-year exclusivity period. Such three-year exclusivity grant does not prevent a company from challenging the validity of REDUCE-IT patents during such period. This three-year form of exclusivity may also not prevent the U.S. FDA from approving an NDA that relies only on its own data to support the change or innovation. Regulatory exclusivity is in addition to exclusivity afforded by issued patents related to VASCEPA.</w:t>
      </w:r>
    </w:p>
    <w:p>
      <w:pPr>
        <w:spacing w:after="0" w:line="81"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We may also face challenges to the validity of our patents through a procedure known as inter partes review. Inter partes review is a trial proceeding conducted through the Patent Trial and Appeal Board, of the USPTO. Such a proceeding could be introduced against us within the statutory one-year window triggered by service of a complaint for infringement related to an ANDA filing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69" w:lineRule="exact"/>
        <w:rPr>
          <w:sz w:val="20"/>
          <w:szCs w:val="20"/>
          <w:color w:val="auto"/>
        </w:rPr>
      </w:pPr>
    </w:p>
    <w:p>
      <w:pPr>
        <w:ind w:right="220" w:firstLine="509"/>
        <w:spacing w:after="0" w:line="253" w:lineRule="auto"/>
        <w:rPr>
          <w:sz w:val="20"/>
          <w:szCs w:val="20"/>
          <w:color w:val="auto"/>
        </w:rPr>
      </w:pPr>
      <w:r>
        <w:rPr>
          <w:rFonts w:ascii="Times New Roman" w:cs="Times New Roman" w:eastAsia="Times New Roman" w:hAnsi="Times New Roman"/>
          <w:sz w:val="18"/>
          <w:szCs w:val="18"/>
          <w:color w:val="auto"/>
        </w:rPr>
        <w:t>We intend to vigorously enforce our intellectual property rights relating to VASCEPA, but we cannot predict the outcome of the pending lawsuits, any appeals, or any subsequently filed lawsuits or inter partes review.</w:t>
      </w: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2" w:name="page53"/>
    <w:bookmarkEnd w:id="52"/>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Generally, if an ANDA filer meets the approval requirements for a generic version of VASCEPA to the satisfaction of the U.S. FDA under its ANDA, U.S. FDA may grant tentative approval to the ANDA during a Hatch-Waxman 30-month stay period and during the Hatch-Waxman 36-month regulatory exclusivity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applicable exclusivity protections have expired.</w:t>
      </w:r>
    </w:p>
    <w:p>
      <w:pPr>
        <w:spacing w:after="0" w:line="69"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8"/>
          <w:szCs w:val="18"/>
          <w:color w:val="auto"/>
        </w:rPr>
        <w:t>Generic versions of VASCEPA made available in the market, even if based on a MARINE indication, are often used to fill a prescription for any intended use of the drug. If any approved ANDA filers are able to supply the product in significant commercial quantities, generic companies could introduce generic versions of VASCEPA in the market, as did Hikma in November 2020, Dr. Reddy's in June 2021, Apotex in January 2022 and Teva for the 0.5-gram capsule only in September 2022. Although any such introduction of a generic version of VASCEPA would also be subject to any litigation settlement terms and patent infringement claims (including any new claims and those that may then be subject to an appeal), pursuing such litigation may be prohibitively costly or could put a substantial constraint on our resources.</w:t>
      </w:r>
    </w:p>
    <w:p>
      <w:pPr>
        <w:spacing w:after="0" w:line="87"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On July 9, 2021, President Biden issued an executive order directing the U.S. FDA to, among other things, continue to clarify and improve the approval framework for generic drugs and identify and address any efforts to impede generic drug competition.</w:t>
      </w:r>
    </w:p>
    <w:p>
      <w:pPr>
        <w:spacing w:after="0" w:line="5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Any significant degree of generic market entry would limit our U.S. sales, which would have a significant adverse impact on our business and results of operations. In addition, even if a competitor’s effort to introduce a generic product is ultimately unsuccessful, the perception that such development is in progress and/or news related to such progress or news related to litigation outcomes could materially affect the reputation of VASCEPA or the perceived value of our company and our stock price. In addition, generic market entry, whether limited to its approved indication or not, can create market disruption which leads to an overall slowing of market growth regardless of whether the net price of the generic entry is higher or lower than the net price of the branded drug. Such disruption includes potential stock shortages of the generic market entry at retail pharmacies and wholesalers which can cause filling of prescriptions for patients to be delayed or abandoned. Sponsors of generic entries typically do not fund market education initiatives to help healthcare professionals and at-risk patients learn about a new drug, which, particularly for a recently launched drug, can potentially limit overall growth. And certain States impose restrictions on the promotion of branded drugs, particularly if the generic market entry is less expensive than the branded drug. While some companies with generic competition elect to launch an authorized generic form of the drug to counter the perception, real or imagined, that generics are less expensive, if launched, an authorized generic is typically aligned with reduction or elimination of promotion of the associated branded drug, thus limiting the extent of market growth and potentially contracting the overall size of the realized market penetration. While an authorized generic could be profitable the market opportunity for growth from an authorized generic is likely less than from promotion of a branded drug, and as such we have not launched an authorized generic version of VASCEPA to date, but may elect to do so in the future.</w:t>
      </w:r>
    </w:p>
    <w:p>
      <w:pPr>
        <w:spacing w:after="0" w:line="220"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The active pharmaceutical ingredient in VASCEPA is difficult and time consuming to manufacture, often requires considerable advanced planning and long-term financial commitments to ensure sufficient capacity is available when needed. One of our generic competitors has filed a lawsuit against us claiming we have engaged in anticompetitive practices related to our building of adequate supply for our needs and government agencies are investigating our business as it relates to the supply of the active pharmaceutical ingredient in VASCEPA. Consumer lawsuits with similar allegations have also been filed. This dynamic and resulting regulatory scrutiny could be costly for us and could negatively and materially interfere with our business plans.</w:t>
      </w:r>
    </w:p>
    <w:p>
      <w:pPr>
        <w:spacing w:after="0" w:line="86"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The active pharmaceutical ingredient in VASCEPA is difficult and time consuming to manufacture, often requires considerable advanced planning and necessitates long-term financial commitments to ensure sufficient capacity is available when needed. We have invested over a decade of resources and expenses to develop with our third-party, active pharmaceutical ingredient supply chain the technical knowhow, manufacturing processes and related regulatory approvals that have helped enable our suppliers to supply our clinical and commercial needs globally.</w:t>
      </w:r>
    </w:p>
    <w:p>
      <w:pPr>
        <w:spacing w:after="0" w:line="69"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As has been a practice in the generic pharmaceutical industry, on April 27, 2021, Dr. Reddy’s filed a complaint against us in the United States District Court District of New Jersey (case no. 2:21-cv-10309) alleging various antitrust violations stemming from alleged anticompetitive practices related to the supply of active pharmaceutical ingredient of VASCEPA. Damages sought include recovery for alleged economic harm to Dr. Reddy’s, payors, and consumers, treble damages and other costs and fees. Injunctive relief against the alleged violative activities is also being sought by Dr. Reddy’s. Consumer group lawsuits followed claiming similar violations and alleging, for example, that such alleged violations resulted in higher prices to consumers. Such litigation can be lengthy, costly and could materially affect and disrupt our business. We believe we have valid defenses and will vigorously defend against the claims but cannot predict the outcome.</w:t>
      </w:r>
    </w:p>
    <w:p>
      <w:pPr>
        <w:spacing w:after="0" w:line="73" w:lineRule="exact"/>
        <w:rPr>
          <w:sz w:val="20"/>
          <w:szCs w:val="20"/>
          <w:color w:val="auto"/>
        </w:rPr>
      </w:pPr>
    </w:p>
    <w:p>
      <w:pPr>
        <w:ind w:right="200" w:firstLine="509"/>
        <w:spacing w:after="0" w:line="245" w:lineRule="auto"/>
        <w:rPr>
          <w:sz w:val="20"/>
          <w:szCs w:val="20"/>
          <w:color w:val="auto"/>
        </w:rPr>
      </w:pPr>
      <w:r>
        <w:rPr>
          <w:rFonts w:ascii="Times New Roman" w:cs="Times New Roman" w:eastAsia="Times New Roman" w:hAnsi="Times New Roman"/>
          <w:sz w:val="18"/>
          <w:szCs w:val="18"/>
          <w:color w:val="auto"/>
        </w:rPr>
        <w:t>We have also received a civil investigative demand from the U.S. FTC and a subpoena from the New York Attorney General with respect to practices relating to our supply of the active pharmaceutical ingredient in VASCEPA. We believe such contact from the governments may have been prompted by a generic competitor. The government inquiries require us to produce documents and answer related questions relevant to specified time periods. We are cooperating with the agencies. Such investigations can be lengthy, costly and could materially affect and disrupt our business. We cannot predict when these investigations will be resolved, the outcome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3" w:name="page54"/>
    <w:bookmarkEnd w:id="53"/>
    <w:p>
      <w:pPr>
        <w:ind w:right="560"/>
        <w:spacing w:after="0" w:line="282" w:lineRule="auto"/>
        <w:rPr>
          <w:sz w:val="20"/>
          <w:szCs w:val="20"/>
          <w:color w:val="auto"/>
        </w:rPr>
      </w:pPr>
      <w:r>
        <w:rPr>
          <w:rFonts w:ascii="Times New Roman" w:cs="Times New Roman" w:eastAsia="Times New Roman" w:hAnsi="Times New Roman"/>
          <w:sz w:val="18"/>
          <w:szCs w:val="18"/>
          <w:color w:val="auto"/>
        </w:rPr>
        <w:t>of the investigations or their potential impact on our business. If a government determines that we have violated antitrust law, we could be subject to significant civil fines and penalties.</w:t>
      </w:r>
    </w:p>
    <w:p>
      <w:pPr>
        <w:spacing w:after="0" w:line="171" w:lineRule="exact"/>
        <w:rPr>
          <w:sz w:val="20"/>
          <w:szCs w:val="20"/>
          <w:color w:val="auto"/>
        </w:rPr>
      </w:pPr>
    </w:p>
    <w:p>
      <w:pPr>
        <w:ind w:right="38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VASCEPA is a prescription-only omega-3 fatty acid product. Omega-3 fatty acids are also marketed by other companies as non-prescription dietary supplements. As a result, in the U.S. VASCEPA is subject to non-prescription competition and consumer substitution.</w:t>
      </w:r>
    </w:p>
    <w:p>
      <w:pPr>
        <w:spacing w:after="0" w:line="63"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and other providers will view the U.S. FDA approval, pharmaceutical grade purity and proven efficacy and safety of VASCEPA as having a superior therapeutic profile to unproven and loosely regulated omega-3 fatty acid dietary supplements. In addition, the U.S.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 altered products are dietary supplements and that certain of such products reduce triglyceride levels or could reduce cardiovascular risk.</w:t>
      </w:r>
    </w:p>
    <w:p>
      <w:pPr>
        <w:spacing w:after="0" w:line="78"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 xml:space="preserve">Also, for over a decade, subject to certain limitations, the U.S. FDA has expressly permitted dietary supplement manufacturers that sell supplements containing the omega-3 fatty acids EPA and/or DHA to make the following qualified health claim directly to consumers: </w:t>
      </w:r>
      <w:r>
        <w:rPr>
          <w:rFonts w:ascii="Times New Roman" w:cs="Times New Roman" w:eastAsia="Times New Roman" w:hAnsi="Times New Roman"/>
          <w:sz w:val="18"/>
          <w:szCs w:val="18"/>
          <w:i w:val="1"/>
          <w:iCs w:val="1"/>
          <w:color w:val="auto"/>
        </w:rPr>
        <w:t>Supportive but not conclusive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research shows that consumption of EPA and DHA omega-3 fatty acids may reduce the risk of coronary heart disease. </w:t>
      </w:r>
      <w:r>
        <w:rPr>
          <w:rFonts w:ascii="Times New Roman" w:cs="Times New Roman" w:eastAsia="Times New Roman" w:hAnsi="Times New Roman"/>
          <w:sz w:val="18"/>
          <w:szCs w:val="18"/>
          <w:color w:val="auto"/>
        </w:rPr>
        <w:t>Such companies are not,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based on U.S. FDA enforcement activity, to make claims that suggest or imply treatment of cardiovascular disease.</w:t>
      </w:r>
    </w:p>
    <w:p>
      <w:pPr>
        <w:spacing w:after="0" w:line="6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These factors enable dietary supplements to compete with VASCEPA to a certain degree. Although we have taken steps to address these competitive issues, and plan to continue to do so vigorously, we may not be successful in such efforts.</w:t>
      </w:r>
    </w:p>
    <w:p>
      <w:pPr>
        <w:spacing w:after="0" w:line="40"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For example, on October 29, 2018, we filed two lawsuits in U.S. federal court, each against a different dietary supplement company for unlawfully using the results from the REDUCE-IT cardiovascular outcomes study to falsely and deceptively claim that their omega-3 dietary supplement products are effective in reducing cardiovascular risk. The defendants in the cases were Omax Health, Inc., or Omax, and The Coromega Company, Inc., or Coromega. In April 2019, based on the strength of our case and available legal remedies, Omax and Coromega settled these litigations under terms by which Omax and Coromega agreed to substantially all the demands in our complaints. Under the settlements, Coromega and Omax agreed to publicly correct their prior statements that wrongly suggested the REDUCE-IT cardiovascular outcomes trial supports the safety and efficacy of omega-3 dietary supplements. Each dietary supplement company also acknowledged that as a general matter under federal law dietary supplements may be lawfully marketed to supplement the diet, but they cannot be lawfully marketed to treat, mitigate, or prevent disease, such as cardiovascular disease.</w:t>
      </w:r>
    </w:p>
    <w:p>
      <w:pPr>
        <w:spacing w:after="0" w:line="78"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Similarly, on August 30, 2017, we filed a lawsuit with the United States International Trade Commission, or the ITC, against manufacturers, importers, and distributors of products containing synthetically produced omega-3 products in ethyl ester or re-esterified triglyceride form that contain more EPA than DHA or any other single component for use in or as dietary supplements. The lawsuit sought an investigation by the ITC regarding potentially unfair methods of competition and unfair acts involving the importation and sale of articles in the United States that injure or threaten injury to a domestic industry. In October 2017, the ITC determined to not institute our requested investigation. We appealed this determination to the U.S. Federal Circuit, but that court upheld ITC’s determination. On July 30, 2019, we filed a petition with the U.S. Supreme Court seeking to appeal the Federal Circuit decision, which petition was denied on December 9, 2019, ending this litigation. We have also engaged with U.S. FDA on the topic of synthetically produced omega-3 products through the citizen’s petition process and otherwise.</w:t>
      </w:r>
    </w:p>
    <w:p>
      <w:pPr>
        <w:spacing w:after="0" w:line="71" w:lineRule="exact"/>
        <w:rPr>
          <w:sz w:val="20"/>
          <w:szCs w:val="20"/>
          <w:color w:val="auto"/>
        </w:rPr>
      </w:pPr>
    </w:p>
    <w:p>
      <w:pPr>
        <w:ind w:right="120" w:firstLine="509"/>
        <w:spacing w:after="0" w:line="242" w:lineRule="auto"/>
        <w:rPr>
          <w:sz w:val="20"/>
          <w:szCs w:val="20"/>
          <w:color w:val="auto"/>
        </w:rPr>
      </w:pPr>
      <w:r>
        <w:rPr>
          <w:rFonts w:ascii="Times New Roman" w:cs="Times New Roman" w:eastAsia="Times New Roman" w:hAnsi="Times New Roman"/>
          <w:sz w:val="18"/>
          <w:szCs w:val="18"/>
          <w:color w:val="auto"/>
        </w:rPr>
        <w:t>In addition, to the extent the net price of VASCEPA to patients after insurance and offered discounts is significantly higher than the prices of commercially available omega-3 fatty acids marketed by other companies as dietary supplements (through the lack of coverage by insurers or otherwise), physicians and pharmacists may recommend these retail alternatives instead of writing or filling prescriptions for VASCEPA or patients may elect on their own to take commercially available omega-3 fatty acids. Also, insurance plans may increasingly impose policies that directly or indirectly favor supplement use over VASCEPA. While VASCEPA is priced comparatively with, or in some cases lower than, many competing treatments, particularly when taking into account insurance coverage, such pricing might not be sufficient for healthcare providers or patients to elect VASCEPA over alternative treatments that may be perceived as less expense or more convenient to access. If healthcare providers or patients favor dietary supplements over prescribing VASCEPA, we may be constrained in how we price our product or VASCEPA’s market acceptance may be less than expected, which would have a negative impact on our revenues and results of operations.</w:t>
      </w:r>
    </w:p>
    <w:p>
      <w:pPr>
        <w:spacing w:after="0" w:line="224" w:lineRule="exact"/>
        <w:rPr>
          <w:sz w:val="20"/>
          <w:szCs w:val="20"/>
          <w:color w:val="auto"/>
        </w:rPr>
      </w:pPr>
    </w:p>
    <w:p>
      <w:pPr>
        <w:ind w:right="100" w:firstLine="517"/>
        <w:spacing w:after="0" w:line="248" w:lineRule="auto"/>
        <w:tabs>
          <w:tab w:leader="none" w:pos="644"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 commercial value of VASCEPA outside the United States may be smaller than we anticipate, including adequacy of product reimbursement, which can vary from country to country. If we are unable to realize product reimbursement rates at reasonable levels, or at all, patient access to VASCEPA may be limited.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4" w:name="page55"/>
    <w:bookmarkEnd w:id="54"/>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There can be no assurance as to the market for VASCEPA outside the United States. For example, despite having received EC approval to commercialize VAZKEPA in Europe and through our partner, Edding, marketing approval for VASCEPA in Hong Kong as well as we expect to obtain through Edding, marketing approval for VASCEPA in Mainland China, Macau and Taiwan, applicable regulatory agencies may impose restrictions on the product’s conditions for use, distribution or marketing and in some cases may impose ongoing requirements for post-market surveillance, post-approval studies or clinical trials.</w:t>
      </w:r>
    </w:p>
    <w:p>
      <w:pPr>
        <w:spacing w:after="0" w:line="69"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Further, securing adequate reimbursement is critical for commercial success of any therapeutic and pricing and reimbursement levels of medications in markets outside the United States can be unpredictable and vary considerably on a country-by-country basis. In some foreign countries, including major markets in Europe, the pricing of prescription pharmaceuticals is subject to governmental control. In these countries, pricing negotiations with individual governmental authorities can take six to 12 months or longer after the receipt of regulatory marketing approval for a product, and is not always successful. For example, after the conclusion of negotiations with the National Association of Statutory Health Insurance Funds, a viable agreement on the reimbursement price of VAZKEPA in Germany could not be reached, and the matter is now moving to the Arbitration Board for a final decision. As a result of the negotiation outcome, we have discontinued our German operations as of September 1, 2022.</w:t>
      </w:r>
    </w:p>
    <w:p>
      <w:pPr>
        <w:spacing w:after="0" w:line="73"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Further, in certain European countries, securing product reimbursement is a requisite to commercial launch. To obtain reimbursement or pricing approval in some countries, we may be required to conduct a pharmacoeconomic study that compares the cost-effectiveness of VASCEPA to other available therapies. Such pharmacoeconomic studies can be costly and the results uncertain. The time required to secure reimbursement tends to vary from country to country and cannot be reliably predicted at this time. Our business could be harmed if reimbursement of our products is unavailable, delayed or limited in scope or amount or if pricing is set at unsatisfactory levels. If the pricing and reimbursement levels of VASCEPA are lower than we anticipate, then affordability of, and market access to, VASCEPA may be adversely affected and thus market potential in these territories would suffer.</w:t>
      </w:r>
    </w:p>
    <w:p>
      <w:pPr>
        <w:spacing w:after="0" w:line="72"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We or our partners may even choose to not proceed with marketing VASCEPA in a market, even after a regulatory approval, due to negative commercial dynamics. Further, with regard to any indications for which we may gain approval in territories outside the United States, the number of actual patients with the condition included in such approved indication may be smaller than we anticipate. In addition, we could face competition from products similar or deemed equivalent to VASCEPA in various jurisdictions through regulatory pathways that are more lenient than in the United States or in jurisdictions in which we do not have exclusivity from regulations or intellectual property. If any of these market dynamics exist, the commercial potential in these territories for our product would suffer.</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marketing efforts are subject to extensive post-approval government regulation.</w:t>
      </w:r>
    </w:p>
    <w:p>
      <w:pPr>
        <w:spacing w:after="0" w:line="10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Once a product candidate receives U.S. FDA marketing approval, numerous post-approval requirements apply. Among other things, the holder of an approved NDA is subject to periodic and other monitoring and reporting obligations enforced by the U.S.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69"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With respect to sales and marketing activities, advertising and promotional materials must comply with U.S.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U.S. FDA and other requirements. In the United States, the distribution of product samples to physicians must comply with the requirements of the U.S. Prescription Drug Marketing Act. Manufacturing facilities remain subject to U.S. FDA inspection and must continue to adhere to the U.S. FDA’s pharmaceutical current good manufacturing practice requirements, or cGMPs. Application holders must obtain U.S. FDA approval for product and manufacturing changes, depending on the nature of the change. In addition, drug manufacturers and other entities involved in the manufacture and distribution of approved drugs are subject to periodic unannounced inspections by the U.S. FDA and state agencies for compliance with cGMP requirements.</w:t>
      </w:r>
    </w:p>
    <w:p>
      <w:pPr>
        <w:spacing w:after="0" w:line="77"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We participate in the U.S. Medicaid Drug Rebate Program, the Federal Supply Schedule, or FSS, of the U.S. Department of Veterans Affairs, or the VA, and other government drug programs, and, accordingly, are subject to complex laws and regulations regarding reporting and payment obligations. We must also comply with requirements to collect and report adverse events and product complaints associated with our products.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87"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Depending on the circumstances, failure to meet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our former co-promotion partner Kowa America. As discussed above, in June 2020, we received a CID from the DOJ informing us that the DOJ is investigating whether aspects of our promotional speaker programs and copayment waiver programs during the period from January 1, 2015 to the present violated the U.S. Anti-Kickback</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5" w:name="page56"/>
    <w:bookmarkEnd w:id="55"/>
    <w:p>
      <w:pPr>
        <w:ind w:right="80"/>
        <w:spacing w:after="0" w:line="242" w:lineRule="auto"/>
        <w:rPr>
          <w:sz w:val="20"/>
          <w:szCs w:val="20"/>
          <w:color w:val="auto"/>
        </w:rPr>
      </w:pPr>
      <w:r>
        <w:rPr>
          <w:rFonts w:ascii="Times New Roman" w:cs="Times New Roman" w:eastAsia="Times New Roman" w:hAnsi="Times New Roman"/>
          <w:sz w:val="18"/>
          <w:szCs w:val="18"/>
          <w:color w:val="auto"/>
        </w:rPr>
        <w:t>Statute and the U.S. FCA in relation to the sale and marketing of VASCEPA by us and our previous co-marketing partner, Kowa America. The New York State attorney general similarly issued a subpoena to us regarding the same subject matter on which the FTC CID is focused. The inquiries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 In addition, even if we comply with U.S. FDA and other requirements, new information regarding the safety or effectiveness of a product could lead the U.S. FDA to modify or withdraw a product approval. Newly discovered or developed safety or effectiveness data may require changes to a drug’s approved labeling and marketing,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w:t>
      </w:r>
    </w:p>
    <w:p>
      <w:pPr>
        <w:spacing w:after="0" w:line="94"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In addition, all of the above factors may also apply to any regulatory approval for VASCEPA obtained in territories outside the United States. In Europe, for example, restrictions regarding off-label promotion are in some ways more stringent than in the United States, including restrictions covering certain communications with shareholders. Given our inexperience with marketing and commercializing products outside the United States, in certain territories we may need to rely on third parties, such as our partners in Canada, China and the Middle East, to assist us in dealing with any such issues and we will have limited or no control over such partners.</w:t>
      </w:r>
    </w:p>
    <w:p>
      <w:pPr>
        <w:spacing w:after="0" w:line="204"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 of the healthcare system in the United States and foreign jurisdictions may affect our ability to profitably sell VASCEPA.</w:t>
      </w:r>
    </w:p>
    <w:p>
      <w:pPr>
        <w:spacing w:after="0" w:line="37"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Our ability to commercialize VASCEPA or any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87" w:lineRule="exact"/>
        <w:rPr>
          <w:sz w:val="20"/>
          <w:szCs w:val="20"/>
          <w:color w:val="auto"/>
        </w:rPr>
      </w:pPr>
    </w:p>
    <w:p>
      <w:pPr>
        <w:jc w:val="both"/>
        <w:ind w:right="200" w:firstLine="509"/>
        <w:spacing w:after="0" w:line="256" w:lineRule="auto"/>
        <w:rPr>
          <w:sz w:val="20"/>
          <w:szCs w:val="20"/>
          <w:color w:val="auto"/>
        </w:rPr>
      </w:pPr>
      <w:r>
        <w:rPr>
          <w:rFonts w:ascii="Times New Roman" w:cs="Times New Roman" w:eastAsia="Times New Roman" w:hAnsi="Times New Roman"/>
          <w:sz w:val="17"/>
          <w:szCs w:val="17"/>
          <w:color w:val="auto"/>
        </w:rPr>
        <w:t>Specifically, in the United States and in some foreign jurisdictions, there have been a number of legislative and regulatory changes and proposed changes to the healthcare system in ways that could affect our ability to sell our products profitably. For example, on August 2, 2011, the Budget Control Act of 2011, among other things, created the Joint Select Committee on Deficit Reduction to recommend to Congress proposals for spending reductions.</w:t>
      </w:r>
    </w:p>
    <w:p>
      <w:pPr>
        <w:spacing w:after="0" w:line="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2030 with the exception of a temporary suspension from May 1, 2020 through March 31, 2022 due to the COVID-19 pandemic. Following the suspension, a 1% payment reduction occurred from April 1, 2022 through June 30, 2022, and the 2% payment reduction resumed on July 1, 2022. These cuts reduce reimbursement payments related to our products, which could potentially negatively impact our revenue. Also for example, the ACA has substantially changed the way healthcare is financed by both governmental and private insurers and has significantly impacted the U.S. pharmaceutical industry. Among other cost-containment measures, the ACA establishes:</w:t>
      </w:r>
    </w:p>
    <w:p>
      <w:pPr>
        <w:spacing w:after="0" w:line="91"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w:t>
      </w:r>
    </w:p>
    <w:p>
      <w:pPr>
        <w:spacing w:after="0" w:line="103"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67" w:lineRule="exact"/>
        <w:rPr>
          <w:rFonts w:ascii="Times New Roman" w:cs="Times New Roman" w:eastAsia="Times New Roman" w:hAnsi="Times New Roman"/>
          <w:sz w:val="18"/>
          <w:szCs w:val="18"/>
          <w:color w:val="auto"/>
        </w:rPr>
      </w:pPr>
    </w:p>
    <w:p>
      <w:pPr>
        <w:ind w:left="900" w:right="260" w:hanging="383"/>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formula that increases the rebates a manufacturer must pay under the Medicaid Drug Rebate Program and extends the Medicaid Drug Rebate Program to individuals enrolled in Medicaid managed care organizations.</w:t>
      </w:r>
    </w:p>
    <w:p>
      <w:pPr>
        <w:spacing w:after="0" w:line="54"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At a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6" w:name="page57"/>
    <w:bookmarkEnd w:id="56"/>
    <w:p>
      <w:pPr>
        <w:spacing w:after="0" w:line="241" w:lineRule="auto"/>
        <w:rPr>
          <w:sz w:val="20"/>
          <w:szCs w:val="20"/>
          <w:color w:val="auto"/>
        </w:rPr>
      </w:pPr>
      <w:r>
        <w:rPr>
          <w:rFonts w:ascii="Times New Roman" w:cs="Times New Roman" w:eastAsia="Times New Roman" w:hAnsi="Times New Roman"/>
          <w:sz w:val="18"/>
          <w:szCs w:val="18"/>
          <w:color w:val="auto"/>
        </w:rPr>
        <w:t>804 Importation Programs in accordance with the Medicare Prescription Drug, Improvement, and Modernization Act of 2003, and the FDA's implementing regulations.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If implemented, importation of drugs from Canada may materially and adversely affect the price we receive for any of our product candidates. Further, on November 20, 2020 CMS issued an Interim Final Rule implementing the Most Favored Nation, or MFN, Model under which Medicare Part B reimbursement rates would have been calculated for certain drugs and biologicals based on the lowest price drug manufacturers receive in Organization for Economic Cooperation and Development countries with a similar gross domestic product per capita. However, on December 29, 2021 CMS rescinded the Most Favored Nations rule. Additionally, 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In August 2022, the Inflation Reduction Act of 2022, or the IRA, was signed into law. The IRA includes several provisions that will impact our business to varying degrees, including provisions that create a $2,000 out-of-pocket cap for Medicare Part D beneficiaries, impose new manufacturer financial liability on all drugs and biologics without generic or biosimilar competition, require companies to pay rebates to Medicare for drug prices that increase faster than inflation, and delay the rebate rule that would require pass through of pharmacy benefit manager rebates to beneficiaries. The effect of IRA on our business and the healthcare industry in general is not yet known.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90"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ACA and by other healthcare reforms that may be enacted or adopted in the future. In addition, increasing emphasis on managed care in the United States will continue to put pressure on the pricing of pharmaceutical products. For example,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78" w:lineRule="exact"/>
        <w:rPr>
          <w:sz w:val="20"/>
          <w:szCs w:val="20"/>
          <w:color w:val="auto"/>
        </w:rPr>
      </w:pPr>
    </w:p>
    <w:p>
      <w:pPr>
        <w:ind w:right="120" w:firstLine="509"/>
        <w:spacing w:after="0" w:line="293" w:lineRule="auto"/>
        <w:rPr>
          <w:sz w:val="20"/>
          <w:szCs w:val="20"/>
          <w:color w:val="auto"/>
        </w:rPr>
      </w:pPr>
      <w:r>
        <w:rPr>
          <w:rFonts w:ascii="Times New Roman" w:cs="Times New Roman" w:eastAsia="Times New Roman" w:hAnsi="Times New Roman"/>
          <w:sz w:val="17"/>
          <w:szCs w:val="17"/>
          <w:color w:val="auto"/>
        </w:rPr>
        <w:t>These and similar regulatory dynamics, including the recent entry of generic versions of VASCEPA into the market, and the potential for additional generic versions in the near term, can affect our ability to commercialize VASCEPA on commercially reasonable terms and limit the commercial value of</w:t>
      </w:r>
    </w:p>
    <w:p>
      <w:pPr>
        <w:spacing w:after="0"/>
        <w:rPr>
          <w:sz w:val="20"/>
          <w:szCs w:val="20"/>
          <w:color w:val="auto"/>
        </w:rPr>
      </w:pPr>
      <w:r>
        <w:rPr>
          <w:rFonts w:ascii="Times New Roman" w:cs="Times New Roman" w:eastAsia="Times New Roman" w:hAnsi="Times New Roman"/>
          <w:sz w:val="18"/>
          <w:szCs w:val="18"/>
          <w:color w:val="auto"/>
        </w:rPr>
        <w:t>VASCEPA.</w:t>
      </w: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w:t>
      </w:r>
    </w:p>
    <w:p>
      <w:pPr>
        <w:spacing w:after="0" w:line="3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programs, we could be subject to additional reimbursement requirements, penalties, sanctions and fines, which could have a material adverse effect on our business, financial condition, results of operations and growth prospects.</w:t>
      </w:r>
    </w:p>
    <w:p>
      <w:pPr>
        <w:spacing w:after="0" w:line="72"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We participate in the Medicaid Drug Rebate program, the 340B drug pricing program, and the VA’s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commercial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71"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69" w:lineRule="exact"/>
        <w:rPr>
          <w:sz w:val="20"/>
          <w:szCs w:val="20"/>
          <w:color w:val="auto"/>
        </w:rPr>
      </w:pPr>
    </w:p>
    <w:p>
      <w:pPr>
        <w:ind w:right="200" w:firstLine="509"/>
        <w:spacing w:after="0" w:line="247"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7" w:name="page58"/>
    <w:bookmarkEnd w:id="57"/>
    <w:p>
      <w:pPr>
        <w:ind w:right="60"/>
        <w:spacing w:after="0" w:line="245" w:lineRule="auto"/>
        <w:rPr>
          <w:sz w:val="20"/>
          <w:szCs w:val="20"/>
          <w:color w:val="auto"/>
        </w:rPr>
      </w:pPr>
      <w:r>
        <w:rPr>
          <w:rFonts w:ascii="Times New Roman" w:cs="Times New Roman" w:eastAsia="Times New Roman" w:hAnsi="Times New Roman"/>
          <w:sz w:val="18"/>
          <w:szCs w:val="18"/>
          <w:color w:val="auto"/>
        </w:rPr>
        <w:t>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87"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74"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72"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69"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In order to be eligible to have our products paid for with federal funds under the Medicaid and Medicare Part B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59"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reimbursement procedures by government and other third-party payors may limit our ability to market and sell our approved drugs.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These changes could have a material adverse effect on our business and financial condition.</w:t>
      </w:r>
    </w:p>
    <w:p>
      <w:pPr>
        <w:spacing w:after="0" w:line="84"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In the U.S., Europe and other regions globally, sales of pharmaceutical drugs are dependent, in part, on the availability of reimbursement to the consumer from third-party payors, such as government and private insurance plans. Third-party payors decide which products and services they will cover and the conditions for such coverage. Third party payors also establish reimbursement rates for those products and services. Increasingly, third-party payors are challenging the prices charged for medical products and services. Some third-party payor benefit packages restrict reimbursement, charge copayments to patients, or do not provide coverage for specific drugs or drug classes.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8" w:name="page59"/>
    <w:bookmarkEnd w:id="58"/>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certain U.S. based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w:t>
      </w:r>
    </w:p>
    <w:p>
      <w:pPr>
        <w:spacing w:after="0" w:line="61"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We expect to experience pricing and reimbursement pressures in connection with the sale of our products due to the trend toward managed healthcare, the increasing influence of health maintenance organizations and additional legislative and executive proposals, as well as the availability of generic versions of VASCEPA. In addition, we may confront limitations in, or exclusions from, insurance coverage for our products, particularly as generic competition intensifies.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121"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Certain provisions of the ACA have been subject to judicial challenges, as well as efforts to repeal or replace them or to alter their interpretation or implementation. Multiple Executive Orders were signed during the Trump administration which were designed to delay the implementation of certain provisions of the ACA or otherwise circumvent some of the requirements for health insurance mandated by the ACA. For example, the previous administration terminated the cost-sharing subsidies under the ACA. Nineteen state Attorneys General filed suit to stop the administration from terminating the subsidies, but on July 18, 2018, the U.S. District Court for the Northern District of California dismissed the case without prejudice. Further, on June 14, 2018, U.S. Court of Appeals for the Federal Circuit ruled that, due to Congressional appropriations riders that prohibited the HHS from paying out more in risk corridor payments than it collected, HHS was not required to pay more than $12.0 billion in ACA risk corridor payments owed to insurers under the risk corridor formula. On November 6, 2018, the Federal Circuit declined to rehear the case en banc. This decision was appealed to the U.S. Supreme Court, which on April 27, 2020, reversed the U.S. Court of Appeals for the Federal Circuit’s decision and remanded the case to the U.S. Court of Federal Claims, concluding the government has an obligation to pay these risk corridor payments under the relevant formula. It is not clear what effect this result will have on our business, but we will continue to monitor any developments. Moreover, the Tax Act included a provision that eliminated the tax-based shared responsibility payment for individuals who fail to maintain minimum essential coverage under section 5000A of the Internal Revenue Code of 1986, commonly referred to as the “individual mandate,” effective January 1, 2019. The Bipartisan Budget Act of 2018, or the BBA, among other things, amends the ACA to create a new Medicare Part D coverage gap discount program, in which manufacturers must agree to offer 70% (an increase from 50% effective as of January 1, 2019) point-of-sale discounts off negotiated prices of applicable brand drugs to eligible beneficiaries during their coverage gap period as a condition for the manufacturer’s outpatient drugs to be covered under Medicare Part D. Under the Trump administration, CMS issued regulations that gave states greater flexibility, starting in 2020, in the identification of the essential health benefits benchmarks for non-grandfathered individual and small group market health insurance coverage, including plans sold through the health insurance exchanges established under the ACA. On December 14, 2018, the U.S. District Court for the Northern District of Texas ruled (i) that the “individual mandate” was unconstitutional as a result of the associated tax penalty being repealed by Congress as part of the Tax Act; and (ii) the individual mandate is not severable from the rest of the ACA, as a result the entire ACA is invalid. On December 18, 2019, the U.S. Court of Appeals for the Fifth Circuit affirmed the district court’s decision that the individual mandate is unconstitutional, but remanded the case to the district court to reconsider the severability question. On March 2, 2020, the U.S. Supreme Court granted the petitions for writs of certiorari to review this case and held oral arguments on November 10, 2020.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the purpose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95"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FYs 2019 and 2018 reimbursement formula on specified covered outpatient drugs, or SCODs. The court ruled this change was not an “adjustment” which was within the Secretary’s discretion to make but was instead a fundamental change in the reimbursement calculation. However,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On February 10, 2021, plaintiffs-appellees filed a writ of certiorari with the U.S. Supreme Court. On June 15, 2022, the Supreme Court unanimously reversed the Court of Appeals' decision, holding that HHS's 2018 and 2019 reimbursement rates for 340B hospitals were contrary to</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9" w:name="page60"/>
    <w:bookmarkEnd w:id="59"/>
    <w:p>
      <w:pPr>
        <w:spacing w:after="0" w:line="247" w:lineRule="auto"/>
        <w:rPr>
          <w:sz w:val="20"/>
          <w:szCs w:val="20"/>
          <w:color w:val="auto"/>
        </w:rPr>
      </w:pPr>
      <w:r>
        <w:rPr>
          <w:rFonts w:ascii="Times New Roman" w:cs="Times New Roman" w:eastAsia="Times New Roman" w:hAnsi="Times New Roman"/>
          <w:sz w:val="18"/>
          <w:szCs w:val="18"/>
          <w:color w:val="auto"/>
        </w:rPr>
        <w:t>the statute and unlawful. We continue to review developments impacting the 340B program. It is unclear how these developments could affect covered hospitals who might purchase our future products and affect the rates we may charge such facilities for our approved products in the future, if any. We expect that the healthcare reform measures that have been adopted and may be adopted in the future, may result in more rigorous coverage criteria, and new payment methodologies, and in additional downward pressure on coverage and payment and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72"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enactment and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18"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50"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federal Health Insurance Portability and Accountability Act of 1996, or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75"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121" w:lineRule="exact"/>
        <w:rPr>
          <w:sz w:val="20"/>
          <w:szCs w:val="20"/>
          <w:color w:val="auto"/>
        </w:rPr>
      </w:pPr>
    </w:p>
    <w:p>
      <w:pPr>
        <w:ind w:right="20" w:firstLine="509"/>
        <w:spacing w:after="0"/>
        <w:rPr>
          <w:sz w:val="20"/>
          <w:szCs w:val="20"/>
          <w:color w:val="auto"/>
        </w:rPr>
      </w:pPr>
      <w:r>
        <w:rPr>
          <w:rFonts w:ascii="Times New Roman" w:cs="Times New Roman" w:eastAsia="Times New Roman" w:hAnsi="Times New Roman"/>
          <w:sz w:val="18"/>
          <w:szCs w:val="18"/>
          <w:color w:val="auto"/>
        </w:rPr>
        <w:t>The REDUCE-IT cardiovascular outcomes trial was conducted in part through clinical sites in the EEA. As a result, we are subject to additional privacy restrictions. The collection and use of personal health data in the EU is governed by the provisions of the GDPR. The GDPR imposes several requirements relating to the legal basis for processing personal data which may include the consent of the individuals to whom the personal data relates, the information provided to the individuals and the security and confidentiality of the personal data. The GDPR also imposes strict rules on the transfer of personal data out of the EEA to the United States. A decision by the Court of Justice of the European Union, or CJEU, in 2020 invalidated the EU-U.S. Privacy Shield Framework, which was one of the primary mechanisms used by U.S. companies to import personal information from Europe in compliance with the GDPR's cross-border data transfer restrictions, and raised questions about whether the EC's Standard Contractual Clauses, or SCCs, one of the primary alternatives to the Privacy Shield, can lawfully be used for personal information transfers from Europe to the United States or most other countries. Furthermore, on June 4, 2021, the EC issued new forms of standard contractual clauses for data transfers from controllers or processors in the EEA, or otherwise subject to the GDPR, to controllers or processors established outside the EEA, and not subject to the GDPR. The new forms of standard contractual clauses have replaced the standard contractual clauses that were adopted previously under the Data Protection Directive. We will be required to transition to the new forms of standard contractual clauses and doing so will require significant effort and cost. The new standard contractual clauses may also impact our business as companies based in Europe may be reluctant to utilize the new clauses to legitimize transfers of personal information to third countries given the burdensome requirements of transfer impact assessments and the substantial obligations that the new standard contractual clauses impose upon exporters. Failure to comply with the requirements of the GDPR, and the related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0" w:name="page61"/>
    <w:bookmarkEnd w:id="60"/>
    <w:p>
      <w:pPr>
        <w:ind w:right="80"/>
        <w:spacing w:after="0" w:line="250" w:lineRule="auto"/>
        <w:rPr>
          <w:sz w:val="20"/>
          <w:szCs w:val="20"/>
          <w:color w:val="auto"/>
        </w:rPr>
      </w:pPr>
      <w:r>
        <w:rPr>
          <w:rFonts w:ascii="Times New Roman" w:cs="Times New Roman" w:eastAsia="Times New Roman" w:hAnsi="Times New Roman"/>
          <w:sz w:val="18"/>
          <w:szCs w:val="18"/>
          <w:color w:val="auto"/>
        </w:rPr>
        <w:t>national data protection laws of the EEA Member States may result in restrictions against regulatory approval in the EEA or substantial fines for breaches of the data protection rules. The GDPR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214"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The U.S. FDA, other regulatory agencies and industry organizations strictly regulate the promotional claims that may be made about prescription products and promotional efforts such as speaker programs. If we or our partners are found to have improperly promoted uses, efficacy or safety of VASCEPA or otherwise are found to have violated the law or applicable regulations, we may become subject to significant fines and other liability. The government may seek to find means to prevent our promotion of truthful and non-misleading information beyond the current court ruling and litigation settlement or seek to find violations of other laws or regulations in connection with the promotional efforts we undertake on our own or through third parties.</w:t>
      </w:r>
    </w:p>
    <w:p>
      <w:pPr>
        <w:spacing w:after="0" w:line="73"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U.S. FDA and other regulatory agencies strictly regulate the promotional claims that may be made about prescription products. In particular, in general, the U.S. government’s position has been that a product may not be promoted for uses that are not approved by the U.S. FDA as reflected in the product’s approved labeling. The Federal government has levied large civil and criminal fines against companies for alleged improper promotion and has enjoined several companies from engaging in off-label promotion. The U.S. FDA has also requested that companies enter into consent decrees or permanent injunctions under which specified promotional conduct is changed or curtailed. Even though we received U.S. FDA marketing approval for VASCEPA for the MARINE indication and for cardiovascular risk reduction based on the REDUCE-IT study, and our settlement with the U.S. FDA affords us a degree of protection for other promotional efforts, physicians may still prescribe VASCEPA to their patients for use in the treatment of conditions that are not included as part of the indication statement in our U.S.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FCA, or other theories of liability. Government may also seek to hold us responsible for the non-compliance of our former co-promotion partner, Kowa America, or our commercialization partners outside the United States or other third-parties that we retain to help us implement our business plan.</w:t>
      </w:r>
    </w:p>
    <w:p>
      <w:pPr>
        <w:spacing w:after="0" w:line="77"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72"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In June 2020, we received a CID from the DOJ informing us that the DOJ is investigating whether aspects of our promotional speaker programs and copayment waiver program during the period from January 1, 2015 to the present violated the U.S. Anti-Kickback Statute and the FCA in relation to the sale and marketing of VASCEPA by us and our previous co-marketing partner, Kowa America. Similarly, in March 2021, the FTC issued a CID to us in connection with the FTC’s investigation of whether we have engaged in, or are engaging in, anticompetitive practices or unfair methods of competition relating to VASCEPA. The New York State attorney general similarly issued a subpoena to us regarding the same subject matter on which the FTC CID is focused. The inquiries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w:t>
      </w:r>
    </w:p>
    <w:p>
      <w:pPr>
        <w:spacing w:after="0" w:line="208" w:lineRule="exact"/>
        <w:rPr>
          <w:sz w:val="20"/>
          <w:szCs w:val="20"/>
          <w:color w:val="auto"/>
        </w:rPr>
      </w:pPr>
    </w:p>
    <w:p>
      <w:pPr>
        <w:ind w:right="18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developing and receiving regulatory approval for VASCEPA in other jurisdictions or marketing future products if we cannot meet the extensive regulatory requirements of regulatory agencies such as for quality, safety, efficacy and data privacy.</w:t>
      </w:r>
    </w:p>
    <w:p>
      <w:pPr>
        <w:spacing w:after="0" w:line="63" w:lineRule="exact"/>
        <w:rPr>
          <w:sz w:val="20"/>
          <w:szCs w:val="20"/>
          <w:color w:val="auto"/>
        </w:rPr>
      </w:pPr>
    </w:p>
    <w:p>
      <w:pPr>
        <w:ind w:right="80" w:firstLine="509"/>
        <w:spacing w:after="0" w:line="241" w:lineRule="auto"/>
        <w:rPr>
          <w:sz w:val="20"/>
          <w:szCs w:val="20"/>
          <w:color w:val="auto"/>
        </w:rPr>
      </w:pPr>
      <w:r>
        <w:rPr>
          <w:rFonts w:ascii="Times New Roman" w:cs="Times New Roman" w:eastAsia="Times New Roman" w:hAnsi="Times New Roman"/>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U.S.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1" w:name="page62"/>
    <w:bookmarkEnd w:id="61"/>
    <w:p>
      <w:pPr>
        <w:ind w:right="60"/>
        <w:spacing w:after="0" w:line="282" w:lineRule="auto"/>
        <w:rPr>
          <w:sz w:val="20"/>
          <w:szCs w:val="20"/>
          <w:color w:val="auto"/>
        </w:rPr>
      </w:pPr>
      <w:r>
        <w:rPr>
          <w:rFonts w:ascii="Times New Roman" w:cs="Times New Roman" w:eastAsia="Times New Roman" w:hAnsi="Times New Roman"/>
          <w:sz w:val="18"/>
          <w:szCs w:val="18"/>
          <w:color w:val="auto"/>
        </w:rPr>
        <w:t>The commencement and rate of completion of clinical trials and the timing of obtaining marketing approval from regulatory authorities may be delayed by many factors, including, among others:</w:t>
      </w:r>
    </w:p>
    <w:p>
      <w:pPr>
        <w:spacing w:after="0" w:line="40" w:lineRule="exact"/>
        <w:rPr>
          <w:sz w:val="20"/>
          <w:szCs w:val="20"/>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efficacy during clinical trials;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manufacture sufficient quantities of qualified materials under cGMPs for use in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observe patients adequately after treatment;</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for clinical trials or preclinical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unforeseen safety issues in clinical trials or preclinical studies;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suspension, or termination of a trial by the institutional review board responsible for overseeing the study at a particular study site;</w:t>
      </w:r>
    </w:p>
    <w:p>
      <w:pPr>
        <w:spacing w:after="0" w:line="103" w:lineRule="exact"/>
        <w:rPr>
          <w:rFonts w:ascii="Times New Roman" w:cs="Times New Roman" w:eastAsia="Times New Roman" w:hAnsi="Times New Roman"/>
          <w:sz w:val="18"/>
          <w:szCs w:val="18"/>
          <w:color w:val="auto"/>
        </w:rPr>
      </w:pPr>
    </w:p>
    <w:p>
      <w:pPr>
        <w:ind w:left="900" w:right="460" w:hanging="383"/>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to the requirements imposed by regulatory authorities on the extent, nature or timing of studies to be conducted on quality, safety and efficacy;</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related to patient data privacy;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 or “clinical holds” requiring suspension or termination of a trial;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other social or government protocols affecting our clinical trial sites.</w:t>
      </w:r>
    </w:p>
    <w:p>
      <w:pPr>
        <w:spacing w:after="0" w:line="117"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Even if we obtain positive results from our efforts to seek regulatory approvals, from early stage preclinical studies or clinical trials, we may not achieve the same success in future efforts.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during the public advisory committee meeting held by U.S. FDA as part of its review of our ANCHOR data and sNDA in October 2013, a discussion regarding observed, nominally statistically significant changes from baseline in an adverse direction, while on background statin therapy, in certain lipid parameters, including LDL cholesterol and triglycerides, in the placebo group, raised questions about the possibility that the light liquid paraffin oil, or mineral oil, placebo used in the ANCHOR trial and then in use in the REDUCE-IT trial might not be biologically inert and might be viewed as artificially exaggerating the clinical effect of VASCEPA when measured against placebo. Ultimately, in 2012, before the U.S. FDA approval of VASCEPA after review of the MARINE and ANCHOR trials and consideration of other data regarding mineral oil, no strong evidence for biological activity of mineral oil was identified by the agency. It was ultimately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U.S. FDA approved VASCEPA for use in the MARINE indication in July 2012, U.S. FDA did not dispute the veracity of the ANCHOR trial data and, in connection with the March 2016 agreement we reached with the U.S. FDA allowing us to promote the results of the ANCHOR study, the U.S. FDA did not seek to require that we include any qualification related to this earlier question regarding the mineral oil placebo. In addition, in connection with U.S. FDA’s review of REDUCE-IT data and sNDA in 2019, the agency determined that an interaction between mineral oil and statins leading to decreased absorption of statins cannot be excluded when the two are co-administered as could have been the case in some patients in REDUCE-IT and that, in the agency’s view, indirect evidence suggested the presence of a potential inhibitory effect on statin absorption by mineral oil. However, U.S. FDA’s exploratory analysis indicated that the effect of LDL cholesterol values on the time to the primary endpoint was numerically small and unlikely to change the overall conclusion of treatment benefit. U.S. FDA then relied on this assessment and all data available to it to approve a new indication statement and labeling based on REDUCE-IT results. This matter illustrates that concerns such as this may arise in the future that could affect our product development, regulatory reviews or the public perception of our products and our future prospects, including REDUCE-IT results. Any approvals that are obtained may be limited in scope, may require additional post-approval studies or may require the addition of labeling statements, including boxed warnings,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commercialization,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2" w:name="page63"/>
    <w:bookmarkEnd w:id="62"/>
    <w:p>
      <w:pPr>
        <w:ind w:right="68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*As we continue to build our infrastructure for commercializing VASCEPA, we may encounter difficulties in managing the scale of our operations successfully.</w:t>
      </w:r>
    </w:p>
    <w:p>
      <w:pPr>
        <w:spacing w:after="0" w:line="64"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8"/>
          <w:szCs w:val="18"/>
          <w:color w:val="auto"/>
        </w:rPr>
        <w:t>The process of establishing, maintaining, expanding and streamlining a commercial infrastructure is difficult, expensive and time-consuming. In June 2022, we implemented a cost and organizational restructuring plan, which included a further reduction to our U.S. commercial team from approximately 300 sales representatives to approximately 75 sales representatives. Our sales team promotes VASCEPA to a targeted group of physicians and other healthcare professionals in select geographies in the United States who recognize the potential benefit to patients and is not large enough to call upon all physicians.</w:t>
      </w:r>
    </w:p>
    <w:p>
      <w:pPr>
        <w:spacing w:after="0" w:line="7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addition to sales force reductions in the United States, we continue to work on our own and with our international partners to support regulatory efforts outside the United States based on REDUCE-IT results. As our operations expand with the anticipated growth of our product sales, we expect that we will need to manage additional relationships with various collaborative partners, suppliers and other third parties. Future growth and streamlining efforts will impose significant added responsibilities on members of management, including the need to identify, recruit, maintain and integrate the right number of employees. For example, in Europe we have built out our team subsequent to EC approval of the marketing authorization acceptance in 2021, with plans to continue to expand our European staff as deemed appropriate on a country by country basis.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our ability to hire and retain personnel and realize the commercial opportunity of VAZKEPA in Europe. Our future financial performance and our ability to commercialize VASCEPA and to compete effectively will depend, in part, on our ability to manage our future growth effectively, and such efforts may be disrupted by ongoing or reinstated COVID-19 protocols. To that end, we must be able to manage our development efforts effectively, and hire, train, integrate and retain an appropriate level of management, administrative and sales and marketing personnel and have limited experience managing a commercial organization. We may not be able to accomplish these tasks, and our failure to accomplish any of them could prevent us from successfully growing our company.</w:t>
      </w:r>
    </w:p>
    <w:p>
      <w:pPr>
        <w:spacing w:after="0" w:line="212" w:lineRule="exact"/>
        <w:rPr>
          <w:sz w:val="20"/>
          <w:szCs w:val="20"/>
          <w:color w:val="auto"/>
        </w:rPr>
      </w:pPr>
    </w:p>
    <w:p>
      <w:pPr>
        <w:ind w:right="320" w:firstLine="50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life-cycle management, in large part, currently depends on our ability to develop, obtain regulatory approval and commercialize a fixed-dose combination of VASCEPA and yet to be disclosed statins.</w:t>
      </w:r>
    </w:p>
    <w:p>
      <w:pPr>
        <w:spacing w:after="0" w:line="78"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Specifically, our drug development efforts are subject to the risks and uncertainties inherent in any drug development program. Due to the risks and uncertainties involved in progressing through development and bioequivalence or even potential additional trials (as may be required by specific regulatory agencies), and the time and cost involved in obtaining regulatory approvals, among other factors, we cannot reasonably estimate the timing, completion dates and costs, or range of costs, of our drug development program, or of the successful development of any particular fixed-dose combination. The potential success of any fixed-dose combination will depend on a number of factors, including the following:</w:t>
      </w:r>
    </w:p>
    <w:p>
      <w:pPr>
        <w:spacing w:after="0" w:line="87" w:lineRule="exact"/>
        <w:rPr>
          <w:sz w:val="20"/>
          <w:szCs w:val="20"/>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manufacture a combination of VASCEPA and a statin;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supply of necessary statin for use in the fixed-dose combination;</w:t>
      </w:r>
    </w:p>
    <w:p>
      <w:pPr>
        <w:spacing w:after="0" w:line="103"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any and all markets in which we intend to commercialize a fixed-dose combination of VASCEPA and a statin;</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payor acceptance and market access for a fixed-dose combination product of VASCEPA and a statin;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market acceptance of a fixed-dose combination of VASCEPA and a statin.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6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supply of product for the commercial market and clinical trials is dependent upon relationships with third-party manufacturers and suppliers.</w:t>
      </w:r>
    </w:p>
    <w:p>
      <w:pPr>
        <w:spacing w:after="0" w:line="37"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We have no in-house manufacturing capacity and rely on contract manufacturers for our clinical and commercial product supply. We cannot provide assurance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we may not be able to obtain adequate quantities of product in a timely manner, or at all. If we are not able to continue to operate our business relationships in a manner that is sufficiently profitable for us and our suppliers, certain members of our supply chain could compete with us through supply to competitors, such as generic drug companies, through breach of our agreements or otherwise.</w:t>
      </w:r>
    </w:p>
    <w:p>
      <w:pPr>
        <w:spacing w:after="0" w:line="87" w:lineRule="exact"/>
        <w:rPr>
          <w:sz w:val="20"/>
          <w:szCs w:val="20"/>
          <w:color w:val="auto"/>
        </w:rPr>
      </w:pPr>
    </w:p>
    <w:p>
      <w:pPr>
        <w:ind w:right="420" w:firstLine="509"/>
        <w:spacing w:after="0" w:line="244" w:lineRule="auto"/>
        <w:rPr>
          <w:sz w:val="20"/>
          <w:szCs w:val="20"/>
          <w:color w:val="auto"/>
        </w:rPr>
      </w:pPr>
      <w:r>
        <w:rPr>
          <w:rFonts w:ascii="Times New Roman" w:cs="Times New Roman" w:eastAsia="Times New Roman" w:hAnsi="Times New Roman"/>
          <w:sz w:val="18"/>
          <w:szCs w:val="18"/>
          <w:color w:val="auto"/>
        </w:rPr>
        <w:t>Any manufacturing problem, natural or manmade disaster affecting manufacturing facilities, government action, or the loss of a contract manufacturer could potentially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3" w:name="page64"/>
    <w:bookmarkEnd w:id="63"/>
    <w:p>
      <w:pPr>
        <w:ind w:right="140"/>
        <w:spacing w:after="0" w:line="258" w:lineRule="auto"/>
        <w:rPr>
          <w:sz w:val="20"/>
          <w:szCs w:val="20"/>
          <w:color w:val="auto"/>
        </w:rPr>
      </w:pPr>
      <w:r>
        <w:rPr>
          <w:rFonts w:ascii="Times New Roman" w:cs="Times New Roman" w:eastAsia="Times New Roman" w:hAnsi="Times New Roman"/>
          <w:sz w:val="18"/>
          <w:szCs w:val="18"/>
          <w:color w:val="auto"/>
        </w:rPr>
        <w:t>shipment of products, increase our cost of goods sold and/or result in lost sales. If our suppliers were unable to supply us with adequate volumes of active pharmaceutical ingredient, API, (drug substance) or encapsulated bulk product (drug product), it would have a material adverse effect on our ability to continue to commercialize VASCEPA.</w:t>
      </w:r>
    </w:p>
    <w:p>
      <w:pPr>
        <w:spacing w:after="0" w:line="61"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Our strategy in sourcing API and other components in our supply chain from multiple suppliers has been to expand manufacturing capacity, maintain competitive advantages, and mitigate the risk of reliance on any single supplier.</w:t>
      </w:r>
    </w:p>
    <w:p>
      <w:pPr>
        <w:spacing w:after="0" w:line="83"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Expanding manufacturing capacity and qualifying such capacity is complex and subject to numerous regulations and other operational challenges. We require supply capacity to support our direct and indirect commercialization of VASCEPA. We are also committed to providing supply to our commercial partners and distributors in Canada, China, the Middle East and North Africa, and we anticipate potential additional supply requirements as we pursue commercial opportunities in other countries. The resources of our suppliers vary and are limited; costs associated with projected expansion and qualification can be significant, and lead-times for supply purchases and capacity expansion are long requiring certain supply related decisions and commitment to be made in advance, for example, prior to commercial launch in China and in various European countries. Our aggregate capacity to produce API is dependent upon the continued qualification of our API suppliers and, depending on the ability of existing suppliers to meet our supply demands, potentially the qualifications of new suppliers. If no additional API supplier is approved by the U.S. FDA as part of an sNDA, our API supply will be limited to the API we purchase from previously approved suppliers. Similarly, the EMA has not initially approved use of each of our suppliers used for VASCEPA in the United States for VAZKEPA in the EU. While we believe that we have sufficient supply of VAZKEPA to support our initial launch plans in Europe, our supply in Europe will be limited until additional suppliers are qualified which qualifications could be delayed by COVID-19 and our exposure to manufacturing issues with our approved suppliers for the EU. If our third-party manufacturing capacity is not appropriately qualified and/or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192"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63"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Certain of our agreements with our suppliers include minimum purchase obligations and limited exclusivity provisions. These purchases are generally made on the basis of rolling 12-month forecasts which in part are binding on us and the balance of which are subject to adjustment by us subject to certain limitations. Certain of our agreements also include contractual minimum purchase commitments regardless of the rolling 12-month forecasts. We may not purchase sufficient quantities of VASCEPA to meet actual demand or we may be required to purchase more supply than needed to meet actual demand. In either case, such event could have a material adverse effect on our financial results and financial condition.</w:t>
      </w:r>
    </w:p>
    <w:p>
      <w:pPr>
        <w:spacing w:after="0" w:line="204"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37"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We sell VASCEPA principally to a limited number of major wholesalers, as well as selected regional wholesalers and mail order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led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may cause patients to delay filling prescriptions for asymptomatic, chronic care medications such as hypertriglyceridemia earlier in the year, until patients meet their deductible and the cost of VASCEPA is then borne more by their insurance carrier. Collectively, these dynamics negatively affect our profitability for the sale of VASCEPA and could increase over time further impacting our operating results. Consolidation among these industry participants could increase the pressure from these market dynamics.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4" w:name="page65"/>
    <w:bookmarkEnd w:id="64"/>
    <w:p>
      <w:pPr>
        <w:ind w:right="160" w:firstLine="509"/>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The manufacture, packaging and distribution of pharmaceutical products such as VASCEPA are subject to U.S. FDA regulations and those of similar foreign regulatory bodies. If we or our third-party manufacturers fail to satisfy these requirements, our product development and commercialization efforts may be materially harmed.</w:t>
      </w:r>
    </w:p>
    <w:p>
      <w:pPr>
        <w:spacing w:after="0" w:line="77"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The manufacture, packaging and distribution of pharmaceutical products, such as VASCEPA, are regulated by the U.S. FDA and similar foreign regulatory bodies and must be conducted in accordance with the U.S. FDA’s cGMPs and comparable requirements of foreign regulatory bodies. There are a limited number of manufacturers that operate under these cGMPs as well as the International Council for Harmonisation of Technical Requirements for Registration of Pharmaceuticals for Human Use, or ICH, regulations and guidelines, that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and penalties,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95"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Changes in the manufacturing process or procedure, including a change in the location where the product is manufactured or a change of a third-party manufacturer, may require prior U.S. FDA review and pre-approval of the manufacturing process and procedures in accordance with the U.S. FDA’s cGMPs. Any new facility may be subject to a pre-approval inspection by the U.S. FDA and would again require us to demonstrate product comparability to the U.S. FDA. If any third-party manufacturer with whom we contract fails to perform its obligations, we may be forced to manufacture the materials ourselves, for which we may not have the capabilities or resources, or enter into an agreement with a different third-party manufacturer, which we may not be able to do on reasonable terms, if at all. In either scenario, our clinical trials or commercial distribution could be delayed significantly as we establish alternative supply sources. In some cases, the technical skills required to manufacture our products or product candidates may be unique or proprietary to the original third-party manufacturer and we may have difficulty, or there may be contractual restrictions prohibiting us from, transferring such skills to a back-up or alternate supplier, or we may be unable to transfer such skills at all. In addition, if we are required to change third-party manufacturer for any reason, we will be required to verify that the new third-party manufacturer maintains facilities and procedures that comply with quality standards and with all applicable regulations. We will also need to verify, such as through a manufacturing comparability study, that any new manufacturing process will produce our product according to the specifications previously submitted to or approved by the U.S. FDA or another regulatory authority.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third-party manufacturer owns independently. This would increase our reliance on such third-party manufacturer or require us to obtain a license from such third-party manufacturer in order to have another third-party manufacturer manufacture our products or product candidates. In addition, in the case of the third-party manufacturers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82" w:lineRule="exact"/>
        <w:rPr>
          <w:sz w:val="20"/>
          <w:szCs w:val="20"/>
          <w:color w:val="auto"/>
        </w:rPr>
      </w:pPr>
    </w:p>
    <w:p>
      <w:pPr>
        <w:jc w:val="both"/>
        <w:ind w:right="240" w:firstLine="509"/>
        <w:spacing w:after="0" w:line="258" w:lineRule="auto"/>
        <w:rPr>
          <w:sz w:val="20"/>
          <w:szCs w:val="20"/>
          <w:color w:val="auto"/>
        </w:rPr>
      </w:pPr>
      <w:r>
        <w:rPr>
          <w:rFonts w:ascii="Times New Roman" w:cs="Times New Roman" w:eastAsia="Times New Roman" w:hAnsi="Times New Roman"/>
          <w:sz w:val="18"/>
          <w:szCs w:val="18"/>
          <w:color w:val="auto"/>
        </w:rPr>
        <w:t>There are comparable foreign requirements under ICH guidelines. In addition, certain COVID-19 restrictions have affected Regulatory Agencies' ability to conduct facility inspections and may affect the timing of further approvals. This review may be costly and time consuming and could delay or prevent the launch of a product.</w:t>
      </w:r>
    </w:p>
    <w:p>
      <w:pPr>
        <w:spacing w:after="0" w:line="61" w:lineRule="exact"/>
        <w:rPr>
          <w:sz w:val="20"/>
          <w:szCs w:val="20"/>
          <w:color w:val="auto"/>
        </w:rPr>
      </w:pPr>
    </w:p>
    <w:p>
      <w:pPr>
        <w:ind w:right="140" w:firstLine="509"/>
        <w:spacing w:after="0" w:line="242" w:lineRule="auto"/>
        <w:rPr>
          <w:sz w:val="20"/>
          <w:szCs w:val="20"/>
          <w:color w:val="auto"/>
        </w:rPr>
      </w:pPr>
      <w:r>
        <w:rPr>
          <w:rFonts w:ascii="Times New Roman" w:cs="Times New Roman" w:eastAsia="Times New Roman" w:hAnsi="Times New Roman"/>
          <w:sz w:val="18"/>
          <w:szCs w:val="18"/>
          <w:color w:val="auto"/>
        </w:rPr>
        <w:t>Furthermore, the U.S.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Process validation includes stability testing, measurement of impurities and testing of other product specifications by validated test methods. If the U.S. FDA does not consider the result of the process validation or required testing to be satisfactory, the commercial supply of VASCEPA may be delayed, or we may not be able to supply sufficient quantities of VASCEPA to meet anticipated demand. On March 27, 2020, former President Trump signed into law the CARES Act in response to the COVID-19 pandemic. Throughout the COVID-19 pandemic, there has been public concern over the availability and accessibility of critical medical products, and the CARES Act enhances U.S. FDA’s existing authority with respect to drug shortage measures. Under the CARES Act, we must have in place a risk management plan that identifies and evaluates the risks to the supply of approved drugs for certain serious diseases or conditions for each establishment where the drug or API is manufactured. The risk management plan will be subject to U.S. FDA review during an inspection. If we experience shortages in the supply of our marketed products, our results could be materially impacted.</w:t>
      </w:r>
    </w:p>
    <w:p>
      <w:pPr>
        <w:spacing w:after="0" w:line="80" w:lineRule="exact"/>
        <w:rPr>
          <w:sz w:val="20"/>
          <w:szCs w:val="20"/>
          <w:color w:val="auto"/>
        </w:rPr>
      </w:pPr>
    </w:p>
    <w:p>
      <w:pPr>
        <w:ind w:right="260" w:firstLine="509"/>
        <w:spacing w:after="0" w:line="243" w:lineRule="auto"/>
        <w:rPr>
          <w:sz w:val="20"/>
          <w:szCs w:val="20"/>
          <w:color w:val="auto"/>
        </w:rPr>
      </w:pPr>
      <w:r>
        <w:rPr>
          <w:rFonts w:ascii="Times New Roman" w:cs="Times New Roman" w:eastAsia="Times New Roman" w:hAnsi="Times New Roman"/>
          <w:sz w:val="18"/>
          <w:szCs w:val="18"/>
          <w:color w:val="auto"/>
        </w:rPr>
        <w:t>The U.S.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or we may be prevented from manufacturing or selling VASCEPA, all of which could significantly and adversely affect our business. Furthermore, reductions in government operations due to pandemic mitigation efforts, or other factors, may delay timely regulatory review by U.S. FDA or similar foreign regulatory bodies. For example, since March 2020 when foreign and domestic inspections of facilities were largely placed on hold, the</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65" w:name="page66"/>
    <w:bookmarkEnd w:id="65"/>
    <w:p>
      <w:pPr>
        <w:ind w:right="60"/>
        <w:spacing w:after="0" w:line="246" w:lineRule="auto"/>
        <w:rPr>
          <w:sz w:val="20"/>
          <w:szCs w:val="20"/>
          <w:color w:val="auto"/>
        </w:rPr>
      </w:pPr>
      <w:r>
        <w:rPr>
          <w:rFonts w:ascii="Times New Roman" w:cs="Times New Roman" w:eastAsia="Times New Roman" w:hAnsi="Times New Roman"/>
          <w:sz w:val="18"/>
          <w:szCs w:val="18"/>
          <w:color w:val="auto"/>
        </w:rPr>
        <w:t>U.S. FDA has been working to resume routine surveillance, bioresearch monitoring and pre-approval inspections on a prioritized basis. In April 2021, the U.S. FDA resumed inspections, but on a limited basis, and employed remote interactive evaluations, using risk management methods, to meet user fee commitments and goal dates. Lasting impacts from travel restrictions and continued uncertainties continue to impact oversight operations both domestic and abroad and it is unclear when standard operational levels will resume. The U.S. FDA is continuing to complete mission-critical work, prioritize other higher-tiered inspectional needs (e.g., for-cause inspections), and carry out surveillance inspections using risk-based approaches for evaluating public health. Should the U.S. FDA determine that an inspection is necessary for approval and an inspection cannot be completed during the review cycle due to restrictions on travel, and the U.S. FDA does not determine a remote interactive evaluation to be adequate, the agency has stated that it generally intends to issue, depending on the circumstances, a complete response letter or defer action on the application until an inspection can be completed.</w:t>
      </w:r>
    </w:p>
    <w:p>
      <w:pPr>
        <w:spacing w:after="0" w:line="18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commercialization of VASCEPA outside the United States is substantially dependent on third parties and other circumstances outside our control.</w:t>
      </w:r>
    </w:p>
    <w:p>
      <w:pPr>
        <w:spacing w:after="0" w:line="50"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expanded our VASCEPA commercialization activities outside of the United States through several contractual arrangements in territories including China, the Middle East, North Africa and Canada. We continue to assess other opportunities to develop VASCEPA commercialization outside of the United States through similar arrangements.</w:t>
      </w:r>
    </w:p>
    <w:p>
      <w:pPr>
        <w:spacing w:after="0" w:line="6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In February 2015, we entered into a Development, Commercialization and Supply Agreement, or the DCS Agreement, with Edding, related to the development and commercialization of VASCEPA in the China Territory. Under the DCS Agreement, Edding is responsible for development and commercialization activities in the China Territory and associated expenses. Additionally, Edding is required to conduct clinical trials in the China Territory to secure regulatory approval in certain territories. In December 2017, Edding commenced a pivotal Phase 3 clinical trial aimed to demonstrate that VASCEPA lowers triglyceride levels and otherwise has beneficial effects in Chinese patients with severe hypertriglyceridemia (TG &gt;500 mg/dL), as we previously demonstrated with VASCEPA in the more diverse population studied in the MARINE study. In November 2020, we announced statistically significant positive topline results from Edding’s Phase 3 clinical trial of VASCEPA. On February 9, 2021, we announced that the regulatory review processes for approval of VASCEPA in Mainland China and Hong Kong have commenced. The Chinese National Medical Products Administration, or NMPA, has accepted for review the new drug application for VASCEPA, submitted by Edding, based on the results from the Phase 3 clinical trial and the results from our prior studies of VASCEPA. Edding has communicated that they still anticipate an approval could be achieved before year-end in China. On February 23, 2022 the Hong Kong Department of Health completed their evaluation and approved the use of VASCEPA under the REDUCE-IT indication. Even though such results are similar to the MARINE study, additional clinical development efforts may be necessary in this market to demonstrate the effectiveness of VASCEPA in reducing major adverse cardiovascular events in Chinese patients with persistent cardiovascular risk. Any development and regulatory efforts in the China Territory may be negatively impacted if the coronavirus pandemic worsens, continues or spreads, and if resources by regulators and industry professionals continue to be diverted to address the prolonged coronavirus pandemic. Any development and regulatory efforts in the China Territory may be negatively impacted by heightened political tension between China and the United States, including in connection with COVID-19 and other issues expressed between the countries regarding trade practices, tariffs and honoring intellectual property rights. If Edding is not able to effectively develop and commercialize VASCEPA in the China Territory, we may not be able to generate revenue from the DCS Agreement resulting from the sale of VASCEPA in the China Territory.</w:t>
      </w:r>
    </w:p>
    <w:p>
      <w:pPr>
        <w:spacing w:after="0" w:line="87"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Biologix was approved under the MARINE indication in the following countries: Lebanon in March 2018, United Arab Emirates in July 2018, Qatar in December 2019, Bahrain in April 2021, Kuwait in December 2021 and Saudi Arabia in March 2022. VASCEPA was approved under the REDUCE-IT indication in the following countries: Qatar in April 2021, Lebanon in August 2021, United Arab Emirates in October 2021 and Bahrain in April 2022. VASCEPA was launched in Lebanon and the United Arab Emirates in June 2018 and February 2019, respectively. VASCEPA is under registration in additional countries in the Middle East and North Africa regions. Commercialization across the Middle East and North Africa is subject to similar risks as in the China Territory, and has been negatively impacted by COVID-19 and the destabilized local economies in the region.</w:t>
      </w:r>
    </w:p>
    <w:p>
      <w:pPr>
        <w:spacing w:after="0" w:line="77"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Under the agreement, HLS is responsible for regulatory and commercialization activities and associated costs. We are responsible for providing assistance towards local filings, supplying finished product under negotiated supply terms, maintaining intellectual property, and continuing the development and funding of REDUCE-IT related activities. In December 2019, VASCEPA was approved for use in Canada to reduce the risk of cardiovascular events in statin-treated patients with elevated triglycerides, who are at high risk of cardiovascular events due to established cardiovascular disease, or diabetes, and at least one other cardiovascular risk factor. In January 2020, HLS obtained an extended regulatory exclusivity designation. In February 2020, HLS launched VASCEPA in Canada, with strong initial uptake before the impact of COVID-19 pandemic. In July 2020, Patented Medicine Prices Review Board confirmed VASCEPA price is compliant with current guidelines, and CADTH recommended reimbursement for</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6" w:name="page67"/>
    <w:bookmarkEnd w:id="66"/>
    <w:p>
      <w:pPr>
        <w:ind w:right="40"/>
        <w:spacing w:after="0" w:line="250" w:lineRule="auto"/>
        <w:rPr>
          <w:sz w:val="20"/>
          <w:szCs w:val="20"/>
          <w:color w:val="auto"/>
        </w:rPr>
      </w:pPr>
      <w:r>
        <w:rPr>
          <w:rFonts w:ascii="Times New Roman" w:cs="Times New Roman" w:eastAsia="Times New Roman" w:hAnsi="Times New Roman"/>
          <w:sz w:val="18"/>
          <w:szCs w:val="18"/>
          <w:color w:val="auto"/>
        </w:rPr>
        <w:t>VASCEPA in Canada in secondary prevention population. As of September 30, 2022, reimbursement coverage is approximately 70% of publicly covered lives and 95% for private coverage. Public reimbursement is now available in Ontario, Quebec, Saskatchewan, New Brunswick Northwest Territories and for the Non-Insured Health Benefits program for the First Nations and Inuit people. Coverage of patients with established cardiovascular disease represents a substantial portion of VASCEPA’s approved label in Canada. However, if HLS is not able to effectively commercialize VASCEPA in Canada through effective pricing (initially and over time), reimbursement or otherwise we may not be able to generate revenue from the sale of VASCEPA in Canada.</w:t>
      </w:r>
    </w:p>
    <w:p>
      <w:pPr>
        <w:spacing w:after="0" w:line="69" w:lineRule="exact"/>
        <w:rPr>
          <w:sz w:val="20"/>
          <w:szCs w:val="20"/>
          <w:color w:val="auto"/>
        </w:rPr>
      </w:pPr>
    </w:p>
    <w:p>
      <w:pPr>
        <w:ind w:right="140" w:firstLine="509"/>
        <w:spacing w:after="0" w:line="244" w:lineRule="auto"/>
        <w:rPr>
          <w:sz w:val="20"/>
          <w:szCs w:val="20"/>
          <w:color w:val="auto"/>
        </w:rPr>
      </w:pPr>
      <w:r>
        <w:rPr>
          <w:rFonts w:ascii="Times New Roman" w:cs="Times New Roman" w:eastAsia="Times New Roman" w:hAnsi="Times New Roman"/>
          <w:sz w:val="18"/>
          <w:szCs w:val="18"/>
          <w:color w:val="auto"/>
        </w:rPr>
        <w:t>Our efforts to launch and support commercialization of VAZKEPA on our own in Europe is a complex undertaking for a company that, other than our launch of VAZKEPA in Germany in September 2021 (where operations were subsequently discontinued) and the launch of VAZKEPA in the UK in October 2022, has not launched or otherwise commercialized a product in Europe and could be subject to significant risks of execution to our successful development and revenue generation of VAZKEPA in Europe. While various of our suppliers have been inspected and we do not anticipate supply availability limiting our launch in Europe, COVID-19 has limited the ability of suppliers to be inspected and not all of our suppliers have completed all of the requirements of the European regulatory authorities.</w:t>
      </w:r>
    </w:p>
    <w:p>
      <w:pPr>
        <w:spacing w:after="0" w:line="87"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218"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use to criminal sanctions, civil penalties, contractual damages, reputational harm and diminished profits and future earnings.</w:t>
      </w:r>
    </w:p>
    <w:p>
      <w:pPr>
        <w:spacing w:after="0" w:line="8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 applicable federal and state healthcare laws and regulations laws that may affect our ability to operate include, but are not limited to:</w:t>
      </w:r>
    </w:p>
    <w:p>
      <w:pPr>
        <w:spacing w:after="0" w:line="78" w:lineRule="exact"/>
        <w:rPr>
          <w:sz w:val="20"/>
          <w:szCs w:val="20"/>
          <w:color w:val="auto"/>
        </w:rPr>
      </w:pPr>
    </w:p>
    <w:p>
      <w:pPr>
        <w:ind w:left="900" w:right="80" w:hanging="383"/>
        <w:spacing w:after="0" w:line="219"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FCA.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 Violations are subject to significant civil and criminal fines and penalties for each violation, plus up to three times the renumeration involved, imprisonment, and exclusion from government healthcare workers;</w:t>
      </w:r>
    </w:p>
    <w:p>
      <w:pPr>
        <w:spacing w:after="0" w:line="69" w:lineRule="exact"/>
        <w:rPr>
          <w:rFonts w:ascii="Times New Roman" w:cs="Times New Roman" w:eastAsia="Times New Roman" w:hAnsi="Times New Roman"/>
          <w:sz w:val="18"/>
          <w:szCs w:val="18"/>
          <w:color w:val="auto"/>
        </w:rPr>
      </w:pPr>
    </w:p>
    <w:p>
      <w:pPr>
        <w:ind w:left="900" w:hanging="383"/>
        <w:spacing w:after="0" w:line="218"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penalties laws, including the FCA, which prohibits, among other things, any person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to the federal government. The FCA also permits a private individual acting as a “whistleblower” to bring actions on behalf of the federal government alleging violations of the statute and to share in any monetary recovery. Manufacturers can be held liable under the FCA even when they do not submit claims directly to government payors if they are deemed to “case” the submission of false or fraudulent claims. Recently, several pharmaceutical and other healthcare companies have been investigated or faced enforcement actions under the FCA for a variety of alleged improper marketing activities, including allegations that they caused false claims to be submitted because of the company’s marketing of the product for unapproved, and thus allegedly non-reimbursable, uses.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A claim that includes items or services resulting from a violations of the U.S. Anti-Kickback Statute constitutes a false or fraudulent claim under the FCA. When an entity is determined to have violated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7" w:name="page68"/>
    <w:bookmarkEnd w:id="67"/>
    <w:p>
      <w:pPr>
        <w:ind w:left="900" w:right="100"/>
        <w:spacing w:after="0" w:line="232" w:lineRule="auto"/>
        <w:rPr>
          <w:sz w:val="20"/>
          <w:szCs w:val="20"/>
          <w:color w:val="auto"/>
        </w:rPr>
      </w:pPr>
      <w:r>
        <w:rPr>
          <w:rFonts w:ascii="Times New Roman" w:cs="Times New Roman" w:eastAsia="Times New Roman" w:hAnsi="Times New Roman"/>
          <w:sz w:val="18"/>
          <w:szCs w:val="18"/>
          <w:color w:val="auto"/>
        </w:rPr>
        <w:t>the FCA, the government may impose civil fines and penalties for each false claim, plus treble damages, and exclude the entity from participation in Medicare, Medicaid and other federal healthcare programs. Pharmaceutical and other healthcare companies also are subject to other federal false claims laws, including, among others, federal criminal healthcare fraud and false statement statutes that extend to non-government health benefit programs;</w:t>
      </w:r>
    </w:p>
    <w:p>
      <w:pPr>
        <w:spacing w:after="0" w:line="50" w:lineRule="exact"/>
        <w:rPr>
          <w:sz w:val="20"/>
          <w:szCs w:val="20"/>
          <w:color w:val="auto"/>
        </w:rPr>
      </w:pPr>
    </w:p>
    <w:p>
      <w:pPr>
        <w:ind w:left="900" w:right="260" w:hanging="383"/>
        <w:spacing w:after="0" w:line="23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w:t>
      </w:r>
    </w:p>
    <w:p>
      <w:pPr>
        <w:spacing w:after="0" w:line="77" w:lineRule="exact"/>
        <w:rPr>
          <w:rFonts w:ascii="Times New Roman" w:cs="Times New Roman" w:eastAsia="Times New Roman" w:hAnsi="Times New Roman"/>
          <w:sz w:val="18"/>
          <w:szCs w:val="18"/>
          <w:color w:val="auto"/>
        </w:rPr>
      </w:pPr>
    </w:p>
    <w:p>
      <w:pPr>
        <w:ind w:left="900" w:right="160" w:hanging="383"/>
        <w:spacing w:after="0" w:line="24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and its implementing regulations, which impose, among other things,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The Health Information Technology for Economic and Clinical Health Act of 2009, or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91" w:lineRule="exact"/>
        <w:rPr>
          <w:rFonts w:ascii="Times New Roman" w:cs="Times New Roman" w:eastAsia="Times New Roman" w:hAnsi="Times New Roman"/>
          <w:sz w:val="18"/>
          <w:szCs w:val="18"/>
          <w:color w:val="auto"/>
        </w:rPr>
      </w:pPr>
    </w:p>
    <w:p>
      <w:pPr>
        <w:ind w:left="900" w:hanging="383"/>
        <w:spacing w:after="0" w:line="245"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(defined to include doctors, dentists, optometrists, podiatrists, and chiropractors) and teaching hospitals, as well as ownership and investment interests held in the company by physicians and their immediate family members. Effective January 2022, applicable manufacturers also are required to report information regarding payments and transfers of value provided to physician assistants, nurse practitioners, clinical nurse specialists, certified nurse anesthetists, and certified nurse-midwives;</w:t>
      </w:r>
    </w:p>
    <w:p>
      <w:pPr>
        <w:spacing w:after="0" w:line="73" w:lineRule="exact"/>
        <w:rPr>
          <w:rFonts w:ascii="Times New Roman" w:cs="Times New Roman" w:eastAsia="Times New Roman" w:hAnsi="Times New Roman"/>
          <w:sz w:val="18"/>
          <w:szCs w:val="18"/>
          <w:color w:val="auto"/>
        </w:rPr>
      </w:pPr>
    </w:p>
    <w:p>
      <w:pPr>
        <w:ind w:left="900" w:right="260" w:hanging="383"/>
        <w:spacing w:after="0" w:line="266"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governmental price reporting laws, which require the calculation and reporting of complex pricing metrics in an accurate and timely manner to government programs;</w:t>
      </w:r>
    </w:p>
    <w:p>
      <w:pPr>
        <w:spacing w:after="0" w:line="67" w:lineRule="exact"/>
        <w:rPr>
          <w:rFonts w:ascii="Times New Roman" w:cs="Times New Roman" w:eastAsia="Times New Roman" w:hAnsi="Times New Roman"/>
          <w:sz w:val="18"/>
          <w:szCs w:val="18"/>
          <w:color w:val="auto"/>
        </w:rPr>
      </w:pPr>
    </w:p>
    <w:p>
      <w:pPr>
        <w:ind w:left="900" w:right="340" w:hanging="383"/>
        <w:spacing w:after="0" w:line="266"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4" w:lineRule="exact"/>
        <w:rPr>
          <w:rFonts w:ascii="Times New Roman" w:cs="Times New Roman" w:eastAsia="Times New Roman" w:hAnsi="Times New Roman"/>
          <w:sz w:val="18"/>
          <w:szCs w:val="18"/>
          <w:color w:val="auto"/>
        </w:rPr>
      </w:pPr>
    </w:p>
    <w:p>
      <w:pPr>
        <w:ind w:left="900" w:hanging="383"/>
        <w:spacing w:after="0" w:line="244"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other state or local laws that require pharmaceutical companies to comply with the pharmaceutical industry’s voluntary compliance guidelines and the relevant compliance guidance promulgated by the federal government or otherwise restrict payments that may be made to healthcare providers; restrict the ability of manufacturers to offer co-pay support to patients for certain prescription drugs; require drug manufacturers to report information related to clinical trials, or information related to payments and other transfers of value to physicians and other healthcare providers or marketing expenditures; and/or require identification or licensing of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77"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 In addition, manufacturers and other parties involved in the drug supply chain for prescription drug products must also comply with product tracking and tracing requirements and for notifying U.S. FDA of counterfeit, diverted, stolen and intentionally adulterated products or products that are otherwise unfit for distribution in the United States.</w:t>
      </w:r>
    </w:p>
    <w:p>
      <w:pPr>
        <w:spacing w:after="0" w:line="69"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 For example, in June 2020, we received a CID from the DOJ informing us that the DOJ is investigating whether aspects of our promotional speaker programs and copayment waiver program during the period from January 1, 2015 to the present violated the U.S. Anti-Kickback Statute and the FCA in relation to the sale and marketing of VASCEPA by us and our previous co-marketing partner, Kowa America. Similarly, in March 2021, the FTC issued a CID to us in connection with the FTC’s investigation of whether we have engaged in, or is engaging in, anticompetitive practices or unfair methods of competition relating to VASCEPA. The New York State attorney general similarly issued a subpoena to us regarding the same subject matter on which the FTC CID is focused. The investigations require us to produce documents and answer written questions, or interrogatories, relevant to specified time periods. We are cooperating with the government. We cannot predict</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68" w:name="page69"/>
    <w:bookmarkEnd w:id="68"/>
    <w:p>
      <w:pPr>
        <w:spacing w:after="0" w:line="243" w:lineRule="auto"/>
        <w:rPr>
          <w:sz w:val="20"/>
          <w:szCs w:val="20"/>
          <w:color w:val="auto"/>
        </w:rPr>
      </w:pPr>
      <w:r>
        <w:rPr>
          <w:rFonts w:ascii="Times New Roman" w:cs="Times New Roman" w:eastAsia="Times New Roman" w:hAnsi="Times New Roman"/>
          <w:sz w:val="18"/>
          <w:szCs w:val="18"/>
          <w:color w:val="auto"/>
        </w:rPr>
        <w:t>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 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77"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Although compliance programs can mitigate the risk of investigation and prosecution for violations of these laws,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69"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Third party patient assistance programs that receive financial support from companies have become the subject of enhanced government and regulatory scrutiny.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The U.S. government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 Further, it is possible that changes in insurer policies regarding co-pay coupons and/or the introduction and enactment of new legislation or regulatory measures impacting patients using affected products could have a material adverse effect on our sales, business and financial condition. For example, on December 31, 2020, CMS published a new rule, effective January 1, 2023, requiring manufacturers to ensure the full value of co-pay assistance is passed on to the patient or these dollars will count toward the Average Manufacturer Price and Best Price calculation of the drug. On May 17, 2022, the U.S. District Court for the District of Columbia granted the Pharmaceutical Research and Manufacturers of America's, or PhRMA, motion for summary judgment invalidating the accumulator adjustment rule. Although a number of these and other proposed measures may require authorization through additional legislation to become effective, and the current U.S. presidential administration may reverse or otherwise change these measures, both the current U.S. presidential administration and Congress have indicated that they will continue to seek new legislative measures to control drug costs. We cannot predict how the implementation of and any further changes to this rule will affect our business.</w:t>
      </w:r>
    </w:p>
    <w:p>
      <w:pPr>
        <w:spacing w:after="0" w:line="82"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In addition, with the approval and commercialization of any of our products outside the United States, we will also likely be subject to foreign equivalents of the healthcare laws mentioned above, among other foreign laws.</w:t>
      </w:r>
    </w:p>
    <w:p>
      <w:pPr>
        <w:spacing w:after="0" w:line="199"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9" w:name="page70"/>
    <w:bookmarkEnd w:id="69"/>
    <w:p>
      <w:pPr>
        <w:ind w:firstLine="509"/>
        <w:spacing w:after="0" w:line="246" w:lineRule="auto"/>
        <w:rPr>
          <w:sz w:val="20"/>
          <w:szCs w:val="20"/>
          <w:color w:val="auto"/>
        </w:rPr>
      </w:pPr>
      <w:r>
        <w:rPr>
          <w:rFonts w:ascii="Times New Roman" w:cs="Times New Roman" w:eastAsia="Times New Roman" w:hAnsi="Times New Roman"/>
          <w:sz w:val="18"/>
          <w:szCs w:val="18"/>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U.S.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patents, proprietary rights and confidentiality to protect the commercial value and potential of VASCEPA.</w:t>
      </w:r>
    </w:p>
    <w:p>
      <w:pPr>
        <w:spacing w:after="0" w:line="81"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drug candidates, technology and know-how, and to operate without infringing the proprietary rights of others. While certain key patents related to our product based on the MARINE clinical study were determined to be invalid as obvious by a district court in the United States, and we are pursuing an appeal process, it remains the case that our ability to successfully implement our business plan and to protect our products with our intellectual property will depend in large part on our ability to:</w:t>
      </w:r>
    </w:p>
    <w:p>
      <w:pPr>
        <w:spacing w:after="0" w:line="64" w:lineRule="exact"/>
        <w:rPr>
          <w:sz w:val="20"/>
          <w:szCs w:val="20"/>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defend and maintain patent protection and market exclusivity for our current and future products;</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any trade secrets relating to our current and future products;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patented or patentable products and technologies; and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third parties.</w:t>
      </w:r>
    </w:p>
    <w:p>
      <w:pPr>
        <w:spacing w:after="0" w:line="104"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We have prosecuted, and are currently prosecuting, multiple patent applications to protect the intellectual property developed during the VASCEPA development program. As of the date of this report, we had 127 patent applications in the United States that have been either issued or allowed and more than 30 additional patent applications are pending in the United States. Such 126 allowed and issued applications include the following:</w:t>
      </w:r>
    </w:p>
    <w:p>
      <w:pPr>
        <w:spacing w:after="0" w:line="82" w:lineRule="exact"/>
        <w:rPr>
          <w:sz w:val="20"/>
          <w:szCs w:val="20"/>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issued U.S. patent directed to a pharmaceutical composition of VASCEPA in a capsule that expires in 2030;</w:t>
      </w:r>
    </w:p>
    <w:p>
      <w:pPr>
        <w:spacing w:after="0" w:line="103" w:lineRule="exact"/>
        <w:rPr>
          <w:rFonts w:ascii="Times New Roman" w:cs="Times New Roman" w:eastAsia="Times New Roman" w:hAnsi="Times New Roman"/>
          <w:sz w:val="18"/>
          <w:szCs w:val="18"/>
          <w:color w:val="auto"/>
        </w:rPr>
      </w:pPr>
    </w:p>
    <w:p>
      <w:pPr>
        <w:ind w:left="900" w:right="400" w:hanging="383"/>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U.S. patents covering or related to the use of VASCEPA in either the MARINE or ANCHOR populations that have terms that expire in 2030 or later;</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U.S. patents covering or related to the use of VASCEPA in the REDUCE-IT population with terms expiring in 2033 or later;</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additional U.S. patents directed to a pharmaceutical composition comprised of free fatty acids with a term that expires in 2030;</w:t>
      </w:r>
    </w:p>
    <w:p>
      <w:pPr>
        <w:spacing w:after="0" w:line="103"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additional patents related to the use of a pharmaceutical composition comprised of free fatty acids to treat the ANCHOR patient population with a term that expires in 2030 or later;</w:t>
      </w:r>
    </w:p>
    <w:p>
      <w:pPr>
        <w:spacing w:after="0" w:line="67" w:lineRule="exact"/>
        <w:rPr>
          <w:rFonts w:ascii="Times New Roman" w:cs="Times New Roman" w:eastAsia="Times New Roman" w:hAnsi="Times New Roman"/>
          <w:sz w:val="18"/>
          <w:szCs w:val="18"/>
          <w:color w:val="auto"/>
        </w:rPr>
      </w:pPr>
    </w:p>
    <w:p>
      <w:pPr>
        <w:ind w:left="900" w:right="60" w:hanging="383"/>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additional patents related to the use of a pharmaceutical composition comprised of free fatty acids to treat the MARINE patient population with a term that expires in 2030;</w:t>
      </w:r>
    </w:p>
    <w:p>
      <w:pPr>
        <w:spacing w:after="0" w:line="54"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additional patents related to the use of a pharmaceutical composition comprised of free fatty acids to treat the REDUCE-IT population expiring 2033;</w:t>
      </w:r>
    </w:p>
    <w:p>
      <w:pPr>
        <w:spacing w:after="0" w:line="40"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additional patents related to a pharmaceutical composition comprised of free fatty acids and uses thereof to treat both the MARINE and ANCHOR patient populations with a term that expires in 2030;</w:t>
      </w:r>
    </w:p>
    <w:p>
      <w:pPr>
        <w:spacing w:after="0" w:line="67" w:lineRule="exact"/>
        <w:rPr>
          <w:rFonts w:ascii="Times New Roman" w:cs="Times New Roman" w:eastAsia="Times New Roman" w:hAnsi="Times New Roman"/>
          <w:sz w:val="18"/>
          <w:szCs w:val="18"/>
          <w:color w:val="auto"/>
        </w:rPr>
      </w:pPr>
    </w:p>
    <w:p>
      <w:pPr>
        <w:ind w:left="900" w:right="200" w:hanging="383"/>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additional patent related to the use of a pharmaceutical composition comprised of re-esterified EPA triglyceride to treat the REDUCE-IT population expiring 2033;</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additional patents related to a formulation of EPA/DHA and uses thereof with a term that expires in 2030;</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additional patents related to the use of VASCEPA to treat obesity with a term that expires in 2034;</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additional patent related to the use of VASCEPA to treat prostate cancer with a term that expires in 2037;</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additional patents covering a pharmaceutical composition comprised of EPA and a hydroxyl compound with a term that expires in 2034;</w:t>
      </w: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and</w:t>
      </w: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0" w:name="page71"/>
    <w:bookmarkEnd w:id="70"/>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additional patents covering a new combination therapy comprised of EPA and another drug.</w:t>
      </w:r>
    </w:p>
    <w:p>
      <w:pPr>
        <w:spacing w:after="0" w:line="117"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7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are the owner of the above-listed patents. We are also the exclusive licensee of certain patents owned by others covering products and products in development.</w:t>
      </w:r>
    </w:p>
    <w:p>
      <w:pPr>
        <w:spacing w:after="0" w:line="40"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7"/>
          <w:szCs w:val="17"/>
          <w:color w:val="auto"/>
        </w:rPr>
        <w:t>We are also pursuing patent applications related to VASCEPA in multiple jurisdictions outside the United States. Geographies outside the United States in which VASCEPA is sold and under regulatory review are not subject to the U.S. patent litigation and judgment. No litigation involving potential generic versions of VASCEPA is pending outside the United States. VASCEPA is currently available by prescription in Canada, Lebanon and the United Arab Emirates. In Canada, VASCEPA has the benefit of data protection afforded through Health Canada (until the end of 2027), in addition to separate patent protection with expiration dates that could extend into 2039. We are pursuing additional regulatory approvals for VASCEPA in Europe, China and the Middle East. In China and the Middle East, we are pursuing such regulatory approvals and subsequent commercialization of VASCEPA with commercial partners. The EC approval provides ten years of market protection in the EU. Furthermore, patent protection in Europe includes:</w:t>
      </w:r>
    </w:p>
    <w:p>
      <w:pPr>
        <w:spacing w:after="0" w:line="4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One granted patent related to the use of a pharmaceutical composition comprised of 4g of 96% EPA ethyl ester to treat the REDUCE-IT population expiring 2033.</w:t>
      </w:r>
    </w:p>
    <w:p>
      <w:pPr>
        <w:spacing w:after="0" w:line="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Pending patent applications in Europe, if granted, may have the potential to extend exclusivity into 2039.</w:t>
      </w:r>
    </w:p>
    <w:p>
      <w:pPr>
        <w:spacing w:after="0" w:line="104" w:lineRule="exact"/>
        <w:rPr>
          <w:sz w:val="20"/>
          <w:szCs w:val="20"/>
          <w:color w:val="auto"/>
        </w:rPr>
      </w:pPr>
    </w:p>
    <w:p>
      <w:pPr>
        <w:ind w:right="20" w:firstLine="509"/>
        <w:spacing w:after="0" w:line="233" w:lineRule="auto"/>
        <w:rPr>
          <w:sz w:val="20"/>
          <w:szCs w:val="20"/>
          <w:color w:val="auto"/>
        </w:rPr>
      </w:pPr>
      <w:r>
        <w:rPr>
          <w:rFonts w:ascii="Times New Roman" w:cs="Times New Roman" w:eastAsia="Times New Roman" w:hAnsi="Times New Roman"/>
          <w:sz w:val="18"/>
          <w:szCs w:val="18"/>
          <w:color w:val="auto"/>
        </w:rPr>
        <w:t>We may be dependent in some cases upon third-party licensors to pursue filing, prosecution and maintenance of patent rights or applications owned or controlled by those parties, including, for example, under our collaboration with Mochida.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 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83"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80" w:lineRule="exact"/>
        <w:rPr>
          <w:sz w:val="20"/>
          <w:szCs w:val="20"/>
          <w:color w:val="auto"/>
        </w:rPr>
      </w:pPr>
    </w:p>
    <w:p>
      <w:pPr>
        <w:ind w:right="80" w:firstLine="509"/>
        <w:spacing w:after="0" w:line="235" w:lineRule="auto"/>
        <w:rPr>
          <w:sz w:val="20"/>
          <w:szCs w:val="20"/>
          <w:color w:val="auto"/>
        </w:rPr>
      </w:pPr>
      <w:r>
        <w:rPr>
          <w:rFonts w:ascii="Times New Roman" w:cs="Times New Roman" w:eastAsia="Times New Roman" w:hAnsi="Times New Roman"/>
          <w:sz w:val="18"/>
          <w:szCs w:val="18"/>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issued patents may not prevent competitors from competing with VASCEPA, even if we are successful in enforcing our patent rights.</w:t>
      </w:r>
    </w:p>
    <w:p>
      <w:pPr>
        <w:spacing w:after="0" w:line="121"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8"/>
          <w:szCs w:val="18"/>
          <w:color w:val="auto"/>
        </w:rPr>
        <w:t>We plan to vigorously defend our rights under issued patents. For example,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cardiovascular risk. On January 25, 2021, we expanded the scope of this patent infringement lawsuit to include a health care insurance provider, Health Net, LLC. On January 4, 2022, the district court hearing the case granted Hikma's motion to dismiss. On October 13, 2022, the district court granted final judgement on the aspect of the litigation relating to the Company and Hikma. The Company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71" w:name="page72"/>
    <w:bookmarkEnd w:id="71"/>
    <w:p>
      <w:pPr>
        <w:ind w:right="240"/>
        <w:spacing w:after="0" w:line="282" w:lineRule="auto"/>
        <w:rPr>
          <w:sz w:val="20"/>
          <w:szCs w:val="20"/>
          <w:color w:val="auto"/>
        </w:rPr>
      </w:pPr>
      <w:r>
        <w:rPr>
          <w:rFonts w:ascii="Times New Roman" w:cs="Times New Roman" w:eastAsia="Times New Roman" w:hAnsi="Times New Roman"/>
          <w:sz w:val="18"/>
          <w:szCs w:val="18"/>
          <w:color w:val="auto"/>
        </w:rPr>
        <w:t>intends to appeal the decision of the district court now that it is permitted to do so and also intends to continue to vigorously pursue its ongoing litigation with Health Net, but cannot predict the outcome or the impact on its business.</w:t>
      </w:r>
    </w:p>
    <w:p>
      <w:pPr>
        <w:spacing w:after="0" w:line="40" w:lineRule="exact"/>
        <w:rPr>
          <w:sz w:val="20"/>
          <w:szCs w:val="20"/>
          <w:color w:val="auto"/>
        </w:rPr>
      </w:pPr>
    </w:p>
    <w:p>
      <w:pPr>
        <w:ind w:right="140" w:firstLine="509"/>
        <w:spacing w:after="0" w:line="247" w:lineRule="auto"/>
        <w:rPr>
          <w:sz w:val="20"/>
          <w:szCs w:val="20"/>
          <w:color w:val="auto"/>
        </w:rPr>
      </w:pPr>
      <w:r>
        <w:rPr>
          <w:rFonts w:ascii="Times New Roman" w:cs="Times New Roman" w:eastAsia="Times New Roman" w:hAnsi="Times New Roman"/>
          <w:sz w:val="18"/>
          <w:szCs w:val="18"/>
          <w:color w:val="auto"/>
        </w:rPr>
        <w:t>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 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72" w:lineRule="exact"/>
        <w:rPr>
          <w:sz w:val="20"/>
          <w:szCs w:val="20"/>
          <w:color w:val="auto"/>
        </w:rPr>
      </w:pPr>
    </w:p>
    <w:p>
      <w:pPr>
        <w:ind w:right="300" w:firstLine="509"/>
        <w:spacing w:after="0" w:line="250" w:lineRule="auto"/>
        <w:rPr>
          <w:sz w:val="20"/>
          <w:szCs w:val="20"/>
          <w:color w:val="auto"/>
        </w:rPr>
      </w:pPr>
      <w:r>
        <w:rPr>
          <w:rFonts w:ascii="Times New Roman" w:cs="Times New Roman" w:eastAsia="Times New Roman" w:hAnsi="Times New Roman"/>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any of our pending patent applications relating to VASCEPA or its use will issue as patents.</w:t>
      </w:r>
    </w:p>
    <w:p>
      <w:pPr>
        <w:spacing w:after="0" w:line="108" w:lineRule="exact"/>
        <w:rPr>
          <w:sz w:val="20"/>
          <w:szCs w:val="20"/>
          <w:color w:val="auto"/>
        </w:rPr>
      </w:pPr>
    </w:p>
    <w:p>
      <w:pPr>
        <w:ind w:right="140" w:firstLine="509"/>
        <w:spacing w:after="0" w:line="244" w:lineRule="auto"/>
        <w:rPr>
          <w:sz w:val="20"/>
          <w:szCs w:val="20"/>
          <w:color w:val="auto"/>
        </w:rPr>
      </w:pPr>
      <w:r>
        <w:rPr>
          <w:rFonts w:ascii="Times New Roman" w:cs="Times New Roman" w:eastAsia="Times New Roman" w:hAnsi="Times New Roman"/>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our clinical trials. If granted, one or more of the resulting granted patents from REDUCE-IT, for example, would expire in 2039, beyond the 2030 and 2033 expiration dates of currently issued REDUCE-IT patents. However, no assurance can be given that any of our pending patent applications will be granted or, if they grant, that they will prevent competitors from competing with VASCEPA.</w:t>
      </w:r>
    </w:p>
    <w:p>
      <w:pPr>
        <w:spacing w:after="0" w:line="74"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195"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64"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32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50" w:lineRule="exact"/>
        <w:rPr>
          <w:sz w:val="20"/>
          <w:szCs w:val="20"/>
          <w:color w:val="auto"/>
        </w:rPr>
      </w:pPr>
    </w:p>
    <w:p>
      <w:pPr>
        <w:ind w:right="320" w:firstLine="509"/>
        <w:spacing w:after="0" w:line="243" w:lineRule="auto"/>
        <w:rPr>
          <w:sz w:val="20"/>
          <w:szCs w:val="20"/>
          <w:color w:val="auto"/>
        </w:rPr>
      </w:pPr>
      <w:r>
        <w:rPr>
          <w:rFonts w:ascii="Times New Roman" w:cs="Times New Roman" w:eastAsia="Times New Roman" w:hAnsi="Times New Roman"/>
          <w:sz w:val="18"/>
          <w:szCs w:val="18"/>
          <w:color w:val="auto"/>
        </w:rPr>
        <w:t>In January 2022, we disclosed our 2022 financial outlook. Subsequent to that, including in connection with the announcement of our cost and organizational restructuring plan, we have made statements about expected cost reductions and expenditures. Such outlook and estimates are based on estimates, assumptions and the judgment of management. Because of the inherent nature of estimates, including during the uncertainty of our European launch and the impact from U.S. generic competition, we have suspended providing net revenue guidance and there could be significant differences between our estimates and the actual amount of product demand. If we fail to realize or if we change or update any element of our publicly disclosed financial guidance as we have done in the past or other expectations about our business and initiative change, our stock price could decline in value.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2" w:name="page73"/>
    <w:bookmarkEnd w:id="72"/>
    <w:p>
      <w:pPr>
        <w:ind w:right="5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key personnel could have an adverse effect on our business, particularly in light of our recent announcement of management succession plan.</w:t>
      </w:r>
    </w:p>
    <w:p>
      <w:pPr>
        <w:spacing w:after="0" w:line="3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are highly dependent upon the efforts of our senior management. The loss of the services of one or more members of senior management could have a material adverse effect on us. Given our rapidly expanding enterprise coupled with a streamlined management structure and sales force,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continue to expand our commercialization efforts, particularly on a global scale, we may experience continued or increased turnover among members of our senior management team. We may have difficulty identifying, attracting and integrating new executives to replace any such losses. As we expand commercialization efforts in Europe, we need to rapidly hire employees and ensure that they are well trained and working cohesively with core values which are consistent with our existing operations and which, we believe, help improve our position for success. In the United States, employees are increasingly being recruited by other companies. While our business remains focused on continued promotion of VASCEPA in the United States, and expansion in Europe, the current and potential threat of generic competition and our recent reductions in force can create employee uncertainty which could lead to increased employee turnover. There is intense competition for qualified personnel in the areas of our activities. In this environment, we may not be able to attract or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81" w:lineRule="exact"/>
        <w:rPr>
          <w:sz w:val="20"/>
          <w:szCs w:val="20"/>
          <w:color w:val="auto"/>
        </w:rPr>
      </w:pPr>
    </w:p>
    <w:p>
      <w:pPr>
        <w:ind w:right="60" w:firstLine="509"/>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clinical research organizations or other contractors or consultants, may fail or suffer security breaches, which could result in a material disruption of our commercial, research and development and other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-223520</wp:posOffset>
            </wp:positionV>
            <wp:extent cx="64135" cy="393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9" w:lineRule="exact"/>
        <w:rPr>
          <w:sz w:val="20"/>
          <w:szCs w:val="20"/>
          <w:color w:val="auto"/>
        </w:rPr>
      </w:pPr>
    </w:p>
    <w:p>
      <w:pPr>
        <w:ind w:right="20" w:firstLine="509"/>
        <w:spacing w:after="0" w:line="217" w:lineRule="exact"/>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80"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For example, in June 2019, a report published by security researchers claimed that a database belonging to one of our vendors containing information about individuals who use or have expressed interest in VASCEPA was accessible to unauthorized users. Although we were informed that such breach did not include social security numbers or credit card information, we cannot guarantee that a more material breach will not occur in the future.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We may incur significant costs or divert significant internal resources as a result of any regulatory actions or private litigation. Any of the foregoing consequences may adversely affect our business and financial condition.</w:t>
      </w:r>
    </w:p>
    <w:p>
      <w:pPr>
        <w:spacing w:after="0" w:line="9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7"/>
          <w:szCs w:val="17"/>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3" w:name="page74"/>
    <w:bookmarkEnd w:id="7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potential product liability.</w:t>
      </w:r>
    </w:p>
    <w:p>
      <w:pPr>
        <w:spacing w:after="0" w:line="10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68"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residence and/or tax laws could have a negative effect on our future profitability.</w:t>
      </w:r>
    </w:p>
    <w:p>
      <w:pPr>
        <w:spacing w:after="0" w:line="94"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We expect that our tax jurisdiction will remain in Ireland. 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Up to December 31, 2019, where a company was treated as tax resident under the domestic laws of both the UK and Ireland, then the provisions of article 4(3) of the Double Tax Agreement, or DTA, between the UK and Ireland provided that such enterprise would be treated as resident only in the jurisdiction in which its place of effective management is situated. We had at all times sought to conduct our affairs in such a way so as to be solely resident in Ireland for tax purposes by virtue of having our place of effective management situated in Ireland.</w:t>
      </w:r>
    </w:p>
    <w:p>
      <w:pPr>
        <w:spacing w:after="0" w:line="87"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These rules regarding determination of tax residence changed effective January 1, 2020, when a modified Ireland-UK DTA came into effect pursuant to the OECD’s Multilateral Instrument, or MLI. Under the modified Ireland-UK DTA, from January 1, 2020, we would be solely tax resident in Ireland and not tax resident in the UK if we continued to be centrally managed and controlled in Ireland and if it were mutually agreed between the Irish and UK tax authorities under the MLI “tie-breaker rule” that we are solely tax resident in Ireland. Having made the relevant submission under the amended provisions, we received confirmation effective January 1, 2020 of the mutual agreement of Irish and UK tax authorities that we are solely tax resident in Ireland for the purposes of the modified DTA.</w:t>
      </w:r>
    </w:p>
    <w:p>
      <w:pPr>
        <w:spacing w:after="0" w:line="87"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However, we cannot assure you that we are or will continue to be solely resident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and the basis on which our income is taxed may also change. Similarly, if the tax residency of our Irish or UK subsidiaries were to change from their current jurisdiction, they may be subject to a charge to local capital gains tax on their assets and the basis on which their income is taxed may also change.</w:t>
      </w:r>
    </w:p>
    <w:p>
      <w:pPr>
        <w:spacing w:after="0" w:line="74"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Our and our subsidiaries’ income tax returns are periodically examined by various tax authorities, including the Internal Revenue Service, or the IRS, and states. For example, the IRS began an examination of our 2018 U.S. income tax return in the first quarter of 2020. Although the outcome of tax audits is always uncertain and could result in significant cash tax payments, we do not believe the outcome of any ongoing or future audits will have a material adverse effect on our consolidated financial position or results of operations.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our exposure to customer concentration risk.</w:t>
      </w:r>
    </w:p>
    <w:p>
      <w:pPr>
        <w:spacing w:after="0" w:line="94" w:lineRule="exact"/>
        <w:rPr>
          <w:sz w:val="20"/>
          <w:szCs w:val="20"/>
          <w:color w:val="auto"/>
        </w:rPr>
      </w:pPr>
    </w:p>
    <w:p>
      <w:pPr>
        <w:ind w:right="80" w:firstLine="509"/>
        <w:spacing w:after="0" w:line="235" w:lineRule="auto"/>
        <w:rPr>
          <w:sz w:val="20"/>
          <w:szCs w:val="20"/>
          <w:color w:val="auto"/>
        </w:rPr>
      </w:pPr>
      <w:r>
        <w:rPr>
          <w:rFonts w:ascii="Times New Roman" w:cs="Times New Roman" w:eastAsia="Times New Roman" w:hAnsi="Times New Roman"/>
          <w:sz w:val="18"/>
          <w:szCs w:val="18"/>
          <w:color w:val="auto"/>
        </w:rPr>
        <w:t>A significant portion of our sales are to wholesalers in the pharmaceutical industry. Three customers individually accounted for 10% or more of our U.S. gross product sales. Customers A, B, and C accounted for 26%, 36%, and 31%, respectively, of gross product sales for the nine months ended September 30, 2022, and represented 41%, 32%, and 22%, respectively, of the gross accounts receivable balance as of September 30, 2022. Customers A, B, and C accounted for 27%, 37%, and 28%, respectively, of gross product sales for the nine months ended September 30, 2021, and represented 34%, 37%, and 21%, respectively, of the gross accounts receivable balance as of September 30, 2021. We expect that we may have customer concentration risk as we enter additional countries.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anticipate that we will incur continued losses for an indefinite period of time.</w:t>
      </w:r>
    </w:p>
    <w:p>
      <w:pPr>
        <w:spacing w:after="0" w:line="94"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We have not yet reached sustained profitability. For the fiscal year ended December 31, 2021, we reported net income of approximately $7.7 million. For the fiscal years ended December 31, 2020 and 2019, we reported net losses of approximately $18.0 million and $22.6 million, and we had an accumulated deficit as of December 31, 2021 of $1.4 billion. For the three months ended September 30, 2022 and 2021, we reported losses of approximately $5.1 million and $13.2 million, respectively, and we had an accumulated deficit as of September 30, 2022 of $1.5 billion. Substantially all of our operating losses resulted from costs incurred in</w:t>
      </w: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74" w:name="page75"/>
    <w:bookmarkEnd w:id="74"/>
    <w:p>
      <w:pPr>
        <w:ind w:right="40"/>
        <w:spacing w:after="0" w:line="239" w:lineRule="auto"/>
        <w:rPr>
          <w:sz w:val="20"/>
          <w:szCs w:val="20"/>
          <w:color w:val="auto"/>
        </w:rPr>
      </w:pPr>
      <w:r>
        <w:rPr>
          <w:rFonts w:ascii="Times New Roman" w:cs="Times New Roman" w:eastAsia="Times New Roman" w:hAnsi="Times New Roman"/>
          <w:sz w:val="18"/>
          <w:szCs w:val="18"/>
          <w:color w:val="auto"/>
        </w:rPr>
        <w:t>connection with our research and development programs, from general and administrative costs associated with our operations, and costs related to the commercialization of VASCEPA.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Although we began generating revenue from VASCEPA in January 2013, we may never be consistently profitable for a full year.</w:t>
      </w:r>
    </w:p>
    <w:p>
      <w:pPr>
        <w:spacing w:after="0" w:line="108"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Our ability to become profitable on a sustained basis depends upon our ability to generate revenue. We have been generating product revenue from sales of VASCEPA since January 2013, but we may not be able to generate sufficient revenue to achieve a steady state of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73"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Even though VASCEPA has been approved by the U.S. FDA for marketing in the United States for two important indications, received marketing authorization in Europe and is approved in smaller jurisdictions, it may not gain enough market acceptance to support consistent profitability. We anticipate continuing to incur significant costs associated with expanding the commercialization of VASCEPA. We may not achieve profitability on a sustained basis in the near term due to high costs associated with, for example, our expanded commercialization efforts in the United States and our expected commercialization efforts in Europe. If we are unable to continue to generate robust product revenues, we will not become profitable on a sustained basis in the near term, if ever, and may be unable to continue operations without continued funding.</w:t>
      </w:r>
    </w:p>
    <w:p>
      <w:pPr>
        <w:spacing w:after="0" w:line="203"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63"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 those risks and uncertainties described in this Part II, Item 1A and the following:</w:t>
      </w:r>
    </w:p>
    <w:p>
      <w:pPr>
        <w:spacing w:after="0" w:line="73" w:lineRule="exact"/>
        <w:rPr>
          <w:sz w:val="20"/>
          <w:szCs w:val="20"/>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and potential launches of additional generic versions of VASCEPA;</w:t>
      </w:r>
    </w:p>
    <w:p>
      <w:pPr>
        <w:spacing w:after="0" w:line="10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and prolonged disruption to our business, or delays in resuming normal business activities, or reinstating restrictions after protocols have been lifted, from the COVID-19 pandemic;</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evolution of the medical community’s and the public’s perception of the REDUCE-IT study results;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VASCEPA, due to changes in prescriber sentiment, quarterly changes in distributor purchases, and other factors;</w:t>
      </w:r>
    </w:p>
    <w:p>
      <w:pPr>
        <w:spacing w:after="0" w:line="117" w:lineRule="exact"/>
        <w:rPr>
          <w:rFonts w:ascii="Times New Roman" w:cs="Times New Roman" w:eastAsia="Times New Roman" w:hAnsi="Times New Roman"/>
          <w:sz w:val="18"/>
          <w:szCs w:val="18"/>
          <w:color w:val="auto"/>
        </w:rPr>
      </w:pPr>
    </w:p>
    <w:p>
      <w:pPr>
        <w:jc w:val="both"/>
        <w:ind w:left="900" w:right="340" w:hanging="383"/>
        <w:spacing w:after="0" w:line="250"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coverage and reimbursement for VASCEPA is available from government and health administration authorities, private health insurers, managed care programs and other third-party payors and the timing and extent to which such coverage and reimbursement changes;</w:t>
      </w:r>
    </w:p>
    <w:p>
      <w:pPr>
        <w:spacing w:after="0" w:line="82" w:lineRule="exact"/>
        <w:rPr>
          <w:rFonts w:ascii="Times New Roman" w:cs="Times New Roman" w:eastAsia="Times New Roman" w:hAnsi="Times New Roman"/>
          <w:sz w:val="18"/>
          <w:szCs w:val="18"/>
          <w:color w:val="auto"/>
        </w:rPr>
      </w:pPr>
    </w:p>
    <w:p>
      <w:pPr>
        <w:ind w:left="900" w:right="140" w:hanging="383"/>
        <w:spacing w:after="0" w:line="26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sales and marketing efforts to support VASCEPA sales, and our cost and reorganization efforts, including our recent cost reduction plan, and the resulting effectiveness of those efforts;</w:t>
      </w:r>
    </w:p>
    <w:p>
      <w:pPr>
        <w:spacing w:after="0" w:line="54"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our or our partners’ commercial or development activities, including as a result of political instability, civil unrest, terrorism, pandemics or other natural disasters, such as the coronavirus pandemic;</w:t>
      </w:r>
    </w:p>
    <w:p>
      <w:pPr>
        <w:spacing w:after="0" w:line="40" w:lineRule="exact"/>
        <w:rPr>
          <w:rFonts w:ascii="Times New Roman" w:cs="Times New Roman" w:eastAsia="Times New Roman" w:hAnsi="Times New Roman"/>
          <w:sz w:val="18"/>
          <w:szCs w:val="18"/>
          <w:color w:val="auto"/>
        </w:rPr>
      </w:pPr>
    </w:p>
    <w:p>
      <w:pPr>
        <w:ind w:left="900" w:right="180" w:hanging="383"/>
        <w:spacing w:after="0" w:line="258"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efforts outside the United States, to develop, register and commercialize VASCEPA in Europe, the China Territory, several Middle Eastern and North African countries, and Canada, for example, including obtaining necessary regulatory approvals, favorable pricing and establishing marketing channels;</w:t>
      </w:r>
    </w:p>
    <w:p>
      <w:pPr>
        <w:spacing w:after="0" w:line="6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developments regarding our intellectual property portfolio and regulatory exclusivity protections, if any;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litigation and other legal proceedings;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regulatory dialogue.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5" w:name="page76"/>
    <w:bookmarkEnd w:id="75"/>
    <w:p>
      <w:pPr>
        <w:ind w:left="26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37"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We currently operate with limited resources. We believe that our cash and cash equivalents balance of $240.5 million and short-term investment balance of $63.2 million as of September 30, 2022 will be sufficient to fund our projected operations for at least 12 months from the issuance date of our unaudited condensed consolidated financial statements included elsewhere in this Quarterly Report. We have based this estimate on assumptions that may prove to be wrong, and we could deplete our capital resources sooner than we expect or fail to achieve positive cash flow. Depending on the level of cash generated from operations, and depending in part on the rate of prescription growth for VASCEPA, additional capital may be required to support planned VASCEPA promotion and potential VASCEPA promotion beyond which we are currently executing and for commercialization of VAZKEPA in Europe. If additional capital is required and we are unable to obtain additional capital on satisfactory terms, or at all, we may be forced to delay, limit or eliminate certain promotional activities. We anticipate that quarterly net cash outflows in future periods will be variable as a result of the timing of certain items, including our purchases of API, VASCEPA promotional and educational activities, including launch activities in Europe and the impact from COVID-19 on our operations and those of our customers and any current or potential generic competition.</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fully realize the market potential of VASCEPA, we may need to enter into a new strategic collaboration or raise additional capital.</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amount and consistency of revenue generated from the commercial sale of VASCEPA;</w:t>
      </w:r>
    </w:p>
    <w:p>
      <w:pPr>
        <w:spacing w:after="0" w:line="103"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commercializing VASCEPA in the United States and increased sales force sizing, and for commercializing VAZKEPA in Europe, including hiring experienced professionals, and for additional regulatory approvals internationally, if any, the cost and timing of securing commercial supply of VASCEPA and the timing of entering into any new strategic collaboration with others relating to the commercialization of VASCEPA, if at all, and the terms of any such collaboration;</w:t>
      </w:r>
    </w:p>
    <w:p>
      <w:pPr>
        <w:spacing w:after="0" w:line="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costs associated with litigation and other legal proceedings and governmental inquiries;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additional regulatory approvals for VASCEPA based on REDUCE-IT results internationally;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to develop internally, acquire or in-license new products, technologies or businesses;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w:t>
      </w:r>
    </w:p>
    <w:p>
      <w:pPr>
        <w:spacing w:after="0" w:line="11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If we require additional funds and adequate funds are not available to us in amounts or on terms acceptable to us or on a timely basis, or at all, our commercialization efforts for VASCEPA, and our business generally, may suffer materially.</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business, financial condition and results of operations.</w:t>
      </w:r>
    </w:p>
    <w:p>
      <w:pPr>
        <w:spacing w:after="0" w:line="108"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7"/>
          <w:szCs w:val="17"/>
          <w:color w:val="auto"/>
        </w:rPr>
        <w:t>Tax law and policies in the United States and Ireland are unsettled and may be subject to significant change, including based on adjustments in political perspectives and administration shifts. In the United States and internationally, how to tax entities with international operations, like us, has been subject to significant re-evaluation. We believe we developed VASCEPA in and from Ireland based on understanding of applicable requirements. In recent years, particularly since 2013 when commercial sale of VASCEPA commenced in the United States, the majority of our consolidated operations have been in the United States. Ownership of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under applicable requirements. In addition, utilization of these accumulated net operating loss carryforwards assumes that tax treaties between Ireland and other countries, particularly the United States, do not change in a manner that limit our future ability to offset earnings with these operating loss carryforwards for tax purposes.</w:t>
      </w:r>
    </w:p>
    <w:p>
      <w:pPr>
        <w:spacing w:after="0" w:line="6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Similarly, a change in our Irish tax residence could materially affect our ability to obtain and maintain profitability, if otherwise achievable.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61"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Changes in tax laws (including in response to the COVID-19 pandemic)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In particular, there have been a number of significant changes to the U.S. federal income tax rules in recent years and additional tax reform proposed by the Biden administration may be enacted. The effect of any such tax reform is uncertain. As we continue to expand internationally, we will be subject to varied and complex tax regimes, and the tax laws of one jurisdiction may</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76" w:name="page77"/>
    <w:bookmarkEnd w:id="76"/>
    <w:p>
      <w:pPr>
        <w:ind w:right="60"/>
        <w:spacing w:after="0" w:line="258" w:lineRule="auto"/>
        <w:rPr>
          <w:sz w:val="20"/>
          <w:szCs w:val="20"/>
          <w:color w:val="auto"/>
        </w:rPr>
      </w:pPr>
      <w:r>
        <w:rPr>
          <w:rFonts w:ascii="Times New Roman" w:cs="Times New Roman" w:eastAsia="Times New Roman" w:hAnsi="Times New Roman"/>
          <w:sz w:val="18"/>
          <w:szCs w:val="18"/>
          <w:color w:val="auto"/>
        </w:rPr>
        <w:t>impact our expansion to or operations in other jurisdictions. Additionally, new, changed, modified, or newly interpreted or applied tax laws could increase our partners’ and our compliance, operating and other costs, as well as the costs of our products. As we expand the scale of our business activities, any changes in the taxation of such activities may increase our effective tax rate and harm our business, financial condition, and results of operations.</w:t>
      </w:r>
    </w:p>
    <w:p>
      <w:pPr>
        <w:spacing w:after="0" w:line="6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IRA was enacted into law on August 16, 2022. Included in the IRA was a provision to implement a 15% corporate alternative minimum tax on corporations whose average annual adjusted financial statement income during the most recently-completed three-year period exceeds $1.0 billion. This provision is effective for tax years beginning after December 31, 2022. We are in the process of evaluating the provisions of the IRA.</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ADSs and Common Shares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and common shares may be volatile.</w:t>
      </w:r>
    </w:p>
    <w:p>
      <w:pPr>
        <w:spacing w:after="0" w:line="10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82"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As of October 21, 2022, we had 403,828,955 common shares outstanding including 383,347,128 shares held as ADSs and 20,481,827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market price of our ADSs and common shares may also be affected by factors such as:</w:t>
      </w:r>
    </w:p>
    <w:p>
      <w:pPr>
        <w:spacing w:after="0" w:line="117" w:lineRule="exact"/>
        <w:rPr>
          <w:sz w:val="20"/>
          <w:szCs w:val="20"/>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ongoing patent prosecution efforts and any future patent or proprietary rights;</w:t>
      </w:r>
    </w:p>
    <w:p>
      <w:pPr>
        <w:spacing w:after="0" w:line="103" w:lineRule="exact"/>
        <w:rPr>
          <w:rFonts w:ascii="Times New Roman" w:cs="Times New Roman" w:eastAsia="Times New Roman" w:hAnsi="Times New Roman"/>
          <w:sz w:val="18"/>
          <w:szCs w:val="18"/>
          <w:color w:val="auto"/>
        </w:rPr>
      </w:pPr>
    </w:p>
    <w:p>
      <w:pPr>
        <w:ind w:left="900" w:right="120" w:hanging="383"/>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developments in the United States affecting our VASCEPA promotional rights, and regulatory developments in other countries;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medical results relating to our products or our competitors’ products;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failures or setbacks in product development;</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by us or our competitors;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variations in our results of operations.</w:t>
      </w:r>
    </w:p>
    <w:p>
      <w:pPr>
        <w:spacing w:after="0" w:line="104"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Further, the effects of Brexit are uncertain and may have a negative effect on global economic conditions, financial markets and our business, which could reduce the price of our ADSs and common shares. In particular, Brexit could lead to a period of considerable uncertainty in relation to the UK financial and banking markets, as well as on the regulatory process in Europe, which could cause the broader global financial markets to experience significant volatility. Asset valuations, currency exchange rates and credit ratings may also be subject to increased market volatility due to the ongoing uncertainty. Lack of clarity about future UK laws and regulations as the United Kingdom determines which EU rules and regulations to replace or replicate could decrease foreign direct investment in the UK, increase costs, disrupt our business, depress economic activity and restrict our access to capital, any of which could negatively impact the price of our ADSs and common shares.</w:t>
      </w:r>
    </w:p>
    <w:p>
      <w:pPr>
        <w:spacing w:after="0" w:line="204" w:lineRule="exact"/>
        <w:rPr>
          <w:sz w:val="20"/>
          <w:szCs w:val="20"/>
          <w:color w:val="auto"/>
        </w:rPr>
      </w:pPr>
    </w:p>
    <w:p>
      <w:pPr>
        <w:ind w:right="280" w:firstLine="509"/>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77" w:name="page78"/>
    <w:bookmarkEnd w:id="77"/>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In accordance with the guidelines specified under Rule 10b5-1 under the Exchange Act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characterized as a passive foreign investment company there could be adverse consequences to U.S. investors.</w:t>
      </w:r>
    </w:p>
    <w:p>
      <w:pPr>
        <w:spacing w:after="0" w:line="108"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no more than 25% (by value) of the stock.</w:t>
      </w:r>
    </w:p>
    <w:p>
      <w:pPr>
        <w:spacing w:after="0" w:line="87"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Based on certain estimates of our gross income and gross assets, the latter determined by reference to the expected value of our ADSs and shares, we believe that we will not be classified as a PFIC for the taxable year ended December 31, 2021 and we do not expect to be treated as a PFIC in any future taxable year for the foreseeable future.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w:t>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the ordinary shares in the foreseeable future.</w:t>
      </w:r>
    </w:p>
    <w:p>
      <w:pPr>
        <w:spacing w:after="0" w:line="108"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108"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61" w:lineRule="exact"/>
        <w:rPr>
          <w:sz w:val="20"/>
          <w:szCs w:val="20"/>
          <w:color w:val="auto"/>
        </w:rPr>
      </w:pPr>
    </w:p>
    <w:p>
      <w:pPr>
        <w:ind w:left="900" w:right="60" w:hanging="383"/>
        <w:spacing w:after="0" w:line="258"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61"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40" w:lineRule="exact"/>
        <w:rPr>
          <w:rFonts w:ascii="Times New Roman" w:cs="Times New Roman" w:eastAsia="Times New Roman" w:hAnsi="Times New Roman"/>
          <w:sz w:val="18"/>
          <w:szCs w:val="18"/>
          <w:color w:val="auto"/>
        </w:rPr>
      </w:pPr>
    </w:p>
    <w:p>
      <w:pPr>
        <w:ind w:left="900" w:right="240" w:hanging="383"/>
        <w:spacing w:after="0" w:line="280" w:lineRule="auto"/>
        <w:tabs>
          <w:tab w:leader="none" w:pos="9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44" w:lineRule="exact"/>
        <w:rPr>
          <w:rFonts w:ascii="Times New Roman" w:cs="Times New Roman" w:eastAsia="Times New Roman" w:hAnsi="Times New Roman"/>
          <w:sz w:val="17"/>
          <w:szCs w:val="17"/>
          <w:color w:val="auto"/>
        </w:rPr>
      </w:pPr>
    </w:p>
    <w:p>
      <w:pPr>
        <w:ind w:left="900" w:right="160" w:hanging="383"/>
        <w:spacing w:after="0" w:line="246"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7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Kingdom, takeovers may be structured as takeover offers or as schemes of arrangement. Under English law, a bidder seeking to</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w:t>
      </w: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78" w:name="page79"/>
    <w:bookmarkEnd w:id="78"/>
    <w:p>
      <w:pPr>
        <w:ind w:left="900" w:right="240"/>
        <w:spacing w:after="0" w:line="250" w:lineRule="auto"/>
        <w:rPr>
          <w:sz w:val="20"/>
          <w:szCs w:val="20"/>
          <w:color w:val="auto"/>
        </w:rPr>
      </w:pPr>
      <w:r>
        <w:rPr>
          <w:rFonts w:ascii="Times New Roman" w:cs="Times New Roman" w:eastAsia="Times New Roman" w:hAnsi="Times New Roman"/>
          <w:sz w:val="18"/>
          <w:szCs w:val="18"/>
          <w:color w:val="auto"/>
        </w:rPr>
        <w:t>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83" w:lineRule="exact"/>
        <w:rPr>
          <w:sz w:val="20"/>
          <w:szCs w:val="20"/>
          <w:color w:val="auto"/>
        </w:rPr>
      </w:pPr>
    </w:p>
    <w:p>
      <w:pPr>
        <w:ind w:left="900" w:right="40" w:hanging="383"/>
        <w:spacing w:after="0" w:line="270" w:lineRule="auto"/>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51" w:lineRule="exact"/>
        <w:rPr>
          <w:rFonts w:ascii="Times New Roman" w:cs="Times New Roman" w:eastAsia="Times New Roman" w:hAnsi="Times New Roman"/>
          <w:sz w:val="17"/>
          <w:szCs w:val="17"/>
          <w:color w:val="auto"/>
        </w:rPr>
      </w:pPr>
    </w:p>
    <w:p>
      <w:pPr>
        <w:ind w:left="900" w:hanging="383"/>
        <w:spacing w:after="0" w:line="244"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(although the marketplace rules of the Nasdaq Stock Market require that shareholders holding at least one-third of our outstanding shares of voting stock are present at the meeting or by proxy).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protections found in provisions under the UK City Code on Takeovers and Mergers, or the Takeover Code, do not apply to us.</w:t>
      </w:r>
    </w:p>
    <w:p>
      <w:pPr>
        <w:spacing w:after="0" w:line="10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 protections provided under the Takeover Code. The following is a brief summary of some of the most important rules of the Takeover Code which, as noted, does not apply to us:</w:t>
      </w:r>
    </w:p>
    <w:p>
      <w:pPr>
        <w:spacing w:after="0" w:line="69" w:lineRule="exact"/>
        <w:rPr>
          <w:sz w:val="20"/>
          <w:szCs w:val="20"/>
          <w:color w:val="auto"/>
        </w:rPr>
      </w:pPr>
    </w:p>
    <w:p>
      <w:pPr>
        <w:ind w:left="900" w:right="80" w:hanging="383"/>
        <w:spacing w:after="0" w:line="258"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the potential offer.</w:t>
      </w:r>
    </w:p>
    <w:p>
      <w:pPr>
        <w:spacing w:after="0" w:line="61" w:lineRule="exact"/>
        <w:rPr>
          <w:rFonts w:ascii="Times New Roman" w:cs="Times New Roman" w:eastAsia="Times New Roman" w:hAnsi="Times New Roman"/>
          <w:sz w:val="18"/>
          <w:szCs w:val="18"/>
          <w:color w:val="auto"/>
        </w:rPr>
      </w:pPr>
    </w:p>
    <w:p>
      <w:pPr>
        <w:ind w:left="900" w:right="80" w:hanging="383"/>
        <w:spacing w:after="0" w:line="250"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person or group of persons who are treated as “acting in concert” with each other (a) acquires interests in shares carrying 30% or more of the voting rights of a company (which percentage is treated by the Takeover Code as the level at which effective control is obtained) or (b) increases the aggregate percentage interest they have when they are already interested in not less than 30% and not more than 50%, they must make a cash offer to all other shareholders at the highest price paid by them in the 12 months before the offer was announced.</w:t>
      </w:r>
    </w:p>
    <w:p>
      <w:pPr>
        <w:spacing w:after="0" w:line="69" w:lineRule="exact"/>
        <w:rPr>
          <w:rFonts w:ascii="Times New Roman" w:cs="Times New Roman" w:eastAsia="Times New Roman" w:hAnsi="Times New Roman"/>
          <w:sz w:val="18"/>
          <w:szCs w:val="18"/>
          <w:color w:val="auto"/>
        </w:rPr>
      </w:pPr>
    </w:p>
    <w:p>
      <w:pPr>
        <w:ind w:left="900" w:right="40" w:hanging="383"/>
        <w:spacing w:after="0" w:line="268"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interests in shares of any class representing 10% of shares of that class have been acquired for cash by an offeror (i.e., a bidder) during the offer period (i.e., broadly speaking, the period after the potential offer has been made public) and within 12 months prior to commencement of the offer period, the offer must be in cash or be accompanied by a cash alternative for all shareholders of that class at the highest price paid by the offeror in that period. Further, if an offeror acquires any interest in shares for cash during the offer period, the offer for the shares must be in cash or accompanied by a cash alternative at a price at least equal to the price paid for such shares during the offer period.</w:t>
      </w:r>
    </w:p>
    <w:p>
      <w:pPr>
        <w:spacing w:after="0" w:line="56" w:lineRule="exact"/>
        <w:rPr>
          <w:rFonts w:ascii="Times New Roman" w:cs="Times New Roman" w:eastAsia="Times New Roman" w:hAnsi="Times New Roman"/>
          <w:sz w:val="17"/>
          <w:szCs w:val="17"/>
          <w:color w:val="auto"/>
        </w:rPr>
      </w:pPr>
    </w:p>
    <w:p>
      <w:pPr>
        <w:ind w:left="900" w:right="60" w:hanging="383"/>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an announcement is made, the offeror acquires an interest in shares in an offeree company (i.e., a target) at a price higher than the value of the offer, the offer must be increased accordingly.</w:t>
      </w:r>
    </w:p>
    <w:p>
      <w:pPr>
        <w:spacing w:after="0" w:line="67" w:lineRule="exact"/>
        <w:rPr>
          <w:rFonts w:ascii="Times New Roman" w:cs="Times New Roman" w:eastAsia="Times New Roman" w:hAnsi="Times New Roman"/>
          <w:sz w:val="18"/>
          <w:szCs w:val="18"/>
          <w:color w:val="auto"/>
        </w:rPr>
      </w:pPr>
    </w:p>
    <w:p>
      <w:pPr>
        <w:ind w:left="900" w:right="180" w:hanging="383"/>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54"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must be given the same information.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those parties issuing takeover circulars must include statements taking responsibility for the contents thereof.</w:t>
      </w:r>
    </w:p>
    <w:p>
      <w:pPr>
        <w:spacing w:after="0" w:line="117" w:lineRule="exact"/>
        <w:rPr>
          <w:rFonts w:ascii="Times New Roman" w:cs="Times New Roman" w:eastAsia="Times New Roman" w:hAnsi="Times New Roman"/>
          <w:sz w:val="18"/>
          <w:szCs w:val="18"/>
          <w:color w:val="auto"/>
        </w:rPr>
      </w:pPr>
    </w:p>
    <w:p>
      <w:pPr>
        <w:ind w:left="900" w:right="200" w:hanging="383"/>
        <w:spacing w:after="0" w:line="24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forecasts, quantified financial benefits statements and asset valuations must be made to specified standards and must be reported on by professional advisers.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9" w:name="page80"/>
    <w:bookmarkEnd w:id="79"/>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Misleading, inaccurate or unsubstantiated statements made in documents or to the media must be publicly corrected immediately.</w:t>
      </w:r>
    </w:p>
    <w:p>
      <w:pPr>
        <w:spacing w:after="0" w:line="117" w:lineRule="exact"/>
        <w:rPr>
          <w:rFonts w:ascii="Times New Roman" w:cs="Times New Roman" w:eastAsia="Times New Roman" w:hAnsi="Times New Roman"/>
          <w:sz w:val="18"/>
          <w:szCs w:val="18"/>
          <w:color w:val="auto"/>
        </w:rPr>
      </w:pPr>
    </w:p>
    <w:p>
      <w:pPr>
        <w:ind w:left="900" w:right="380" w:hanging="383"/>
        <w:spacing w:after="0" w:line="250"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during the course of an offer (or even before if the board of the offeree company is aware that an offer is imminent) by the offeree company, which might frustrate the offer are generally prohibited unless shareholders approve these plans (or the bidder consents to the proposed course of action). Frustrating actions would include, for example, issuing new shares, lengthening the notice period for directors under their service contract or agreeing to sell off material parts of the target group.</w:t>
      </w:r>
    </w:p>
    <w:p>
      <w:pPr>
        <w:spacing w:after="0" w:line="69" w:lineRule="exact"/>
        <w:rPr>
          <w:rFonts w:ascii="Times New Roman" w:cs="Times New Roman" w:eastAsia="Times New Roman" w:hAnsi="Times New Roman"/>
          <w:sz w:val="18"/>
          <w:szCs w:val="18"/>
          <w:color w:val="auto"/>
        </w:rPr>
      </w:pPr>
    </w:p>
    <w:p>
      <w:pPr>
        <w:ind w:left="900" w:right="140" w:hanging="383"/>
        <w:spacing w:after="0" w:line="258"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61" w:lineRule="exact"/>
        <w:rPr>
          <w:rFonts w:ascii="Times New Roman" w:cs="Times New Roman" w:eastAsia="Times New Roman" w:hAnsi="Times New Roman"/>
          <w:sz w:val="18"/>
          <w:szCs w:val="18"/>
          <w:color w:val="auto"/>
        </w:rPr>
      </w:pPr>
    </w:p>
    <w:p>
      <w:pPr>
        <w:ind w:left="900" w:right="20" w:hanging="383"/>
        <w:spacing w:after="0" w:line="250"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and pension schemes appended to the offeree board of directors’ circular or published on a website.</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enforce civil liabilities against us.</w:t>
      </w:r>
    </w:p>
    <w:p>
      <w:pPr>
        <w:spacing w:after="0" w:line="108"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7"/>
          <w:szCs w:val="17"/>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91" w:lineRule="exact"/>
        <w:rPr>
          <w:sz w:val="20"/>
          <w:szCs w:val="20"/>
          <w:color w:val="auto"/>
        </w:rPr>
      </w:pPr>
    </w:p>
    <w:p>
      <w:pPr>
        <w:ind w:left="260" w:right="30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63" w:lineRule="exact"/>
        <w:rPr>
          <w:sz w:val="20"/>
          <w:szCs w:val="20"/>
          <w:color w:val="auto"/>
        </w:rPr>
      </w:pPr>
    </w:p>
    <w:p>
      <w:pPr>
        <w:ind w:right="180" w:firstLine="509"/>
        <w:spacing w:after="0" w:line="242" w:lineRule="auto"/>
        <w:rPr>
          <w:sz w:val="20"/>
          <w:szCs w:val="20"/>
          <w:color w:val="auto"/>
        </w:rPr>
      </w:pPr>
      <w:r>
        <w:rPr>
          <w:rFonts w:ascii="Times New Roman" w:cs="Times New Roman" w:eastAsia="Times New Roman" w:hAnsi="Times New Roman"/>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technological changes in our field of business create considerable uncertainty.</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pharmaceutical industry in which we operate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200"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6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continued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w:t>
      </w:r>
    </w:p>
    <w:p>
      <w:pPr>
        <w:spacing w:after="0" w:line="61" w:lineRule="exact"/>
        <w:rPr>
          <w:sz w:val="20"/>
          <w:szCs w:val="20"/>
          <w:color w:val="auto"/>
        </w:rPr>
      </w:pPr>
    </w:p>
    <w:p>
      <w:pPr>
        <w:ind w:right="240" w:firstLine="509"/>
        <w:spacing w:after="0" w:line="247" w:lineRule="auto"/>
        <w:rPr>
          <w:sz w:val="20"/>
          <w:szCs w:val="20"/>
          <w:color w:val="auto"/>
        </w:rPr>
      </w:pPr>
      <w:r>
        <w:rPr>
          <w:rFonts w:ascii="Times New Roman" w:cs="Times New Roman" w:eastAsia="Times New Roman" w:hAnsi="Times New Roman"/>
          <w:sz w:val="18"/>
          <w:szCs w:val="18"/>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w:t>
      </w: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80" w:name="page81"/>
    <w:bookmarkEnd w:id="80"/>
    <w:p>
      <w:pPr>
        <w:ind w:right="200"/>
        <w:spacing w:after="0" w:line="282" w:lineRule="auto"/>
        <w:rPr>
          <w:sz w:val="20"/>
          <w:szCs w:val="20"/>
          <w:color w:val="auto"/>
        </w:rPr>
      </w:pPr>
      <w:r>
        <w:rPr>
          <w:rFonts w:ascii="Times New Roman" w:cs="Times New Roman" w:eastAsia="Times New Roman" w:hAnsi="Times New Roman"/>
          <w:sz w:val="18"/>
          <w:szCs w:val="18"/>
          <w:color w:val="auto"/>
        </w:rPr>
        <w:t>in relation to the UK financial and banking markets, as well as on the regulatory process in Europe. Asset valuations, currency exchange rates and credit ratings may also be subject to increased market volatility.</w:t>
      </w:r>
    </w:p>
    <w:p>
      <w:pPr>
        <w:spacing w:after="0" w:line="40"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If the UK and the EU are unable to implement acceptable agreements or if other EU member states pursue withdrawal, barrier-free access between the UK and other EU member states or among the European Economic Area, or EEA, overall could be diminished or eliminated. The long-term effects of Brexit will depend on any agreements (or lack thereof) between the UK and the EU.</w:t>
      </w:r>
    </w:p>
    <w:p>
      <w:pPr>
        <w:spacing w:after="0" w:line="61"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 In addition to the foregoing, our UK operations support our current and future operations and clinical activities in other countries in the EU and EEA and these operations and clinical activities could be disrupted by the ongoing effects of Brexit.</w:t>
      </w:r>
    </w:p>
    <w:p>
      <w:pPr>
        <w:spacing w:after="0" w:line="73"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We may also face new regulatory costs and challenges that could have an adverse effect on our operations. The impact of the terms of the recent trade deal between the UK and EU are uncertain.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commercialization of our products in the UK. Any delay in commercializing our products in the UK and/or the EU could restrict our ability to generate revenue and achieve and sustain profitability. The uncertainty around the UK’s future relationship with the EU continues to cause economic uncertainty which could adversely impact customer confidence resulting in customers reducing their spending budgets on our solutions, which could adversely affect our business, revenue, financial condition, results of operations and could adversely affect the market price of our ADSs.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Negative economic conditions would likely have a negative effect on our ability to obtain financing on acceptable terms.</w:t>
      </w:r>
    </w:p>
    <w:p>
      <w:pPr>
        <w:spacing w:after="0" w:line="108" w:lineRule="exact"/>
        <w:rPr>
          <w:sz w:val="20"/>
          <w:szCs w:val="20"/>
          <w:color w:val="auto"/>
        </w:rPr>
      </w:pPr>
    </w:p>
    <w:p>
      <w:pPr>
        <w:ind w:right="200" w:firstLine="509"/>
        <w:spacing w:after="0" w:line="247" w:lineRule="auto"/>
        <w:rPr>
          <w:sz w:val="20"/>
          <w:szCs w:val="20"/>
          <w:color w:val="auto"/>
        </w:rPr>
      </w:pPr>
      <w:r>
        <w:rPr>
          <w:rFonts w:ascii="Times New Roman" w:cs="Times New Roman" w:eastAsia="Times New Roman" w:hAnsi="Times New Roman"/>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deterioration in financial markets and confidence in economies, particularly in light of the continued volatility attributed to COVID-19 and other global instability.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restrict our operations or require us to relinquish rights.</w:t>
      </w:r>
    </w:p>
    <w:p>
      <w:pPr>
        <w:spacing w:after="0" w:line="10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61"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Debt financing, if available, may involve agreements that include burdensome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business combinations or other strategic transactions may disrupt our business or divert management’s attention.</w:t>
      </w:r>
    </w:p>
    <w:p>
      <w:pPr>
        <w:spacing w:after="0" w:line="108"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48" w:lineRule="exact"/>
        <w:rPr>
          <w:sz w:val="20"/>
          <w:szCs w:val="20"/>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managerial resources from day-to-day operations;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from the counterparties to any such transaction, other third parties or our shareholders;</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misjudgment with respect to the value;</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transaction costs; or</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successfully consummate any such transaction or collaboration.</w:t>
      </w:r>
    </w:p>
    <w:p>
      <w:pPr>
        <w:spacing w:after="0" w:line="104"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required to reevaluate our business only after we have incurred substantial expenses and devoted significant management time and resources.</w:t>
      </w:r>
    </w:p>
    <w:p>
      <w:pPr>
        <w:spacing w:after="0" w:line="248" w:lineRule="exact"/>
        <w:rPr>
          <w:sz w:val="20"/>
          <w:szCs w:val="20"/>
          <w:color w:val="auto"/>
        </w:rPr>
      </w:pPr>
    </w:p>
    <w:p>
      <w:pPr>
        <w:ind w:right="200"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including in Europe, and record inflation. Our business, financial condition and results of operations could be materially and adversely affected by any negative impact on the global economy and capital markets resulting from these global economic conditions, particularly if such conditions are prolonged or worsen.</w:t>
      </w:r>
    </w:p>
    <w:p>
      <w:pPr>
        <w:spacing w:after="0" w:line="6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Economic uncertainty in various global markets, including the U.S. and Europe, caused by political instability and conflict, such as Russia's invasion of Ukraine, and economic challenges caused by the COVID-19 pandemic, have led to market disruptions, including significant volatility in commodity prices, credit and capital market instability and supply chain interruptions, which have caused record inflation globally.</w:t>
      </w:r>
    </w:p>
    <w:p>
      <w:pPr>
        <w:spacing w:after="0" w:line="61"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by these global economic and geopolitical conditions, it is impossible to predict the extent to which our operations will be impacted in the short and long term, or the ways in which such instability could impact our business and results of operations. The extent and duration of these market disruptions, whether as a result of the military conflict between Russia and Ukraine, geopolitical tensions, record inflation or otherwise, are impossible to predict, but could be substantial. Any such disruptions may also magnify the impact of other risks described in this report.</w:t>
      </w:r>
    </w:p>
    <w:p>
      <w:pPr>
        <w:spacing w:after="0" w:line="2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 purchased in the third quarter of 2022 are as follows: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Period</w:t>
            </w:r>
          </w:p>
        </w:tc>
        <w:tc>
          <w:tcPr>
            <w:tcW w:w="160" w:type="dxa"/>
            <w:vAlign w:val="bottom"/>
          </w:tcPr>
          <w:p>
            <w:pPr>
              <w:spacing w:after="0"/>
              <w:rPr>
                <w:sz w:val="13"/>
                <w:szCs w:val="13"/>
                <w:color w:val="auto"/>
              </w:rPr>
            </w:pPr>
          </w:p>
        </w:tc>
        <w:tc>
          <w:tcPr>
            <w:tcW w:w="15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6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Borders>
              <w:bottom w:val="single" w:sz="8" w:color="auto"/>
            </w:tcBorders>
          </w:tcPr>
          <w:p>
            <w:pPr>
              <w:jc w:val="right"/>
              <w:ind w:right="97"/>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1 - 31, 2022</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65,420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August 1 - 31, 2022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1 - 30, 2022</w:t>
            </w:r>
          </w:p>
        </w:tc>
        <w:tc>
          <w:tcPr>
            <w:tcW w:w="16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121,684</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-153670</wp:posOffset>
            </wp:positionV>
            <wp:extent cx="60325"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-153670</wp:posOffset>
            </wp:positionV>
            <wp:extent cx="51435"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154305"/>
                    </a:xfrm>
                    <a:prstGeom prst="rect">
                      <a:avLst/>
                    </a:prstGeom>
                    <a:noFill/>
                  </pic:spPr>
                </pic:pic>
              </a:graphicData>
            </a:graphic>
          </wp:anchor>
        </w:drawing>
      </w:r>
    </w:p>
    <w:p>
      <w:pPr>
        <w:spacing w:after="0" w:line="178" w:lineRule="exact"/>
        <w:rPr>
          <w:sz w:val="20"/>
          <w:szCs w:val="20"/>
          <w:color w:val="auto"/>
        </w:rPr>
      </w:pPr>
    </w:p>
    <w:p>
      <w:pPr>
        <w:ind w:left="380" w:right="180" w:hanging="372"/>
        <w:spacing w:after="0" w:line="217" w:lineRule="auto"/>
        <w:tabs>
          <w:tab w:leader="none" w:pos="326"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shares withheld to satisfy tax withholding amounts due from employees related to the receipt of stock which resulted from the exercise or vesting of equity awards.</w:t>
      </w:r>
    </w:p>
    <w:p>
      <w:pPr>
        <w:spacing w:after="0" w:line="30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or furnished as part of this report.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0" w:type="dxa"/>
            <w:vAlign w:val="bottom"/>
          </w:tcPr>
          <w:p>
            <w:pPr>
              <w:spacing w:after="0"/>
              <w:rPr>
                <w:sz w:val="1"/>
                <w:szCs w:val="1"/>
                <w:color w:val="auto"/>
              </w:rPr>
            </w:pPr>
          </w:p>
        </w:tc>
      </w:tr>
      <w:tr>
        <w:trPr>
          <w:trHeight w:val="3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3"/>
                <w:szCs w:val="3"/>
                <w:color w:val="auto"/>
              </w:rPr>
            </w:pPr>
          </w:p>
        </w:tc>
        <w:tc>
          <w:tcPr>
            <w:tcW w:w="416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960" w:type="dxa"/>
            <w:vAlign w:val="bottom"/>
            <w:tcBorders>
              <w:bottom w:val="single" w:sz="8" w:color="auto"/>
            </w:tcBorders>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4160" w:type="dxa"/>
            <w:vAlign w:val="bottom"/>
            <w:tcBorders>
              <w:bottom w:val="single" w:sz="8" w:color="auto"/>
            </w:tcBorders>
            <w:vMerge w:val="continue"/>
          </w:tcPr>
          <w:p>
            <w:pPr>
              <w:spacing w:after="0"/>
              <w:rPr>
                <w:sz w:val="14"/>
                <w:szCs w:val="14"/>
                <w:color w:val="auto"/>
              </w:rPr>
            </w:pPr>
          </w:p>
        </w:tc>
        <w:tc>
          <w:tcPr>
            <w:tcW w:w="19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408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bl>
    <w:p>
      <w:pPr>
        <w:spacing w:after="0" w:line="104" w:lineRule="exact"/>
        <w:rPr>
          <w:sz w:val="20"/>
          <w:szCs w:val="20"/>
          <w:color w:val="auto"/>
        </w:rPr>
      </w:pPr>
    </w:p>
    <w:p>
      <w:pPr>
        <w:sectPr>
          <w:pgSz w:w="11900" w:h="16838" w:orient="portrait"/>
          <w:cols w:equalWidth="0" w:num="1">
            <w:col w:w="11240"/>
          </w:cols>
          <w:pgMar w:left="320" w:top="644" w:right="339" w:bottom="1440" w:gutter="0" w:footer="0" w:header="0"/>
        </w:sectPr>
      </w:pP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u w:val="single" w:color="auto"/>
          <w:color w:val="0000FF"/>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u w:val="single" w:color="auto"/>
          <w:color w:val="0000FF"/>
        </w:rPr>
        <w: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u w:val="single" w:color="auto"/>
          <w:color w:val="0000FF"/>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7"/>
        </w:trPr>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20"/>
        </w:trPr>
        <w:tc>
          <w:tcPr>
            <w:tcW w:w="20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(Principal Executive Officer) pursuant to Section 302 of</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0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Senior Vice President and Chief</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20"/>
        </w:trPr>
        <w:tc>
          <w:tcPr>
            <w:tcW w:w="2580" w:type="dxa"/>
            <w:vAlign w:val="bottom"/>
            <w:tcBorders>
              <w:left w:val="single" w:sz="8" w:color="0000EE"/>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7"/>
              </w:rPr>
              <w:t>Financial Officer (Principal Financial Officer and</w:t>
            </w:r>
          </w:p>
        </w:tc>
        <w:tc>
          <w:tcPr>
            <w:tcW w:w="120" w:type="dxa"/>
            <w:vAlign w:val="bottom"/>
            <w:vMerge w:val="continue"/>
          </w:tcPr>
          <w:p>
            <w:pPr>
              <w:spacing w:after="0"/>
              <w:rPr>
                <w:sz w:val="14"/>
                <w:szCs w:val="14"/>
                <w:color w:val="auto"/>
              </w:rPr>
            </w:pPr>
          </w:p>
        </w:tc>
        <w:tc>
          <w:tcPr>
            <w:tcW w:w="54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0000FF"/>
              </w:rPr>
              <w:t>302 of</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2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Principal Accounting Officer) pursuant to Section</w:t>
            </w:r>
          </w:p>
        </w:tc>
        <w:tc>
          <w:tcPr>
            <w:tcW w:w="540" w:type="dxa"/>
            <w:vAlign w:val="bottom"/>
            <w:tcBorders>
              <w:bottom w:val="single" w:sz="8" w:color="0000FF"/>
            </w:tcBorders>
            <w:gridSpan w:val="6"/>
            <w:vMerge w:val="continue"/>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60" w:type="dxa"/>
            <w:vAlign w:val="bottom"/>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20"/>
        </w:trPr>
        <w:tc>
          <w:tcPr>
            <w:tcW w:w="2580" w:type="dxa"/>
            <w:vAlign w:val="bottom"/>
            <w:tcBorders>
              <w:left w:val="single" w:sz="8" w:color="0000EE"/>
            </w:tcBorders>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40" w:type="dxa"/>
            <w:vAlign w:val="bottom"/>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7"/>
              </w:rPr>
              <w:t>(Principal Executive Officer) and Senior Vice President</w:t>
            </w:r>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60" w:type="dxa"/>
            <w:vAlign w:val="bottom"/>
            <w:tcBorders>
              <w:top w:val="single" w:sz="8" w:color="0000FF"/>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and Chief Financial Officer (Principal Financial Officer</w:t>
            </w:r>
          </w:p>
        </w:tc>
        <w:tc>
          <w:tcPr>
            <w:tcW w:w="20" w:type="dxa"/>
            <w:vAlign w:val="bottom"/>
            <w:tcBorders>
              <w:bottom w:val="single" w:sz="8" w:color="0000FF"/>
            </w:tcBorders>
          </w:tcPr>
          <w:p>
            <w:pPr>
              <w:spacing w:after="0"/>
              <w:rPr>
                <w:sz w:val="14"/>
                <w:szCs w:val="14"/>
                <w:color w:val="auto"/>
              </w:rPr>
            </w:pPr>
          </w:p>
        </w:tc>
        <w:tc>
          <w:tcPr>
            <w:tcW w:w="80" w:type="dxa"/>
            <w:vAlign w:val="bottom"/>
            <w:gridSpan w:val="2"/>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80" w:type="dxa"/>
            <w:vAlign w:val="bottom"/>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and Principal Accounting Officer) pursuant to Section</w:t>
            </w:r>
          </w:p>
        </w:tc>
        <w:tc>
          <w:tcPr>
            <w:tcW w:w="80" w:type="dxa"/>
            <w:vAlign w:val="bottom"/>
            <w:gridSpan w:val="2"/>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8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906 of Sarbanes-Oxley Act of 2002</w:t>
            </w:r>
          </w:p>
        </w:tc>
        <w:tc>
          <w:tcPr>
            <w:tcW w:w="1380" w:type="dxa"/>
            <w:vAlign w:val="bottom"/>
            <w:tcBorders>
              <w:top w:val="single" w:sz="8" w:color="0000FF"/>
            </w:tcBorders>
            <w:gridSpan w:val="4"/>
          </w:tcPr>
          <w:p>
            <w:pPr>
              <w:spacing w:after="0"/>
              <w:rPr>
                <w:sz w:val="14"/>
                <w:szCs w:val="14"/>
                <w:color w:val="auto"/>
              </w:rPr>
            </w:pPr>
          </w:p>
        </w:tc>
        <w:tc>
          <w:tcPr>
            <w:tcW w:w="200" w:type="dxa"/>
            <w:vAlign w:val="bottom"/>
            <w:gridSpan w:val="4"/>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2">
            <w:col w:w="420" w:space="620"/>
            <w:col w:w="10200"/>
          </w:cols>
          <w:pgMar w:left="320" w:top="644"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0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Filed herewith</w:t>
            </w:r>
          </w:p>
        </w:tc>
      </w:tr>
      <w:tr>
        <w:trPr>
          <w:trHeight w:val="234"/>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c>
          <w:tcPr>
            <w:tcW w:w="6100" w:type="dxa"/>
            <w:vAlign w:val="bottom"/>
          </w:tcPr>
          <w:p>
            <w:pPr>
              <w:spacing w:after="0"/>
              <w:rPr>
                <w:sz w:val="20"/>
                <w:szCs w:val="20"/>
                <w:color w:val="auto"/>
              </w:rPr>
            </w:pPr>
          </w:p>
        </w:tc>
      </w:tr>
      <w:tr>
        <w:trPr>
          <w:trHeight w:val="30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c>
          <w:tcPr>
            <w:tcW w:w="6100" w:type="dxa"/>
            <w:vAlign w:val="bottom"/>
          </w:tcPr>
          <w:p>
            <w:pPr>
              <w:spacing w:after="0"/>
              <w:rPr>
                <w:sz w:val="20"/>
                <w:szCs w:val="20"/>
                <w:color w:val="auto"/>
              </w:rPr>
            </w:pPr>
          </w:p>
        </w:tc>
      </w:tr>
      <w:tr>
        <w:trPr>
          <w:trHeight w:val="30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c>
          <w:tcPr>
            <w:tcW w:w="6100" w:type="dxa"/>
            <w:vAlign w:val="bottom"/>
          </w:tcPr>
          <w:p>
            <w:pPr>
              <w:spacing w:after="0"/>
              <w:rPr>
                <w:sz w:val="20"/>
                <w:szCs w:val="20"/>
                <w:color w:val="auto"/>
              </w:rPr>
            </w:pPr>
          </w:p>
        </w:tc>
      </w:tr>
      <w:tr>
        <w:trPr>
          <w:trHeight w:val="30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Linkbase Document</w:t>
            </w:r>
          </w:p>
        </w:tc>
        <w:tc>
          <w:tcPr>
            <w:tcW w:w="6100" w:type="dxa"/>
            <w:vAlign w:val="bottom"/>
          </w:tcPr>
          <w:p>
            <w:pPr>
              <w:spacing w:after="0"/>
              <w:rPr>
                <w:sz w:val="20"/>
                <w:szCs w:val="20"/>
                <w:color w:val="auto"/>
              </w:rPr>
            </w:pPr>
          </w:p>
        </w:tc>
      </w:tr>
      <w:tr>
        <w:trPr>
          <w:trHeight w:val="30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9"/>
        </w:trPr>
        <w:tc>
          <w:tcPr>
            <w:tcW w:w="880" w:type="dxa"/>
            <w:vAlign w:val="bottom"/>
          </w:tcPr>
          <w:p>
            <w:pPr>
              <w:spacing w:after="0"/>
              <w:rPr>
                <w:sz w:val="16"/>
                <w:szCs w:val="16"/>
                <w:color w:val="auto"/>
              </w:rPr>
            </w:pPr>
          </w:p>
        </w:tc>
        <w:tc>
          <w:tcPr>
            <w:tcW w:w="426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(formatted as inline XBRL with applicable taxonomy</w:t>
            </w:r>
          </w:p>
        </w:tc>
        <w:tc>
          <w:tcPr>
            <w:tcW w:w="6100" w:type="dxa"/>
            <w:vAlign w:val="bottom"/>
          </w:tcPr>
          <w:p>
            <w:pPr>
              <w:spacing w:after="0"/>
              <w:rPr>
                <w:sz w:val="16"/>
                <w:szCs w:val="16"/>
                <w:color w:val="auto"/>
              </w:rPr>
            </w:pPr>
          </w:p>
        </w:tc>
      </w:tr>
      <w:tr>
        <w:trPr>
          <w:trHeight w:val="234"/>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extension information contained in Exhibits 101.*)</w:t>
            </w:r>
          </w:p>
        </w:tc>
        <w:tc>
          <w:tcPr>
            <w:tcW w:w="6100" w:type="dxa"/>
            <w:vAlign w:val="bottom"/>
          </w:tcPr>
          <w:p>
            <w:pPr>
              <w:spacing w:after="0"/>
              <w:rPr>
                <w:sz w:val="20"/>
                <w:szCs w:val="20"/>
                <w:color w:val="auto"/>
              </w:rPr>
            </w:pPr>
          </w:p>
        </w:tc>
      </w:tr>
      <w:tr>
        <w:trPr>
          <w:trHeight w:val="837"/>
        </w:trPr>
        <w:tc>
          <w:tcPr>
            <w:tcW w:w="8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83</w:t>
            </w:r>
          </w:p>
        </w:tc>
      </w:tr>
      <w:tr>
        <w:trPr>
          <w:trHeight w:val="115"/>
        </w:trPr>
        <w:tc>
          <w:tcPr>
            <w:tcW w:w="8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6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type w:val="continuous"/>
        </w:sectPr>
      </w:pPr>
    </w:p>
    <w:bookmarkStart w:id="83" w:name="page84"/>
    <w:bookmarkEnd w:id="8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266" w:lineRule="exact"/>
        <w:rPr>
          <w:sz w:val="20"/>
          <w:szCs w:val="20"/>
          <w:color w:val="auto"/>
        </w:rPr>
      </w:pPr>
    </w:p>
    <w:p>
      <w:pPr>
        <w:ind w:left="678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Karim Mikhail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Karim Mikhail</w:t>
      </w:r>
    </w:p>
    <w:p>
      <w:pPr>
        <w:spacing w:after="0" w:line="22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2022</w:t>
      </w:r>
    </w:p>
    <w:p>
      <w:pPr>
        <w:spacing w:after="0" w:line="21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266" w:lineRule="exact"/>
        <w:rPr>
          <w:sz w:val="20"/>
          <w:szCs w:val="20"/>
          <w:color w:val="auto"/>
        </w:rPr>
      </w:pPr>
    </w:p>
    <w:p>
      <w:pPr>
        <w:ind w:left="678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Tom Reilly</w:t>
      </w:r>
    </w:p>
    <w:p>
      <w:pPr>
        <w:spacing w:after="0" w:line="22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2022</w:t>
      </w:r>
    </w:p>
    <w:p>
      <w:pPr>
        <w:spacing w:after="0" w:line="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44" w:right="51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Karim Mikhail, certify that:</w:t>
      </w:r>
    </w:p>
    <w:p>
      <w:pPr>
        <w:spacing w:after="0" w:line="104" w:lineRule="exact"/>
        <w:rPr>
          <w:sz w:val="20"/>
          <w:szCs w:val="20"/>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50" w:lineRule="auto"/>
        <w:tabs>
          <w:tab w:leader="none" w:pos="37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360" w:hanging="512"/>
        <w:spacing w:after="0" w:line="266" w:lineRule="auto"/>
        <w:tabs>
          <w:tab w:leader="none" w:pos="37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37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right="80" w:hanging="479"/>
        <w:spacing w:after="0" w:line="258" w:lineRule="auto"/>
        <w:tabs>
          <w:tab w:leader="none" w:pos="89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479"/>
        <w:spacing w:after="0" w:line="258" w:lineRule="auto"/>
        <w:tabs>
          <w:tab w:leader="none" w:pos="89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020" w:right="480" w:hanging="479"/>
        <w:spacing w:after="0" w:line="266" w:lineRule="auto"/>
        <w:tabs>
          <w:tab w:leader="none" w:pos="89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right="120" w:hanging="479"/>
        <w:spacing w:after="0" w:line="250" w:lineRule="auto"/>
        <w:tabs>
          <w:tab w:leader="none" w:pos="89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300" w:hanging="512"/>
        <w:spacing w:after="0" w:line="266" w:lineRule="auto"/>
        <w:tabs>
          <w:tab w:leader="none" w:pos="37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540" w:hanging="479"/>
        <w:spacing w:after="0" w:line="266" w:lineRule="auto"/>
        <w:tabs>
          <w:tab w:leader="none" w:pos="89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7580" w:val="left"/>
          <w:tab w:leader="none" w:pos="7940" w:val="left"/>
        </w:tabs>
        <w:rPr>
          <w:sz w:val="20"/>
          <w:szCs w:val="20"/>
          <w:color w:val="auto"/>
        </w:rPr>
      </w:pPr>
      <w:r>
        <w:rPr>
          <w:rFonts w:ascii="Times New Roman" w:cs="Times New Roman" w:eastAsia="Times New Roman" w:hAnsi="Times New Roman"/>
          <w:sz w:val="18"/>
          <w:szCs w:val="18"/>
          <w:color w:val="auto"/>
        </w:rPr>
        <w:t>Date: October 27, 2022</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Karim Mikhail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Karim Mikhail</w:t>
      </w:r>
    </w:p>
    <w:p>
      <w:pPr>
        <w:spacing w:after="0" w:line="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7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Tom Reilly, certify that:</w:t>
      </w:r>
    </w:p>
    <w:p>
      <w:pPr>
        <w:spacing w:after="0" w:line="104" w:lineRule="exact"/>
        <w:rPr>
          <w:sz w:val="20"/>
          <w:szCs w:val="20"/>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50" w:lineRule="auto"/>
        <w:tabs>
          <w:tab w:leader="none" w:pos="37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360" w:hanging="512"/>
        <w:spacing w:after="0" w:line="266" w:lineRule="auto"/>
        <w:tabs>
          <w:tab w:leader="none" w:pos="37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37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right="80" w:hanging="479"/>
        <w:spacing w:after="0" w:line="258" w:lineRule="auto"/>
        <w:tabs>
          <w:tab w:leader="none" w:pos="8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479"/>
        <w:spacing w:after="0" w:line="258" w:lineRule="auto"/>
        <w:tabs>
          <w:tab w:leader="none" w:pos="8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020" w:right="480" w:hanging="479"/>
        <w:spacing w:after="0" w:line="266" w:lineRule="auto"/>
        <w:tabs>
          <w:tab w:leader="none" w:pos="8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right="120" w:hanging="479"/>
        <w:spacing w:after="0" w:line="250" w:lineRule="auto"/>
        <w:tabs>
          <w:tab w:leader="none" w:pos="8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300" w:hanging="512"/>
        <w:spacing w:after="0" w:line="266" w:lineRule="auto"/>
        <w:tabs>
          <w:tab w:leader="none" w:pos="37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540" w:hanging="479"/>
        <w:spacing w:after="0" w:line="266" w:lineRule="auto"/>
        <w:tabs>
          <w:tab w:leader="none" w:pos="8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7900" w:val="left"/>
          <w:tab w:leader="none" w:pos="8240" w:val="left"/>
        </w:tabs>
        <w:rPr>
          <w:sz w:val="20"/>
          <w:szCs w:val="20"/>
          <w:color w:val="auto"/>
        </w:rPr>
      </w:pPr>
      <w:r>
        <w:rPr>
          <w:rFonts w:ascii="Times New Roman" w:cs="Times New Roman" w:eastAsia="Times New Roman" w:hAnsi="Times New Roman"/>
          <w:sz w:val="18"/>
          <w:szCs w:val="18"/>
          <w:color w:val="auto"/>
        </w:rPr>
        <w:t>Date: October 27, 2022</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Tom Reilly</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192"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and Section 1350 of Chapter 63 of Title 18 of the United States Code (18 U.S.C. §1350), Karim Mikhail, President and Chief Executive Officer (Principal Executive Officer) of Amarin Corporation plc (the “Company”), and Tom Reilly, Senior Vice President and Chief Financial Officer (Principal Financial Officer and Principal Accounting Officer) of the Company, each hereby certifies that, to the best of his knowledge:</w:t>
      </w:r>
    </w:p>
    <w:p>
      <w:pPr>
        <w:spacing w:after="0" w:line="164" w:lineRule="exact"/>
        <w:rPr>
          <w:sz w:val="20"/>
          <w:szCs w:val="20"/>
          <w:color w:val="auto"/>
        </w:rPr>
      </w:pPr>
    </w:p>
    <w:p>
      <w:pPr>
        <w:ind w:right="160" w:firstLine="8"/>
        <w:spacing w:after="0" w:line="266" w:lineRule="auto"/>
        <w:tabs>
          <w:tab w:leader="none" w:pos="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2022, to which this Certification is attached as Exhibit 32.1 (the “Quarterly Report”) fully complies with the requirements of Section 13(a) or 15(d) of the Securities Exchange Act of 1934; and</w:t>
      </w:r>
    </w:p>
    <w:p>
      <w:pPr>
        <w:spacing w:after="0" w:line="162" w:lineRule="exact"/>
        <w:rPr>
          <w:rFonts w:ascii="Times New Roman" w:cs="Times New Roman" w:eastAsia="Times New Roman" w:hAnsi="Times New Roman"/>
          <w:sz w:val="18"/>
          <w:szCs w:val="18"/>
          <w:color w:val="auto"/>
        </w:rPr>
      </w:pPr>
    </w:p>
    <w:p>
      <w:pPr>
        <w:ind w:right="480" w:firstLine="8"/>
        <w:spacing w:after="0" w:line="266" w:lineRule="auto"/>
        <w:tabs>
          <w:tab w:leader="none" w:pos="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365" w:lineRule="exact"/>
        <w:rPr>
          <w:sz w:val="20"/>
          <w:szCs w:val="20"/>
          <w:color w:val="auto"/>
        </w:rPr>
      </w:pPr>
    </w:p>
    <w:p>
      <w:pPr>
        <w:ind w:left="5760"/>
        <w:spacing w:after="0"/>
        <w:tabs>
          <w:tab w:leader="none" w:pos="6080" w:val="left"/>
        </w:tabs>
        <w:rPr>
          <w:sz w:val="20"/>
          <w:szCs w:val="20"/>
          <w:color w:val="auto"/>
        </w:rPr>
      </w:pPr>
      <w:r>
        <w:rPr>
          <w:rFonts w:ascii="Times New Roman" w:cs="Times New Roman" w:eastAsia="Times New Roman" w:hAnsi="Times New Roman"/>
          <w:sz w:val="18"/>
          <w:szCs w:val="18"/>
          <w:color w:val="auto"/>
        </w:rPr>
        <w:t>/s/</w:t>
        <w:tab/>
        <w:t>Karim Mikhail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October 27, 2022</w:t>
      </w:r>
      <w:r>
        <w:rPr>
          <w:sz w:val="20"/>
          <w:szCs w:val="20"/>
          <w:color w:val="auto"/>
        </w:rPr>
        <w:tab/>
      </w:r>
      <w:r>
        <w:rPr>
          <w:rFonts w:ascii="Times New Roman" w:cs="Times New Roman" w:eastAsia="Times New Roman" w:hAnsi="Times New Roman"/>
          <w:sz w:val="18"/>
          <w:szCs w:val="18"/>
          <w:color w:val="auto"/>
        </w:rPr>
        <w:t>Karim Mikhail</w:t>
      </w:r>
    </w:p>
    <w:p>
      <w:pPr>
        <w:spacing w:after="0" w:line="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5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left="5760"/>
        <w:spacing w:after="0"/>
        <w:tabs>
          <w:tab w:leader="none" w:pos="60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October 27, 2022</w:t>
      </w:r>
      <w:r>
        <w:rPr>
          <w:sz w:val="20"/>
          <w:szCs w:val="20"/>
          <w:color w:val="auto"/>
        </w:rPr>
        <w:tab/>
      </w:r>
      <w:r>
        <w:rPr>
          <w:rFonts w:ascii="Times New Roman" w:cs="Times New Roman" w:eastAsia="Times New Roman" w:hAnsi="Times New Roman"/>
          <w:sz w:val="17"/>
          <w:szCs w:val="17"/>
          <w:color w:val="auto"/>
        </w:rPr>
        <w:t>Tom Reilly</w:t>
      </w:r>
    </w:p>
    <w:p>
      <w:pPr>
        <w:spacing w:after="0" w:line="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57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87" w:name="page88"/>
    <w:bookmarkEnd w:id="8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4"/>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2022-10-27T06:13:18Z</dcterms:created>
  <dcterms:modified xsi:type="dcterms:W3CDTF">2022-10-27T06:13:18Z</dcterms:modified>
</cp:coreProperties>
</file>