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8" w:lineRule="exact"/>
        <w:rPr>
          <w:sz w:val="24"/>
          <w:szCs w:val="24"/>
          <w:color w:val="auto"/>
        </w:rPr>
      </w:pPr>
    </w:p>
    <w:p>
      <w:pPr>
        <w:ind w:left="3820" w:right="1620" w:hanging="3812"/>
        <w:spacing w:after="0" w:line="262" w:lineRule="auto"/>
        <w:tabs>
          <w:tab w:leader="none" w:pos="448"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2800" w:type="dxa"/>
            <w:vAlign w:val="bottom"/>
          </w:tcPr>
          <w:p>
            <w:pPr>
              <w:jc w:val="center"/>
              <w:ind w:left="140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51"/>
        </w:trPr>
        <w:tc>
          <w:tcPr>
            <w:tcW w:w="5760" w:type="dxa"/>
            <w:vAlign w:val="bottom"/>
          </w:tcPr>
          <w:p>
            <w:pPr>
              <w:jc w:val="center"/>
              <w:ind w:right="133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40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5760" w:type="dxa"/>
            <w:vAlign w:val="bottom"/>
          </w:tcPr>
          <w:p>
            <w:pPr>
              <w:jc w:val="center"/>
              <w:ind w:right="1399"/>
              <w:spacing w:after="0"/>
              <w:rPr>
                <w:sz w:val="20"/>
                <w:szCs w:val="20"/>
                <w:color w:val="auto"/>
              </w:rPr>
            </w:pPr>
            <w:r>
              <w:rPr>
                <w:rFonts w:ascii="Times New Roman" w:cs="Times New Roman" w:eastAsia="Times New Roman" w:hAnsi="Times New Roman"/>
                <w:sz w:val="18"/>
                <w:szCs w:val="18"/>
                <w:b w:val="1"/>
                <w:bCs w:val="1"/>
                <w:color w:val="auto"/>
                <w:w w:val="99"/>
              </w:rPr>
              <w:t>Iconic Offices, The Greenway, Block C Ardilaun Court,</w:t>
            </w:r>
          </w:p>
        </w:tc>
        <w:tc>
          <w:tcPr>
            <w:tcW w:w="2800" w:type="dxa"/>
            <w:vAlign w:val="bottom"/>
          </w:tcPr>
          <w:p>
            <w:pPr>
              <w:jc w:val="center"/>
              <w:ind w:left="140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38"/>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112 – 114 St Stephens Green</w:t>
            </w:r>
          </w:p>
        </w:tc>
        <w:tc>
          <w:tcPr>
            <w:tcW w:w="2800" w:type="dxa"/>
            <w:vAlign w:val="bottom"/>
          </w:tcPr>
          <w:p>
            <w:pPr>
              <w:spacing w:after="0"/>
              <w:rPr>
                <w:sz w:val="20"/>
                <w:szCs w:val="20"/>
                <w:color w:val="auto"/>
              </w:rPr>
            </w:pPr>
          </w:p>
        </w:tc>
      </w:tr>
      <w:tr>
        <w:trPr>
          <w:trHeight w:val="193"/>
        </w:trPr>
        <w:tc>
          <w:tcPr>
            <w:tcW w:w="576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12"/>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2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r>
      <w:tr>
        <w:trPr>
          <w:trHeight w:val="203"/>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210"/>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9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407,687,476 common shares were outstanding as of April 30, 2023, including 387,307,491 shares held as American Depositary Shares (ADSs), each representing one Ordinary Share, 50 pence par value per share and 20,379,985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gridSpan w:val="13"/>
          </w:tcPr>
          <w:p>
            <w:pPr>
              <w:jc w:val="center"/>
              <w:ind w:right="1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020" w:type="dxa"/>
            <w:vAlign w:val="bottom"/>
          </w:tcPr>
          <w:p>
            <w:pPr>
              <w:spacing w:after="0"/>
              <w:rPr>
                <w:sz w:val="24"/>
                <w:szCs w:val="24"/>
                <w:color w:val="auto"/>
              </w:rPr>
            </w:pPr>
          </w:p>
        </w:tc>
      </w:tr>
      <w:tr>
        <w:trPr>
          <w:trHeight w:val="41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2023 and December 31, 2022</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2023 and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three months ended March 31, 2023 and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2023 and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7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80" w:type="dxa"/>
            <w:vAlign w:val="bottom"/>
            <w:tcBorders>
              <w:top w:val="single" w:sz="8" w:color="0000FF"/>
            </w:tcBorders>
            <w:gridSpan w:val="4"/>
          </w:tcPr>
          <w:p>
            <w:pPr>
              <w:spacing w:after="0"/>
              <w:rPr>
                <w:sz w:val="24"/>
                <w:szCs w:val="24"/>
                <w:color w:val="auto"/>
              </w:rPr>
            </w:pPr>
          </w:p>
        </w:tc>
        <w:tc>
          <w:tcPr>
            <w:tcW w:w="33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7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10"/>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6"/>
                <w:szCs w:val="16"/>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191,412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217,666</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91,695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225,813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228,732</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10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683,821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860,188</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886,179</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192,678</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244,242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259,479</w:t>
            </w:r>
          </w:p>
        </w:tc>
        <w:tc>
          <w:tcPr>
            <w:tcW w:w="100" w:type="dxa"/>
            <w:vAlign w:val="bottom"/>
          </w:tcPr>
          <w:p>
            <w:pPr>
              <w:spacing w:after="0"/>
              <w:rPr>
                <w:sz w:val="20"/>
                <w:szCs w:val="20"/>
                <w:color w:val="auto"/>
              </w:rPr>
            </w:pPr>
          </w:p>
        </w:tc>
      </w:tr>
      <w:tr>
        <w:trPr>
          <w:trHeight w:val="241"/>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tcPr>
          <w:p>
            <w:pPr>
              <w:spacing w:after="0"/>
              <w:rPr>
                <w:sz w:val="20"/>
                <w:szCs w:val="20"/>
                <w:color w:val="auto"/>
              </w:rPr>
            </w:pPr>
          </w:p>
        </w:tc>
      </w:tr>
      <w:tr>
        <w:trPr>
          <w:trHeight w:val="237"/>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275,395</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£0.50 par, unlimited authorized; 416,080,298 shares issued, 407,265,944 shares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March 31, 2023; 412,333,087 shares issued, 404,346,256 shares outstanding as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December 31, 2022</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299,002</w:t>
            </w:r>
          </w:p>
        </w:tc>
        <w:tc>
          <w:tcPr>
            <w:tcW w:w="100" w:type="dxa"/>
            <w:vAlign w:val="bottom"/>
          </w:tcPr>
          <w:p>
            <w:pPr>
              <w:spacing w:after="0"/>
              <w:rPr>
                <w:sz w:val="20"/>
                <w:szCs w:val="20"/>
                <w:color w:val="auto"/>
              </w:rPr>
            </w:pPr>
          </w:p>
        </w:tc>
      </w:tr>
      <w:tr>
        <w:trPr>
          <w:trHeight w:val="250"/>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1,890,496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1,885,352</w:t>
            </w:r>
          </w:p>
        </w:tc>
        <w:tc>
          <w:tcPr>
            <w:tcW w:w="100" w:type="dxa"/>
            <w:vAlign w:val="bottom"/>
            <w:shd w:val="clear" w:color="auto" w:fill="CFF0FC"/>
          </w:tcPr>
          <w:p>
            <w:pPr>
              <w:spacing w:after="0"/>
              <w:rPr>
                <w:sz w:val="21"/>
                <w:szCs w:val="21"/>
                <w:color w:val="auto"/>
              </w:rPr>
            </w:pPr>
          </w:p>
        </w:tc>
      </w:tr>
      <w:tr>
        <w:trPr>
          <w:trHeight w:val="211"/>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8,814,354 shares as of March 31, 2023; 7,986,831 shares as of December 31,</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(63,277 )</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(61,770 )</w:t>
            </w:r>
          </w:p>
        </w:tc>
      </w:tr>
      <w:tr>
        <w:trPr>
          <w:trHeight w:val="245"/>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(1,543,711 )</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(1,527,251 )</w:t>
            </w:r>
          </w:p>
        </w:tc>
      </w:tr>
      <w:tr>
        <w:trPr>
          <w:trHeight w:val="237"/>
        </w:trPr>
        <w:tc>
          <w:tcPr>
            <w:tcW w:w="754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584,793</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595,333</w:t>
            </w:r>
          </w:p>
        </w:tc>
        <w:tc>
          <w:tcPr>
            <w:tcW w:w="100" w:type="dxa"/>
            <w:vAlign w:val="bottom"/>
            <w:tcBorders>
              <w:top w:val="single" w:sz="8" w:color="CFF0FC"/>
            </w:tcBorders>
          </w:tcPr>
          <w:p>
            <w:pPr>
              <w:spacing w:after="0"/>
              <w:rPr>
                <w:sz w:val="20"/>
                <w:szCs w:val="20"/>
                <w:color w:val="auto"/>
              </w:rPr>
            </w:pPr>
          </w:p>
        </w:tc>
      </w:tr>
      <w:tr>
        <w:trPr>
          <w:trHeight w:val="278"/>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860,188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-4542790</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-4542790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-3608070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-2647950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-1696720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-351155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120" w:type="dxa"/>
            <w:vAlign w:val="bottom"/>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84,654</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93,986</w:t>
            </w: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r>
      <w:tr>
        <w:trPr>
          <w:trHeight w:val="241"/>
        </w:trPr>
        <w:tc>
          <w:tcPr>
            <w:tcW w:w="6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85,975</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94,630</w:t>
            </w: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100" w:type="dxa"/>
            <w:vAlign w:val="bottom"/>
          </w:tcPr>
          <w:p>
            <w:pPr>
              <w:spacing w:after="0"/>
              <w:rPr>
                <w:sz w:val="20"/>
                <w:szCs w:val="20"/>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30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72,391</w:t>
            </w:r>
          </w:p>
        </w:tc>
        <w:tc>
          <w:tcPr>
            <w:tcW w:w="100" w:type="dxa"/>
            <w:vAlign w:val="bottom"/>
            <w:tcBorders>
              <w:top w:val="single" w:sz="8" w:color="CFF0FC"/>
            </w:tcBorders>
          </w:tcPr>
          <w:p>
            <w:pPr>
              <w:spacing w:after="0"/>
              <w:rPr>
                <w:sz w:val="20"/>
                <w:szCs w:val="20"/>
                <w:color w:val="auto"/>
              </w:rPr>
            </w:pPr>
          </w:p>
        </w:tc>
      </w:tr>
      <w:tr>
        <w:trPr>
          <w:trHeight w:val="241"/>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59,587</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100" w:type="dxa"/>
            <w:vAlign w:val="bottom"/>
          </w:tcPr>
          <w:p>
            <w:pPr>
              <w:spacing w:after="0"/>
              <w:rPr>
                <w:sz w:val="20"/>
                <w:szCs w:val="20"/>
                <w:color w:val="auto"/>
              </w:rPr>
            </w:pPr>
          </w:p>
        </w:tc>
      </w:tr>
      <w:tr>
        <w:trPr>
          <w:trHeight w:val="243"/>
        </w:trPr>
        <w:tc>
          <w:tcPr>
            <w:tcW w:w="6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3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100" w:type="dxa"/>
            <w:vAlign w:val="bottom"/>
          </w:tcPr>
          <w:p>
            <w:pPr>
              <w:spacing w:after="0"/>
              <w:rPr>
                <w:sz w:val="20"/>
                <w:szCs w:val="20"/>
                <w:color w:val="auto"/>
              </w:rPr>
            </w:pPr>
          </w:p>
        </w:tc>
      </w:tr>
      <w:tr>
        <w:trPr>
          <w:trHeight w:val="241"/>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0"/>
        </w:trPr>
        <w:tc>
          <w:tcPr>
            <w:tcW w:w="68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12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xml:space="preserve">(14,496 </w:t>
            </w:r>
            <w:r>
              <w:rPr>
                <w:rFonts w:ascii="Times New Roman" w:cs="Times New Roman" w:eastAsia="Times New Roman" w:hAnsi="Times New Roman"/>
                <w:sz w:val="18"/>
                <w:szCs w:val="18"/>
                <w:color w:val="auto"/>
                <w:highlight w:val="white"/>
              </w:rPr>
              <w:t>)</w:t>
            </w:r>
          </w:p>
        </w:tc>
        <w:tc>
          <w:tcPr>
            <w:tcW w:w="8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(28,350 </w:t>
            </w:r>
            <w:r>
              <w:rPr>
                <w:rFonts w:ascii="Times New Roman" w:cs="Times New Roman" w:eastAsia="Times New Roman" w:hAnsi="Times New Roman"/>
                <w:sz w:val="18"/>
                <w:szCs w:val="18"/>
                <w:color w:val="auto"/>
                <w:highlight w:val="white"/>
              </w:rPr>
              <w:t>)</w:t>
            </w:r>
          </w:p>
        </w:tc>
      </w:tr>
      <w:tr>
        <w:trPr>
          <w:trHeight w:val="243"/>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(1,964 )</w:t>
            </w:r>
          </w:p>
        </w:tc>
        <w:tc>
          <w:tcPr>
            <w:tcW w:w="8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(3,213 )</w:t>
            </w:r>
          </w:p>
        </w:tc>
      </w:tr>
      <w:tr>
        <w:trPr>
          <w:trHeight w:val="20"/>
        </w:trPr>
        <w:tc>
          <w:tcPr>
            <w:tcW w:w="68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xml:space="preserve">(16,460 </w:t>
            </w:r>
            <w:r>
              <w:rPr>
                <w:rFonts w:ascii="Times New Roman" w:cs="Times New Roman" w:eastAsia="Times New Roman" w:hAnsi="Times New Roman"/>
                <w:sz w:val="18"/>
                <w:szCs w:val="18"/>
                <w:color w:val="auto"/>
                <w:highlight w:val="white"/>
              </w:rPr>
              <w:t>)</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(31,563 </w:t>
            </w:r>
            <w:r>
              <w:rPr>
                <w:rFonts w:ascii="Times New Roman" w:cs="Times New Roman" w:eastAsia="Times New Roman" w:hAnsi="Times New Roman"/>
                <w:sz w:val="18"/>
                <w:szCs w:val="18"/>
                <w:color w:val="auto"/>
                <w:highlight w:val="white"/>
              </w:rPr>
              <w:t>)</w:t>
            </w:r>
          </w:p>
        </w:tc>
      </w:tr>
      <w:tr>
        <w:trPr>
          <w:trHeight w:val="20"/>
        </w:trPr>
        <w:tc>
          <w:tcPr>
            <w:tcW w:w="6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(0.04 )</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(0.04 )</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406,177</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397,805</w:t>
            </w:r>
          </w:p>
        </w:tc>
        <w:tc>
          <w:tcPr>
            <w:tcW w:w="100" w:type="dxa"/>
            <w:vAlign w:val="bottom"/>
            <w:shd w:val="clear" w:color="auto" w:fill="CFF0FC"/>
          </w:tcPr>
          <w:p>
            <w:pPr>
              <w:spacing w:after="0"/>
              <w:rPr>
                <w:sz w:val="21"/>
                <w:szCs w:val="21"/>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406,177</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-2694305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-2694305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-2059940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-2059940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33"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320" w:type="dxa"/>
            <w:vAlign w:val="bottom"/>
            <w:gridSpan w:val="2"/>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28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32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412,333,087</w:t>
            </w:r>
          </w:p>
        </w:tc>
        <w:tc>
          <w:tcPr>
            <w:tcW w:w="26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(7,986,831</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299,002</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1,885,352</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(61,770</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(1,527,251</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595,333</w:t>
            </w:r>
          </w:p>
        </w:tc>
        <w:tc>
          <w:tcPr>
            <w:tcW w:w="100" w:type="dxa"/>
            <w:vAlign w:val="bottom"/>
            <w:shd w:val="clear" w:color="auto" w:fill="CFF0FC"/>
          </w:tcPr>
          <w:p>
            <w:pPr>
              <w:spacing w:after="0"/>
              <w:rPr>
                <w:sz w:val="14"/>
                <w:szCs w:val="14"/>
                <w:color w:val="auto"/>
              </w:rPr>
            </w:pP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1,232,263</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5"/>
                <w:szCs w:val="15"/>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2,514,948</w:t>
            </w:r>
          </w:p>
        </w:tc>
        <w:tc>
          <w:tcPr>
            <w:tcW w:w="158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(827,523 )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(1,539 )</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(1,507 )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(1,507 )</w:t>
            </w: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00" w:type="dxa"/>
            <w:vAlign w:val="bottom"/>
          </w:tcPr>
          <w:p>
            <w:pPr>
              <w:spacing w:after="0"/>
              <w:rPr>
                <w:sz w:val="15"/>
                <w:szCs w:val="15"/>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(16,460 )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(16,460 )</w:t>
            </w: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416,080,298</w:t>
            </w:r>
          </w:p>
        </w:tc>
        <w:tc>
          <w:tcPr>
            <w:tcW w:w="26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(8,814,354 )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301,285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1,890,496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(63,277 )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(1,543,711 )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584,793</w:t>
            </w:r>
          </w:p>
        </w:tc>
        <w:tc>
          <w:tcPr>
            <w:tcW w:w="100" w:type="dxa"/>
            <w:vAlign w:val="bottom"/>
          </w:tcPr>
          <w:p>
            <w:pPr>
              <w:spacing w:after="0"/>
              <w:rPr>
                <w:sz w:val="14"/>
                <w:szCs w:val="14"/>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2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320" w:type="dxa"/>
            <w:vAlign w:val="bottom"/>
            <w:gridSpan w:val="2"/>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28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32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404,084,775</w:t>
            </w:r>
          </w:p>
        </w:tc>
        <w:tc>
          <w:tcPr>
            <w:tcW w:w="26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(7,486,767</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294,027</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1,855,246</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(60,726</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(1,421,448</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667,099</w:t>
            </w:r>
          </w:p>
        </w:tc>
        <w:tc>
          <w:tcPr>
            <w:tcW w:w="100" w:type="dxa"/>
            <w:vAlign w:val="bottom"/>
            <w:shd w:val="clear" w:color="auto" w:fill="CFF0FC"/>
          </w:tcPr>
          <w:p>
            <w:pPr>
              <w:spacing w:after="0"/>
              <w:rPr>
                <w:sz w:val="14"/>
                <w:szCs w:val="14"/>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10,602</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493,381</w:t>
            </w:r>
          </w:p>
        </w:tc>
        <w:tc>
          <w:tcPr>
            <w:tcW w:w="158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(161,083 )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(331 )</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(535 )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(535 )</w:t>
            </w: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(31,563 )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(31,563 )</w:t>
            </w: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404,588,758</w:t>
            </w:r>
          </w:p>
        </w:tc>
        <w:tc>
          <w:tcPr>
            <w:tcW w:w="26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(7,647,850 )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294,364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1,861,017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(61,261 )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(1,453,011 )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641,109</w:t>
            </w:r>
          </w:p>
        </w:tc>
        <w:tc>
          <w:tcPr>
            <w:tcW w:w="100" w:type="dxa"/>
            <w:vAlign w:val="bottom"/>
          </w:tcPr>
          <w:p>
            <w:pPr>
              <w:spacing w:after="0"/>
              <w:rPr>
                <w:sz w:val="14"/>
                <w:szCs w:val="14"/>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-1293495</wp:posOffset>
            </wp:positionV>
            <wp:extent cx="7747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-1293495</wp:posOffset>
            </wp:positionV>
            <wp:extent cx="7747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-1293495</wp:posOffset>
            </wp:positionV>
            <wp:extent cx="6858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-1293495</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-1293495</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-1293495</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-144780</wp:posOffset>
            </wp:positionV>
            <wp:extent cx="7747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-144780</wp:posOffset>
            </wp:positionV>
            <wp:extent cx="7747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-144780</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-144780</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-144780</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-144780</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0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(16,460 )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(31,563 )</w:t>
            </w:r>
          </w:p>
        </w:tc>
      </w:tr>
      <w:tr>
        <w:trPr>
          <w:trHeight w:val="247"/>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 amortization of investments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(907 )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(2,246 )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53,419</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(52,940 )</w:t>
            </w:r>
          </w:p>
        </w:tc>
      </w:tr>
      <w:tr>
        <w:trPr>
          <w:trHeight w:val="247"/>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(386 )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(5,740 )</w:t>
            </w: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(556 )</w:t>
            </w:r>
          </w:p>
        </w:tc>
        <w:tc>
          <w:tcPr>
            <w:tcW w:w="320" w:type="dxa"/>
            <w:vAlign w:val="bottom"/>
          </w:tcPr>
          <w:p>
            <w:pPr>
              <w:spacing w:after="0"/>
              <w:rPr>
                <w:sz w:val="20"/>
                <w:szCs w:val="20"/>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(445 )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47"/>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(15,237 )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(69,658 )</w:t>
            </w: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r>
      <w:tr>
        <w:trPr>
          <w:trHeight w:val="237"/>
        </w:trPr>
        <w:tc>
          <w:tcPr>
            <w:tcW w:w="70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Maturities of securities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113,220</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(52,523 )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(14,171 )</w:t>
            </w:r>
          </w:p>
        </w:tc>
      </w:tr>
      <w:tr>
        <w:trPr>
          <w:trHeight w:val="236"/>
        </w:trPr>
        <w:tc>
          <w:tcPr>
            <w:tcW w:w="70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net of transaction costs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(1,507 )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(535 )</w:t>
            </w:r>
          </w:p>
        </w:tc>
      </w:tr>
      <w:tr>
        <w:trPr>
          <w:trHeight w:val="237"/>
        </w:trPr>
        <w:tc>
          <w:tcPr>
            <w:tcW w:w="70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(26,254 )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45"/>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218,189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191,935</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223,069</w:t>
            </w:r>
          </w:p>
        </w:tc>
        <w:tc>
          <w:tcPr>
            <w:tcW w:w="100" w:type="dxa"/>
            <w:vAlign w:val="bottom"/>
          </w:tcPr>
          <w:p>
            <w:pPr>
              <w:spacing w:after="0"/>
              <w:rPr>
                <w:sz w:val="20"/>
                <w:szCs w:val="20"/>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received during the year for: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4"/>
                <w:szCs w:val="24"/>
                <w:color w:val="auto"/>
              </w:rPr>
            </w:pPr>
          </w:p>
        </w:tc>
      </w:tr>
      <w:tr>
        <w:trPr>
          <w:trHeight w:val="223"/>
        </w:trPr>
        <w:tc>
          <w:tcPr>
            <w:tcW w:w="7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recognition of furniture, fixtures and equipment lease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-2887980</wp:posOffset>
            </wp:positionV>
            <wp:extent cx="685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-2887980</wp:posOffset>
            </wp:positionV>
            <wp:extent cx="6032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-2253615</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-2253615</wp:posOffset>
            </wp:positionV>
            <wp:extent cx="6032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-1619250</wp:posOffset>
            </wp:positionV>
            <wp:extent cx="6858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-1619250</wp:posOffset>
            </wp:positionV>
            <wp:extent cx="60325"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-1165225</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-1165225</wp:posOffset>
            </wp:positionV>
            <wp:extent cx="6032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10718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Most of the Company’s historical revenue and sales, marketing and administrative activities and costs have been associated with commercial operations in the United States, or U.S. The Company has launched commercial operations in certain European countries, such as the United Kingdom, or the UK, and continues pre-launch commercial activities throughout the rest of Europe. The Company’s operations outside of the U.S. and Europe are in early stages of development with reliance on third-party commercial partners in select geographies, including China where regulatory approval for the Company’s lead product is being actively sought.</w:t>
      </w:r>
    </w:p>
    <w:p>
      <w:pPr>
        <w:spacing w:after="0" w:line="86"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first U.S. FDA-approved use of its drug, for use to reduce severely high triglyceride levels, which is known as the MARINE indication. The Company sought appeals of the Nevada Court judgment up to the United States Supreme Court, but the Company was unsuccessful. On June 18, 2021, the Company was notified that its petition for writ of certiorari to the United States Supreme Court was denied. As a result, the following generic versions of VASCEPA have obtained U.S. FDA approval with labeling consistent with the MARINE indication of VASCEPA and have entered the U.S. market:</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 Approval</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line="236" w:lineRule="exact"/>
              <w:rPr>
                <w:sz w:val="20"/>
                <w:szCs w:val="20"/>
                <w:color w:val="auto"/>
              </w:rPr>
            </w:pPr>
            <w:r>
              <w:rPr>
                <w:rFonts w:ascii="Times New Roman" w:cs="Times New Roman" w:eastAsia="Times New Roman" w:hAnsi="Times New Roman"/>
                <w:sz w:val="18"/>
                <w:szCs w:val="18"/>
                <w:color w:val="auto"/>
                <w:w w:val="98"/>
              </w:rPr>
              <w:t xml:space="preserve">November 2020 </w:t>
            </w:r>
            <w:r>
              <w:rPr>
                <w:rFonts w:ascii="Times New Roman" w:cs="Times New Roman" w:eastAsia="Times New Roman" w:hAnsi="Times New Roman"/>
                <w:sz w:val="24"/>
                <w:szCs w:val="24"/>
                <w:color w:val="auto"/>
                <w:w w:val="98"/>
                <w:vertAlign w:val="superscript"/>
              </w:rPr>
              <w:t>(1)</w:t>
            </w: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line="248" w:lineRule="exact"/>
              <w:rPr>
                <w:sz w:val="20"/>
                <w:szCs w:val="20"/>
                <w:color w:val="auto"/>
              </w:rPr>
            </w:pPr>
            <w:r>
              <w:rPr>
                <w:rFonts w:ascii="Times New Roman" w:cs="Times New Roman" w:eastAsia="Times New Roman" w:hAnsi="Times New Roman"/>
                <w:sz w:val="18"/>
                <w:szCs w:val="18"/>
                <w:color w:val="auto"/>
                <w:w w:val="96"/>
              </w:rPr>
              <w:t xml:space="preserve">September 2022 </w:t>
            </w:r>
            <w:r>
              <w:rPr>
                <w:rFonts w:ascii="Times New Roman" w:cs="Times New Roman" w:eastAsia="Times New Roman" w:hAnsi="Times New Roman"/>
                <w:sz w:val="24"/>
                <w:szCs w:val="24"/>
                <w:color w:val="auto"/>
                <w:w w:val="96"/>
                <w:vertAlign w:val="superscript"/>
              </w:rPr>
              <w:t>(2)</w:t>
            </w: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90" w:lineRule="exact"/>
        <w:rPr>
          <w:sz w:val="20"/>
          <w:szCs w:val="20"/>
          <w:color w:val="auto"/>
        </w:rPr>
      </w:pPr>
    </w:p>
    <w:p>
      <w:pPr>
        <w:ind w:left="780" w:hanging="263"/>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Hikma launched a 1-gram capsule in November 2020 and a 0.5-gram capsule in March 2023.</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Teva launched a 0.5-gram capsule in September 2022 and a 1-gram capsule in January 2023.</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hereinafter along with the U.S. brand name VASCEPA, collectively referred to as VASCEPA,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had commenced. The Chinese National Medical Products Administration, or NMPA, has accepted for review the new drug application for VASCEPA based on the results from the Phase 3 clinical trial and the results from the Company’s prior studies of VASCEPA. On February 23, 2022, the Hong Kong Department of Health concluded their evaluation and approved the use of VASCEPA under the REDUCE-IT indication.</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Company currently has strategic collaborations to develop and commercialize VASCEPA in select territories outside the United States. Amarin is responsible for supplying VASCEPA to all markets in which the product is sold, including the United States and Europe, as well as in Canada, Lebanon and the United Arab Emirates where the drug is promoted and sold via collaboration with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right="480"/>
        <w:spacing w:after="0" w:line="282" w:lineRule="auto"/>
        <w:rPr>
          <w:sz w:val="20"/>
          <w:szCs w:val="20"/>
          <w:color w:val="auto"/>
        </w:rPr>
      </w:pPr>
      <w:r>
        <w:rPr>
          <w:rFonts w:ascii="Times New Roman" w:cs="Times New Roman" w:eastAsia="Times New Roman" w:hAnsi="Times New Roman"/>
          <w:sz w:val="18"/>
          <w:szCs w:val="18"/>
          <w:color w:val="auto"/>
        </w:rPr>
        <w:t>third-party companies that compensate Amarin for such supply. Amarin is not responsible for providing any generic company with drug product. The Company operates in one business segment.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accounting principles generally accepted in the United States,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2022, or the Form 10-K, filed with the SEC. The balance sheet amounts in this report were derived from the Company’s audited consolidated financial statements included in the Form 10-K.</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2023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At March 31, 2023, the Company had total assets of $860.2 million, of which $304.9 million consisted of cash and liquid short-term and long-term investments. More specifically, the Company had current assets of $683.8 million, including cash and cash equivalents of $191.4 million, short-term investments of $113.0 million, accounts receivable, net, of $133.2 million and current inventory of $225.8 million. In addition, as of March 31, 2023, the Company had long-term investments of $0.5 million and long-term inventory of $143.7 million. As of March 31, 2023, the Company had no debt outstanding.</w:t>
      </w: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March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164,010</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187,418</w:t>
            </w:r>
          </w:p>
        </w:tc>
        <w:tc>
          <w:tcPr>
            <w:tcW w:w="80" w:type="dxa"/>
            <w:vAlign w:val="bottom"/>
            <w:shd w:val="clear" w:color="auto" w:fill="CFF0FC"/>
          </w:tcPr>
          <w:p>
            <w:pPr>
              <w:spacing w:after="0"/>
              <w:rPr>
                <w:sz w:val="20"/>
                <w:szCs w:val="20"/>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(18,920 )</w:t>
            </w: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(44,626 )</w:t>
            </w:r>
          </w:p>
        </w:tc>
      </w:tr>
      <w:tr>
        <w:trPr>
          <w:trHeight w:val="24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(11,854 )</w:t>
            </w: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(11,802 )</w:t>
            </w:r>
          </w:p>
        </w:tc>
      </w:tr>
      <w:tr>
        <w:trPr>
          <w:trHeight w:val="237"/>
        </w:trPr>
        <w:tc>
          <w:tcPr>
            <w:tcW w:w="5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133,236</w:t>
            </w: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130,990</w:t>
            </w:r>
          </w:p>
        </w:tc>
        <w:tc>
          <w:tcPr>
            <w:tcW w:w="80" w:type="dxa"/>
            <w:vAlign w:val="bottom"/>
            <w:tcBorders>
              <w:top w:val="single" w:sz="8" w:color="CFF0FC"/>
            </w:tcBorders>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-187960</wp:posOffset>
            </wp:positionV>
            <wp:extent cx="5143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operating cycle. The Company classifies finished goods expected to be consumed within a normal operating cycle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68"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states tax authorities. The Company is currently under audit by the IRS for its 2018 and 2019 U.S. income tax returns. The audit by the New Jersey Department of Treasury for the years 2012 to 2015 was closed in April 2023.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three months ended March 31, 2023 and 2022 are as follows:</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406,177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397,805</w:t>
            </w:r>
          </w:p>
        </w:tc>
        <w:tc>
          <w:tcPr>
            <w:tcW w:w="80" w:type="dxa"/>
            <w:vAlign w:val="bottom"/>
          </w:tcPr>
          <w:p>
            <w:pPr>
              <w:spacing w:after="0"/>
              <w:rPr>
                <w:sz w:val="20"/>
                <w:szCs w:val="20"/>
                <w:color w:val="auto"/>
              </w:rPr>
            </w:pPr>
          </w:p>
        </w:tc>
      </w:tr>
      <w:tr>
        <w:trPr>
          <w:trHeight w:val="24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(0.04 )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(0.08 )</w:t>
            </w:r>
          </w:p>
        </w:tc>
      </w:tr>
    </w:tbl>
    <w:p>
      <w:pPr>
        <w:spacing w:after="0" w:line="30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and 2022, the following potentially dilutive securities were not included in the computation of net loss per share because the effect would be anti-dilutive or because performance criteria were not yet met for awards contingent upon such measures: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 w:type="dxa"/>
            <w:vAlign w:val="bottom"/>
          </w:tcPr>
          <w:p>
            <w:pPr>
              <w:spacing w:after="0"/>
              <w:rPr>
                <w:sz w:val="16"/>
                <w:szCs w:val="16"/>
                <w:color w:val="auto"/>
              </w:rPr>
            </w:pPr>
          </w:p>
        </w:tc>
      </w:tr>
      <w:tr>
        <w:trPr>
          <w:trHeight w:val="169"/>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2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2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22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80" w:type="dxa"/>
            <w:vAlign w:val="bottom"/>
            <w:shd w:val="clear" w:color="auto" w:fill="CFF0FC"/>
          </w:tcPr>
          <w:p>
            <w:pPr>
              <w:spacing w:after="0"/>
              <w:rPr>
                <w:sz w:val="20"/>
                <w:szCs w:val="20"/>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80" w:type="dxa"/>
            <w:vAlign w:val="bottom"/>
          </w:tcPr>
          <w:p>
            <w:pPr>
              <w:spacing w:after="0"/>
              <w:rPr>
                <w:sz w:val="20"/>
                <w:szCs w:val="20"/>
                <w:color w:val="auto"/>
              </w:rPr>
            </w:pPr>
          </w:p>
        </w:tc>
      </w:tr>
      <w:tr>
        <w:trPr>
          <w:trHeight w:val="24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Laxdale milestone shares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shd w:val="clear" w:color="auto" w:fill="CFF0FC"/>
          </w:tcPr>
          <w:p>
            <w:pPr>
              <w:spacing w:after="0"/>
              <w:rPr>
                <w:sz w:val="21"/>
                <w:szCs w:val="21"/>
                <w:color w:val="auto"/>
              </w:rPr>
            </w:pPr>
          </w:p>
        </w:tc>
      </w:tr>
    </w:tbl>
    <w:p>
      <w:pPr>
        <w:spacing w:after="0" w:line="34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 credit quality.</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29%, 38%, and 27%, respectively, of gross product sales for the three months ended March 31, 2023, and represented 36%, 40%, and 20%, respectively, of the gross accounts receivable balance as of March 31, 2023. Customers A, B, and C accounted for 21%, 39%, and 31%, respectively, of gross product sales for the three months ended March 31, 2022 and represented 29%, 37%, and 28%, respectively, of the gross accounts receivable balance as of March 31, 2022. The Company has not experienced any significant write-offs of its accounts receivable. All customer accounts are actively managed and no losses in excess of amounts reserved are currently expected.</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right="80"/>
        <w:spacing w:after="0" w:line="266" w:lineRule="auto"/>
        <w:rPr>
          <w:sz w:val="20"/>
          <w:szCs w:val="20"/>
          <w:color w:val="auto"/>
        </w:rPr>
      </w:pPr>
      <w:r>
        <w:rPr>
          <w:rFonts w:ascii="Times New Roman" w:cs="Times New Roman" w:eastAsia="Times New Roman" w:hAnsi="Times New Roman"/>
          <w:sz w:val="18"/>
          <w:szCs w:val="18"/>
          <w:color w:val="auto"/>
        </w:rPr>
        <w:t>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March 31, 2023 and December 31, 2022 and indicate the fair value hierarchy of the valuation techniques the Company utilized to determine such fair value: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196,417</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87,257</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109,160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2"/>
        </w:trPr>
        <w:tc>
          <w:tcPr>
            <w:tcW w:w="3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7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192,307</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86,541</w:t>
            </w:r>
          </w:p>
        </w:tc>
        <w:tc>
          <w:tcPr>
            <w:tcW w:w="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105,766</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-2133600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-2117090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-2133600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-2117090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-2133600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-2117090</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-2133600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-2117090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-187960</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032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w:t>
      </w: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right="60"/>
        <w:spacing w:after="0" w:line="282" w:lineRule="auto"/>
        <w:rPr>
          <w:sz w:val="20"/>
          <w:szCs w:val="20"/>
          <w:color w:val="auto"/>
        </w:rPr>
      </w:pPr>
      <w:r>
        <w:rPr>
          <w:rFonts w:ascii="Times New Roman" w:cs="Times New Roman" w:eastAsia="Times New Roman" w:hAnsi="Times New Roman"/>
          <w:sz w:val="18"/>
          <w:szCs w:val="18"/>
          <w:color w:val="auto"/>
        </w:rPr>
        <w:t>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three months ended March 31, 2023 and 2022 were losses of $0.2 million and $0.9 million, respectively. Interest on investments is reported in interest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which includes an organizational restructuring plan to address current shifts within the Company’s U.S. business. As part of the plan, the Company completed a reduction of its U.S. field force from approximately 300 sales representatives to approximately 75 sales representatives. During the three months ended March 31, 2023 the Company continued to assess its contractual supplier purchase obligations and has taken steps to amend supplier agreements to align supply arrangements with current and future market demand resulting in charges of $12.3 million recognized within cost of goods sold - restructuring inventory on the condensed consolidated statement of operations. The Company continues to negotiate with other contract suppliers to align its supply arrangements with current and future global demand which may result in additional costs to the Company.</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19, 2022, the Company announced that after the conclusion of the fourth and final round of negotiations in Germany with the National Association of Statutory Health Insurance Funds, or GKV-SV, a viable agreement on the reimbursement price of VAZKEPA in Germany could not be reached. As a result, the Company discontinued its German business operations effective September 1, 2022. During the year ended December 31, 2022, the Company recognized approximately $4.2 million within restructuring expense on the condensed consolidated statement of operations, substantially all of which were cash expenditures.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6"/>
                <w:szCs w:val="16"/>
                <w:color w:val="auto"/>
              </w:rPr>
            </w:pPr>
          </w:p>
        </w:tc>
        <w:tc>
          <w:tcPr>
            <w:tcW w:w="3520" w:type="dxa"/>
            <w:vAlign w:val="bottom"/>
            <w:gridSpan w:val="2"/>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3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20"/>
                <w:szCs w:val="20"/>
                <w:color w:val="auto"/>
              </w:rPr>
            </w:pPr>
          </w:p>
        </w:tc>
      </w:tr>
      <w:tr>
        <w:trPr>
          <w:trHeight w:val="23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incurred</w:t>
            </w:r>
          </w:p>
        </w:tc>
        <w:tc>
          <w:tcPr>
            <w:tcW w:w="74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21"/>
                <w:szCs w:val="21"/>
                <w:color w:val="auto"/>
              </w:rPr>
            </w:pPr>
          </w:p>
        </w:tc>
        <w:tc>
          <w:tcPr>
            <w:tcW w:w="3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(10,323 )</w:t>
            </w:r>
          </w:p>
        </w:tc>
      </w:tr>
      <w:tr>
        <w:trPr>
          <w:trHeight w:val="237"/>
        </w:trPr>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28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Intangible asset consists of website development costs and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In accordance with ASC 350, the Company evaluates the remaining useful life of the intangible asset at each reporting period to determine if any events or circumstances warrant</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 w:name="page13"/>
    <w:bookmarkEnd w:id="12"/>
    <w:p>
      <w:pPr>
        <w:ind w:right="400"/>
        <w:spacing w:after="0" w:line="282" w:lineRule="auto"/>
        <w:rPr>
          <w:sz w:val="20"/>
          <w:szCs w:val="20"/>
          <w:color w:val="auto"/>
        </w:rPr>
      </w:pPr>
      <w:r>
        <w:rPr>
          <w:rFonts w:ascii="Times New Roman" w:cs="Times New Roman" w:eastAsia="Times New Roman" w:hAnsi="Times New Roman"/>
          <w:sz w:val="18"/>
          <w:szCs w:val="18"/>
          <w:color w:val="auto"/>
        </w:rPr>
        <w:t>a revision to the remaining period of amortization. As of March 31, 2023, the intangible asset has an estimated weighted-average remaining life of 7.8 years. The carrying value as of March 31, 2023 and December 31, 2022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32,859</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32,859</w:t>
            </w:r>
          </w:p>
        </w:tc>
        <w:tc>
          <w:tcPr>
            <w:tcW w:w="80" w:type="dxa"/>
            <w:vAlign w:val="bottom"/>
            <w:shd w:val="clear" w:color="auto" w:fill="CFF0FC"/>
          </w:tcPr>
          <w:p>
            <w:pPr>
              <w:spacing w:after="0"/>
              <w:rPr>
                <w:sz w:val="20"/>
                <w:szCs w:val="20"/>
                <w:color w:val="auto"/>
              </w:rPr>
            </w:pP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(11,781 )</w:t>
            </w: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(11,079 )</w:t>
            </w:r>
          </w:p>
        </w:tc>
      </w:tr>
      <w:tr>
        <w:trPr>
          <w:trHeight w:val="27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-25400</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regulatory authorities. Inventories as of March 31, 2023 and December 31, 2022 consist of the following:</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23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127,025</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126,391</w:t>
            </w:r>
          </w:p>
        </w:tc>
        <w:tc>
          <w:tcPr>
            <w:tcW w:w="80" w:type="dxa"/>
            <w:vAlign w:val="bottom"/>
            <w:shd w:val="clear" w:color="auto" w:fill="CFF0FC"/>
          </w:tcPr>
          <w:p>
            <w:pPr>
              <w:spacing w:after="0"/>
              <w:rPr>
                <w:sz w:val="20"/>
                <w:szCs w:val="20"/>
                <w:color w:val="auto"/>
              </w:rPr>
            </w:pP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8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235,433</w:t>
            </w: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213,664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584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369,543</w:t>
            </w:r>
          </w:p>
        </w:tc>
        <w:tc>
          <w:tcPr>
            <w:tcW w:w="60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392,352</w:t>
            </w:r>
          </w:p>
        </w:tc>
        <w:tc>
          <w:tcPr>
            <w:tcW w:w="8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-187960</wp:posOffset>
            </wp:positionV>
            <wp:extent cx="5143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70" w:lineRule="exact"/>
        <w:rPr>
          <w:sz w:val="20"/>
          <w:szCs w:val="20"/>
          <w:color w:val="auto"/>
        </w:rPr>
      </w:pPr>
    </w:p>
    <w:p>
      <w:pPr>
        <w:ind w:left="1060" w:right="840" w:hanging="4"/>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the three months ended March 31, 2023, approximately $2.3 million of inventory was expensed through cost of goods sold for both product dating and non-product dating unsellable inventory.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the Company had $143.7 million and $163.6 million of long-term inventory, respectively, as consumption is expected beyond the Company's operating cycle.</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Amarin intends to vigorously enforce its intellectual property rights relating to VASCEPA, but cannot predict the outcome of the</w:t>
      </w:r>
      <w:r>
        <w:rPr>
          <w:rFonts w:ascii="Times New Roman" w:cs="Times New Roman" w:eastAsia="Times New Roman" w:hAnsi="Times New Roman"/>
          <w:sz w:val="18"/>
          <w:szCs w:val="18"/>
          <w:color w:val="auto"/>
          <w:strike w:val="1"/>
        </w:rPr>
        <w:t>se</w:t>
      </w:r>
      <w:r>
        <w:rPr>
          <w:rFonts w:ascii="Times New Roman" w:cs="Times New Roman" w:eastAsia="Times New Roman" w:hAnsi="Times New Roman"/>
          <w:sz w:val="18"/>
          <w:szCs w:val="18"/>
          <w:color w:val="auto"/>
        </w:rPr>
        <w:t xml:space="preserve"> lawsuits described below, those lawsuits described in the Company's Form 10-K for the year ended December 31, 2022 or any subsequently filed lawsuits.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April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 Dr. Reddy’s, payors and consumers, treble damages and other costs and fees. Injunctive relief against the alleged violative activities is also being sought by Dr. Reddy’s. In addition, in February 2023, Hikma filed a complaint against us in the United States District Court District of New Jersey (case no. 3:23-cv-01016) with consistent allegations as the Dr. Reddy's complaint. Amarin believes it has valid defenses and will vigorously defend against the claims. Such litigation can be lengthy, costly and could materially affect and disrupt our business.</w:t>
      </w:r>
    </w:p>
    <w:p>
      <w:pPr>
        <w:spacing w:after="0" w:line="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Amarin is also named as a defendant in six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right="60"/>
        <w:spacing w:after="0" w:line="273" w:lineRule="auto"/>
        <w:rPr>
          <w:sz w:val="20"/>
          <w:szCs w:val="20"/>
          <w:color w:val="auto"/>
        </w:rPr>
      </w:pPr>
      <w:r>
        <w:rPr>
          <w:rFonts w:ascii="Times New Roman" w:cs="Times New Roman" w:eastAsia="Times New Roman" w:hAnsi="Times New Roman"/>
          <w:sz w:val="17"/>
          <w:szCs w:val="17"/>
          <w:color w:val="auto"/>
        </w:rPr>
        <w:t>drug and API markets. Amarin is a defendant in a class action lawsuit filed by KPH Healthcare Services, Inc., on behalf of direct purchasers, in the District Court for the District of New Jersey, Civil Action No. 21-12747, alleging Amarin and its co-defendant suppliers violated state and federal antitrust laws by monopolizing and engaging in a conspiracy to restrain trade in the 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 violated state and federal antitrust laws by monopolizing and engaging in a conspiracy to restrain trade in the icosapent ethyl drug and API markets.</w:t>
      </w:r>
    </w:p>
    <w:p>
      <w:pPr>
        <w:spacing w:after="0" w:line="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Such antitrust litigation, and antitrust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6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On October 21, 2021, a purported investor in the Company's publicly traded securities filed a putative class action lawsuit against Amarin Corporation plc, the former chief executive officer and the former chief financial officer in the U.S. District Court for the District of New Jersey, Vincent Dang v. Amarin Corporation plc, John F. Thero and Michael W. Kalb, No. 1:21-cv-19212 (D.N.J. Oct. 21, 2021). A subsequent case, Dorfman v. Amarin Corporation plc, et al., No. 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ANDA litigation described above and the risk that certain of the Company's patents related to the MARINE indication would be invalidated. Based on these allegations, plaintiff alleges that he purchased securities at an inflated share price and brings claims under the Securities and Exchange Act of 1934 seeking unspecified monetary damages and attorneys' fees and costs.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The Company believes it has valid defenses and will vigorously defend against the claims but cannot predict the outcome. The Company is unable to reasonably estimate the loss exposure, if any, associated with these claims.</w:t>
      </w:r>
    </w:p>
    <w:p>
      <w:pPr>
        <w:spacing w:after="0" w:line="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Times New Roman" w:cs="Times New Roman" w:eastAsia="Times New Roman" w:hAnsi="Times New Roman"/>
          <w:sz w:val="18"/>
          <w:szCs w:val="18"/>
          <w:i w:val="1"/>
          <w:iCs w:val="1"/>
          <w:color w:val="auto"/>
        </w:rPr>
        <w:t>Anne Abramson, John Lissandrello, Georgette Appiano, and Andrew Bondarowicz v. Amarin Corporation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Covington &amp; Burling, LLP, Joseph T. Kennedy, and John Does A-Z</w:t>
      </w:r>
      <w:r>
        <w:rPr>
          <w:rFonts w:ascii="Times New Roman" w:cs="Times New Roman" w:eastAsia="Times New Roman" w:hAnsi="Times New Roman"/>
          <w:sz w:val="18"/>
          <w:szCs w:val="18"/>
          <w:color w:val="auto"/>
        </w:rPr>
        <w:t>, No. MON-L-000984-23 (N.J. Super. Ct. Law Div. Mar. 29, 2023).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alleges that the defendants failed to exercise appropriate diligence and due care in their conduct of the ANDA litigation. Based on those allegations, the complaint alleges that the defendants committed legal malpractice and seeks monetary damages and attorneys’ fees and costs. On April 8, 2023, the plaintiffs voluntarily dismissed this case without prejudice.</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Employment Agreement, Executive Severance and Change of Control Plan, and the implied covenant of good faith and fair dealing. On April 3, 2023, the case moved to the United States District Court for the District of New Jersey (Civ. No. 3:23-cv-01856).</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its lead product.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which includes a comprehensive cost and organizational restructuring plan to address current shifts within the Company’s U.S. business as a result of the generic competition. As part of this plan, the Company has reviewed its contractual supplier purchase obligations and has entered into agreements with suppliers to amend supplier agreements to align supply arrangements with current and future market demand. The Company continues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to negotiate with other contract suppliers to align its supply arrangements with current and future global demand which may result in additional costs to the Company. As of March 31, 2023, the Company has a total of approximately $81.7 million in future contractual purchase obligations without consideration to ongoing discussions with other suppliers. In addition, the Company has total obligations of $39.8 million contingent on either certain suppliers obtaining regulatory approval in Europe or pricing reimbursement in certain European countries not occurring by June 30, 2024.</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such former shareholder) of £5 million (approximately $5.5 million as of March 31, 2023) for the potential market approval.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these obligations, except as noted above, since the amounts are either not paid or payable as of March 31, 2023.</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common stock activity during the three months ended March 31, 2023 and 2022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Amarin Corporation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Stock Incentive Plan, or the 2020 Plan, as of March 31, 2023:</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500" w:type="dxa"/>
            <w:vAlign w:val="bottom"/>
            <w:gridSpan w:val="3"/>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19,638,850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18,203,692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three months ended March 31, 2023 and 2022:</w:t>
      </w:r>
    </w:p>
    <w:p>
      <w:pPr>
        <w:spacing w:after="0" w:line="300"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16510</wp:posOffset>
            </wp:positionV>
            <wp:extent cx="33343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6" w:lineRule="exact"/>
        <w:rPr>
          <w:sz w:val="20"/>
          <w:szCs w:val="20"/>
          <w:color w:val="auto"/>
        </w:rPr>
      </w:pPr>
    </w:p>
    <w:p>
      <w:pPr>
        <w:ind w:left="6960"/>
        <w:spacing w:after="0"/>
        <w:tabs>
          <w:tab w:leader="none" w:pos="97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16510</wp:posOffset>
            </wp:positionV>
            <wp:extent cx="15430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880" w:val="left"/>
        </w:tabs>
        <w:rPr>
          <w:sz w:val="20"/>
          <w:szCs w:val="20"/>
          <w:color w:val="auto"/>
        </w:rPr>
      </w:pPr>
      <w:r>
        <w:rPr>
          <w:rFonts w:ascii="Times New Roman" w:cs="Times New Roman" w:eastAsia="Times New Roman" w:hAnsi="Times New Roman"/>
          <w:sz w:val="18"/>
          <w:szCs w:val="18"/>
          <w:color w:val="auto"/>
        </w:rPr>
        <w:t>Gross and net proceeds from stock option exercises</w:t>
      </w:r>
      <w:r>
        <w:rPr>
          <w:sz w:val="20"/>
          <w:szCs w:val="20"/>
          <w:color w:val="auto"/>
        </w:rPr>
        <w:tab/>
      </w:r>
      <w:r>
        <w:rPr>
          <w:rFonts w:ascii="Times New Roman" w:cs="Times New Roman" w:eastAsia="Times New Roman" w:hAnsi="Times New Roman"/>
          <w:sz w:val="16"/>
          <w:szCs w:val="16"/>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right="1420"/>
        <w:spacing w:after="0" w:line="270" w:lineRule="auto"/>
        <w:rPr>
          <w:sz w:val="20"/>
          <w:szCs w:val="20"/>
          <w:color w:val="auto"/>
        </w:rPr>
      </w:pPr>
      <w:r>
        <w:rPr>
          <w:rFonts w:ascii="Times New Roman" w:cs="Times New Roman" w:eastAsia="Times New Roman" w:hAnsi="Times New Roman"/>
          <w:sz w:val="17"/>
          <w:szCs w:val="17"/>
          <w:color w:val="auto"/>
        </w:rPr>
        <w:t xml:space="preserve">Shares retained for settlement of employee tax obligations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RSUs Common shares issued in settlement of vested Performance-based RSUs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1040"/>
        <w:spacing w:after="0" w:line="258" w:lineRule="auto"/>
        <w:rPr>
          <w:sz w:val="20"/>
          <w:szCs w:val="20"/>
          <w:color w:val="auto"/>
        </w:rPr>
      </w:pPr>
      <w:r>
        <w:rPr>
          <w:rFonts w:ascii="Times New Roman" w:cs="Times New Roman" w:eastAsia="Times New Roman" w:hAnsi="Times New Roman"/>
          <w:sz w:val="18"/>
          <w:szCs w:val="18"/>
          <w:color w:val="auto"/>
        </w:rPr>
        <w:t>Shares retained for settlement of employee tax obligations ─ Performance-based RSUs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1,232,263</w:t>
            </w:r>
          </w:p>
        </w:tc>
        <w:tc>
          <w:tcPr>
            <w:tcW w:w="9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w:t>
            </w:r>
          </w:p>
        </w:tc>
      </w:tr>
      <w:tr>
        <w:trPr>
          <w:trHeight w:val="23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1,871,758</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2,270,674</w:t>
            </w:r>
          </w:p>
        </w:tc>
        <w:tc>
          <w:tcPr>
            <w:tcW w:w="9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493,381</w:t>
            </w:r>
          </w:p>
        </w:tc>
      </w:tr>
      <w:tr>
        <w:trPr>
          <w:trHeight w:val="243"/>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716,438</w:t>
            </w:r>
          </w:p>
        </w:tc>
        <w:tc>
          <w:tcPr>
            <w:tcW w:w="9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161,083</w:t>
            </w:r>
          </w:p>
        </w:tc>
      </w:tr>
      <w:tr>
        <w:trPr>
          <w:trHeight w:val="257"/>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244,274</w:t>
            </w:r>
          </w:p>
        </w:tc>
        <w:tc>
          <w:tcPr>
            <w:tcW w:w="9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111,085</w:t>
            </w:r>
          </w:p>
        </w:tc>
        <w:tc>
          <w:tcPr>
            <w:tcW w:w="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0" w:lineRule="exact"/>
        <w:rPr>
          <w:sz w:val="20"/>
          <w:szCs w:val="20"/>
          <w:color w:val="auto"/>
        </w:rPr>
      </w:pPr>
    </w:p>
    <w:p>
      <w:pPr>
        <w:sectPr>
          <w:pgSz w:w="11900" w:h="16838" w:orient="portrait"/>
          <w:cols w:equalWidth="0" w:num="2">
            <w:col w:w="6860" w:space="720"/>
            <w:col w:w="3720"/>
          </w:cols>
          <w:pgMar w:left="320" w:top="445" w:right="279" w:bottom="1440" w:gutter="0" w:footer="0" w:header="0"/>
          <w:type w:val="continuous"/>
        </w:sectPr>
      </w:pPr>
    </w:p>
    <w:p>
      <w:pPr>
        <w:ind w:left="760" w:right="6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vested in connection with the achievement of certain sales performance conditions on February 21, 2023. These performance-based RSUs will vest over a three-year period based on continuous service from the grant date.</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2023, the Company granted a total of 7,775,850 RSUs and 4,297,500 stock options to employees under the 2020 Plan. The RSUs vest annually over a three-year period and the stock options vest quarterly over a four-year period with a one-year cliff vesting. Also in February 2023, the Company granted a total of 1,368,800 RSUs to employees under the 2020 Plan that vest upon the achievement of specified sales and operational performance conditions.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2022, the Company granted a total of 5,987,500 RSUs and 1,976,600 stock options to employees under the 2020 Plan. The RSUs vest annually over a three-year period and the stock options vest quarterly over a four-year period with a one-year cliff vesting. Also in February 2022, the Company granted a total of 1,089,500 RSUs to employees under the 2020 Plan that vest upon the achievement of specified sales and operational performance conditions.</w:t>
      </w:r>
    </w:p>
    <w:p>
      <w:pPr>
        <w:spacing w:after="0" w:line="7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In January 2022, the Company granted a total of 81,082 RSUs and 103,569 stock options to newly appointed members of the Company’s Board of Directors under the 2020 Plan and in accordance with the Company's non-employee Director compensation policy. The RSUs vest in equal installments over a three-year period upon the anniversary of the grant date, and are subject to deferred settlement upon the Director’s separation of service with the Company. The stock options vested in full upon the one-year anniversary of the grant date. Upon termination of service to the Company or upon a change of control as defined in the 2020 Plan, each Director</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type w:val="continuous"/>
        </w:sectPr>
      </w:pPr>
    </w:p>
    <w:bookmarkStart w:id="15" w:name="page16"/>
    <w:bookmarkEnd w:id="15"/>
    <w:p>
      <w:pPr>
        <w:ind w:right="460"/>
        <w:spacing w:after="0" w:line="282" w:lineRule="auto"/>
        <w:rPr>
          <w:sz w:val="20"/>
          <w:szCs w:val="20"/>
          <w:color w:val="auto"/>
        </w:rPr>
      </w:pPr>
      <w:r>
        <w:rPr>
          <w:rFonts w:ascii="Times New Roman" w:cs="Times New Roman" w:eastAsia="Times New Roman" w:hAnsi="Times New Roman"/>
          <w:sz w:val="18"/>
          <w:szCs w:val="18"/>
          <w:color w:val="auto"/>
        </w:rPr>
        <w:t>shall be entitled to a payment equal to the fair market value of one share of Amarin common stock per award vested or granted, respectively, which is required to be made in shares.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7" w:lineRule="exact"/>
        <w:rPr>
          <w:sz w:val="20"/>
          <w:szCs w:val="20"/>
          <w:color w:val="auto"/>
        </w:rPr>
      </w:pPr>
    </w:p>
    <w:p>
      <w:pPr>
        <w:ind w:left="520"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5" w:lineRule="exact"/>
        <w:rPr>
          <w:sz w:val="20"/>
          <w:szCs w:val="20"/>
          <w:color w:val="auto"/>
        </w:rPr>
      </w:pPr>
    </w:p>
    <w:p>
      <w:pPr>
        <w:ind w:left="520" w:right="4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left="5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79" w:lineRule="exact"/>
        <w:rPr>
          <w:sz w:val="20"/>
          <w:szCs w:val="20"/>
          <w:color w:val="auto"/>
        </w:rPr>
      </w:pPr>
    </w:p>
    <w:p>
      <w:pPr>
        <w:ind w:left="520"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and 2022:</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00" w:type="dxa"/>
            <w:vAlign w:val="bottom"/>
          </w:tcPr>
          <w:p>
            <w:pPr>
              <w:spacing w:after="0"/>
              <w:rPr>
                <w:sz w:val="13"/>
                <w:szCs w:val="13"/>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13"/>
                <w:szCs w:val="13"/>
                <w:color w:val="auto"/>
              </w:rPr>
            </w:pPr>
          </w:p>
        </w:tc>
        <w:tc>
          <w:tcPr>
            <w:tcW w:w="9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6"/>
                <w:szCs w:val="16"/>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136,093</w:t>
            </w: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8,746</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2,056</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(5,589 )</w:t>
            </w:r>
          </w:p>
        </w:tc>
        <w:tc>
          <w:tcPr>
            <w:tcW w:w="1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(5,482 )</w:t>
            </w:r>
          </w:p>
        </w:tc>
        <w:tc>
          <w:tcPr>
            <w:tcW w:w="0" w:type="dxa"/>
            <w:vAlign w:val="bottom"/>
          </w:tcPr>
          <w:p>
            <w:pPr>
              <w:spacing w:after="0"/>
              <w:rPr>
                <w:sz w:val="1"/>
                <w:szCs w:val="1"/>
                <w:color w:val="auto"/>
              </w:rPr>
            </w:pPr>
          </w:p>
        </w:tc>
      </w:tr>
      <w:tr>
        <w:trPr>
          <w:trHeight w:val="23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(11,534 )</w:t>
            </w:r>
          </w:p>
        </w:tc>
        <w:tc>
          <w:tcPr>
            <w:tcW w:w="10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(105,542 )</w:t>
            </w:r>
          </w:p>
        </w:tc>
        <w:tc>
          <w:tcPr>
            <w:tcW w:w="14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(3,925 )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(121,001 )</w:t>
            </w: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(36,485 )</w:t>
            </w: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(51,460 )</w:t>
            </w:r>
          </w:p>
        </w:tc>
        <w:tc>
          <w:tcPr>
            <w:tcW w:w="1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(577 )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(839 )</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(89,361 )</w:t>
            </w:r>
          </w:p>
        </w:tc>
        <w:tc>
          <w:tcPr>
            <w:tcW w:w="0" w:type="dxa"/>
            <w:vAlign w:val="bottom"/>
          </w:tcPr>
          <w:p>
            <w:pPr>
              <w:spacing w:after="0"/>
              <w:rPr>
                <w:sz w:val="1"/>
                <w:szCs w:val="1"/>
                <w:color w:val="auto"/>
              </w:rPr>
            </w:pPr>
          </w:p>
        </w:tc>
      </w:tr>
      <w:tr>
        <w:trPr>
          <w:trHeight w:val="239"/>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18,920</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136,360</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8,701</w:t>
            </w:r>
          </w:p>
        </w:tc>
        <w:tc>
          <w:tcPr>
            <w:tcW w:w="16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2,407</w:t>
            </w:r>
          </w:p>
        </w:tc>
        <w:tc>
          <w:tcPr>
            <w:tcW w:w="16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166,388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0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24"/>
                <w:szCs w:val="24"/>
                <w:color w:val="auto"/>
              </w:rPr>
            </w:pPr>
          </w:p>
        </w:tc>
        <w:tc>
          <w:tcPr>
            <w:tcW w:w="9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6"/>
                <w:szCs w:val="16"/>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40" w:type="dxa"/>
            <w:vAlign w:val="bottom"/>
          </w:tcPr>
          <w:p>
            <w:pPr>
              <w:spacing w:after="0"/>
              <w:rPr>
                <w:sz w:val="16"/>
                <w:szCs w:val="16"/>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86,636</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184,756</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8,089</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282,226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(301 )</w:t>
            </w:r>
          </w:p>
        </w:tc>
        <w:tc>
          <w:tcPr>
            <w:tcW w:w="1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3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(2,753 )</w:t>
            </w:r>
          </w:p>
        </w:tc>
        <w:tc>
          <w:tcPr>
            <w:tcW w:w="10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(67,700 )</w:t>
            </w:r>
          </w:p>
        </w:tc>
        <w:tc>
          <w:tcPr>
            <w:tcW w:w="14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(6,379 )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(76,832 )</w:t>
            </w: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(13,536 )</w:t>
            </w: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(123,099 )</w:t>
            </w:r>
          </w:p>
        </w:tc>
        <w:tc>
          <w:tcPr>
            <w:tcW w:w="1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(350 )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(2,630 )</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(139,615 )</w:t>
            </w:r>
          </w:p>
        </w:tc>
        <w:tc>
          <w:tcPr>
            <w:tcW w:w="0" w:type="dxa"/>
            <w:vAlign w:val="bottom"/>
          </w:tcPr>
          <w:p>
            <w:pPr>
              <w:spacing w:after="0"/>
              <w:rPr>
                <w:sz w:val="1"/>
                <w:szCs w:val="1"/>
                <w:color w:val="auto"/>
              </w:rPr>
            </w:pPr>
          </w:p>
        </w:tc>
      </w:tr>
      <w:tr>
        <w:trPr>
          <w:trHeight w:val="239"/>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93,044</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141,859</w:t>
            </w:r>
          </w:p>
        </w:tc>
        <w:tc>
          <w:tcPr>
            <w:tcW w:w="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8,288</w:t>
            </w:r>
          </w:p>
        </w:tc>
        <w:tc>
          <w:tcPr>
            <w:tcW w:w="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2,061</w:t>
            </w:r>
          </w:p>
        </w:tc>
        <w:tc>
          <w:tcPr>
            <w:tcW w:w="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245,252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-1593850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-1593850</wp:posOffset>
            </wp:positionV>
            <wp:extent cx="685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-1593850</wp:posOffset>
            </wp:positionV>
            <wp:extent cx="603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-1593850</wp:posOffset>
            </wp:positionV>
            <wp:extent cx="603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-1593850</wp:posOffset>
            </wp:positionV>
            <wp:extent cx="603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-187960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03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03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contract manufacturers; and royalties on net sales of licensed products. Each of these payments results in licensing and royalty revenues.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7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8"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January 2023 and 2022, the Company exercised certain rights under the agreement, resulting in payments of $1.0 million in each of such periods to Mochida, which was recorded as research and development expense in the condensed consolidated statement of operations.</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collectively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 The Company received approval of VASCEPA under the REDUCE-IT indication in Hong Kong in February 2022.</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has been included in the transaction price, as all milestone amounts are fully constrained. As part of its evaluation of the constraint,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recognized $0.3 million and $0.2 million, respectively, as licensing revenue related to the up-front and milestone payments received in connection with the Edding agreement. From contract inception through March 31, 2023 and December 31, 2022, the Company recognized $8.0 million and $7.7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$9.0 million and $9.3 million is recorded in deferred revenue as of March 31, 2023 and December 31, 2022, respectively, on the condensed consolidated balance sheets and will be recognized as revenue over the remaining period of 11 years.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60" w:type="dxa"/>
            <w:vAlign w:val="bottom"/>
          </w:tcPr>
          <w:p>
            <w:pPr>
              <w:spacing w:after="0"/>
              <w:rPr>
                <w:sz w:val="16"/>
                <w:szCs w:val="16"/>
                <w:color w:val="auto"/>
              </w:rPr>
            </w:pPr>
          </w:p>
        </w:tc>
        <w:tc>
          <w:tcPr>
            <w:tcW w:w="156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60" w:type="dxa"/>
            <w:vAlign w:val="bottom"/>
            <w:shd w:val="clear" w:color="auto" w:fill="CFF0FC"/>
          </w:tcPr>
          <w:p>
            <w:pPr>
              <w:spacing w:after="0"/>
              <w:rPr>
                <w:sz w:val="20"/>
                <w:szCs w:val="20"/>
                <w:color w:val="auto"/>
              </w:rPr>
            </w:pPr>
          </w:p>
        </w:tc>
        <w:tc>
          <w:tcPr>
            <w:tcW w:w="1560" w:type="dxa"/>
            <w:vAlign w:val="bottom"/>
            <w:shd w:val="clear" w:color="auto" w:fill="CFF0FC"/>
          </w:tcPr>
          <w:p>
            <w:pPr>
              <w:jc w:val="center"/>
              <w:ind w:left="233"/>
              <w:spacing w:after="0"/>
              <w:rPr>
                <w:sz w:val="20"/>
                <w:szCs w:val="20"/>
                <w:color w:val="auto"/>
              </w:rPr>
            </w:pPr>
            <w:r>
              <w:rPr>
                <w:rFonts w:ascii="Times New Roman" w:cs="Times New Roman" w:eastAsia="Times New Roman" w:hAnsi="Times New Roman"/>
                <w:sz w:val="18"/>
                <w:szCs w:val="18"/>
                <w:color w:val="auto"/>
                <w:w w:val="99"/>
              </w:rPr>
              <w:t>August 2021</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c>
          <w:tcPr>
            <w:tcW w:w="100" w:type="dxa"/>
            <w:vAlign w:val="bottom"/>
            <w:shd w:val="clear" w:color="auto" w:fill="CFF0FC"/>
          </w:tcPr>
          <w:p>
            <w:pPr>
              <w:spacing w:after="0"/>
              <w:rPr>
                <w:sz w:val="20"/>
                <w:szCs w:val="20"/>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260" w:type="dxa"/>
            <w:vAlign w:val="bottom"/>
          </w:tcPr>
          <w:p>
            <w:pPr>
              <w:spacing w:after="0"/>
              <w:rPr>
                <w:sz w:val="20"/>
                <w:szCs w:val="20"/>
                <w:color w:val="auto"/>
              </w:rPr>
            </w:pPr>
          </w:p>
        </w:tc>
        <w:tc>
          <w:tcPr>
            <w:tcW w:w="15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October 2021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c>
          <w:tcPr>
            <w:tcW w:w="100" w:type="dxa"/>
            <w:vAlign w:val="bottom"/>
          </w:tcPr>
          <w:p>
            <w:pPr>
              <w:spacing w:after="0"/>
              <w:rPr>
                <w:sz w:val="20"/>
                <w:szCs w:val="20"/>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center"/>
              <w:ind w:left="253"/>
              <w:spacing w:after="0"/>
              <w:rPr>
                <w:sz w:val="20"/>
                <w:szCs w:val="20"/>
                <w:color w:val="auto"/>
              </w:rPr>
            </w:pPr>
            <w:r>
              <w:rPr>
                <w:rFonts w:ascii="Times New Roman" w:cs="Times New Roman" w:eastAsia="Times New Roman" w:hAnsi="Times New Roman"/>
                <w:sz w:val="18"/>
                <w:szCs w:val="18"/>
                <w:color w:val="auto"/>
                <w:w w:val="99"/>
              </w:rPr>
              <w:t>April 2021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8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260" w:type="dxa"/>
            <w:vAlign w:val="bottom"/>
          </w:tcPr>
          <w:p>
            <w:pPr>
              <w:spacing w:after="0"/>
              <w:rPr>
                <w:sz w:val="20"/>
                <w:szCs w:val="20"/>
                <w:color w:val="auto"/>
              </w:rPr>
            </w:pPr>
          </w:p>
        </w:tc>
        <w:tc>
          <w:tcPr>
            <w:tcW w:w="15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April 2022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center"/>
              <w:ind w:left="233"/>
              <w:spacing w:after="0"/>
              <w:rPr>
                <w:sz w:val="20"/>
                <w:szCs w:val="20"/>
                <w:color w:val="auto"/>
              </w:rPr>
            </w:pPr>
            <w:r>
              <w:rPr>
                <w:rFonts w:ascii="Times New Roman" w:cs="Times New Roman" w:eastAsia="Times New Roman" w:hAnsi="Times New Roman"/>
                <w:sz w:val="18"/>
                <w:szCs w:val="18"/>
                <w:color w:val="auto"/>
              </w:rPr>
              <w:t>March 2023</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8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$0.3 million and nil for the three months ended March 31, 2023 and 2022, respectively, related to sales to Biologix.</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ind w:right="120"/>
        <w:spacing w:after="0" w:line="282" w:lineRule="auto"/>
        <w:rPr>
          <w:sz w:val="20"/>
          <w:szCs w:val="20"/>
          <w:color w:val="auto"/>
        </w:rPr>
      </w:pPr>
      <w:r>
        <w:rPr>
          <w:rFonts w:ascii="Times New Roman" w:cs="Times New Roman" w:eastAsia="Times New Roman" w:hAnsi="Times New Roman"/>
          <w:sz w:val="18"/>
          <w:szCs w:val="18"/>
          <w:color w:val="auto"/>
        </w:rPr>
        <w:t>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recognized $0.1 million and $0.1 million, respectively, as licensing revenue related to up-front and milestone payments received in connection with the HLS agreement. From the contract’s inception through March 31, 2023 and December 31, 2022, the Company has recognized $8.3 million and $8.2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$5.4 million and $5.6 million is recorded in deferred revenue as of March 31, 2023 and December 31, 2022, respectively, on the condensed consolidated balance sheets and will be recognized as revenue over the remaining period of 7 years.</w:t>
      </w:r>
    </w:p>
    <w:p>
      <w:pPr>
        <w:spacing w:after="0" w:line="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$1.6 million and nil for the three months ended March 31, 2023 and 2022, respectively, related to sales to HLS.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addition to the upfront payment the Company will be eligible to receive event-related milestone payments of approximately $8.0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6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recognized $0.5 million as licensing revenue related to the upfront payment received in connection with the CSL agreement (none in 2022).</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three months ended March 31, 2023 and 2022: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2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6"/>
                <w:szCs w:val="16"/>
                <w:color w:val="auto"/>
              </w:rPr>
            </w:pPr>
          </w:p>
        </w:tc>
        <w:tc>
          <w:tcPr>
            <w:tcW w:w="13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2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recognized the following revenues as a result of changes in the contract asset and contract liability balances in the respective periods: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2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224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20"/>
                <w:szCs w:val="20"/>
                <w:color w:val="auto"/>
              </w:rPr>
            </w:pPr>
          </w:p>
        </w:tc>
      </w:tr>
      <w:tr>
        <w:trPr>
          <w:trHeight w:val="540"/>
        </w:trPr>
        <w:tc>
          <w:tcPr>
            <w:tcW w:w="5240" w:type="dxa"/>
            <w:vAlign w:val="bottom"/>
          </w:tcPr>
          <w:p>
            <w:pPr>
              <w:spacing w:after="0"/>
              <w:rPr>
                <w:sz w:val="24"/>
                <w:szCs w:val="24"/>
                <w:color w:val="auto"/>
              </w:rPr>
            </w:pPr>
          </w:p>
        </w:tc>
        <w:tc>
          <w:tcPr>
            <w:tcW w:w="224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75"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office space in Bridgewater, New Jersey, or the New Jersey Lease. The New Jersey Lease commenced on August 15, 2019, or the New Jersey Commencement Date, for an 11-year period, with two five-year renewal options. Subject to the terms of the New Jersey Lease, the Company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New Jersey Commencement Date upon advance written notice and a termination payment specified in the Lease. Under the New Jersey Lease, the Company paid monthly rent of approximately $0.1 million for the first year following the New Jersey Commencement Date, and such rent increases by a nominal percentage every year following the first anniversary of the New Jersey Commencement Date. In addition, Amarin receives certain abatements subject to the limitations in the New Jersey Lease.</w:t>
      </w:r>
    </w:p>
    <w:p>
      <w:pPr>
        <w:spacing w:after="0" w:line="90"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5-year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new office space in Dublin, Ireland, or the Dublin Lease. The Dublin Lease commenced on October 1, 2022, or the Dublin Commencement Date, for a 2-year period. Under the Dublin Lease, the Company will pay annual rent of approximately $0.4 million during the duration of the lease 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real estate leases, the Company leases various vehicles with terms ranging from month to month up to 36 months.</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the total operating lease liability is $11.7 million and $11.6 million, respectively, and the total operating lease right-of-use asset is $9.2 million and $9.1 million, respectively.</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lease expense for the three months ended March 31, 2023 is approximately $0.9 million. The lease expense for the three months ended March 31, 2022 is approximately $0.6 million.</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March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49"/>
        </w:trPr>
        <w:tc>
          <w:tcPr>
            <w:tcW w:w="40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r>
      <w:tr>
        <w:trPr>
          <w:trHeight w:val="148"/>
        </w:trPr>
        <w:tc>
          <w:tcPr>
            <w:tcW w:w="40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87"/>
        </w:trPr>
        <w:tc>
          <w:tcPr>
            <w:tcW w:w="40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37"/>
        </w:trPr>
        <w:tc>
          <w:tcPr>
            <w:tcW w:w="4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5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FF0FC"/>
          </w:tcPr>
          <w:p>
            <w:pPr>
              <w:spacing w:after="0"/>
              <w:rPr>
                <w:sz w:val="20"/>
                <w:szCs w:val="20"/>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FF0FC"/>
          </w:tcPr>
          <w:p>
            <w:pPr>
              <w:spacing w:after="0"/>
              <w:rPr>
                <w:sz w:val="21"/>
                <w:szCs w:val="2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FF0FC"/>
          </w:tcPr>
          <w:p>
            <w:pPr>
              <w:spacing w:after="0"/>
              <w:rPr>
                <w:sz w:val="21"/>
                <w:szCs w:val="2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5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21"/>
                <w:szCs w:val="21"/>
                <w:color w:val="auto"/>
              </w:rPr>
            </w:pPr>
          </w:p>
        </w:tc>
      </w:tr>
      <w:tr>
        <w:trPr>
          <w:trHeight w:val="236"/>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524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5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(4,945 )</w:t>
            </w: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5240" w:type="dxa"/>
            <w:vAlign w:val="bottom"/>
            <w:gridSpan w:val="2"/>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FF0FC"/>
          </w:tcPr>
          <w:p>
            <w:pPr>
              <w:spacing w:after="0"/>
              <w:rPr>
                <w:sz w:val="20"/>
                <w:szCs w:val="20"/>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tcPr>
          <w:p>
            <w:pPr>
              <w:spacing w:after="0"/>
              <w:rPr>
                <w:sz w:val="20"/>
                <w:szCs w:val="20"/>
                <w:color w:val="auto"/>
              </w:rPr>
            </w:pPr>
          </w:p>
        </w:tc>
      </w:tr>
      <w:tr>
        <w:trPr>
          <w:trHeight w:val="441"/>
        </w:trPr>
        <w:tc>
          <w:tcPr>
            <w:tcW w:w="4020" w:type="dxa"/>
            <w:vAlign w:val="bottom"/>
          </w:tcPr>
          <w:p>
            <w:pPr>
              <w:spacing w:after="0"/>
              <w:rPr>
                <w:sz w:val="24"/>
                <w:szCs w:val="24"/>
                <w:color w:val="auto"/>
              </w:rPr>
            </w:pPr>
          </w:p>
        </w:tc>
        <w:tc>
          <w:tcPr>
            <w:tcW w:w="500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for 50,000 square feet of the 67,747 square foot New Jersey Lease and included within the sublease are furniture, fixtures and equipment, collectively the Sublease. The Sublease commenced on February 1, 2023, or the Sublease Commencement Date, for a 7.5 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Amarin will provide certain abatements subject to the limitations in the Lease.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3"/>
        </w:trPr>
        <w:tc>
          <w:tcPr>
            <w:tcW w:w="7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1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2"/>
                <w:szCs w:val="22"/>
                <w:color w:val="auto"/>
              </w:rPr>
            </w:pPr>
          </w:p>
        </w:tc>
      </w:tr>
      <w:tr>
        <w:trPr>
          <w:trHeight w:val="26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r>
      <w:tr>
        <w:trPr>
          <w:trHeight w:val="257"/>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recognized at commencement date of sales type lease</w:t>
            </w: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57"/>
        </w:trPr>
        <w:tc>
          <w:tcPr>
            <w:tcW w:w="75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FF0FC"/>
            </w:tcBorders>
          </w:tcPr>
          <w:p>
            <w:pPr>
              <w:spacing w:after="0"/>
              <w:rPr>
                <w:sz w:val="22"/>
                <w:szCs w:val="22"/>
                <w:color w:val="auto"/>
              </w:rPr>
            </w:pPr>
          </w:p>
        </w:tc>
        <w:tc>
          <w:tcPr>
            <w:tcW w:w="60" w:type="dxa"/>
            <w:vAlign w:val="bottom"/>
            <w:tcBorders>
              <w:top w:val="single" w:sz="8" w:color="CFF0FC"/>
            </w:tcBorders>
          </w:tcPr>
          <w:p>
            <w:pPr>
              <w:spacing w:after="0"/>
              <w:rPr>
                <w:sz w:val="22"/>
                <w:szCs w:val="22"/>
                <w:color w:val="auto"/>
              </w:rPr>
            </w:pPr>
          </w:p>
        </w:tc>
        <w:tc>
          <w:tcPr>
            <w:tcW w:w="130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FF0FC"/>
            </w:tcBorders>
          </w:tcPr>
          <w:p>
            <w:pPr>
              <w:spacing w:after="0"/>
              <w:rPr>
                <w:sz w:val="22"/>
                <w:szCs w:val="22"/>
                <w:color w:val="auto"/>
              </w:rPr>
            </w:pPr>
          </w:p>
        </w:tc>
      </w:tr>
      <w:tr>
        <w:trPr>
          <w:trHeight w:val="3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sales type lease and operating lease receivables as of March 31, 2023 are as follows: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7"/>
        </w:trPr>
        <w:tc>
          <w:tcPr>
            <w:tcW w:w="7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20"/>
                <w:szCs w:val="20"/>
                <w:color w:val="auto"/>
              </w:rPr>
            </w:pP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r>
      <w:tr>
        <w:trPr>
          <w:trHeight w:val="236"/>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shd w:val="clear" w:color="auto" w:fill="CFF0FC"/>
          </w:tcPr>
          <w:p>
            <w:pPr>
              <w:spacing w:after="0"/>
              <w:rPr>
                <w:sz w:val="20"/>
                <w:szCs w:val="20"/>
                <w:color w:val="auto"/>
              </w:rPr>
            </w:pPr>
          </w:p>
        </w:tc>
      </w:tr>
      <w:tr>
        <w:trPr>
          <w:trHeight w:val="432"/>
        </w:trPr>
        <w:tc>
          <w:tcPr>
            <w:tcW w:w="73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3" w:name="page24"/>
    <w:bookmarkEnd w:id="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2022, or our Annual Report, and under Part II, Item IA, “Risk Factors” of this Quarterly Report.</w:t>
      </w:r>
    </w:p>
    <w:p>
      <w:pPr>
        <w:spacing w:after="0" w:line="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09"/>
        <w:spacing w:after="0" w:line="235"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w:t>
      </w:r>
    </w:p>
    <w:p>
      <w:pPr>
        <w:spacing w:after="0" w:line="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more than 20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VASCEPA have obtained U.S. FDA approval with labeling consistent with the MARINE indication and have entered the U.S. market with a 1-gram capsule: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 Approval</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line="236" w:lineRule="exact"/>
              <w:rPr>
                <w:sz w:val="20"/>
                <w:szCs w:val="20"/>
                <w:color w:val="auto"/>
              </w:rPr>
            </w:pPr>
            <w:r>
              <w:rPr>
                <w:rFonts w:ascii="Times New Roman" w:cs="Times New Roman" w:eastAsia="Times New Roman" w:hAnsi="Times New Roman"/>
                <w:sz w:val="18"/>
                <w:szCs w:val="18"/>
                <w:color w:val="auto"/>
                <w:w w:val="98"/>
              </w:rPr>
              <w:t xml:space="preserve">November 2020 </w:t>
            </w:r>
            <w:r>
              <w:rPr>
                <w:rFonts w:ascii="Times New Roman" w:cs="Times New Roman" w:eastAsia="Times New Roman" w:hAnsi="Times New Roman"/>
                <w:sz w:val="24"/>
                <w:szCs w:val="24"/>
                <w:color w:val="auto"/>
                <w:w w:val="98"/>
                <w:vertAlign w:val="superscript"/>
              </w:rPr>
              <w:t>(1)</w:t>
            </w: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line="248" w:lineRule="exact"/>
              <w:rPr>
                <w:sz w:val="20"/>
                <w:szCs w:val="20"/>
                <w:color w:val="auto"/>
              </w:rPr>
            </w:pPr>
            <w:r>
              <w:rPr>
                <w:rFonts w:ascii="Times New Roman" w:cs="Times New Roman" w:eastAsia="Times New Roman" w:hAnsi="Times New Roman"/>
                <w:sz w:val="18"/>
                <w:szCs w:val="18"/>
                <w:color w:val="auto"/>
                <w:w w:val="96"/>
              </w:rPr>
              <w:t xml:space="preserve">September 2022 </w:t>
            </w:r>
            <w:r>
              <w:rPr>
                <w:rFonts w:ascii="Times New Roman" w:cs="Times New Roman" w:eastAsia="Times New Roman" w:hAnsi="Times New Roman"/>
                <w:sz w:val="24"/>
                <w:szCs w:val="24"/>
                <w:color w:val="auto"/>
                <w:w w:val="96"/>
                <w:vertAlign w:val="superscript"/>
              </w:rPr>
              <w:t>(2)</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tcPr>
          <w:p>
            <w:pPr>
              <w:spacing w:after="0"/>
              <w:rPr>
                <w:sz w:val="21"/>
                <w:szCs w:val="21"/>
                <w:color w:val="auto"/>
              </w:rPr>
            </w:pPr>
          </w:p>
        </w:tc>
      </w:tr>
      <w:tr>
        <w:trPr>
          <w:trHeight w:val="432"/>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60" w:type="dxa"/>
            <w:vAlign w:val="bottom"/>
            <w:gridSpan w:val="2"/>
          </w:tcPr>
          <w:p>
            <w:pPr>
              <w:jc w:val="right"/>
              <w:ind w:right="2213"/>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ind w:left="780" w:hanging="26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Hikma launched a 1-gram capsule in November 2020 and a 0.5-gram capsule in March 2023.</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Teva launched a 0.5-gram capsule in September 2022 and a 1-gram capsule in January 2023.</w:t>
      </w:r>
    </w:p>
    <w:p>
      <w:pPr>
        <w:spacing w:after="0" w:line="11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June 2022, to address shifts within our U.S. business due to these generic competitors, we announced a comprehensive cost and organizational restructuring plan which would result in savings of $100.0 million over the subsequent 12 months compared to 2021 operating expenses. We expect to exceed the $100.0 million in savings during this 12 month period. Our U.S. cost reduction plan included:</w:t>
      </w:r>
    </w:p>
    <w:p>
      <w:pPr>
        <w:spacing w:after="0" w:line="66" w:lineRule="exact"/>
        <w:rPr>
          <w:sz w:val="20"/>
          <w:szCs w:val="20"/>
          <w:color w:val="auto"/>
        </w:rPr>
      </w:pPr>
    </w:p>
    <w:p>
      <w:pPr>
        <w:ind w:left="1020" w:right="104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workforce reduction: </w:t>
      </w:r>
      <w:r>
        <w:rPr>
          <w:rFonts w:ascii="Times New Roman" w:cs="Times New Roman" w:eastAsia="Times New Roman" w:hAnsi="Times New Roman"/>
          <w:sz w:val="18"/>
          <w:szCs w:val="18"/>
          <w:color w:val="auto"/>
        </w:rPr>
        <w:t>The reduction of our U.S. field force and corporate positions. Our U.S. field force was reduced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300 sales representatives to approximately 75 sales representatives.</w:t>
      </w:r>
    </w:p>
    <w:p>
      <w:pPr>
        <w:spacing w:after="0" w:line="50"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Streamlined operational expenditures: </w:t>
      </w:r>
      <w:r>
        <w:rPr>
          <w:rFonts w:ascii="Times New Roman" w:cs="Times New Roman" w:eastAsia="Times New Roman" w:hAnsi="Times New Roman"/>
          <w:sz w:val="18"/>
          <w:szCs w:val="18"/>
          <w:color w:val="auto"/>
        </w:rPr>
        <w:t>Includes reductions and reallocations in overall selling, general and administrative expenses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related to refining our research and development strategy to a more focused, stepwise approach for our fixed-dose combination, or FDC, program.</w:t>
      </w:r>
    </w:p>
    <w:p>
      <w:pPr>
        <w:spacing w:after="0" w:line="67"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In alignment with our U.S. cost reduction plan, our focus is primarily on engaging with our top VASCEPA brand prescribers, maintaining our exclusive formulary coverage with specific payers and implementing targeted promotional initiatives amid the continued pressure from generic competitors.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who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are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59690</wp:posOffset>
            </wp:positionV>
            <wp:extent cx="4954905" cy="2451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5490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this vendor's information and we do not receive prescription data directly from retail pharmacies.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17" w:lineRule="exact"/>
        <w:rPr>
          <w:sz w:val="20"/>
          <w:szCs w:val="20"/>
          <w:color w:val="auto"/>
        </w:rPr>
      </w:pPr>
    </w:p>
    <w:p>
      <w:pPr>
        <w:jc w:val="right"/>
        <w:ind w:right="20"/>
        <w:spacing w:after="0" w:line="26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15 dossiers to gain market access in European countries, including in all of the largest countries in Europe. In most European countries, securing product reimbursement is a requisite to launching. In certain countries, such as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5" w:name="page26"/>
    <w:bookmarkEnd w:id="25"/>
    <w:p>
      <w:pPr>
        <w:ind w:right="100"/>
        <w:spacing w:after="0" w:line="255" w:lineRule="auto"/>
        <w:rPr>
          <w:sz w:val="20"/>
          <w:szCs w:val="20"/>
          <w:color w:val="auto"/>
        </w:rPr>
      </w:pPr>
      <w:r>
        <w:rPr>
          <w:rFonts w:ascii="Times New Roman" w:cs="Times New Roman" w:eastAsia="Times New Roman" w:hAnsi="Times New Roman"/>
          <w:sz w:val="18"/>
          <w:szCs w:val="18"/>
          <w:color w:val="auto"/>
        </w:rPr>
        <w:t>Denmark, individual patient reimbursement is allowed prior to national, general organization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have received and made VAZKEPA available under individual reimbursement or received national reimbursement and launched commercial operations in the following countries, respectively.</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Kingdom/Wales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order to launch impactfully in targeted major markets in Europe we are building a core team of experienced professionals and highly capable local commercial teams involved with pre-launch planning and commercial launch activities and we are leveraging third-party relationships for various support activities. We are implementing an impactful and cost-effective hybrid commercial model balancing optimally digital and face-to-face approach for more impact and cost efficiency, which is or will be utilized throughout Europe as launches are rolled out.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 States. In Europe, VAZKEPA has the benefit of 10 years of market protection, and we have been issued a patent that expires in 2033 with additional pending applications that could extend exclusivity into 2039.</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119"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 Kong had commenced. In Mainland China, the National Medical Products Administration, or NMPA, accepted for review the new drug application for VASCEPA, submitted by Edding, based on the results from the Phase 3 clinical trial and the results from our prior studies of VASCEPA. On February 23, 2022 the Hong Kong Department of Health completed their regulatory evaluation and approved the use of VASCEPA under the REDUCE-IT indication. In China, on October 10, 2022, following the completion of product testing by the China National Institutes for Food and Drug Control, or NIFDC, the final NMPA review of the VASCEPA NDA was initiated with Edding expecting approval by the end of 2022. Due to delays in the regulatory review as a result of the resurgence of COVID-19 in the Beijing area at the end of 2022, Edding has communicated that an approval in Mainland China could be achieved by midyear of 2023.</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60" w:type="dxa"/>
            <w:vAlign w:val="bottom"/>
          </w:tcPr>
          <w:p>
            <w:pPr>
              <w:spacing w:after="0"/>
              <w:rPr>
                <w:sz w:val="16"/>
                <w:szCs w:val="16"/>
                <w:color w:val="auto"/>
              </w:rPr>
            </w:pPr>
          </w:p>
        </w:tc>
        <w:tc>
          <w:tcPr>
            <w:tcW w:w="156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60" w:type="dxa"/>
            <w:vAlign w:val="bottom"/>
            <w:shd w:val="clear" w:color="auto" w:fill="CFF0FC"/>
          </w:tcPr>
          <w:p>
            <w:pPr>
              <w:spacing w:after="0"/>
              <w:rPr>
                <w:sz w:val="20"/>
                <w:szCs w:val="20"/>
                <w:color w:val="auto"/>
              </w:rPr>
            </w:pPr>
          </w:p>
        </w:tc>
        <w:tc>
          <w:tcPr>
            <w:tcW w:w="1560" w:type="dxa"/>
            <w:vAlign w:val="bottom"/>
            <w:shd w:val="clear" w:color="auto" w:fill="CFF0FC"/>
          </w:tcPr>
          <w:p>
            <w:pPr>
              <w:jc w:val="center"/>
              <w:ind w:left="233"/>
              <w:spacing w:after="0"/>
              <w:rPr>
                <w:sz w:val="20"/>
                <w:szCs w:val="20"/>
                <w:color w:val="auto"/>
              </w:rPr>
            </w:pPr>
            <w:r>
              <w:rPr>
                <w:rFonts w:ascii="Times New Roman" w:cs="Times New Roman" w:eastAsia="Times New Roman" w:hAnsi="Times New Roman"/>
                <w:sz w:val="18"/>
                <w:szCs w:val="18"/>
                <w:color w:val="auto"/>
                <w:w w:val="99"/>
              </w:rPr>
              <w:t>August 2021</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c>
          <w:tcPr>
            <w:tcW w:w="100" w:type="dxa"/>
            <w:vAlign w:val="bottom"/>
            <w:shd w:val="clear" w:color="auto" w:fill="CFF0FC"/>
          </w:tcPr>
          <w:p>
            <w:pPr>
              <w:spacing w:after="0"/>
              <w:rPr>
                <w:sz w:val="20"/>
                <w:szCs w:val="20"/>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260" w:type="dxa"/>
            <w:vAlign w:val="bottom"/>
          </w:tcPr>
          <w:p>
            <w:pPr>
              <w:spacing w:after="0"/>
              <w:rPr>
                <w:sz w:val="20"/>
                <w:szCs w:val="20"/>
                <w:color w:val="auto"/>
              </w:rPr>
            </w:pPr>
          </w:p>
        </w:tc>
        <w:tc>
          <w:tcPr>
            <w:tcW w:w="15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October 2021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c>
          <w:tcPr>
            <w:tcW w:w="100" w:type="dxa"/>
            <w:vAlign w:val="bottom"/>
          </w:tcPr>
          <w:p>
            <w:pPr>
              <w:spacing w:after="0"/>
              <w:rPr>
                <w:sz w:val="20"/>
                <w:szCs w:val="20"/>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center"/>
              <w:ind w:left="253"/>
              <w:spacing w:after="0"/>
              <w:rPr>
                <w:sz w:val="20"/>
                <w:szCs w:val="20"/>
                <w:color w:val="auto"/>
              </w:rPr>
            </w:pPr>
            <w:r>
              <w:rPr>
                <w:rFonts w:ascii="Times New Roman" w:cs="Times New Roman" w:eastAsia="Times New Roman" w:hAnsi="Times New Roman"/>
                <w:sz w:val="18"/>
                <w:szCs w:val="18"/>
                <w:color w:val="auto"/>
                <w:w w:val="99"/>
              </w:rPr>
              <w:t>April 2021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8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260" w:type="dxa"/>
            <w:vAlign w:val="bottom"/>
          </w:tcPr>
          <w:p>
            <w:pPr>
              <w:spacing w:after="0"/>
              <w:rPr>
                <w:sz w:val="20"/>
                <w:szCs w:val="20"/>
                <w:color w:val="auto"/>
              </w:rPr>
            </w:pPr>
          </w:p>
        </w:tc>
        <w:tc>
          <w:tcPr>
            <w:tcW w:w="15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April 2022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center"/>
              <w:ind w:left="233"/>
              <w:spacing w:after="0"/>
              <w:rPr>
                <w:sz w:val="20"/>
                <w:szCs w:val="20"/>
                <w:color w:val="auto"/>
              </w:rPr>
            </w:pPr>
            <w:r>
              <w:rPr>
                <w:rFonts w:ascii="Times New Roman" w:cs="Times New Roman" w:eastAsia="Times New Roman" w:hAnsi="Times New Roman"/>
                <w:sz w:val="18"/>
                <w:szCs w:val="18"/>
                <w:color w:val="auto"/>
              </w:rPr>
              <w:t>March 2023</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8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March 2019, HLS received formal confirmation from Health Canada that the Canadian regulatory authority had granted priority review status for the upcoming New Drug Submission, which was filed in April 2019.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July 2020, the Canadian Agency for Drugs and Technologies in Health recommended that VASCEPA be reimbursed by participating public drug plans for statin-treated patients with established cardiovascular diseases and elevated triglycerides. In April 2022, HLS completed negotiations with Canada’s pan-Canadian Pharmaceutical Alliance for the terms and conditions under which VASCEPA would qualify for public market reimbursement in Canada. Following these negotiations, HLS signed a Letter of Intent which allows HLS to work with all participating provincial jurisdictions to secure coverage from publicly funded drug plans across Canada, and for VASCEPA to potentially be added to their respective plans. HLS also received notification by the Patented Medical Prices Review Board that, further to its review, VASCEPA’s price did not trigger the investigation criteria for excessive pricing.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have completed the first year of a three-year plan to submit and obtain regulatory approval in 20 additional countries in order to ensure that patients in the top 50 cardiometabolic markets worldwide can benefit from VASCEPA. Through the date of this Quarterly Report, we have filed for regulatory review in 10 countries and have received approval in eight countries outside of the United States and European Medicines Agency, or EMA, regulatory approval authority, including in Switzerland, Australia, New Zealand and Israel, under the REDUCE-IT indication. In addition, VAZKEPA has been made available under individual pricing reimbursement in Switzerland.</w:t>
      </w:r>
    </w:p>
    <w:p>
      <w:pPr>
        <w:spacing w:after="0" w:line="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The Company will be responsible for supplying finished product to CSL Seqirus. We continue to assess other potential partnership opportunities for VASCEPA with companies outside of the United States and Europe with the intention of partnering in all other international markets where VASCEPA receives local regulatory approval.</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30 clinical treatment guidelines, consensus statements or scientific statements from medical societies, scientific bodies, or journals have been updated recommending the use of icosapent ethyl in appropriate at-risk patients, including those statements which we were informed of by our global partners in Canada, China and the Middle East as well as guidelines or statements which were newly received during the first quarter of 2023 through the filing date of this Quarterly Report with recent examples as listed below:</w:t>
      </w:r>
    </w:p>
    <w:p>
      <w:pPr>
        <w:spacing w:after="0" w:line="31" w:lineRule="exact"/>
        <w:rPr>
          <w:sz w:val="20"/>
          <w:szCs w:val="20"/>
          <w:color w:val="auto"/>
        </w:rPr>
      </w:pPr>
    </w:p>
    <w:p>
      <w:pPr>
        <w:ind w:left="1020" w:right="14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Society of Preventive Cardiology published a clinical practice statement including that REDUCE-IT established that IPE reduced CV events among patients with fasting TG 135 to 499 mg/dL. Patients in this trial were already receiving background statin therapy with a median LDL-C of 75 mg/dL. In addition, this statement noted that results from REDUCE-IT have not been replicated in trials using mixed omega-3 fatty acids, suggesting that the CV benefit is attributed to EPA, not DHA.</w:t>
      </w:r>
    </w:p>
    <w:p>
      <w:pPr>
        <w:spacing w:after="0" w:line="44"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NICE released its guidelines on lipid management, which included that IPE is recommended for patients with established cardiovascular disease, or CVD, and elevated fasting TG (≥1.7 mmol/L) and who are taking statins with LDL-C levels between 1.04 and 2.60 mmol/L, as</w:t>
      </w:r>
    </w:p>
    <w:p>
      <w:pPr>
        <w:ind w:left="1020"/>
        <w:spacing w:after="0"/>
        <w:rPr>
          <w:sz w:val="20"/>
          <w:szCs w:val="20"/>
          <w:color w:val="auto"/>
        </w:rPr>
      </w:pPr>
      <w:r>
        <w:rPr>
          <w:rFonts w:ascii="Times New Roman" w:cs="Times New Roman" w:eastAsia="Times New Roman" w:hAnsi="Times New Roman"/>
          <w:sz w:val="18"/>
          <w:szCs w:val="18"/>
          <w:color w:val="auto"/>
        </w:rPr>
        <w:t>per the REDUCE-IT criteria.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7" w:name="page28"/>
    <w:bookmarkEnd w:id="27"/>
    <w:p>
      <w:pPr>
        <w:ind w:left="1020" w:right="1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Finnish Medical Association and the Finnish Association of Internists published updated guidelines on dyslipidemia treatment, which included that IPE is indicated for patients on statin therapy who have elevated TG levels and are at particularly high risk for arterial disease.</w:t>
      </w:r>
    </w:p>
    <w:p>
      <w:pPr>
        <w:spacing w:after="0" w:line="26"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Society of Cardiometabolic Medicine released its consensus statement on the role of omega-3 fatty acids in the prevention and treatment of CVD in Chinese patients. The consensus statement reviewed current knowledge about omega-3 fatty acids and their use in managing CVD in the Chinese population. The following key recommendation was included on use of IPE:</w:t>
      </w:r>
    </w:p>
    <w:p>
      <w:pPr>
        <w:spacing w:after="0" w:line="67" w:lineRule="exact"/>
        <w:rPr>
          <w:rFonts w:ascii="Times New Roman" w:cs="Times New Roman" w:eastAsia="Times New Roman" w:hAnsi="Times New Roman"/>
          <w:sz w:val="18"/>
          <w:szCs w:val="18"/>
          <w:color w:val="auto"/>
        </w:rPr>
      </w:pPr>
    </w:p>
    <w:p>
      <w:pPr>
        <w:ind w:left="1540" w:right="50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oHigh-dose IPE can confer CV benefits in patients with high TG levels at high risk for atherosclerotic cardiovascular disease, or ASCVD, and who have additional CV risk factors (e.g., diabetes mellitus); therefore, IPE may be considered in the primary and secondary prevention settings in patients with high CV risk</w:t>
      </w:r>
    </w:p>
    <w:p>
      <w:pPr>
        <w:spacing w:after="0" w:line="67" w:lineRule="exact"/>
        <w:rPr>
          <w:rFonts w:ascii="Times New Roman" w:cs="Times New Roman" w:eastAsia="Times New Roman" w:hAnsi="Times New Roman"/>
          <w:sz w:val="18"/>
          <w:szCs w:val="18"/>
          <w:color w:val="auto"/>
        </w:rPr>
      </w:pPr>
    </w:p>
    <w:p>
      <w:pPr>
        <w:ind w:left="1540" w:right="26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oEPA levels may be the driving force behind CV benefit reported with IPE, a concept supported by JELIS and REDUCE-IT trials in which serum EPA levels were inversely associated with CV risk in a dose-response relationship as well as in a subanalysis of REDUCE-IT, which showed that the CV reduction reported with IPE was attributed to changes in EPA levels rather than lipid biomarkers</w:t>
      </w:r>
    </w:p>
    <w:p>
      <w:pPr>
        <w:spacing w:after="0" w:line="72" w:lineRule="exact"/>
        <w:rPr>
          <w:sz w:val="20"/>
          <w:szCs w:val="20"/>
          <w:color w:val="auto"/>
        </w:rPr>
      </w:pPr>
    </w:p>
    <w:p>
      <w:pPr>
        <w:ind w:left="1540" w:right="140" w:hanging="514"/>
        <w:spacing w:after="0" w:line="282"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IPE is the only omega-3 fatty acid approved by the FDA, Health Canada, and the European Medicines Agency for CV risk reduction in patients with CVD or diabetes with other ASCVD risk factors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March 2023, we added to our growing body of knowledge on VASCEPA as a result of our continued analysis of the REDUCE-IT trial results presented at the American College of Cardiology scientific session. New prespecified and post hoc exploratory analyses of REDUCE-IT found VASCEPA significantly reduced the risk of first cardiovascular death, strokes, heart attacks, coronary revascularization or unstable angina in a subgroup of patients with recent (&lt;12 months) acute coronary syndrome by 37% (HR 0.63; 95% CI, 0.48-0.84, p=0.002).</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March 31, 2023, we had inventory of $369.5 million, of which 90% is inventory approved for use in North America. We continue to negotiate with our contract suppliers to align our supply arrangements with current and future global market demand.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VASCEPA is sold to three major wholesalers, as well as several regional wholesalers along with mail order pharmacy providers,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During the quarters ended March 31, 2023 and 2022, our product revenue, net, included adjustment for co-pay mitigation rebates provided by us to commercially insured patients in the United States.</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17"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20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three months ended March 31, 2023, we incurred costs of $12.3 million in </w:t>
      </w:r>
      <w:r>
        <w:rPr>
          <w:rFonts w:ascii="Times New Roman" w:cs="Times New Roman" w:eastAsia="Times New Roman" w:hAnsi="Times New Roman"/>
          <w:sz w:val="18"/>
          <w:szCs w:val="18"/>
          <w:i w:val="1"/>
          <w:iCs w:val="1"/>
          <w:color w:val="auto"/>
        </w:rPr>
        <w:t>Cost of goods sold - restructuring inventory</w:t>
      </w:r>
      <w:r>
        <w:rPr>
          <w:rFonts w:ascii="Times New Roman" w:cs="Times New Roman" w:eastAsia="Times New Roman" w:hAnsi="Times New Roman"/>
          <w:sz w:val="18"/>
          <w:szCs w:val="18"/>
          <w:color w:val="auto"/>
        </w:rPr>
        <w:t xml:space="preserve"> related to steps taken to amend supplier agreements to align supply arrangements with current and future market demand.</w:t>
      </w:r>
    </w:p>
    <w:p>
      <w:pPr>
        <w:spacing w:after="0" w:line="210"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20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 and other income (expense), net</w:t>
      </w:r>
      <w:r>
        <w:rPr>
          <w:rFonts w:ascii="Times New Roman" w:cs="Times New Roman" w:eastAsia="Times New Roman" w:hAnsi="Times New Roman"/>
          <w:sz w:val="18"/>
          <w:szCs w:val="18"/>
          <w:color w:val="auto"/>
        </w:rPr>
        <w:t>. 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primarily of foreign exchange losses and gains as well as sublease income.</w:t>
      </w:r>
    </w:p>
    <w:p>
      <w:pPr>
        <w:spacing w:after="0" w:line="20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deferred tax assets and liabilities, and reserves for unrecognized tax benefits reflect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2023 and 2022 are not more likely than not to be realized.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on current market-specific indicators, environments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2023 and March 31, 2022</w:t>
      </w:r>
    </w:p>
    <w:p>
      <w:pPr>
        <w:spacing w:after="0" w:line="25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$86.0 million and $94.6 million during the three months ended March 31,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$8.7 million, or 9%. Total revenue, net consists primarily of revenue from the sale of VASCEPA in the United States. In addition to the United States, during the three months ended March 31, 2023, we also sold VASCEPA by prescription in certain countries in Europe. VASCEPA is also available by prescription in Canada, Lebanon and the United Arab Emirates through collaborations with third-party companies. As further discussed below, this decrease consists of a $11.2 million decrease in U.S. net product revenue, offset by a $1.8 million increase in net product revenue outside of the United States and a $0.7 million increase in licensing and royalty revenue.</w:t>
      </w:r>
    </w:p>
    <w:p>
      <w:pPr>
        <w:spacing w:after="0" w:line="209" w:lineRule="exact"/>
        <w:rPr>
          <w:sz w:val="20"/>
          <w:szCs w:val="20"/>
          <w:color w:val="auto"/>
        </w:rPr>
      </w:pPr>
    </w:p>
    <w:p>
      <w:pPr>
        <w:jc w:val="both"/>
        <w:ind w:right="340" w:firstLine="53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Product revenue, net. </w:t>
      </w:r>
      <w:r>
        <w:rPr>
          <w:rFonts w:ascii="Times New Roman" w:cs="Times New Roman" w:eastAsia="Times New Roman" w:hAnsi="Times New Roman"/>
          <w:sz w:val="17"/>
          <w:szCs w:val="17"/>
          <w:color w:val="auto"/>
        </w:rPr>
        <w:t>We recorded product revenue, net, of $84.7 million and $94.0 million during the three months ended March 31, 2023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respectively, a decrease of $9.3 million, or 10%. This decrease was driven primarily by a 12% decrease in VASCEPA sales in the United States.</w:t>
      </w:r>
    </w:p>
    <w:p>
      <w:pPr>
        <w:spacing w:after="0" w:line="29" w:lineRule="exact"/>
        <w:rPr>
          <w:sz w:val="20"/>
          <w:szCs w:val="20"/>
          <w:color w:val="auto"/>
        </w:rPr>
      </w:pPr>
    </w:p>
    <w:p>
      <w:pPr>
        <w:ind w:right="160" w:firstLine="539"/>
        <w:spacing w:after="0" w:line="261" w:lineRule="auto"/>
        <w:rPr>
          <w:sz w:val="20"/>
          <w:szCs w:val="20"/>
          <w:color w:val="auto"/>
        </w:rPr>
      </w:pPr>
      <w:r>
        <w:rPr>
          <w:rFonts w:ascii="Times New Roman" w:cs="Times New Roman" w:eastAsia="Times New Roman" w:hAnsi="Times New Roman"/>
          <w:sz w:val="18"/>
          <w:szCs w:val="18"/>
          <w:color w:val="auto"/>
        </w:rPr>
        <w:t>We recorded U.S. product revenue, net, of $82.3 million and $93.5 million during the three months ended March 31, 2023 and 2022, respectively. This decrease was driven by a decline in volume and net selling price as a result of the impact from an increase in generic competition in the market. During the three months ended March 31, 2023 there were four generics in the market. During the three months ended March 31, 2022 there were three generics in the market.</w:t>
      </w:r>
    </w:p>
    <w:p>
      <w:pPr>
        <w:spacing w:after="0" w:line="72" w:lineRule="exact"/>
        <w:rPr>
          <w:sz w:val="20"/>
          <w:szCs w:val="20"/>
          <w:color w:val="auto"/>
        </w:rPr>
      </w:pPr>
    </w:p>
    <w:p>
      <w:pPr>
        <w:ind w:right="4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increased for the three months ended March 31, 2023 by 4% as compared to the three months ended March 31, 2022. Our share of the icosapent ethyl market has decreased to approximately 57% in the three months ended March 31, 2023 compared to approximately 72% in the three months ended March 31, 2022. Additionally, based on prescription levels reported by Symphony Health, VASCEPA-branded prescriptions decreased by 18% in the three months ended March 31, 2023 compared to the three months ended March 31, 2022.</w:t>
      </w:r>
    </w:p>
    <w:p>
      <w:pPr>
        <w:spacing w:after="0" w:line="75" w:lineRule="exact"/>
        <w:rPr>
          <w:sz w:val="20"/>
          <w:szCs w:val="20"/>
          <w:color w:val="auto"/>
        </w:rPr>
      </w:pPr>
    </w:p>
    <w:p>
      <w:pPr>
        <w:jc w:val="both"/>
        <w:ind w:right="80" w:firstLine="539"/>
        <w:spacing w:after="0" w:line="282" w:lineRule="auto"/>
        <w:rPr>
          <w:sz w:val="20"/>
          <w:szCs w:val="20"/>
          <w:color w:val="auto"/>
        </w:rPr>
      </w:pPr>
      <w:r>
        <w:rPr>
          <w:rFonts w:ascii="Times New Roman" w:cs="Times New Roman" w:eastAsia="Times New Roman" w:hAnsi="Times New Roman"/>
          <w:sz w:val="18"/>
          <w:szCs w:val="18"/>
          <w:color w:val="auto"/>
        </w:rPr>
        <w:t>In Europe, we recorded product revenue, net, of $0.4 million and $0.5 million during the three months ended March 31, 2023 and March 31, 2022, respectively.</w:t>
      </w:r>
    </w:p>
    <w:p>
      <w:pPr>
        <w:spacing w:after="0" w:line="54" w:lineRule="exact"/>
        <w:rPr>
          <w:sz w:val="20"/>
          <w:szCs w:val="20"/>
          <w:color w:val="auto"/>
        </w:rPr>
      </w:pPr>
    </w:p>
    <w:p>
      <w:pPr>
        <w:ind w:right="380" w:firstLine="53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recorded $1.9 million of product revenue, net, from our collaboration partners and recorded nil product revenue, net during the three months ended March 31, 2022.</w:t>
      </w:r>
    </w:p>
    <w:p>
      <w:pPr>
        <w:spacing w:after="0" w:line="54" w:lineRule="exact"/>
        <w:rPr>
          <w:sz w:val="20"/>
          <w:szCs w:val="20"/>
          <w:color w:val="auto"/>
        </w:rPr>
      </w:pPr>
    </w:p>
    <w:p>
      <w:pPr>
        <w:jc w:val="both"/>
        <w:ind w:right="10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2023, we continue to focus on obtaining pricing reimbursement and launching commercial operations in all remaining European markets as well as progressing regulatory filings and supporting approval processes in up to nine countries throughout the rest of the world.</w:t>
      </w:r>
    </w:p>
    <w:p>
      <w:pPr>
        <w:spacing w:after="0" w:line="201"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March 31, 2023 and 2022 was $1.3 million and $0.6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an increase of $0.7 million, or 105%. Licensing and royalty revenue relates to the recognition of amounts received in connection with the following VASCEPA licensing agreements:</w:t>
      </w:r>
    </w:p>
    <w:p>
      <w:pPr>
        <w:spacing w:after="0" w:line="67"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30" w:name="page31"/>
    <w:bookmarkEnd w:id="30"/>
    <w:p>
      <w:pPr>
        <w:ind w:left="900" w:right="420" w:hanging="383"/>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a $0.5 million up-front payment which was received upon closing of the agreement in January 2023.</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up-front and milestone payments for Edding and HLS are being recognized over the estimated period in which we are required to provide regulatory and development support pursuant to the agreements. The up-front payment for CSL is recognized upon closing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March 31, 2023 and 2022 was $38.0 million and $22.2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$15.8 million, or 71%.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three months ended March 31, 2023, as part of our cost reduction plan we have taken steps to amend supplier agreements to align supply arrangements with current and future demand resulting in a $12.3 million charge which was recorded as cost of goods sold - restructuring inventory. In addition, during the three months ended March 31, 2023, approximately $2.3 million of inventory was expensed through cost of goods sold for both product dating and non-product dating unsellable inventory.</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three months ended March 31, 2023 and 2022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overall gross margin on product sales for each of the three months ended March 31, 2023 and 2022 was 55% and 76%, respectively. Excluding the restructuring inventory charge, gross margin was 70% for the three months ended March 31, 2023. The remaining decrease in gross margin is primarily as a result of a decrease in net selling price.</w:t>
      </w:r>
    </w:p>
    <w:p>
      <w:pPr>
        <w:spacing w:after="0" w:line="201"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March 31, 2023 and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$59.6 million and $90.6 million, respectively, a decrease of $31.1 million, or 34%. Selling, general and administrative expenses for the three months ended March 31, 2023 and 2022 are summarized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618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62,252</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80" w:type="dxa"/>
            <w:vAlign w:val="bottom"/>
          </w:tcPr>
          <w:p>
            <w:pPr>
              <w:spacing w:after="0"/>
              <w:rPr>
                <w:sz w:val="21"/>
                <w:szCs w:val="21"/>
                <w:color w:val="auto"/>
              </w:rPr>
            </w:pPr>
          </w:p>
        </w:tc>
      </w:tr>
      <w:tr>
        <w:trPr>
          <w:trHeight w:val="243"/>
        </w:trPr>
        <w:tc>
          <w:tcPr>
            <w:tcW w:w="61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59,587</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-187960</wp:posOffset>
            </wp:positionV>
            <wp:extent cx="5969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67" w:lineRule="exact"/>
        <w:rPr>
          <w:sz w:val="20"/>
          <w:szCs w:val="20"/>
          <w:color w:val="auto"/>
        </w:rPr>
      </w:pPr>
    </w:p>
    <w:p>
      <w:pPr>
        <w:jc w:val="both"/>
        <w:ind w:left="480" w:right="60" w:hanging="383"/>
        <w:spacing w:after="0" w:line="266"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March 31, 2023 and 2022 was $32.2 million and $62.3 million, respectively, a decrease of $30.1 million, or 48%. This decrease is primarily due to a reduction in costs associated with our cost reduction plans resulting in decreased promotional initiatives, reduced travel and a decrease in our U.S. sales force as well as our commercial withdrawal from Germany in the third quarter of 2022.</w:t>
      </w:r>
    </w:p>
    <w:p>
      <w:pPr>
        <w:ind w:left="480" w:hanging="383"/>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March 31, 2023 and 2022 was $23.1 million and $23.8 million, respectively, a</w:t>
      </w:r>
    </w:p>
    <w:p>
      <w:pPr>
        <w:spacing w:after="0" w:line="27" w:lineRule="exact"/>
        <w:rPr>
          <w:sz w:val="20"/>
          <w:szCs w:val="20"/>
          <w:color w:val="auto"/>
        </w:rPr>
      </w:pPr>
    </w:p>
    <w:p>
      <w:pPr>
        <w:ind w:left="480" w:right="180"/>
        <w:spacing w:after="0" w:line="250" w:lineRule="auto"/>
        <w:rPr>
          <w:sz w:val="20"/>
          <w:szCs w:val="20"/>
          <w:color w:val="auto"/>
        </w:rPr>
      </w:pPr>
      <w:r>
        <w:rPr>
          <w:rFonts w:ascii="Times New Roman" w:cs="Times New Roman" w:eastAsia="Times New Roman" w:hAnsi="Times New Roman"/>
          <w:sz w:val="18"/>
          <w:szCs w:val="18"/>
          <w:color w:val="auto"/>
        </w:rPr>
        <w:t>decrease of $0.7 million, or 3%. This decrease is primarily due to a decrease in employee-related costs as a result of the reduction in force from the cost reduction plans as well as a decrease in branded pharma fees as a result of lower sales due to additional generic entrants in the market. The decrease in general and administrative expense was offset by advisory fees related to the shareholder's special meeting.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jc w:val="both"/>
        <w:ind w:left="480" w:right="20" w:hanging="383"/>
        <w:spacing w:after="0" w:line="26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March 31, 2023 and 2022 was $4.3 million and $4.6 million, respectively, a decrease of $0.3 million, or 6%. Non-cash stock-based compensation expense represents the estimated costs associated with equity awards issued to internal personnel supporting our selling, general and administrative functions.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investing in building an appropriate foundation for the successful launch of VAZKEPA throughout Europe, advancing regulatory filings internationally and navigating the dynamic U.S. environment. As a result, we will continue to evaluate all of our spending commitments and priorities as well as adjust our level of education and promotional activities based on various factors, including the impact of U.S. generic competition as well as timing of pricing reimbursements throughout Europe.</w:t>
      </w:r>
    </w:p>
    <w:p>
      <w:pPr>
        <w:spacing w:after="0" w:line="205"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March 31, 2023 and 2022 was $5.7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$10.1 million, respectively, a decrease of $4.4 million, or 43%. Research and development expenses for the three months ended March 31, 2023 and 2022 are summarized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REDUCE-IT study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(4)</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80" w:type="dxa"/>
            <w:vAlign w:val="bottom"/>
          </w:tcPr>
          <w:p>
            <w:pPr>
              <w:spacing w:after="0"/>
              <w:rPr>
                <w:sz w:val="21"/>
                <w:szCs w:val="21"/>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(5)</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21"/>
                <w:szCs w:val="21"/>
                <w:color w:val="auto"/>
              </w:rPr>
            </w:pPr>
          </w:p>
        </w:tc>
      </w:tr>
      <w:tr>
        <w:trPr>
          <w:trHeight w:val="272"/>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2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right="2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expenses for the REDUCE-IT study is primarily driven by incremental efficiencies applied to ongoing analyses performed on the REDUCE-IT cardiovascular outcomes trial data, further leveraging existing internal resources compared to outsourced support.</w:t>
      </w:r>
    </w:p>
    <w:p>
      <w:pPr>
        <w:ind w:left="520" w:right="600" w:hanging="512"/>
        <w:spacing w:after="0" w:line="273"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relate to the initial start-up and ongoing costs associated with planning and development of the fixed-dose combination of VASCEPA and a statin, which began in 2022.</w:t>
      </w:r>
    </w:p>
    <w:p>
      <w:pPr>
        <w:spacing w:after="0" w:line="1" w:lineRule="exact"/>
        <w:rPr>
          <w:rFonts w:ascii="Times New Roman" w:cs="Times New Roman" w:eastAsia="Times New Roman" w:hAnsi="Times New Roman"/>
          <w:sz w:val="18"/>
          <w:szCs w:val="18"/>
          <w:color w:val="auto"/>
        </w:rPr>
      </w:pPr>
    </w:p>
    <w:p>
      <w:pPr>
        <w:jc w:val="both"/>
        <w:ind w:left="520" w:right="340" w:hanging="512"/>
        <w:spacing w:after="0" w:line="290"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decrease in regulatory filing fees is primarily related to higher spend in 2022 relating to the preparation, submission, and review defense of regulatory filings for several countries. The Company has not prepared nor submitted as many regulatory filings in 2023 as in the previous year.</w:t>
      </w:r>
    </w:p>
    <w:p>
      <w:pPr>
        <w:ind w:left="520" w:hanging="512"/>
        <w:spacing w:after="0" w:line="25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and maintaining regulatory approvals for VAZKEPA in Europe as originally achieved in 2021 as well as further regulatory expansion in other countries throughout 2023. Also included are costs related to qualifying suppliers and costs associated with various other activities, including other costs in collaboration with Mochida and pilot studies regarding VASCEPA.</w:t>
      </w:r>
    </w:p>
    <w:p>
      <w:pPr>
        <w:spacing w:after="0" w:line="3"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87"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March 31, 2023 and 2022 was $2.2 million and $0.2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$2.0 million, or 994%. Interest income, net represents income earned on cash and investment balances. The increase is primarily due to higher interest rates in the current year compared to the prior year.</w:t>
      </w:r>
    </w:p>
    <w:p>
      <w:pPr>
        <w:spacing w:after="0" w:line="20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three months ended March 31, 2023 and 2022 was income of $0.6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$0.2 million, respectively, an increase of $0.9 million, or 354%. Other income (expense), net, primarily consists of gains and losses on foreign exchange transactions. The increase in other income (expense), net is due to the continued global expansion and related activity in foreign currencies as well as sublease income relating to the sublease agreement commencing during the current year.</w:t>
      </w:r>
    </w:p>
    <w:p>
      <w:pPr>
        <w:spacing w:after="0" w:line="126"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for the three months ended March 31, 2023 and 2022 was $2.0 million and $3.2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 for the three months ended March 31, 2023 is the result of income generated by our U.S. and foreign operations for which tax expense has been recognized based on a full year estimated U.S. and foreign income tax liability.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2023, our aggregate sources of liquidity include cash and cash equivalents and restricted cash of $191.9 million, short-term investments of $113.0 million and long-term investments of $0.5 million. We have no indebtedness. Our cash and cash equivalents primarily include checking accounts and money market funds with original maturities of less than 90 days. Our short-term investments consist of securities that will be due in one year or less. Our long-term investments consist of securities that will mature between one and two years.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8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(7.0 )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(98.8 )</w:t>
            </w:r>
          </w:p>
        </w:tc>
      </w:tr>
      <w:tr>
        <w:trPr>
          <w:trHeight w:val="247"/>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(19.6 )</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21"/>
                <w:szCs w:val="21"/>
                <w:color w:val="auto"/>
              </w:rPr>
            </w:pPr>
          </w:p>
        </w:tc>
      </w:tr>
      <w:tr>
        <w:trPr>
          <w:trHeight w:val="23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7"/>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and cash equivalents and restricted cash</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during the three months ended March 31, 2023 as compared to the same period in 2022 . This is primarily as a result of a decrease in U.S. product revenue in 2023, increased costs associated with commercial and pre-launch operations in Europe, as well as an increase in inventory purchases in the first half of 2022.</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2023 increased due primarily to $52.5 million in purchases of investment-grade interest bearing instruments, partially offset by the proceeds from the maturity of $32.9 million in investment-grade interest bearing instruments as compared to the same period in 2022 where proceeds from the maturity of investment-grade interest bearing instruments was $113.2 million, partially offset by $14.2 million in purchases of investment-grade interest bearing instruments.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2023 as compared to net cash used in financing activities during the same period in 2022 was primarily as a result of an increase in stock option exercises, offset by taxes paid related to stock-based awards.</w:t>
      </w:r>
    </w:p>
    <w:p>
      <w:pPr>
        <w:spacing w:after="0" w:line="5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2023, we had net accounts receivable of $133.2 million, current inventory of $225.8 million and long-term inventory of $143.7 million. We have incurred annual operating losses since our inception and, as a result, we had an accumulated deficit of $1.5 billion as of March 31, 2023. We anticipate that quarterly net cash outflows in future periods will continue to be variable as a result of the timing of certain items, including our purchases of API, the generic competition in the United States and pricing and reimbursement of VAZKEPA in Europe. In addition, in June 2022 we announced our Comprehensive Cost Reduction Plan to address shifts within our U.S. business which would result in savings of $100.0 million over 12 months compared to 2021 operating expenses. We expect to exceed the $100.0 million in savings during this 12 month period. For Europe, VAZKEPA is available in five countries, including the UK, and we commenced pre-launch planning and other commercial preparation activities, and continue to grow our European staff by hiring Market access and Medical affairs teams, among others, across Europe as deemed appropriate on a country by country basis.</w:t>
      </w:r>
    </w:p>
    <w:p>
      <w:pPr>
        <w:spacing w:after="0" w:line="84"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As of March 31, 2023, we had cash and cash equivalents of $191.4 million and short-term investments of $113.0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for at least one year from the issuance date of our unaudited condensed consolidated financial statements included elsewhere in this Quarterly Report and are adequate to support continued operations based on our current plans. We have based this estimate on assumptions that may prove to be wrong, including as a result of the risks discussed under “Risk Factors” in this Quarterly Report and we could use our capital resources sooner than we expect or fail to achieve positive cash flow.</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interim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interim principal executive officer and principal financial officer, has evaluated the effectiveness of our disclosure controls and procedures as of March 31, 2023. Based on such evaluation, our interim principal executive officer and principal financial officer have concluded that as of March 31, 2023,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March 31, 2023,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includes a discussion of our current legal proceedings. Refer to Note 5 – Commitments and Contingencies in this Quarterly Report for further details on our current legal proceedings.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7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denoted with an “*”, these risk factors have not been materially updated from our Annual Report on 10-K for the year ended December 31, 2022 filed with the SEC on March 1, 2023, or our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61" w:lineRule="exact"/>
        <w:rPr>
          <w:sz w:val="20"/>
          <w:szCs w:val="20"/>
          <w:color w:val="auto"/>
        </w:rPr>
      </w:pPr>
    </w:p>
    <w:p>
      <w:pPr>
        <w:ind w:left="900" w:right="60" w:hanging="383"/>
        <w:spacing w:after="0" w:line="233"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its commercialization in the United States and its development, launch and commercialization in Europe and other major markets.</w:t>
      </w:r>
    </w:p>
    <w:p>
      <w:pPr>
        <w:spacing w:after="0" w:line="91"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we face increasing competition from generic drug companies in the near term and our revenues and results could continue to be materially and adversely affected.</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5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including if we are unable to secure favorable product reimbursement levels, which can vary from country to country. If we are unable to realize product reimbursement rates at reasonable levels, or at all, patient access to VASCEPA may be limited.</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53" w:lineRule="exact"/>
        <w:rPr>
          <w:rFonts w:ascii="Times New Roman" w:cs="Times New Roman" w:eastAsia="Times New Roman" w:hAnsi="Times New Roman"/>
          <w:sz w:val="18"/>
          <w:szCs w:val="18"/>
          <w:color w:val="auto"/>
        </w:rPr>
      </w:pPr>
    </w:p>
    <w:p>
      <w:pPr>
        <w:ind w:left="900" w:right="460" w:hanging="383"/>
        <w:spacing w:after="0" w:line="312"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previous cost reduction and organizational restructuring plans, and any similar efforts we may undertake in the future, may not be successful in mitigating risks and challenges associated with our U.S. business and establishing a more significant international footprint.</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supply and commercialization, including promotional activities, of VASCEPA is subject to regulatory scrutiny.</w:t>
      </w:r>
    </w:p>
    <w:p>
      <w:pPr>
        <w:spacing w:after="0" w:line="117"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rFonts w:ascii="Times New Roman" w:cs="Times New Roman" w:eastAsia="Times New Roman" w:hAnsi="Times New Roman"/>
          <w:sz w:val="18"/>
          <w:szCs w:val="18"/>
          <w:color w:val="auto"/>
        </w:rPr>
      </w:pPr>
    </w:p>
    <w:p>
      <w:pPr>
        <w:ind w:left="900" w:right="34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subjects us to risks that limit our profitability and could limit our ability to supply VASCEPA to large market segments.</w:t>
      </w:r>
    </w:p>
    <w:p>
      <w:pPr>
        <w:spacing w:after="0" w:line="53" w:lineRule="exact"/>
        <w:rPr>
          <w:rFonts w:ascii="Times New Roman" w:cs="Times New Roman" w:eastAsia="Times New Roman" w:hAnsi="Times New Roman"/>
          <w:sz w:val="18"/>
          <w:szCs w:val="18"/>
          <w:color w:val="auto"/>
        </w:rPr>
      </w:pPr>
    </w:p>
    <w:p>
      <w:pPr>
        <w:jc w:val="both"/>
        <w:ind w:left="900" w:right="60" w:hanging="383"/>
        <w:spacing w:after="0" w:line="276"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be, substantially dependent on third parties for our international efforts, and</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left="900" w:right="780"/>
        <w:spacing w:after="0" w:line="282" w:lineRule="auto"/>
        <w:rPr>
          <w:sz w:val="20"/>
          <w:szCs w:val="20"/>
          <w:color w:val="auto"/>
        </w:rPr>
      </w:pPr>
      <w:r>
        <w:rPr>
          <w:rFonts w:ascii="Times New Roman" w:cs="Times New Roman" w:eastAsia="Times New Roman" w:hAnsi="Times New Roman"/>
          <w:sz w:val="18"/>
          <w:szCs w:val="18"/>
          <w:color w:val="auto"/>
        </w:rPr>
        <w:t>we may not be successful in negotiating or establishing relationships with business partners to support and maintain control over our international activities.</w:t>
      </w:r>
    </w:p>
    <w:p>
      <w:pPr>
        <w:spacing w:after="0" w:line="54" w:lineRule="exact"/>
        <w:rPr>
          <w:sz w:val="20"/>
          <w:szCs w:val="20"/>
          <w:color w:val="auto"/>
        </w:rPr>
      </w:pPr>
    </w:p>
    <w:p>
      <w:pPr>
        <w:ind w:left="900" w:right="10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67" w:lineRule="exact"/>
        <w:rPr>
          <w:rFonts w:ascii="Times New Roman" w:cs="Times New Roman" w:eastAsia="Times New Roman" w:hAnsi="Times New Roman"/>
          <w:sz w:val="18"/>
          <w:szCs w:val="18"/>
          <w:color w:val="auto"/>
        </w:rPr>
      </w:pPr>
    </w:p>
    <w:p>
      <w:pPr>
        <w:jc w:val="both"/>
        <w:ind w:left="900" w:right="400" w:hanging="383"/>
        <w:spacing w:after="0" w:line="312"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3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52"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For example,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we are exploring ways to broaden our development and commercial pipeline, such efforts are likely to be time consuming, costly and may utilize resources that could otherwise be focused on commercializing VASCEPA. It took over a decade of preceding product development before we received marketing approval for VAZKEPA in March 2021 from the European Commission, or the EC.</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 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10"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face increasing competition from generic drug companies in the near term and our revenues and results of operations could continue to be materially and adversely affected.</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Following the patent litigation rulings against us, generic versions of VASCEPA began launching in the United States in November 2020, and several generic versions are currently available including for both the 0.5-gram and 1-gram capsules, and we expect that VASCEPA could face more competition from generic companies in the United States. Increasing sales of generic versions of VASCEPA could continue to have a material and adverse impact on our revenues and results of operations in the United States.</w:t>
      </w:r>
    </w:p>
    <w:p>
      <w:pPr>
        <w:spacing w:after="0" w:line="7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in many U.S. states to fill a prescription for any use of the drug, subject to state substitution laws. Although, we intend to vigorously defend our intellectual property rights related to VASCEPA, there can be no assurance that we will be successful in preventing use of generic versions of VASCEPA in indications for which they have not been approved by U.S. FDA, even if such use is determined to infringe certain of our patent claims.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6" w:name="page37"/>
    <w:bookmarkEnd w:id="36"/>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Given the changing dynamic in the U.S. market, we initiated cost and organizational restructuring plans which reduced our U.S. commercial team from approximately 300 sales representatives to approximately 75 sales representatives by the end of 2022. Although this streamlining has resulted in an improved expense structure, such efforts could impact employee morale and make hiring and retaining talented personnel more challenging, may not result in all of the cost-savings or other benefits we anticipate and are costly to implement.</w:t>
      </w:r>
    </w:p>
    <w:p>
      <w:pPr>
        <w:spacing w:after="0" w:line="20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particularly in light of the level of competition, including from generic products, in the United States. This process is conducted on a country-by-country basis and is time consuming and complex, and, even though the EC approved the marketing authorization for VAZKEPA in March 2021, and we have received positive national pricing and reimbursement decisions in England and Wales, Sweden and Finland, there is no guarantee that we will be able to negotiate and obtain further reimbursement and pricing terms on favorable terms, or at all, in the countries where we are pursuing commercialization. Further, successful progress or pricing terms in one country may not be indicative of our outcomes in other jurisdictions. For example, although the UK’s National Institute for Health and Care Excellence, or NICE, announced final guidance for reimbursement for VAZKEPA® and use across the National Health Service, or NHS, in England and Wales, we decided to discontinue business operations in Germany following the conclusion of negotiations with the National Association of Statutory Health Insurance Funds during which a viable agreement on the reimbursement price of VAZKEPA could not be reached. The Arbitration Board process concluded without an agreement in November 2022 and although we plan to resubmit a pricing and reimbursement dossier with new data in Germany, we may be unable to resume commercial operations in Germany. We may not be successful in obtaining additional approvals in a timely manner with acceptable terms, or in additional countries, and if we are unable to do so, and continue to face increased competition in the United States, our financial position could be materially and adversely impacted.</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been developing VAZKEPA on our own in Europe, where we have limited experience. We are exploring possible strategic collaborations in smaller markets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We have strategic collaborations for the development and commercialization of VASCEPA in Canada, the Middle East, Australia, New Zealand and Greater China. However, we cannot make any guarantees as to the success of these efforts or that our beliefs about the value potential are accurate, or that we will be able to rely upon these third parties; if commercialization plans for VASCEPA do not meet expectations in major markets such as the United States and Europe, our business and prospects could be materially and adversely affected.</w:t>
      </w:r>
    </w:p>
    <w:p>
      <w:pPr>
        <w:spacing w:after="0" w:line="212" w:lineRule="exact"/>
        <w:rPr>
          <w:sz w:val="20"/>
          <w:szCs w:val="20"/>
          <w:color w:val="auto"/>
        </w:rPr>
      </w:pPr>
    </w:p>
    <w:p>
      <w:pPr>
        <w:jc w:val="both"/>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including if we are unable to secure favorable product reimbursement levels, which can vary from country to country. If we are unable to realize product reimbursement rates at reasonable levels, or at all, patient access to VASCEPA may be limited.</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or we may face challenges in successfully achieving market opportunities available to us. Despite having received EC approval to commercialize VAZKEPA in Europe and approval elsewhere around the world, applicable regulatory agencies may impose restrictions on the product’s conditions for use, distribution or marketing, and in some cases may impose ongoing requirements for post-market surveillance, post-approval studies or clinical trials, any of which could limit the market opportunity, or our ability to capitalize on such opportunity, for VASCEPA.</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is not always successful. For example, after the conclusion of negotiations with the National Association of Statutory Health Insurance Funds, a viable agreement on the reimbursement price of VAZKEPA in Germany could not be reached. As a result of the negotiation outcome, we discontinued our German operations as of September 1, 2022. In November 2022, the Arbitration Board process concluded without an agreement.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in certain European countries, securing product reimbursement is a requisite to commercial launch. To obtain reimbursement or pricing approval in some countries, we may be required to conduct a pharmacoeconomic study that compares the cost 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firstLine="509"/>
        <w:spacing w:after="0" w:line="256" w:lineRule="auto"/>
        <w:rPr>
          <w:sz w:val="20"/>
          <w:szCs w:val="20"/>
          <w:color w:val="auto"/>
        </w:rPr>
      </w:pPr>
      <w:r>
        <w:rPr>
          <w:rFonts w:ascii="Times New Roman" w:cs="Times New Roman" w:eastAsia="Times New Roman" w:hAnsi="Times New Roman"/>
          <w:sz w:val="18"/>
          <w:szCs w:val="18"/>
          <w:color w:val="auto"/>
        </w:rPr>
        <w:t>We, or our partners, may even choose to not proceed with marketing VASCEPA in a market, even after obtaining all necessary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10"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5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may be unsuccessful in expanding our global footprint. We are launching VAZKEPA on our own in the most commercially significant markets in Europe. The commercial launch of a new pharmaceutical product is a complex and resource heavy undertaking for a company to manage and may be impacted by decisions by and interactions with local regulators. We have no prior experience as a company operating a commercial-stage pharmaceutical business in Europe. As noted above,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17"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VASCEPA;</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and senior management, particularly in light of our recent reductions in force and turnover on the management team;</w:t>
      </w:r>
    </w:p>
    <w:p>
      <w:pPr>
        <w:spacing w:after="0" w:line="53" w:lineRule="exact"/>
        <w:rPr>
          <w:rFonts w:ascii="Times New Roman" w:cs="Times New Roman" w:eastAsia="Times New Roman" w:hAnsi="Times New Roman"/>
          <w:sz w:val="18"/>
          <w:szCs w:val="18"/>
          <w:color w:val="auto"/>
        </w:rPr>
      </w:pPr>
    </w:p>
    <w:p>
      <w:pPr>
        <w:ind w:left="900" w:right="6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sales personnel to obtain access to or persuade adequate numbers of physicians to prescribe or patients to use VASCEPA;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overestimating the addressable market for VASCEPA;</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continued or resumed impact from COVID-19 on healthcare providers, patients and personnel.</w:t>
      </w:r>
    </w:p>
    <w:p>
      <w:pPr>
        <w:spacing w:after="0" w:line="11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85" w:lineRule="exact"/>
        <w:rPr>
          <w:sz w:val="20"/>
          <w:szCs w:val="20"/>
          <w:color w:val="auto"/>
        </w:rPr>
      </w:pPr>
    </w:p>
    <w:p>
      <w:pPr>
        <w:ind w:right="8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broader healthcare system. These pressures are intensified where our products are subject to competition, including from biosimilars.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 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80"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The dynamics and developments discussed above serve to create pressure on the pricing and potential usage of our products and the industry.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191"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of the United States have affected and will continue to affect access to and sales of our products.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We as an organization have limited experience in navigating the pricing and reimbursement regimes outside of the United States. The foreign regimes are varied and complex, and this might hinder our effectiveness in establishing satisfactory pricing, coverage and reimbursement levels in a timely manner or at all.</w:t>
      </w:r>
    </w:p>
    <w:p>
      <w:pPr>
        <w:spacing w:after="0" w:line="22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January 2013, we launched VASCEPA based on the U.S.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CV risk. The effect of VASCEPA on the risk for pancreatitis in patients with severe hypertriglyceridemia has not been determined and our U.S. FDA-approved labeling and promotional efforts state this fact.</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or our REDUCE-IT indication.</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Despite U.S. FDA approval for this indication and expanded label for VASCEPA, we may not meet expectations for market acceptance by physicians, patients, healthcare payors and others in the medical community for this approved use, especially in light of generic competition. If VASCEPA does not achieve an adequate level of acceptance, we may not generate product revenues sufficient to become profitable, or, even if we do achieve profitability, we may not be able to generate consistent profitability. The degree of market acceptance of VASCEPA for its approved indications and uses or otherwise will depend on a number of factors, including:</w:t>
      </w:r>
    </w:p>
    <w:p>
      <w:pPr>
        <w:spacing w:after="0" w:line="75"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adjudicated, settled and pending patent litigation;</w:t>
      </w:r>
    </w:p>
    <w:p>
      <w:pPr>
        <w:spacing w:after="0" w:line="117" w:lineRule="exact"/>
        <w:rPr>
          <w:rFonts w:ascii="Times New Roman" w:cs="Times New Roman" w:eastAsia="Times New Roman" w:hAnsi="Times New Roman"/>
          <w:sz w:val="18"/>
          <w:szCs w:val="18"/>
          <w:color w:val="auto"/>
        </w:rPr>
      </w:pPr>
    </w:p>
    <w:p>
      <w:pPr>
        <w:ind w:left="5540" w:right="3680" w:hanging="5023"/>
        <w:spacing w:after="0" w:line="282" w:lineRule="auto"/>
        <w:tabs>
          <w:tab w:leader="none" w:pos="8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VASCEPA;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ind w:left="900" w:right="5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warnings in VASCEPA's approved labeling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data supporting our REDUCE-IT indication over time;</w:t>
      </w:r>
    </w:p>
    <w:p>
      <w:pPr>
        <w:spacing w:after="0" w:line="117" w:lineRule="exact"/>
        <w:rPr>
          <w:rFonts w:ascii="Times New Roman" w:cs="Times New Roman" w:eastAsia="Times New Roman" w:hAnsi="Times New Roman"/>
          <w:sz w:val="18"/>
          <w:szCs w:val="18"/>
          <w:color w:val="auto"/>
        </w:rPr>
      </w:pPr>
    </w:p>
    <w:p>
      <w:pPr>
        <w:ind w:left="900" w:right="11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our clinical data supporting our REDUCE-IT indication by regulatory authorities internationally;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our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U.S. FDA-approved labeling and the related perception thereof;</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17"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pandemics such as the COVID-19 pandemic, international conflicts and political unrest, all of which could inhibit our ability to promote VASCEPA regionally and which could negatively affect product demand by creating obstacles for patients to seek treatment and fill prescriptions;</w:t>
      </w:r>
    </w:p>
    <w:p>
      <w:pPr>
        <w:spacing w:after="0" w:line="6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 above factors could have a negative impact on our ability to successfully commercialize VASCEPA, which would in turn have a negative impact on our financial condition.</w:t>
      </w:r>
    </w:p>
    <w:p>
      <w:pPr>
        <w:spacing w:after="0" w:line="18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the U.S. FDA approved the expanded label for VASCEPA for the REDUCE-IT indication in 2019, 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54" w:lineRule="exact"/>
        <w:rPr>
          <w:sz w:val="20"/>
          <w:szCs w:val="20"/>
          <w:color w:val="auto"/>
        </w:rPr>
      </w:pPr>
    </w:p>
    <w:p>
      <w:pPr>
        <w:ind w:left="900" w:right="48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0" w:name="page41"/>
    <w:bookmarkEnd w:id="40"/>
    <w:p>
      <w:pPr>
        <w:ind w:left="9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03"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clinical trials or new clinical data involving VASCEPA and similar moderate-to-high doses of eicosapentaenoic acid or icosapent ethyl could adversely impact public perception of VASCEPA’s clinical profile and the commercial and regulatory prospects of VASCEPA.</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or a similar eicosapentaenoic acid product, could render new or adverse information on the effects of VASCEPA and its commercial and regulatory prospects.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were consistent with the evidence from the REDUCE-IT study.</w:t>
      </w:r>
    </w:p>
    <w:p>
      <w:pPr>
        <w:spacing w:after="0" w:line="7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Even though such results from these trials were positive, additional clinical development efforts may be necessary in these markets to demonstrate the effectiveness of VASCEPA, which may be costly to pursue, or may not produce the desired or expected results.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the outcomes of any study involving VASCEPA and icosapent ethyl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03"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previous cost reduction and organizational restructuring plans, and any similar efforts we may undertake in the future, may not be successful in mitigating risks and challenges associated with our Company's U.S. business and establishing a more significant international footprint.</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United States, including following the implementation of our cost reduction and organizational restructuring plan, our anticipated revenues or our expenses could be materially adversely affected, and we may not maintain profitability in the United States or obtain profitability internationally. Further, we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promotional initiatives have had to adjust over the last several years, given the impact of COVID-19 and international instability, which efforts have been costly and require considerable resources. Shifts from traditional face-to-face interactions to mostly virtual outreach, specifically, access to healthcare professionals through digital or other channels, were not as productive as in-person interactions in promoting use of VASCEPA and we have been pursuing increased face-to-face interactions with targeted health care professionals as protocols have eased and travel has resumed to more stable levels. Such efforts are costly and there can be no assurance that they will result in an increase in VASCEPA prescriptions and sales in the near future, or at all.</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supply and commercialization, including promotional activities, of VASCEPA is subject to regulatory scrutiny.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8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and, may be subject to enhanced scrutiny to ensure that our promotion remains within the scope covered by the settlement.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Although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84"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06"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will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other technologies or products may be developed that have an entirely different approach or means of accomplishing the intended purposes of our products, which might render our technology and products noncompetitive or obsolete.</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companies such as Hikma, Dr. Reddy's, Apotex and Teva, all of which have greater resources than us, and with the potential for further generic versions being launched,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79" w:lineRule="exact"/>
        <w:rPr>
          <w:sz w:val="20"/>
          <w:szCs w:val="20"/>
          <w:color w:val="auto"/>
        </w:rPr>
      </w:pPr>
    </w:p>
    <w:p>
      <w:pPr>
        <w:ind w:right="140" w:firstLine="509"/>
        <w:spacing w:after="0" w:line="236" w:lineRule="auto"/>
        <w:rPr>
          <w:sz w:val="20"/>
          <w:szCs w:val="20"/>
          <w:color w:val="auto"/>
        </w:rPr>
      </w:pPr>
      <w:r>
        <w:rPr>
          <w:rFonts w:ascii="Times New Roman" w:cs="Times New Roman" w:eastAsia="Times New Roman" w:hAnsi="Times New Roman"/>
          <w:sz w:val="18"/>
          <w:szCs w:val="18"/>
          <w:color w:val="auto"/>
        </w:rPr>
        <w:t>We also face considerable competition in the United States from branded products and generic versions of competing branded products and formulations, including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have multiple generic competing versions. We compete with these drugs in our U.S. FDA-approved indicated uses, even though such products do not have U.S. FDA approval to reduce CV risk on top of statin therapy.</w:t>
      </w:r>
    </w:p>
    <w:p>
      <w:pPr>
        <w:spacing w:after="0" w:line="9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CV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CV risk reduction indication without the need in advance to conduct a long and expensive CV outcomes study.</w:t>
      </w:r>
    </w:p>
    <w:p>
      <w:pPr>
        <w:spacing w:after="0" w:line="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over-the-counter drugs, by the U.S. FDA and other regulators.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Consistent with the competitive landscape in the United States, our competitors outside of the United States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6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9"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competitors seek to compete with VASCEPA in the United States and elsewhere we could face additional challenges to our patents and additional patent litigation.</w:t>
      </w:r>
    </w:p>
    <w:p>
      <w:pPr>
        <w:spacing w:after="0" w:line="51" w:lineRule="exact"/>
        <w:rPr>
          <w:sz w:val="20"/>
          <w:szCs w:val="20"/>
          <w:color w:val="auto"/>
        </w:rPr>
      </w:pPr>
    </w:p>
    <w:p>
      <w:pPr>
        <w:jc w:val="both"/>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an alternate path to U.S. FDA approval for modifications of products previously approved by the U.S. FDA, an applicant may submit a new drug application, or NDA, under Section 505(b)(2) of the FDCA (enacted as part of the Hatch-Waxman</w:t>
      </w: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ind w:right="20"/>
        <w:spacing w:after="0" w:line="256" w:lineRule="auto"/>
        <w:rPr>
          <w:sz w:val="20"/>
          <w:szCs w:val="20"/>
          <w:color w:val="auto"/>
        </w:rPr>
      </w:pPr>
      <w:r>
        <w:rPr>
          <w:rFonts w:ascii="Times New Roman" w:cs="Times New Roman" w:eastAsia="Times New Roman" w:hAnsi="Times New Roman"/>
          <w:sz w:val="18"/>
          <w:szCs w:val="18"/>
          <w:color w:val="auto"/>
        </w:rPr>
        <w:t>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is invalid, unenforceable, or will not be infringed by the manufacture, use or sale of the product for which the ANDA or 505(b)(2) NDA is submitted.</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such protection expired on December 13, 2022, three years from the date of U.S. FDA approval of the REDUCE-IT sNDA.</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75" w:lineRule="exact"/>
        <w:rPr>
          <w:sz w:val="20"/>
          <w:szCs w:val="20"/>
          <w:color w:val="auto"/>
        </w:rPr>
      </w:pPr>
    </w:p>
    <w:p>
      <w:pPr>
        <w:ind w:left="5540" w:right="1640" w:hanging="5016"/>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the pending lawsuits, any appeals, or any subsequently filed lawsuits or inter partes review.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4" w:name="page45"/>
    <w:bookmarkEnd w:id="44"/>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Generic versions of VASCEPA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VASCEPA in the market, as Hikma, Dr. Reddy's, Apotex and Teva have done.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generic market entries beginning in 2020 have limited our U.S. sales, and had an adverse impact on our business and results of operations.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13"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It often requires considerable advanced planning and long-term financial commitments to ensure sufficient capacity is available when needed. Certain generic competitors filed lawsuits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7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and often requires considerable advanced planning and necessitates long-term financial commitments to ensure sufficient capacity is available when needed. We have invested over a decade of resources and expenses to develop active pharmaceutical ingredient, or API, with our third-party supplier, and to otherwise build our supply chain, improve our technical knowhow, establish manufacturing processes and obtain related regulatory approvals to help enable our suppliers to supply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April 2021, Dr. Reddy’s filed a complaint against us in the United States District Court District of New Jersey (case no. 2:21-cv-10309) alleging various antitrust violations stemming from alleged anticompetitive practices related to the supply of API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that such alleged violations resulted in higher prices to consumers. In addition, in February 2023, Hikma filed a complaint against us in the United States District Court District of New Jersey (case no. 3:23-cv-01016) making allegations consistent with the Dr. Reddy's complaint. Such litigation can be lengthy, costly and could materially affect and disrupt our business.</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as noted above, we have also received a CID from the U.S. FTC and a subpoena from the New York Attorney General with respect to practices relating to our supply of the API in VASCEPA. The government inquiries require us to produce documents and answer related questions relevant to specified time periods. We are cooperating with the agencies.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chemically-altered products are dietary supplements and that certain of such products reduce triglyceride levels or could reduce CV risk.</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research shows that consumption of EPA and DHA omega-3 fatty acids may reduce the risk of coronary heart disease. </w:t>
      </w:r>
      <w:r>
        <w:rPr>
          <w:rFonts w:ascii="Times New Roman" w:cs="Times New Roman" w:eastAsia="Times New Roman" w:hAnsi="Times New Roman"/>
          <w:sz w:val="18"/>
          <w:szCs w:val="18"/>
          <w:color w:val="auto"/>
        </w:rPr>
        <w:t>Such companies are not,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based on U.S. FDA enforcement activity, to make claims that suggest or imply treatment of cardiovascular disease.</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We may not be successful in such efforts, or such efforts may prove too costly to be effective.</w:t>
      </w:r>
    </w:p>
    <w:p>
      <w:pPr>
        <w:spacing w:after="0" w:line="54"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or VASCEPA’s market acceptance may be less than expected, which would have a negative impact on our revenues and results of operations.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Drug manufacturers and other entities involved in the manufacture and distribution of approved drugs are also subject to periodic unannounced inspections by the U.S. FDA and state agencies for compliance with cGMP requirements. In addition,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w:t>
      </w: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right="100"/>
        <w:spacing w:after="0" w:line="252" w:lineRule="auto"/>
        <w:rPr>
          <w:sz w:val="20"/>
          <w:szCs w:val="20"/>
          <w:color w:val="auto"/>
        </w:rPr>
      </w:pPr>
      <w:r>
        <w:rPr>
          <w:rFonts w:ascii="Times New Roman" w:cs="Times New Roman" w:eastAsia="Times New Roman" w:hAnsi="Times New Roman"/>
          <w:sz w:val="18"/>
          <w:szCs w:val="18"/>
          <w:color w:val="auto"/>
        </w:rPr>
        <w:t>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 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cannot predict when these investigations will be resolved, the outcome of the investigations or their potential impact on our business. If the government determines that we have violated the U.S. Anti-Kickback Statute, the FCA or antitrust regulations, we could be subject to significant civil and criminal fines and penalties, and our reputation may be harmed.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06"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75"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63"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8"/>
          <w:szCs w:val="18"/>
          <w:color w:val="auto"/>
        </w:rPr>
        <w:t>These and similar regulatory dynamics, including the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230"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in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7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6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 consuming, and could have a material adverse effect on our business, financial condition, results of operations and growth prospects.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9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or drug classes.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U.S.-based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which may not be favorable to us.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Inflation Reduction Act of 2022, or IRA, includes several provisions that may impact our business to varying degrees, including provisions that that reduce the out-of-pocket spending cap for Medicare Part D beneficiaries from $7,050 to $2,000 starting in 2025, thereby effectively eliminating the coverage gap,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implementation of the HHS rebate rule that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 of IRA on our business and the healthcare industry in general is not yet known.</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5540" w:right="3660" w:hanging="5023"/>
        <w:spacing w:after="0" w:line="282" w:lineRule="auto"/>
        <w:tabs>
          <w:tab w:leader="none" w:pos="9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6" w:lineRule="exact"/>
        <w:rPr>
          <w:sz w:val="20"/>
          <w:szCs w:val="20"/>
          <w:color w:val="auto"/>
        </w:rPr>
      </w:pPr>
    </w:p>
    <w:p>
      <w:pPr>
        <w:ind w:right="320" w:firstLine="55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The REDUCE-IT cardiovascular outcomes trial was conducted in part through clinical sites in the EEA. As a result, we are subject to additional privacy restrictions. The collection and use of personal health data in the EU is governed by the provisions of the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EEA to third countries, including the United States. A decision by the Court of Justice of the European Union, or CJEU, in 2020 invalidated the EU-U.S. Privacy Shield Framework, which was one of the primary mechanisms used by U.S. companies to import personal information from Europe in compliance with the GDPR's cross-border data transfer restrictions, and raised questions about whether the EC's Standard Contractual Clauses, or SCCs, one of the primary alternatives to the Privacy Shield, can lawfully be used for personal information transfers from Europe to the United States or most other countries. Furthermore, on June 4, 2021, the EC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They require a case-by-case assessment of the law in the recipient country to ensure it provides “essentially equivalent” protections to safeguard the transferred personal data as the EEA, and require businesses to adopt supplementary measures if such standard is not met. The new SCCs do not apply to the UK, but the UK Information Commissioner’s Office has published its own transfer mechanism, the International Data Transfer Agreement, or UK IDTA, which entered into force on March 21, 2022, and enables data transfers originating from the UK. It requires a similar assessment of the data protection provided in the importer’s country. We will be required to transition to the new forms of transfer mechanisms and doing so will require significant effort and cost. The new transfer</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ind w:right="20"/>
        <w:spacing w:after="0" w:line="256" w:lineRule="auto"/>
        <w:rPr>
          <w:sz w:val="20"/>
          <w:szCs w:val="20"/>
          <w:color w:val="auto"/>
        </w:rPr>
      </w:pPr>
      <w:r>
        <w:rPr>
          <w:rFonts w:ascii="Times New Roman" w:cs="Times New Roman" w:eastAsia="Times New Roman" w:hAnsi="Times New Roman"/>
          <w:sz w:val="18"/>
          <w:szCs w:val="18"/>
          <w:color w:val="auto"/>
        </w:rPr>
        <w:t>mechanisms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Failure to comply with the requirements of the GDPR or the UK GDPR, and the related national data protection laws of the EEA Member States or the UK may result in substantial fines. The GDPR may impose additional responsibility and liability in relation to personal data that we process and we may be required to put in place additional mechanisms ensuring compliance with these and/or new data protection rules. This may be costly, onerous and adversely affect our business, financial condition, prospects and results of operations.</w:t>
      </w:r>
    </w:p>
    <w:p>
      <w:pPr>
        <w:spacing w:after="0" w:line="21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the June 2020 CIDs from the DOJ informing us that the DOJ is investigating whether aspects of our promotional speaker programs and copayment waiver program violated the U.S. Anti-Kickback Statute and from the FCA relating to the sale and marketing of VASCEPA by us and our previous co-marketing partner, Kowa America, as well as the March 2021 CID from the FTC in connection with the FTC’s investigation of whether we have engaged in, or are engaging in, anticompetitive practices or unfair methods of competition relating to VASCEPA require us to produce documents and answer written questions, or interrogatories, relevant to specified time periods. The subpoena from the New York State attorney general covers the same subject matter on which the FTC CID is focused.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21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1" w:name="page52"/>
    <w:bookmarkEnd w:id="51"/>
    <w:p>
      <w:pPr>
        <w:ind w:right="60"/>
        <w:spacing w:after="0" w:line="282" w:lineRule="auto"/>
        <w:rPr>
          <w:sz w:val="20"/>
          <w:szCs w:val="20"/>
          <w:color w:val="auto"/>
        </w:rPr>
      </w:pPr>
      <w:r>
        <w:rPr>
          <w:rFonts w:ascii="Times New Roman" w:cs="Times New Roman" w:eastAsia="Times New Roman" w:hAnsi="Times New Roman"/>
          <w:sz w:val="18"/>
          <w:szCs w:val="18"/>
          <w:color w:val="auto"/>
        </w:rPr>
        <w:t>The commencement and rate of completion of clinical trials and the timing of obtaining marketing approval from regulatory authorities may be delayed by many factors, including, among others:</w:t>
      </w:r>
    </w:p>
    <w:p>
      <w:pPr>
        <w:spacing w:after="0" w:line="54"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7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 consuming, particularly when such efforts need to adapt to changing market and business dynamics. We implemented cost and organizational restructuring plans, which included a reduction to our U.S. commercial team to approximately 75 sales representatives by the end of 2022. Our sales team promotes VASCEPA to a targeted group of physicians and other healthcare professionals in select geographies in the United States who recognize the potential benefit to patients, and this team is not large enough to call upon a sufficient number of physicians.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to sales force reductions in the United States, we continue to work on our own and with our international partners to support regulatory efforts outside the United States based on REDUCE-IT results. If we are successful in obtaining sufficient</w:t>
      </w: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2" w:name="page53"/>
    <w:bookmarkEnd w:id="52"/>
    <w:p>
      <w:pPr>
        <w:ind w:right="20"/>
        <w:spacing w:after="0" w:line="252" w:lineRule="auto"/>
        <w:rPr>
          <w:sz w:val="20"/>
          <w:szCs w:val="20"/>
          <w:color w:val="auto"/>
        </w:rPr>
      </w:pPr>
      <w:r>
        <w:rPr>
          <w:rFonts w:ascii="Times New Roman" w:cs="Times New Roman" w:eastAsia="Times New Roman" w:hAnsi="Times New Roman"/>
          <w:sz w:val="18"/>
          <w:szCs w:val="18"/>
          <w:color w:val="auto"/>
        </w:rPr>
        <w:t>approvals and adequate pricing and reimbursement levels in major markets in Europe and elsewhere, we will need to ensure that our operations are adequate to support a commercial launch and continued promotion. Although we are preparing for growth in Europe and elsewhere by expanding our infrastructure, we are operating with streamlined teams and will need to expand internally and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In Europe we have built out our team subsequent to EC approval of the marketing authorization acceptance in 2021, with plans to continue to expand our European staff as deemed appropriate on a country by 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20"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life-cycle management, in large part, currently depends on our ability to develop, obtain regulatory approval and commercialize a fixed-dose combination of VASCEPA and yet to be disclosed statins.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life-cycle management is substantially dependent on our ability to develop, obtain regulatory approval and commercialize a fixed-dose combination of VASCEPA and yet to be disclosed statins. Due to the risks and uncertainties involved in progressing through development and bioequivalence or even potential additional trials (as may be required by specific regulatory agencies), and the time and cost involved in obtaining regulatory approvals, we cannot reasonably estimate the timing, completion dates and costs, or range of costs, of our drug development program, or of the successful development of any particular fixed-dose combination. The potential success of any fixed-dose combination will depend on a number of factors, including the following:</w:t>
      </w:r>
    </w:p>
    <w:p>
      <w:pPr>
        <w:spacing w:after="0" w:line="79"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a combination of VASCEPA and a statin;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supply of necessary statin for use in the fixed-dose combination;</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any and all markets in which we intend to commercialize a fixed-dose combination of VASCEPA and a statin;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payor acceptance and market access for a fixed-dose combination product of VASCEPA and a statin;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market acceptance of a fixed-dose combination of VASCEPA and a statin.</w:t>
      </w:r>
    </w:p>
    <w:p>
      <w:pPr>
        <w:spacing w:after="0" w:line="248"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continued scale, scope and duration of business interruptions caused by the COVID-19 pandemic and related recovery efforts remain uncertain.</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Despite recent improvements, the ongoing presence of COVID-19 has created significant volatility, uncertainty and disruption in healthcare, social, supply and economic infrastructures. The extent to which the coronavirus pandemic will continue to impact our business, operations and financial results will depend on numerous evolving factors that we may not be able to accurately predict or plan around, including:</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volatility and scope of the pandemic, including resurgences, and the efficacy of recovery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taken in response to the pandemic;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economic and political activity and our supply chain;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6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changes in patients’ and healthcare providers’ behavior and practices regarding face to face visits may have on our commercialization efforts, including whether virtual interactions will be as impactful as traditional, in-person interactions;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access, secure and otherwise obtain and deliver sufficient and timely commercial or clinical supplies of VASCEPA at reasonable prices and sufficient to meet demand if the production capabilities of suppliers is disrupted;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prolonged or reinstated closures of our and our partners’ offices, operations and facilities impeding our ability to work together as a company and with our business and healthcare partners.</w:t>
      </w: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52"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API (drug substance) or encapsulated bulk product (drug product), it would have a material adverse effect on our ability to continue to commercialize VASCEPA.</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Australia and New Zealand,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 commercial launch, including in China and various European countries. Our aggregate capacity to produce API is dependent upon the continued qualification of our API suppliers and, depending on the ability of existing suppliers to meet our supply demands, and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United States for supply of VAZKEPA in the EU.</w:t>
      </w:r>
    </w:p>
    <w:p>
      <w:pPr>
        <w:spacing w:after="0" w:line="8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199"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4" w:name="page55"/>
    <w:bookmarkEnd w:id="54"/>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on us from these market dynamics.</w:t>
      </w:r>
    </w:p>
    <w:p>
      <w:pPr>
        <w:spacing w:after="0" w:line="213"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are comparable foreign requirements under ICH guidelines. In addition, certain past COVID-19 restrictions have affected Regulatory Agencies' ability to conduct facility inspections and may affect the timing of further approvals. This review may be costly and time consuming and could delay or prevent the launch of a product.</w:t>
      </w:r>
    </w:p>
    <w:p>
      <w:pPr>
        <w:spacing w:after="0" w:line="68" w:lineRule="exact"/>
        <w:rPr>
          <w:sz w:val="20"/>
          <w:szCs w:val="20"/>
          <w:color w:val="auto"/>
        </w:rPr>
      </w:pPr>
    </w:p>
    <w:p>
      <w:pPr>
        <w:ind w:right="440" w:firstLine="509"/>
        <w:spacing w:after="0" w:line="257"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5" w:name="page56"/>
    <w:bookmarkEnd w:id="55"/>
    <w:p>
      <w:pPr>
        <w:ind w:right="60"/>
        <w:spacing w:after="0" w:line="254" w:lineRule="auto"/>
        <w:rPr>
          <w:sz w:val="20"/>
          <w:szCs w:val="20"/>
          <w:color w:val="auto"/>
        </w:rPr>
      </w:pPr>
      <w:r>
        <w:rPr>
          <w:rFonts w:ascii="Times New Roman" w:cs="Times New Roman" w:eastAsia="Times New Roman" w:hAnsi="Times New Roman"/>
          <w:sz w:val="18"/>
          <w:szCs w:val="18"/>
          <w:color w:val="auto"/>
        </w:rPr>
        <w:t>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 On March 27, 2020, former President Trump signed into law the CARES Act in response to the COVID-19 pandemic. Throughout the COVID-19 pandemic, there has been public concern over the availability and accessibility of critical medical products, and the CARES Act enhances U.S.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U.S. FDA review during an inspection. If we experience shortages in the supply of our marketed products, our results could be materially impacted.</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 Since March 2020 when foreign and domestic inspections of facilities were largely placed on hold, the U.S. FDA has been working to resume pre-pandemic levels of inspection activities, including routine surveillance, bioresearch monitoring and pre-approval inspections. Should the U.S. FDA determine that an inspection is necessary for approval and an inspection cannot be completed during the review cycle due to restrictions on travel, and the U.S.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213" w:lineRule="exact"/>
        <w:rPr>
          <w:sz w:val="20"/>
          <w:szCs w:val="20"/>
          <w:color w:val="auto"/>
        </w:rPr>
      </w:pPr>
    </w:p>
    <w:p>
      <w:pPr>
        <w:ind w:right="2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Canada and most recently Australia and New Zealand. We continue to assess other opportunities to develop VASCEPA commercialization outside of the United States through similar arrangements.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Edding has successfully undertaken clinical trials and approval initiatives under our arrangement with them, including the announcement of statistically significant positive topline results from Edding’s Phase 3 clinical trial of VASCEPA and has obtained approval for VASCEPA in Hong Kong under the REDUCE-IT indication with anticipated approval in Mainland China expected by midyear 2023. However, Edding may be required to undertake clinical development efforts in these markets, or Edding may face challenges or be unsuccessful in pursuing commercial launch. Further, any development and regulatory efforts in the China Territory may be negatively impacted if the coronavirus pandemic worsens, continues or spreads, and if resources by regulators and industry professionals continue to be diverted to address the prolonged coronavirus pandemic. Any development and regulatory efforts in the China Territory may be negatively impacted by heightened political tension between China and the United States, including in connection with COVID-19 and other issues expressed between the countries regarding 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8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are party to arrangements with Biologix FZCo, or Biologix, to register and commercialize VASCEPA in several Middle Eastern and North African countries, with HLS Therapeutics Inc., or HLS, to register, commercialize and distribute VASCEPA in Canada and with CSL Seqirus, or CSL, to commercialize and distribute VASCEPA in Australia and New Zealand. Although Biologix is currently actively commercializing VASCEPA in the United Arab Emirates and Lebanon, and HLS is currently commercializing VASCEPA in Canada, we are completely reliant on these third parties to secure approval and successfully commercialize the product in those markets, which markets can be complex and challenging. Further, development and commercialization across the Middle East and North Africa is subject to similar risks as in the China Territory, and has been negatively impacted by COVID-19 and the destabilized local economies in the region.</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If Edding, Biologix, HLS or CSL, or other third parties who we rely on for development and commercialization of VASCEPA, do not successfully carry out their contractual obligations or meet expected deadlines, our recourse and remedies against these parties is limited.</w:t>
      </w: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our launch of VAZKEPA in Germany in September 2021 (where operations were subsequently discontinued) and the launch of VAZKEPA in certain countries in the fourth quarter of 2022, including the UK in October 2022, has not launched or otherwise commercialized a product in Europe and could be subject to significant risks of execution to our successful development and revenue generation of VAZKEPA in Europe.</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0"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Times New Roman" w:cs="Times New Roman" w:eastAsia="Times New Roman" w:hAnsi="Times New Roman"/>
          <w:sz w:val="18"/>
          <w:szCs w:val="18"/>
          <w:i w:val="1"/>
          <w:iCs w:val="1"/>
          <w:color w:val="auto"/>
        </w:rPr>
        <w:t>Item 1. Business - Government Regulation - Fraud and Abuse Laws and Data Regulation</w:t>
      </w:r>
      <w:r>
        <w:rPr>
          <w:rFonts w:ascii="Times New Roman" w:cs="Times New Roman" w:eastAsia="Times New Roman" w:hAnsi="Times New Roman"/>
          <w:sz w:val="18"/>
          <w:szCs w:val="18"/>
          <w:color w:val="auto"/>
        </w:rPr>
        <w:t>" for further details.</w:t>
      </w:r>
    </w:p>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72"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the June 2020 CIDs from the DOJ informing us that the DOJ is investigating whether aspects of our promotional speaker programs and copayment waiver program violated the U.S. Anti-Kickback Statute, and from the FCA relating to the sale and marketing of VASCEPA by us and our previous co-marketing partner, Kowa America, as well as the March 2021 CID from the FTC in connection with the FTC’s investigation of whether we have engaged in, or are engaging in, anticompetitive practices or unfair methods of competition relating to VASCEPA require us to produce documents and answer written questions, or interrogatories, relevant to specified time periods; as does the subpoena from the New York State attorney general regarding the same subject matter on which the FTC CID is focused. As noted, we are cooperating with the government, but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8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jc w:val="both"/>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however such defense activities can be costly to pursue and may not have the desired results.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CV risk. On January 25, 2021, we expanded the scope of this patent infringement lawsuit to include a health care insurance provider, Health Net, LLC. On January 4, 2022, the district court hearing the case granted Hikma's motion to dismiss. On October 13, 2022, the district court granted final judgement and the Company is appealing (Fed. Cir. No. 23-1169 filed November 21, 2022) the decision of the district court but cannot predict the outcome or the impact on its business. We entered into a settlement agreement with Health Net, LLC on December 26, 2022. The Company will continue to consider its legal options against parties similarly situated to Health Net and Hikma and acting in concert with either by making or selling any drug product or component thereof covered by the subject patents, or inducing others to do the same. The Company intends to vigorously enforce its intellectual property rights relating to VASCEPA, but cannot predict the outcome of these lawsuits or any subsequently filed lawsuits.</w:t>
      </w:r>
    </w:p>
    <w:p>
      <w:pPr>
        <w:spacing w:after="0" w:line="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any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7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9"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5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VASCEPA/VAZKEPA.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However, our pending patent applications may not be granted or, if they grant, that they will prevent competitors from competing with VASCEPA.</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1"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January 2023, we disclosed our 2023 financial outlook. Such outlook and estimates are based on estimates, assumptions and the judgment of management. 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recent senior management changes.</w:t>
      </w:r>
    </w:p>
    <w:p>
      <w:pPr>
        <w:spacing w:after="0" w:line="121"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and the changes to our Board and the recently announced departure of our Chief Executive Officer,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continued or increased turnover among members of our senior management team. We may have difficulty identifying, attracting and integrating new executives to replace any such losses. As we expand commercialization efforts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remains focused on continued promotion of VASCEPA in the United States, and expansion in Europe, the current and potential threat of generic competition and our recent reductions in force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right="40" w:firstLine="509"/>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-223520</wp:posOffset>
            </wp:positionV>
            <wp:extent cx="6413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42" w:lineRule="exact"/>
        <w:rPr>
          <w:sz w:val="20"/>
          <w:szCs w:val="20"/>
          <w:color w:val="auto"/>
        </w:rPr>
      </w:pPr>
    </w:p>
    <w:p>
      <w:pPr>
        <w:ind w:firstLine="509"/>
        <w:spacing w:after="0" w:line="224"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9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a more material breach could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89"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60" w:name="page61"/>
    <w:bookmarkEnd w:id="60"/>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 tax authorities.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29%, 38%, and 27%, respectively, of gross product sales for the three months ended March 31, 2023, and represented 36%, 40%, and 20%, respectively, of the gross accounts receivable balance as of March 31, 2023. Customers A, B, and C accounted for 21%, 39%, and 31%, respectively, of gross product sales for the three months ended March 31, 2022, and represented 29%, 37%, and 28%, respectively, of the gross accounts receivable balance as of March 31, 2022.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 ended December 31, 2022 and 2020, we reported net losses of approximately $105.8 million and $18.0 million, respectively. For the fiscal year ended December 31, 2021, we reported net income of approximately $7.7 million. We had an accumulated deficit as of December 31, 2022 of $1.5 billion. For the three months ended March 31, 2023 and 2022, we reported losses of approximately $16.5 million and $31.6 million, respectively, and we had an accumulated deficit as of March 31, 2023 of $1.5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never generate sufficient revenue to achieve a steady state of profitability.</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consistently generate robust product revenues, we will not become profitable on a sustained basis in the near term, if ever, and may be unable to continue operations without continued funding.</w:t>
      </w:r>
    </w:p>
    <w:p>
      <w:pPr>
        <w:spacing w:after="0" w:line="21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75"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future potential launches of additional generic versions of VASCEPA;</w:t>
      </w:r>
    </w:p>
    <w:p>
      <w:pPr>
        <w:spacing w:after="0" w:line="11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to develop, register and commercialize VASCEPA in Europe, the China Territory, several Middle Eastern and North African countries, and Canada, for example, including obtaining necessary regulatory approvals, favorable pricing and establishing marketing channels;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jc w:val="both"/>
        <w:ind w:left="900" w:right="34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recent cost reduction plan, and the resulting effectiveness of those efforts;</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and prolonged disruption to our business, or delays in resuming normal business activities, or reinstating restrictions after protocols have been lifted, from the COVID-19 pandemic;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4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$191.4 million and short-term investment balance of $113.0 million as of March 31, 2023 will be sufficient to fund our projected operations for at least 12 months from the issuance date of our unaudited condensed consolidated financial statements included elsewhere in this Quarterly Report.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86"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121"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6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IRA was enacted into law on August 16, 2022. Included in the IRA was a provision to implement a 15% corporate alternative minimum tax on corporations whose average annual adjusted financial statement income during the most recently-completed three-year period exceeds $1.0 billion. This provision is effective for tax years beginning after December 31, 2022. We are in the process of evaluating the provisions of the IRA.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21"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3" w:name="page64"/>
    <w:bookmarkEnd w:id="63"/>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April 30, 2023, we had 407,687,476 common shares outstanding including 387,307,491 shares held as ADSs and 20,379,985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Further, the long-term effects of the UK's departure from the EU, or Brexit, remain uncertain and may have a negative effect on global economic conditions, financial markets and our business, which could reduce the price of our ADSs and common shares. In particular, ongoing uncertainty related to Brexit and the long-term relationship between the UK and the EU could lead to a period of disruption in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15" w:lineRule="exact"/>
        <w:rPr>
          <w:sz w:val="20"/>
          <w:szCs w:val="20"/>
          <w:color w:val="auto"/>
        </w:rPr>
      </w:pPr>
    </w:p>
    <w:p>
      <w:pPr>
        <w:ind w:right="3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under the Exchange Act and our policies regarding stock transactions, a number of our directors and employees, including members of our senior management team, have adopted and may continue to adopt pre-arranged stock trading plans to sell a portion of our common stock that they beneficially own. Generally, sales under such plans by members of our senior management team and directors require public filings. Actual or potential sales of our ADSs by such persons could cause the price of our ADSs to fall or prevent it from increasing for numerous reasons.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shares, we believe that we will not be classified as a PFIC for the taxable year ended December 31, 2022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4" w:name="page65"/>
    <w:bookmarkEnd w:id="6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900" w:right="8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900" w:right="260" w:hanging="383"/>
        <w:spacing w:after="0" w:line="289"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9" w:lineRule="exact"/>
        <w:rPr>
          <w:rFonts w:ascii="Times New Roman" w:cs="Times New Roman" w:eastAsia="Times New Roman" w:hAnsi="Times New Roman"/>
          <w:sz w:val="17"/>
          <w:szCs w:val="17"/>
          <w:color w:val="auto"/>
        </w:rPr>
      </w:pPr>
    </w:p>
    <w:p>
      <w:pPr>
        <w:ind w:left="900" w:right="180" w:hanging="383"/>
        <w:spacing w:after="0" w:line="258"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80" w:lineRule="exact"/>
        <w:rPr>
          <w:rFonts w:ascii="Times New Roman" w:cs="Times New Roman" w:eastAsia="Times New Roman" w:hAnsi="Times New Roman"/>
          <w:sz w:val="18"/>
          <w:szCs w:val="18"/>
          <w:color w:val="auto"/>
        </w:rPr>
      </w:pPr>
    </w:p>
    <w:p>
      <w:pPr>
        <w:ind w:left="900" w:right="40" w:hanging="383"/>
        <w:spacing w:after="0" w:line="281"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6" w:lineRule="exact"/>
        <w:rPr>
          <w:rFonts w:ascii="Times New Roman" w:cs="Times New Roman" w:eastAsia="Times New Roman" w:hAnsi="Times New Roman"/>
          <w:sz w:val="17"/>
          <w:szCs w:val="17"/>
          <w:color w:val="auto"/>
        </w:rPr>
      </w:pPr>
    </w:p>
    <w:p>
      <w:pPr>
        <w:ind w:left="900" w:hanging="383"/>
        <w:spacing w:after="0" w:line="25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21"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ind w:right="420"/>
        <w:spacing w:after="0" w:line="282" w:lineRule="auto"/>
        <w:rPr>
          <w:sz w:val="20"/>
          <w:szCs w:val="20"/>
          <w:color w:val="auto"/>
        </w:rPr>
      </w:pPr>
      <w:r>
        <w:rPr>
          <w:rFonts w:ascii="Times New Roman" w:cs="Times New Roman" w:eastAsia="Times New Roman" w:hAnsi="Times New Roman"/>
          <w:sz w:val="18"/>
          <w:szCs w:val="18"/>
          <w:color w:val="auto"/>
        </w:rPr>
        <w:t>protections provided under the Takeover Code. The following is a brief summary of some of the most important rules of the Takeover Code which, as noted, does not apply to us:</w:t>
      </w:r>
    </w:p>
    <w:p>
      <w:pPr>
        <w:spacing w:after="0" w:line="54" w:lineRule="exact"/>
        <w:rPr>
          <w:sz w:val="20"/>
          <w:szCs w:val="20"/>
          <w:color w:val="auto"/>
        </w:rPr>
      </w:pPr>
    </w:p>
    <w:p>
      <w:pPr>
        <w:ind w:left="900" w:right="40" w:hanging="383"/>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67"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71" w:lineRule="exact"/>
        <w:rPr>
          <w:rFonts w:ascii="Times New Roman" w:cs="Times New Roman" w:eastAsia="Times New Roman" w:hAnsi="Times New Roman"/>
          <w:sz w:val="18"/>
          <w:szCs w:val="18"/>
          <w:color w:val="auto"/>
        </w:rPr>
      </w:pPr>
    </w:p>
    <w:p>
      <w:pPr>
        <w:ind w:left="900" w:hanging="383"/>
        <w:spacing w:after="0" w:line="277"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59" w:lineRule="exact"/>
        <w:rPr>
          <w:rFonts w:ascii="Times New Roman" w:cs="Times New Roman" w:eastAsia="Times New Roman" w:hAnsi="Times New Roman"/>
          <w:sz w:val="17"/>
          <w:szCs w:val="17"/>
          <w:color w:val="auto"/>
        </w:rPr>
      </w:pPr>
    </w:p>
    <w:p>
      <w:pPr>
        <w:ind w:left="900" w:right="2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those parties issuing takeover circulars must include statements taking responsibility for the contents thereof.</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900" w:right="36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71"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enforcement of judgments of U.S. courts, of civil liabilities to the extent predicated upon the federal securities laws of the United States.</w:t>
      </w:r>
    </w:p>
    <w:p>
      <w:pPr>
        <w:spacing w:after="0" w:line="248" w:lineRule="exact"/>
        <w:rPr>
          <w:sz w:val="20"/>
          <w:szCs w:val="20"/>
          <w:color w:val="auto"/>
        </w:rPr>
      </w:pPr>
    </w:p>
    <w:p>
      <w:pPr>
        <w:ind w:left="260"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06"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67"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The UK left the EU on January 31, 2020, but remained in the EU’s customs union and single market for a transitional period that expired on December 31, 2020. Although the UK entered into a trade and cooperation agreement with the EU, which was provisionally applicable since January 1, 2021 and formally applicable since May 1, 2021, the UK-EU TCA, that provides for, among other things, the free movement of goods between the United Kingdom and the EU, continued legal uncertainty and potentially divergent national laws and regulations in areas not specifically addressed in the UK-EU TCA may continue to affect trade and other interactions between the UK and the EU. In addition, UK service suppliers no longer benefit from automatic access to the entire EU single market and free movement of goods is subject to increased bureaucracy. The loss of these benefits could impact the attractiveness of the UK as a global business and financial center, which may have an adverse effect on the rate of economic growth in the UK and the EU.</w:t>
      </w:r>
    </w:p>
    <w:p>
      <w:pPr>
        <w:spacing w:after="0" w:line="6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a greater macroeconomic level, ongoing uncertainty related to Brexit and the UK’s legal, political and economic relationship with the EU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These developments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long-term effects of Brexit are currently unknown and will depend on the evolution of any agreements (or lack thereof) that the UK makes to retain access to the EU markets.</w:t>
      </w:r>
    </w:p>
    <w:p>
      <w:pPr>
        <w:spacing w:after="0" w:line="54"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Such a withdrawal from the EU is unprecedented, and it remains unclear how the UK’s access to the European single market for goods, capital, services and labor within the EU, or single market, and the wider commercial, legal and regulatory environment, will impact our long-term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75" w:lineRule="exact"/>
        <w:rPr>
          <w:sz w:val="20"/>
          <w:szCs w:val="20"/>
          <w:color w:val="auto"/>
        </w:rPr>
      </w:pPr>
    </w:p>
    <w:p>
      <w:pPr>
        <w:ind w:right="340" w:firstLine="509"/>
        <w:spacing w:after="0" w:line="257" w:lineRule="auto"/>
        <w:rPr>
          <w:sz w:val="20"/>
          <w:szCs w:val="20"/>
          <w:color w:val="auto"/>
        </w:rPr>
      </w:pPr>
      <w:r>
        <w:rPr>
          <w:rFonts w:ascii="Times New Roman" w:cs="Times New Roman" w:eastAsia="Times New Roman" w:hAnsi="Times New Roman"/>
          <w:sz w:val="18"/>
          <w:szCs w:val="18"/>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7" w:name="page68"/>
    <w:bookmarkEnd w:id="67"/>
    <w:p>
      <w:pPr>
        <w:ind w:right="200"/>
        <w:spacing w:after="0" w:line="258" w:lineRule="auto"/>
        <w:rPr>
          <w:sz w:val="20"/>
          <w:szCs w:val="20"/>
          <w:color w:val="auto"/>
        </w:rPr>
      </w:pPr>
      <w:r>
        <w:rPr>
          <w:rFonts w:ascii="Times New Roman" w:cs="Times New Roman" w:eastAsia="Times New Roman" w:hAnsi="Times New Roman"/>
          <w:sz w:val="18"/>
          <w:szCs w:val="18"/>
          <w:color w:val="auto"/>
        </w:rPr>
        <w:t>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and other global instability. We may also have to scale back or further restructure our operations. If we are unable to obtain additional funding when needed , we may be required to curtail or terminate some or all of our research or development programs or our commercialization strategies.</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9"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and Europe, caused by political instability and conflict, such as Russia's invasion of Ukraine, and economic challenges caused by the COVID-19 pandemic, have led to market disruptions, including significant volatility in commodity prices, credit and capital market instability and supply chain interruptions, which have caused record inflation globally.</w:t>
      </w:r>
    </w:p>
    <w:p>
      <w:pPr>
        <w:spacing w:after="0" w:line="6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of the military conflict between Russia and Ukraine, geopolitical tensions, record inflation or otherwise, are impossible to predict, but could be substantial.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disruptions may also magnify the impact of other risks described in this report.</w:t>
      </w:r>
    </w:p>
    <w:p>
      <w:pPr>
        <w:spacing w:after="0" w:line="3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first quarter of 2023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60" w:type="dxa"/>
            <w:vAlign w:val="bottom"/>
          </w:tcPr>
          <w:p>
            <w:pPr>
              <w:spacing w:after="0"/>
              <w:rPr>
                <w:sz w:val="13"/>
                <w:szCs w:val="13"/>
                <w:color w:val="auto"/>
              </w:rPr>
            </w:pPr>
          </w:p>
        </w:tc>
        <w:tc>
          <w:tcPr>
            <w:tcW w:w="16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ind w:right="9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1 - 31, 2023</w:t>
            </w: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485,433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2023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218,374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1 - 31, 2023</w:t>
            </w:r>
          </w:p>
        </w:tc>
        <w:tc>
          <w:tcPr>
            <w:tcW w:w="1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123,716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827,523</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91" w:lineRule="exact"/>
        <w:rPr>
          <w:sz w:val="20"/>
          <w:szCs w:val="20"/>
          <w:color w:val="auto"/>
        </w:rPr>
      </w:pPr>
    </w:p>
    <w:p>
      <w:pPr>
        <w:ind w:left="380" w:right="100" w:hanging="372"/>
        <w:spacing w:after="0" w:line="223" w:lineRule="auto"/>
        <w:tabs>
          <w:tab w:leader="none" w:pos="326"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68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3"/>
                <w:szCs w:val="3"/>
                <w:color w:val="auto"/>
              </w:rPr>
            </w:pPr>
          </w:p>
        </w:tc>
        <w:tc>
          <w:tcPr>
            <w:tcW w:w="348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tcBorders>
              <w:bottom w:val="single" w:sz="8" w:color="auto"/>
            </w:tcBorders>
            <w:vMerge w:val="continue"/>
          </w:tcPr>
          <w:p>
            <w:pPr>
              <w:spacing w:after="0"/>
              <w:rPr>
                <w:sz w:val="14"/>
                <w:szCs w:val="14"/>
                <w:color w:val="auto"/>
              </w:rPr>
            </w:pPr>
          </w:p>
        </w:tc>
        <w:tc>
          <w:tcPr>
            <w:tcW w:w="4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4"/>
                <w:szCs w:val="14"/>
                <w:color w:val="auto"/>
              </w:rPr>
            </w:pPr>
          </w:p>
        </w:tc>
        <w:tc>
          <w:tcPr>
            <w:tcW w:w="2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657" w:right="339" w:bottom="1440" w:gutter="0" w:footer="0" w:header="0"/>
        </w:sectPr>
      </w:pPr>
    </w:p>
    <w:p>
      <w:pPr>
        <w:ind w:left="120"/>
        <w:spacing w:after="0"/>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188">
        <w:r>
          <w:rPr>
            <w:rFonts w:ascii="Times New Roman" w:cs="Times New Roman" w:eastAsia="Times New Roman" w:hAnsi="Times New Roman"/>
            <w:sz w:val="17"/>
            <w:szCs w:val="17"/>
            <w:u w:val="single" w:color="auto"/>
            <w:color w:val="0000FF"/>
          </w:rPr>
          <w:t>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92"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190">
        <w:r>
          <w:rPr>
            <w:rFonts w:ascii="Times New Roman" w:cs="Times New Roman" w:eastAsia="Times New Roman" w:hAnsi="Times New Roman"/>
            <w:sz w:val="17"/>
            <w:szCs w:val="17"/>
            <w:u w:val="single" w:color="auto"/>
            <w:color w:val="0000FF"/>
          </w:rPr>
          <w:t>10.3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Consent of Landlord to Sublease dated as of</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January 20, 2023, among Amarin Pharma, Inc.</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ST Shared Services LLC and Liberty Denver</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Wood LLC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-448310</wp:posOffset>
            </wp:positionV>
            <wp:extent cx="20497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2049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-311150</wp:posOffset>
            </wp:positionV>
            <wp:extent cx="2167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2167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20910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20910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5143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19" w:lineRule="exact"/>
        <w:rPr>
          <w:rFonts w:ascii="Times New Roman" w:cs="Times New Roman" w:eastAsia="Times New Roman" w:hAnsi="Times New Roman"/>
          <w:sz w:val="18"/>
          <w:szCs w:val="18"/>
          <w:u w:val="single" w:color="auto"/>
          <w:color w:val="0000FF"/>
        </w:rPr>
      </w:pPr>
    </w:p>
    <w:p>
      <w:pPr>
        <w:ind w:right="220"/>
        <w:spacing w:after="0" w:line="282"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Guaranty dated January 20, 2023, issued by</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MEH,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20275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20275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4851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01" w:lineRule="exact"/>
        <w:rPr>
          <w:sz w:val="20"/>
          <w:szCs w:val="20"/>
          <w:color w:val="auto"/>
        </w:rPr>
      </w:pPr>
    </w:p>
    <w:p>
      <w:pPr>
        <w:jc w:val="both"/>
        <w:ind w:right="120"/>
        <w:spacing w:after="0" w:line="266"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Sublease Agreement dated January 20, 2023,</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by and between Amarin Pharma, Inc. and ST</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Shared Services LLC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-313055</wp:posOffset>
            </wp:positionV>
            <wp:extent cx="20878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208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20878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208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9772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0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March 1, 2023 2022, as Exhibit 10.44</w:t>
      </w:r>
    </w:p>
    <w:p>
      <w:pPr>
        <w:spacing w:after="0" w:line="200" w:lineRule="exact"/>
        <w:rPr>
          <w:rFonts w:ascii="Times New Roman" w:cs="Times New Roman" w:eastAsia="Times New Roman" w:hAnsi="Times New Roman"/>
          <w:sz w:val="18"/>
          <w:szCs w:val="18"/>
          <w:u w:val="single" w:color="auto"/>
          <w:color w:val="0000FF"/>
        </w:rPr>
      </w:pPr>
    </w:p>
    <w:p>
      <w:pPr>
        <w:spacing w:after="0" w:line="353" w:lineRule="exact"/>
        <w:rPr>
          <w:rFonts w:ascii="Times New Roman" w:cs="Times New Roman" w:eastAsia="Times New Roman" w:hAnsi="Times New Roman"/>
          <w:sz w:val="18"/>
          <w:szCs w:val="18"/>
          <w:u w:val="single" w:color="auto"/>
          <w:color w:val="0000FF"/>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March 1, 2023 2022, as Exhibit 10.45</w:t>
      </w:r>
    </w:p>
    <w:p>
      <w:pPr>
        <w:spacing w:after="0" w:line="121" w:lineRule="exact"/>
        <w:rPr>
          <w:rFonts w:ascii="Times New Roman" w:cs="Times New Roman" w:eastAsia="Times New Roman" w:hAnsi="Times New Roman"/>
          <w:sz w:val="18"/>
          <w:szCs w:val="18"/>
          <w:u w:val="single" w:color="auto"/>
          <w:color w:val="0000FF"/>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March 1, 2023 2022, as Exhibit 10.46</w:t>
      </w:r>
    </w:p>
    <w:p>
      <w:pPr>
        <w:spacing w:after="0" w:line="323"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420" w:space="480"/>
            <w:col w:w="3360" w:space="100"/>
            <w:col w:w="6880"/>
          </w:cols>
          <w:pgMar w:left="320" w:top="657"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Interim President and Chief</w:t>
            </w:r>
          </w:p>
        </w:tc>
        <w:tc>
          <w:tcPr>
            <w:tcW w:w="20" w:type="dxa"/>
            <w:vAlign w:val="bottom"/>
          </w:tcPr>
          <w:p>
            <w:pPr>
              <w:spacing w:after="0"/>
              <w:rPr>
                <w:sz w:val="17"/>
                <w:szCs w:val="17"/>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 (Interim Principal Executive</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Officer) pursuant to Section 302 of Sarbanes-</w:t>
            </w:r>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880" w:type="dxa"/>
            <w:vAlign w:val="bottom"/>
            <w:gridSpan w:val="3"/>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71"/>
        </w:trPr>
        <w:tc>
          <w:tcPr>
            <w:tcW w:w="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w:t>
            </w:r>
          </w:p>
        </w:tc>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Chief Financial Officer (Principal Financial</w:t>
            </w:r>
          </w:p>
        </w:tc>
        <w:tc>
          <w:tcPr>
            <w:tcW w:w="2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Officer and Principal Accounting Officer)</w:t>
            </w:r>
          </w:p>
        </w:tc>
        <w:tc>
          <w:tcPr>
            <w:tcW w:w="3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Sarbanes-Oxley Act</w:t>
            </w:r>
          </w:p>
        </w:tc>
        <w:tc>
          <w:tcPr>
            <w:tcW w:w="20" w:type="dxa"/>
            <w:vAlign w:val="bottom"/>
            <w:tcBorders>
              <w:bottom w:val="single" w:sz="8" w:color="0000FF"/>
            </w:tcBorders>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20" w:type="dxa"/>
            <w:vAlign w:val="bottom"/>
            <w:tcBorders>
              <w:bottom w:val="single" w:sz="8" w:color="0000EE"/>
            </w:tcBorders>
          </w:tcPr>
          <w:p>
            <w:pPr>
              <w:spacing w:after="0"/>
              <w:rPr>
                <w:sz w:val="17"/>
                <w:szCs w:val="17"/>
                <w:color w:val="auto"/>
              </w:rPr>
            </w:pPr>
          </w:p>
        </w:tc>
        <w:tc>
          <w:tcPr>
            <w:tcW w:w="28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72"/>
        </w:trPr>
        <w:tc>
          <w:tcPr>
            <w:tcW w:w="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Interim President and Chief</w:t>
            </w:r>
          </w:p>
        </w:tc>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 (Interim Principal Executive</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Officer) and Senior Vice President and Chief</w:t>
            </w:r>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(Principal Financial Officer</w:t>
            </w: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and Principal Accounting Officer) pursuant to</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906 of Sarbanes-Oxley Act of 2002</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4"/>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31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w:t>
            </w:r>
          </w:p>
        </w:tc>
        <w:tc>
          <w:tcPr>
            <w:tcW w:w="2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3"/>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Inline XBRL Taxonomy Extension Calculation Filed herewith</w:t>
            </w:r>
          </w:p>
        </w:tc>
      </w:tr>
      <w:tr>
        <w:trPr>
          <w:trHeight w:val="234"/>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3"/>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3"/>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3"/>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3"/>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(formatted as inline XBRL with applicable</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3"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70" w:name="page71"/>
    <w:bookmarkEnd w:id="7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Aaron Berg</w:t>
      </w:r>
    </w:p>
    <w:p>
      <w:pPr>
        <w:spacing w:after="0" w:line="27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(Interim Principal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2023</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Tom Reilly</w:t>
      </w:r>
    </w:p>
    <w:p>
      <w:pPr>
        <w:spacing w:after="0" w:line="27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2023</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57" w:right="5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17"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700" w:val="left"/>
          <w:tab w:leader="none" w:pos="8040" w:val="left"/>
        </w:tabs>
        <w:rPr>
          <w:sz w:val="20"/>
          <w:szCs w:val="20"/>
          <w:color w:val="auto"/>
        </w:rPr>
      </w:pPr>
      <w:r>
        <w:rPr>
          <w:rFonts w:ascii="Times New Roman" w:cs="Times New Roman" w:eastAsia="Times New Roman" w:hAnsi="Times New Roman"/>
          <w:sz w:val="18"/>
          <w:szCs w:val="18"/>
          <w:color w:val="auto"/>
        </w:rPr>
        <w:t>Date: May 3, 2023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Aaron Berg</w:t>
      </w:r>
    </w:p>
    <w:p>
      <w:pPr>
        <w:spacing w:after="0" w:line="3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(Interim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Reilly, certify that:</w:t>
      </w:r>
    </w:p>
    <w:p>
      <w:pPr>
        <w:spacing w:after="0" w:line="117"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900" w:val="left"/>
          <w:tab w:leader="none" w:pos="8240" w:val="left"/>
        </w:tabs>
        <w:rPr>
          <w:sz w:val="20"/>
          <w:szCs w:val="20"/>
          <w:color w:val="auto"/>
        </w:rPr>
      </w:pPr>
      <w:r>
        <w:rPr>
          <w:rFonts w:ascii="Times New Roman" w:cs="Times New Roman" w:eastAsia="Times New Roman" w:hAnsi="Times New Roman"/>
          <w:sz w:val="18"/>
          <w:szCs w:val="18"/>
          <w:color w:val="auto"/>
        </w:rPr>
        <w:t>Date: May 3, 2023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Tom Reilly</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Aaron Berg, Interim President and Chief Executive Officer (Interim Principal Executive Officer) of Amarin Corporation plc (the “Company”), and Tom Reilly, Senior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460" w:firstLine="8"/>
        <w:spacing w:after="0" w:line="282"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2023,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91"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3, 2023</w:t>
      </w:r>
      <w:r>
        <w:rPr>
          <w:sz w:val="20"/>
          <w:szCs w:val="20"/>
          <w:color w:val="auto"/>
        </w:rPr>
        <w:tab/>
      </w:r>
      <w:r>
        <w:rPr>
          <w:rFonts w:ascii="Times New Roman" w:cs="Times New Roman" w:eastAsia="Times New Roman" w:hAnsi="Times New Roman"/>
          <w:sz w:val="17"/>
          <w:szCs w:val="17"/>
          <w:color w:val="auto"/>
        </w:rPr>
        <w:t>Aaron Berg</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(Interim Principal Executive Officer)</w:t>
      </w:r>
    </w:p>
    <w:p>
      <w:pPr>
        <w:spacing w:after="0" w:line="261"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3, 2023</w:t>
      </w:r>
      <w:r>
        <w:rPr>
          <w:sz w:val="20"/>
          <w:szCs w:val="20"/>
          <w:color w:val="auto"/>
        </w:rPr>
        <w:tab/>
      </w:r>
      <w:r>
        <w:rPr>
          <w:rFonts w:ascii="Times New Roman" w:cs="Times New Roman" w:eastAsia="Times New Roman" w:hAnsi="Times New Roman"/>
          <w:sz w:val="17"/>
          <w:szCs w:val="17"/>
          <w:color w:val="auto"/>
        </w:rPr>
        <w:t>Tom Reilly</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o"/>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3"/>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7" Type="http://schemas.openxmlformats.org/officeDocument/2006/relationships/image" Target="media/image179.png"/><Relationship Id="rId189"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186" Type="http://schemas.openxmlformats.org/officeDocument/2006/relationships/hyperlink" Target="https://www.sec.gov/Archives/edgar/data/897448/000095017023005336/amrn-ex10_44.htm" TargetMode="External"/><Relationship Id="rId188" Type="http://schemas.openxmlformats.org/officeDocument/2006/relationships/hyperlink" Target="https://www.sec.gov/Archives/edgar/data/897448/000095017023005336/amrn-ex10_45.htm" TargetMode="External"/><Relationship Id="rId190" Type="http://schemas.openxmlformats.org/officeDocument/2006/relationships/hyperlink" Target="https://www.sec.gov/Archives/edgar/data/897448/000095017023005336/amrn-ex10_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2023-05-03T06:10:57Z</dcterms:created>
  <dcterms:modified xsi:type="dcterms:W3CDTF">2023-05-03T06:10:57Z</dcterms:modified>
</cp:coreProperties>
</file>