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England and Wales</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360" w:type="dxa"/>
            <w:vAlign w:val="bottom"/>
          </w:tcPr>
          <w:p>
            <w:pPr>
              <w:jc w:val="center"/>
              <w:ind w:right="15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5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9"/>
              </w:rPr>
              <w:t>Incorporation or Organization)</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2 Pembroke House, Upper Pembroke Street 28-32</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92"/>
              </w:rPr>
              <w:t>Dublin 2, Ireland</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ind w:right="500"/>
        <w:spacing w:after="0" w:line="268" w:lineRule="auto"/>
        <w:rPr>
          <w:sz w:val="20"/>
          <w:szCs w:val="20"/>
          <w:color w:val="auto"/>
        </w:rPr>
      </w:pPr>
      <w:r>
        <w:rPr>
          <w:rFonts w:ascii="Arial" w:cs="Arial" w:eastAsia="Arial" w:hAnsi="Arial"/>
          <w:sz w:val="18"/>
          <w:szCs w:val="18"/>
          <w:color w:val="auto"/>
        </w:rPr>
        <w:t>174,146,088 shares held as American Depository Shares (ADS), each representing one Ordinary Share, 50 pence par value per share, and 464,363 ordinary shares, were outstanding as of November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spacing w:after="0"/>
              <w:rPr>
                <w:sz w:val="14"/>
                <w:szCs w:val="14"/>
                <w:color w:val="auto"/>
              </w:rPr>
            </w:pPr>
          </w:p>
        </w:tc>
        <w:tc>
          <w:tcPr>
            <w:tcW w:w="6580" w:type="dxa"/>
            <w:vAlign w:val="bottom"/>
            <w:gridSpan w:val="11"/>
            <w:vMerge w:val="restart"/>
          </w:tcPr>
          <w:p>
            <w:pPr>
              <w:jc w:val="center"/>
              <w:ind w:right="4160"/>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6580" w:type="dxa"/>
            <w:vAlign w:val="bottom"/>
            <w:gridSpan w:val="11"/>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00" w:type="dxa"/>
            <w:vAlign w:val="bottom"/>
            <w:tcBorders>
              <w:top w:val="single" w:sz="8" w:color="0000EE"/>
            </w:tcBorders>
            <w:gridSpan w:val="6"/>
          </w:tcPr>
          <w:p>
            <w:pPr>
              <w:spacing w:after="0"/>
              <w:rPr>
                <w:sz w:val="19"/>
                <w:szCs w:val="19"/>
                <w:color w:val="auto"/>
              </w:rPr>
            </w:pPr>
          </w:p>
        </w:tc>
        <w:tc>
          <w:tcPr>
            <w:tcW w:w="4180" w:type="dxa"/>
            <w:vAlign w:val="bottom"/>
            <w:gridSpan w:val="5"/>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6220" w:type="dxa"/>
            <w:vAlign w:val="bottom"/>
            <w:tcBorders>
              <w:bottom w:val="single" w:sz="8" w:color="0000EE"/>
            </w:tcBorders>
            <w:gridSpan w:val="13"/>
          </w:tcPr>
          <w:p>
            <w:pPr>
              <w:spacing w:after="0" w:line="184"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at September 30, 2014 and December 31, 2013</w:t>
              </w:r>
            </w:hyperlink>
          </w:p>
        </w:tc>
        <w:tc>
          <w:tcPr>
            <w:tcW w:w="3940" w:type="dxa"/>
            <w:vAlign w:val="bottom"/>
            <w:gridSpan w:val="4"/>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2014 and 2013</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Changes in Deficit at September 30, 2014</w:t>
              </w:r>
            </w:hyperlink>
          </w:p>
        </w:tc>
        <w:tc>
          <w:tcPr>
            <w:tcW w:w="2600" w:type="dxa"/>
            <w:vAlign w:val="bottom"/>
            <w:tcBorders>
              <w:top w:val="single" w:sz="8" w:color="0000EE"/>
            </w:tcBorders>
            <w:gridSpan w:val="6"/>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66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 for the nine months ended September 30, 2014 and 2013</w:t>
              </w:r>
            </w:hyperlink>
          </w:p>
        </w:tc>
        <w:tc>
          <w:tcPr>
            <w:tcW w:w="25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38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59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0000EE"/>
            </w:tcBorders>
            <w:gridSpan w:val="4"/>
          </w:tcPr>
          <w:p>
            <w:pPr>
              <w:jc w:val="center"/>
              <w:spacing w:after="0" w:line="196" w:lineRule="exact"/>
              <w:rPr>
                <w:rFonts w:ascii="Arial" w:cs="Arial" w:eastAsia="Arial" w:hAnsi="Arial"/>
                <w:sz w:val="18"/>
                <w:szCs w:val="18"/>
                <w:b w:val="1"/>
                <w:bCs w:val="1"/>
                <w:color w:val="0000EE"/>
                <w:w w:val="94"/>
              </w:rPr>
            </w:pPr>
            <w:hyperlink w:anchor="page45">
              <w:r>
                <w:rPr>
                  <w:rFonts w:ascii="Arial" w:cs="Arial" w:eastAsia="Arial" w:hAnsi="Arial"/>
                  <w:sz w:val="18"/>
                  <w:szCs w:val="18"/>
                  <w:b w:val="1"/>
                  <w:bCs w:val="1"/>
                  <w:color w:val="0000EE"/>
                  <w:w w:val="94"/>
                </w:rPr>
                <w:t>PART II – Other Information</w:t>
              </w:r>
            </w:hyperlink>
          </w:p>
        </w:tc>
        <w:tc>
          <w:tcPr>
            <w:tcW w:w="426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16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88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Exhibits</w:t>
              </w:r>
            </w:hyperlink>
          </w:p>
        </w:tc>
        <w:tc>
          <w:tcPr>
            <w:tcW w:w="280" w:type="dxa"/>
            <w:vAlign w:val="bottom"/>
            <w:tcBorders>
              <w:top w:val="single" w:sz="8" w:color="0000EE"/>
            </w:tcBorders>
          </w:tcPr>
          <w:p>
            <w:pPr>
              <w:spacing w:after="0"/>
              <w:rPr>
                <w:sz w:val="17"/>
                <w:szCs w:val="17"/>
                <w:color w:val="auto"/>
              </w:rPr>
            </w:pPr>
          </w:p>
        </w:tc>
        <w:tc>
          <w:tcPr>
            <w:tcW w:w="92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11040" w:type="dxa"/>
            <w:vAlign w:val="bottom"/>
            <w:gridSpan w:val="1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7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ind w:left="4040"/>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191,514</w:t>
            </w: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Inventory, current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11,886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115"/>
        </w:trPr>
        <w:tc>
          <w:tcPr>
            <w:tcW w:w="8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158,039</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74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7"/>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long-term</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Deferred tax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11,862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non-current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Intangible asset,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10,225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10,709</w:t>
            </w:r>
          </w:p>
        </w:tc>
        <w:tc>
          <w:tcPr>
            <w:tcW w:w="0" w:type="dxa"/>
            <w:vAlign w:val="bottom"/>
          </w:tcPr>
          <w:p>
            <w:pPr>
              <w:spacing w:after="0"/>
              <w:rPr>
                <w:sz w:val="1"/>
                <w:szCs w:val="1"/>
                <w:color w:val="auto"/>
              </w:rPr>
            </w:pPr>
          </w:p>
        </w:tc>
      </w:tr>
      <w:tr>
        <w:trPr>
          <w:trHeight w:val="115"/>
        </w:trPr>
        <w:tc>
          <w:tcPr>
            <w:tcW w:w="8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252,476</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2440"/>
              <w:spacing w:after="0"/>
              <w:rPr>
                <w:sz w:val="20"/>
                <w:szCs w:val="20"/>
                <w:color w:val="auto"/>
              </w:rPr>
            </w:pPr>
            <w:r>
              <w:rPr>
                <w:rFonts w:ascii="Arial" w:cs="Arial" w:eastAsia="Arial" w:hAnsi="Arial"/>
                <w:sz w:val="18"/>
                <w:szCs w:val="18"/>
                <w:b w:val="1"/>
                <w:bCs w:val="1"/>
                <w:color w:val="auto"/>
              </w:rPr>
              <w:t>LIABILITIES AND STOCKHOLDERS’ DEFICIT</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6,059</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12,974</w:t>
            </w: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Warrant derivative liability</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15,365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115"/>
        </w:trPr>
        <w:tc>
          <w:tcPr>
            <w:tcW w:w="8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37,540</w:t>
            </w:r>
          </w:p>
        </w:tc>
        <w:tc>
          <w:tcPr>
            <w:tcW w:w="0" w:type="dxa"/>
            <w:vAlign w:val="bottom"/>
          </w:tcPr>
          <w:p>
            <w:pPr>
              <w:spacing w:after="0"/>
              <w:rPr>
                <w:sz w:val="1"/>
                <w:szCs w:val="1"/>
                <w:color w:val="auto"/>
              </w:rPr>
            </w:pPr>
          </w:p>
        </w:tc>
      </w:tr>
      <w:tr>
        <w:trPr>
          <w:trHeight w:val="330"/>
        </w:trPr>
        <w:tc>
          <w:tcPr>
            <w:tcW w:w="8740" w:type="dxa"/>
            <w:vAlign w:val="bottom"/>
          </w:tcPr>
          <w:p>
            <w:pPr>
              <w:spacing w:after="0"/>
              <w:rPr>
                <w:sz w:val="20"/>
                <w:szCs w:val="20"/>
                <w:color w:val="auto"/>
              </w:rPr>
            </w:pPr>
            <w:r>
              <w:rPr>
                <w:rFonts w:ascii="Arial" w:cs="Arial" w:eastAsia="Arial" w:hAnsi="Arial"/>
                <w:sz w:val="18"/>
                <w:szCs w:val="18"/>
                <w:color w:val="auto"/>
              </w:rPr>
              <w:t>Long-Term Liabilities:</w:t>
            </w: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Exchangeable senior notes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149,317</w:t>
            </w: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89,152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87,717</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 derivative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115"/>
        </w:trPr>
        <w:tc>
          <w:tcPr>
            <w:tcW w:w="8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286,332</w:t>
            </w:r>
          </w:p>
        </w:tc>
        <w:tc>
          <w:tcPr>
            <w:tcW w:w="0" w:type="dxa"/>
            <w:vAlign w:val="bottom"/>
          </w:tcPr>
          <w:p>
            <w:pPr>
              <w:spacing w:after="0"/>
              <w:rPr>
                <w:sz w:val="1"/>
                <w:szCs w:val="1"/>
                <w:color w:val="auto"/>
              </w:rPr>
            </w:pPr>
          </w:p>
        </w:tc>
      </w:tr>
      <w:tr>
        <w:trPr>
          <w:trHeight w:val="329"/>
        </w:trPr>
        <w:tc>
          <w:tcPr>
            <w:tcW w:w="874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740" w:type="dxa"/>
            <w:vAlign w:val="bottom"/>
          </w:tcPr>
          <w:p>
            <w:pPr>
              <w:ind w:left="440"/>
              <w:spacing w:after="0"/>
              <w:rPr>
                <w:sz w:val="20"/>
                <w:szCs w:val="20"/>
                <w:color w:val="auto"/>
              </w:rPr>
            </w:pPr>
            <w:r>
              <w:rPr>
                <w:rFonts w:ascii="Arial" w:cs="Arial" w:eastAsia="Arial" w:hAnsi="Arial"/>
                <w:sz w:val="18"/>
                <w:szCs w:val="18"/>
                <w:color w:val="auto"/>
                <w:w w:val="92"/>
              </w:rPr>
              <w:t>Common stock, £0.50 par, unlimited authorized; 174,610,451 issued, 174,590,372 outstanding at September 30,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tcPr>
          <w:p>
            <w:pPr>
              <w:ind w:left="660"/>
              <w:spacing w:after="0"/>
              <w:rPr>
                <w:sz w:val="20"/>
                <w:szCs w:val="20"/>
                <w:color w:val="auto"/>
              </w:rPr>
            </w:pPr>
            <w:r>
              <w:rPr>
                <w:rFonts w:ascii="Arial" w:cs="Arial" w:eastAsia="Arial" w:hAnsi="Arial"/>
                <w:sz w:val="18"/>
                <w:szCs w:val="18"/>
                <w:color w:val="auto"/>
              </w:rPr>
              <w:t>2014; 172,691,063 issued, 172,670,984 outstanding at December 31, 2013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143,113</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141,477</w:t>
            </w:r>
          </w:p>
        </w:tc>
        <w:tc>
          <w:tcPr>
            <w:tcW w:w="0" w:type="dxa"/>
            <w:vAlign w:val="bottom"/>
          </w:tcPr>
          <w:p>
            <w:pPr>
              <w:spacing w:after="0"/>
              <w:rPr>
                <w:sz w:val="1"/>
                <w:szCs w:val="1"/>
                <w:color w:val="auto"/>
              </w:rPr>
            </w:pPr>
          </w:p>
        </w:tc>
      </w:tr>
      <w:tr>
        <w:trPr>
          <w:trHeight w:val="217"/>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738,754</w:t>
            </w:r>
          </w:p>
        </w:tc>
        <w:tc>
          <w:tcPr>
            <w:tcW w:w="0" w:type="dxa"/>
            <w:vAlign w:val="bottom"/>
          </w:tcPr>
          <w:p>
            <w:pPr>
              <w:spacing w:after="0"/>
              <w:rPr>
                <w:sz w:val="1"/>
                <w:szCs w:val="1"/>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Treasury stock; 20,079 shares at September 30, 2014 and December 31, 2013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(950,577)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(913,870)</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740" w:type="dxa"/>
            <w:vAlign w:val="bottom"/>
          </w:tcPr>
          <w:p>
            <w:pPr>
              <w:ind w:left="1300"/>
              <w:spacing w:after="0"/>
              <w:rPr>
                <w:sz w:val="20"/>
                <w:szCs w:val="20"/>
                <w:color w:val="auto"/>
              </w:rPr>
            </w:pPr>
            <w:r>
              <w:rPr>
                <w:rFonts w:ascii="Arial" w:cs="Arial" w:eastAsia="Arial" w:hAnsi="Arial"/>
                <w:sz w:val="18"/>
                <w:szCs w:val="18"/>
                <w:color w:val="auto"/>
              </w:rPr>
              <w:t>Total stockholders’ deficit</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(69,241)</w:t>
            </w: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116"/>
        </w:trPr>
        <w:tc>
          <w:tcPr>
            <w:tcW w:w="8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LIABILITIES AND STOCKHOLDERS’ DEFICIT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252,476</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87"/>
              </w:rPr>
              <w:t>Three months ended September 30,</w:t>
            </w:r>
          </w:p>
        </w:tc>
        <w:tc>
          <w:tcPr>
            <w:tcW w:w="22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1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14,149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330"/>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16,821</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(24,944)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(40,374)</w:t>
            </w:r>
          </w:p>
        </w:tc>
        <w:tc>
          <w:tcPr>
            <w:tcW w:w="18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(75,755)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(149,218)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taxes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(50,519)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(155,643)</w:t>
            </w: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1,635</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(1,285)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(36,707)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(150,816)</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Basic</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174,502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170,187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173,426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157,105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175,141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174,305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163,487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DEFICIT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Paid-</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Common Stock</w:t>
            </w:r>
          </w:p>
        </w:tc>
        <w:tc>
          <w:tcPr>
            <w:tcW w:w="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 Capital</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172,691,063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141,477</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$738,754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6"/>
              </w:rPr>
              <w:t>(217)</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 (913,870)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 (33,856)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234,500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w w:val="79"/>
              </w:rPr>
              <w:t>193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1,684,888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Reacquisition of conversion option in convertible notes</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(10,100)</w:t>
            </w:r>
          </w:p>
        </w:tc>
        <w:tc>
          <w:tcPr>
            <w:tcW w:w="14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Tax benefits realized from stock-based compensation</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Refund of equity issuance costs</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Loss for the period</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(36,707)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(36,707)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September 30, 2014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174,610,451</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143,113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738,440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(217)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 (950,577)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 xml:space="preserve"> (69,241)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2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(36,707)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stock-based awards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discount and debt issuance costs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Amortization of intangible asset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changes in fair value of derivative liabilities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Gain on extinguishment of debt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(38,034)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Shares issued for services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lease liability</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7000" w:type="dxa"/>
            <w:vAlign w:val="bottom"/>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(58,685)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(157,255)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Purchases of equipment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9"/>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Refund of equity issuance costs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Excess tax benefit from stock-based awards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00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216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191,514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260,242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135,435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225,885</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02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280"/>
              <w:spacing w:after="0"/>
              <w:rPr>
                <w:sz w:val="20"/>
                <w:szCs w:val="20"/>
                <w:color w:val="auto"/>
              </w:rPr>
            </w:pPr>
            <w:r>
              <w:rPr>
                <w:rFonts w:ascii="Arial" w:cs="Arial" w:eastAsia="Arial" w:hAnsi="Arial"/>
                <w:sz w:val="18"/>
                <w:szCs w:val="18"/>
                <w:color w:val="auto"/>
              </w:rPr>
              <w:t>Interest</w:t>
            </w:r>
          </w:p>
        </w:tc>
        <w:tc>
          <w:tcPr>
            <w:tcW w:w="2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8,622</w:t>
            </w:r>
          </w:p>
        </w:tc>
        <w:tc>
          <w:tcPr>
            <w:tcW w:w="2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w:t>
            </w:r>
          </w:p>
        </w:tc>
        <w:tc>
          <w:tcPr>
            <w:tcW w:w="2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items:</w:t>
            </w: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Reacquisition of conversion option in convertible notes</w:t>
            </w:r>
          </w:p>
        </w:tc>
        <w:tc>
          <w:tcPr>
            <w:tcW w:w="2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8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Company’s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500mg/dL) hypertriglyceridemia. Vascepa is available in the United States by prescription only. The Company began selling and marketing Vascepa in the United States in January 2013. 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The Company markets Vascepa through its sales force of approximately 150 sales professionals, including sales representatives and their managers. In March 2014, the Company entered into a co-promotion agreement with Kowa Pharmaceuticals America, Inc., or Kowa Pharmaceuticals America, under which approximately 250 Kowa Pharmaceuticals America sales representatives began to devote a substantial portion of their time to promoting Vascepa starting in May 2014 in conjunction with the promotion of Kowa Pharmaceutical America’s primary product, a branded statin for patients with high cholesterol. The Company operates in one business segment.</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is also developing Vascepa for potential additional indications for use. In particular, the Company is conducting a cardiovascular outcomes study of Vascepa, titled REDUCE-IT (Reduction of Cardiovascular Events with EPA – Intervention Trial). The REDUCE-IT study, the results of which are currently blinded to the Company, is designed to evaluate the efficacy of Vascepa in reducing major cardiovascular events in a high risk patient population on statin therapy.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2013, or the 2013 Form 10-K, filed with the SEC. The balance sheet amounts at December 31, 2013 in this report were derived from the Company’s audited 2013 consolidated financial statements included in the 2013 Form 10-K.</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condensed consolidated financial statements reflect all adjustments that, in the opinion of management, are necessary to present fairly the Company’s financial position, results of operations and cash flows for the periods indicated. The preparation of financial statements in conformity with U.S. Generally Accepted Accounting Principles, or GAAP, requires management to make estimates and assumptions that affect the reported amounts and classifications of assets and liabilities and disclosure of contingent assets and liabilities at the date of the financial statements and the reported amounts of revenues and expenses during the reporting period. The results of operations for the three and nine months ended September 30, 2014 and September 30, 2013, respectively, are not necessarily indicative of the results for the entire fiscal year or any future period.</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The Company’s business operations are focused on the commercialization and development of Vascepa, which received approval from the FDA in 2012 and for which the Company commenced marketing and sales in 2013. The consolidated financial statements include the accounts of the Company and its wholly-owned subsidiaries. All intercompany accounts and transactions have been eliminated in consolidation.</w:t>
      </w:r>
    </w:p>
    <w:p>
      <w:pPr>
        <w:spacing w:after="0" w:line="11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At September 30, 2014, the Company had cash and cash equivalents of $135.4 million. The Company’s consolidated balance sheets also include derivative liabilities (see Note 5—Warrants and Warrant Derivative Liability) as well as long term debt and exchangeable senior notes (see Note 6—Debt). The warrant derivative liability reflects the fair value of outstanding warrants to purchase shares of the Company’s common stock. The outstanding January 2012 exchangeable senior notes, or the 2012 Notes, and May 2014 exchangeable senior notes, or the 2014 Notes, may be redeemed on or after January 19, 2017 and January 19, 2019, respectively, at the option of the holders and it is not puttable by the holders prior to these dates except upon the occurrence of certain contingent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events. The 2012 Notes are exchangeable under certain circumstances into cash, American Depository Shares, or ADSs, or a combination of cash and ADSs, at the Company’s election. The 2014 Notes are exchangeable under certain circumstances into ADSs. Accordingly, the warrant derivative liability, long term debt and exchangeable senior notes do not present a short term claim on the liquid assets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w:t>
      </w:r>
    </w:p>
    <w:p>
      <w:pPr>
        <w:spacing w:after="0" w:line="287" w:lineRule="exact"/>
        <w:rPr>
          <w:sz w:val="20"/>
          <w:szCs w:val="20"/>
          <w:color w:val="auto"/>
        </w:rPr>
      </w:pPr>
    </w:p>
    <w:p>
      <w:pPr>
        <w:ind w:left="240" w:right="8600" w:hanging="232"/>
        <w:spacing w:after="0" w:line="347" w:lineRule="auto"/>
        <w:tabs>
          <w:tab w:leader="none" w:pos="45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u w:val="single" w:color="auto"/>
          <w:color w:val="auto"/>
        </w:rPr>
        <w:t>Use of Estimates</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Actual results could differ from those estimates.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commenced its commercial launch in the United States in January 2013. Prior to 2013, the Company recognized no revenue from Vascepa sales. In accordance with GAAP, until the Company had the ability to reliably estimate returns of Vascepa from its Distributors, revenue was recognized based on the resale of Vascepa for the purposes of filling patient prescriptions, and not based on sales from the Company to such Distributors. Beginning in January 2014, the Company concluded that it had developed sufficient history such that it can reliably estimate returns and as a result, began to recognize revenue based on sales to its Distributors. The change in revenue recognition methodology resulted in the recognition of previously deferred revenue. At December 31, 2013, the Company had deferred approximately $1.7 million in amounts billed to Distributors that was not recognized as revenue. This change in revenue recognition methodology resulted in the recognition of such deferred revenues in the three months ended March 31, 2014.</w:t>
      </w:r>
    </w:p>
    <w:p>
      <w:pPr>
        <w:spacing w:after="0" w:line="11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37"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pays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the Company’s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35"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87"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September 30, 2014, the Company had experienced a de minimis quantity of product returns.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42"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 In addition, as is customary prior to the launch of new drugs, the Company provided certain of its Distributors with financial incentives to begin stocking Vascepa prior to the Company’s commercial launch of Vascepa in order to ensure that Vascepa was readily available to fill patient prescriptions upon launch. Such incentives were only offered on purchases of initial launch quantities of Vascepa stocked by Distributors in January 2013. The amount of these financial incentives was recorded by the Company as a reduction to revenues on a pro-rata basis for each of the bottles subject to such financial incentives. The Company estimates that all of these initial launch quantities stocked by its primary Distributors in January 2013 were resold by such Distributors prior to December 31, 2013.</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in each of the product revenue allowance and reserve categories described above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Rebates,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Trade</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Chargebacks</w:t>
            </w: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Product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Returns</w:t>
            </w:r>
          </w:p>
        </w:tc>
        <w:tc>
          <w:tcPr>
            <w:tcW w:w="46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1"/>
              </w:rPr>
              <w:t>Incentives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168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Provision related to current period sales</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5,514</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8,335</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3,845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related to prior period sales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Credits/payments made for current period sales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(5,876)</w:t>
            </w:r>
          </w:p>
        </w:tc>
        <w:tc>
          <w:tcPr>
            <w:tcW w:w="14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(3,759)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Credits/payments made for prior period sales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2014</w:t>
            </w:r>
          </w:p>
        </w:tc>
        <w:tc>
          <w:tcPr>
            <w:tcW w:w="1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2,685</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60" w:type="dxa"/>
            <w:vAlign w:val="bottom"/>
            <w:vMerge w:val="restart"/>
          </w:tcPr>
          <w:p>
            <w:pPr>
              <w:jc w:val="right"/>
              <w:ind w:right="43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Rebates,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Trade</w:t>
            </w:r>
          </w:p>
        </w:tc>
        <w:tc>
          <w:tcPr>
            <w:tcW w:w="13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Product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Allowances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Returns</w:t>
            </w:r>
          </w:p>
        </w:tc>
        <w:tc>
          <w:tcPr>
            <w:tcW w:w="5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Incentives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Provision related to current period and deferred sales</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2,839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2,418</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Credits/payments made for current period and deferred sales</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(5,270)</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2013</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product revenue recognized and deferred during the nine months ended September 30, 2014 and 2013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60" w:type="dxa"/>
            <w:vAlign w:val="bottom"/>
            <w:gridSpan w:val="3"/>
          </w:tcPr>
          <w:p>
            <w:pPr>
              <w:ind w:left="1720"/>
              <w:spacing w:after="0"/>
              <w:rPr>
                <w:sz w:val="20"/>
                <w:szCs w:val="20"/>
                <w:color w:val="auto"/>
              </w:rPr>
            </w:pPr>
            <w:r>
              <w:rPr>
                <w:rFonts w:ascii="Arial" w:cs="Arial" w:eastAsia="Arial" w:hAnsi="Arial"/>
                <w:sz w:val="14"/>
                <w:szCs w:val="14"/>
                <w:b w:val="1"/>
                <w:bCs w:val="1"/>
                <w:color w:val="auto"/>
                <w:w w:val="85"/>
              </w:rPr>
              <w:t>September 30, 2014</w:t>
            </w:r>
          </w:p>
        </w:tc>
        <w:tc>
          <w:tcPr>
            <w:tcW w:w="2160" w:type="dxa"/>
            <w:vAlign w:val="bottom"/>
            <w:gridSpan w:val="4"/>
          </w:tcPr>
          <w:p>
            <w:pPr>
              <w:ind w:left="920"/>
              <w:spacing w:after="0"/>
              <w:rPr>
                <w:sz w:val="20"/>
                <w:szCs w:val="20"/>
                <w:color w:val="auto"/>
              </w:rPr>
            </w:pPr>
            <w:r>
              <w:rPr>
                <w:rFonts w:ascii="Arial" w:cs="Arial" w:eastAsia="Arial" w:hAnsi="Arial"/>
                <w:sz w:val="14"/>
                <w:szCs w:val="14"/>
                <w:b w:val="1"/>
                <w:bCs w:val="1"/>
                <w:color w:val="auto"/>
                <w:w w:val="93"/>
              </w:rPr>
              <w:t>September 30, 2013</w:t>
            </w: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 revenue recognized</w:t>
            </w:r>
          </w:p>
        </w:tc>
        <w:tc>
          <w:tcPr>
            <w:tcW w:w="17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19"/>
                <w:szCs w:val="19"/>
                <w:color w:val="auto"/>
              </w:rPr>
            </w:pPr>
          </w:p>
        </w:tc>
      </w:tr>
      <w:tr>
        <w:trPr>
          <w:trHeight w:val="216"/>
        </w:trPr>
        <w:tc>
          <w:tcPr>
            <w:tcW w:w="36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17,862</w:t>
            </w:r>
          </w:p>
        </w:tc>
        <w:tc>
          <w:tcPr>
            <w:tcW w:w="100" w:type="dxa"/>
            <w:vAlign w:val="bottom"/>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conjunction with the Company’s recognition and deferral of product revenues, the Company expensed and capitalized the associated cost of goods, as follows, during the nine months ended September 30, 2014 and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80" w:type="dxa"/>
            <w:vAlign w:val="bottom"/>
            <w:gridSpan w:val="3"/>
          </w:tcPr>
          <w:p>
            <w:pPr>
              <w:ind w:left="1240"/>
              <w:spacing w:after="0"/>
              <w:rPr>
                <w:sz w:val="20"/>
                <w:szCs w:val="20"/>
                <w:color w:val="auto"/>
              </w:rPr>
            </w:pPr>
            <w:r>
              <w:rPr>
                <w:rFonts w:ascii="Arial" w:cs="Arial" w:eastAsia="Arial" w:hAnsi="Arial"/>
                <w:sz w:val="14"/>
                <w:szCs w:val="14"/>
                <w:b w:val="1"/>
                <w:bCs w:val="1"/>
                <w:color w:val="auto"/>
                <w:w w:val="85"/>
              </w:rPr>
              <w:t>September 30, 2014</w:t>
            </w:r>
          </w:p>
        </w:tc>
        <w:tc>
          <w:tcPr>
            <w:tcW w:w="2220" w:type="dxa"/>
            <w:vAlign w:val="bottom"/>
            <w:gridSpan w:val="4"/>
          </w:tcPr>
          <w:p>
            <w:pPr>
              <w:ind w:left="980"/>
              <w:spacing w:after="0"/>
              <w:rPr>
                <w:sz w:val="20"/>
                <w:szCs w:val="20"/>
                <w:color w:val="auto"/>
              </w:rPr>
            </w:pPr>
            <w:r>
              <w:rPr>
                <w:rFonts w:ascii="Arial" w:cs="Arial" w:eastAsia="Arial" w:hAnsi="Arial"/>
                <w:sz w:val="14"/>
                <w:szCs w:val="14"/>
                <w:b w:val="1"/>
                <w:bCs w:val="1"/>
                <w:color w:val="auto"/>
                <w:w w:val="93"/>
              </w:rPr>
              <w:t>September 30, 2013</w:t>
            </w: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goods sold expensed</w:t>
            </w:r>
          </w:p>
        </w:tc>
        <w:tc>
          <w:tcPr>
            <w:tcW w:w="1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9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r>
      <w:tr>
        <w:trPr>
          <w:trHeight w:val="216"/>
        </w:trPr>
        <w:tc>
          <w:tcPr>
            <w:tcW w:w="40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10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Cash and cash equivalents consist of cash, deposits with banks, and short term highly liquid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Accounts Receivable</w:t>
      </w:r>
    </w:p>
    <w:p>
      <w:pPr>
        <w:spacing w:after="0" w:line="90"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Accounts receivable, comprised of trade receivables, are generally due within 30 days and are stated at amounts due from customers. The Company does not currently maintain an allowance for doubtful accounts and has not historically experienced any credit losses.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reduce the carrying value of such inventory to market value. The Company received FDA approval for Vascepa on July 26, 2012 and after that date began capitalizing inventory purchases of saleable product from approved suppliers. Until an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 The Company expenses inventory identified for use as marketing samples when they are packaged. The average cost reflects the actual purchase price of Vascepa API, as well as a portion of API carried at zero cost for material which was purchased prior to FDA approval of Vascepa or was purchased prior to the sNDA approval of the Company’s suppliers.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Company states property, plant and equipment at cost and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82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4"/>
              </w:rPr>
              <w:t>Useful Lives</w:t>
            </w:r>
          </w:p>
        </w:tc>
      </w:tr>
      <w:tr>
        <w:trPr>
          <w:trHeight w:val="203"/>
        </w:trPr>
        <w:tc>
          <w:tcPr>
            <w:tcW w:w="5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3 - 5 years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74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Lesser of useful life or lease term</w:t>
            </w:r>
          </w:p>
        </w:tc>
      </w:tr>
    </w:tbl>
    <w:p>
      <w:pPr>
        <w:spacing w:after="0" w:line="1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Intangible assets consist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The Company concluded that use of the straight-line method was appropriate as the majority of cash flows are expected to be generated over the estimated useful life and no degradation of the cash flows over time is currently anticipated.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Deferred revenue represents product shipments to Distributors for which the Company has invoiced the Distributors but not recognized as revenue because the product was not reported to the Company as having been resold for the purpose of filling prescriptions. Commencing on January 1, 2014, the Company recognizes revenue based on product shipments to its Distributors and as a result, no deferred revenue was recorded as of September 30, 2014.</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charges selling, general and administrative costs to operations as incurred. Selling, general and administrative costs include costs of salaries, programs and infrastructure necessary for the general conduct of the Company’s business, including the commercial launch of Vascepa in the United States for the MARINE indication. Included as part of selling, general and administrative costs is warrant related expense (income) from non-cash changes in the fair value of a derivative liability associated with warrants issued in October 2009 to former officers of Amarin which is recorded as compensation expense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 regularly assesses the realizability of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instrument. The long term debt redemption feature is valued using a probability-weighted model incorporating management estimates for potential change in control, and by determining the fair value of the debt with and without the change in control provision included.</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At settlement date, if the instruments are settled in shares, the carrying value of the warrants are derecognized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a derivative liability, for diluted earnings per share purposes, the impact of such gains is reversed and the treasury stock method is used to determine diluted earnings per share.</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calculation of net loss and the number of shares used to compute basic and diluted loss per share for the three and nine months ended September 30, 2014 and 2013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6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3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260" w:type="dxa"/>
            <w:vAlign w:val="bottom"/>
          </w:tcPr>
          <w:p>
            <w:pPr>
              <w:spacing w:after="0"/>
              <w:rPr>
                <w:sz w:val="12"/>
                <w:szCs w:val="12"/>
                <w:color w:val="auto"/>
              </w:rPr>
            </w:pPr>
          </w:p>
        </w:tc>
        <w:tc>
          <w:tcPr>
            <w:tcW w:w="13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13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gridSpan w:val="2"/>
          </w:tcPr>
          <w:p>
            <w:pPr>
              <w:jc w:val="right"/>
              <w:ind w:right="198"/>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08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4"/>
                <w:szCs w:val="14"/>
                <w:color w:val="auto"/>
              </w:rPr>
            </w:pPr>
          </w:p>
        </w:tc>
        <w:tc>
          <w:tcPr>
            <w:tcW w:w="8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loss—basic</w:t>
            </w:r>
          </w:p>
        </w:tc>
        <w:tc>
          <w:tcPr>
            <w:tcW w:w="1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(26,050)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(48,884)</w:t>
            </w:r>
          </w:p>
        </w:tc>
        <w:tc>
          <w:tcPr>
            <w:tcW w:w="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(36,707)</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(150,816)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Gain on warrant derivative liability</w:t>
            </w:r>
          </w:p>
        </w:tc>
        <w:tc>
          <w:tcPr>
            <w:tcW w:w="1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(4,392)</w:t>
            </w:r>
          </w:p>
        </w:tc>
        <w:tc>
          <w:tcPr>
            <w:tcW w:w="2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(6,773)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loss—diluted</w:t>
            </w:r>
          </w:p>
        </w:tc>
        <w:tc>
          <w:tcPr>
            <w:tcW w:w="1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(30,442)</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(48,884)</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(43,480)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loss per share—basic</w:t>
            </w:r>
          </w:p>
        </w:tc>
        <w:tc>
          <w:tcPr>
            <w:tcW w:w="2340" w:type="dxa"/>
            <w:vAlign w:val="bottom"/>
            <w:gridSpan w:val="3"/>
          </w:tcPr>
          <w:p>
            <w:pPr>
              <w:jc w:val="right"/>
              <w:ind w:right="240"/>
              <w:spacing w:after="0"/>
              <w:rPr>
                <w:sz w:val="20"/>
                <w:szCs w:val="20"/>
                <w:color w:val="auto"/>
              </w:rPr>
            </w:pPr>
            <w:r>
              <w:rPr>
                <w:rFonts w:ascii="Arial" w:cs="Arial" w:eastAsia="Arial" w:hAnsi="Arial"/>
                <w:sz w:val="18"/>
                <w:szCs w:val="18"/>
                <w:color w:val="auto"/>
              </w:rPr>
              <w:t>(0.15)</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(0.29)</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(0.21)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2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174,502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170,187</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173,426</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Effect of dilutive warrants</w:t>
            </w:r>
          </w:p>
        </w:tc>
        <w:tc>
          <w:tcPr>
            <w:tcW w:w="1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879</w:t>
            </w: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1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175,141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170,187</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174,305</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loss per share—diluted</w:t>
            </w:r>
          </w:p>
        </w:tc>
        <w:tc>
          <w:tcPr>
            <w:tcW w:w="2340" w:type="dxa"/>
            <w:vAlign w:val="bottom"/>
            <w:gridSpan w:val="3"/>
          </w:tcPr>
          <w:p>
            <w:pPr>
              <w:jc w:val="right"/>
              <w:ind w:right="240"/>
              <w:spacing w:after="0"/>
              <w:rPr>
                <w:sz w:val="20"/>
                <w:szCs w:val="20"/>
                <w:color w:val="auto"/>
              </w:rPr>
            </w:pPr>
            <w:r>
              <w:rPr>
                <w:rFonts w:ascii="Arial" w:cs="Arial" w:eastAsia="Arial" w:hAnsi="Arial"/>
                <w:sz w:val="18"/>
                <w:szCs w:val="18"/>
                <w:color w:val="auto"/>
              </w:rPr>
              <w:t>(0.17)</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(0.29)</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(0.25)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three and nine months ended September 30, 2014 and 2013, the following potentially dilutive securities were not included in the computation of net loss per share because the effect would be anti-dilutive: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0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420" w:type="dxa"/>
            <w:vAlign w:val="bottom"/>
            <w:gridSpan w:val="4"/>
          </w:tcPr>
          <w:p>
            <w:pPr>
              <w:ind w:left="60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508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September 30,</w:t>
            </w:r>
          </w:p>
        </w:tc>
      </w:tr>
      <w:tr>
        <w:trPr>
          <w:trHeight w:val="161"/>
        </w:trPr>
        <w:tc>
          <w:tcPr>
            <w:tcW w:w="5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820" w:type="dxa"/>
            <w:vAlign w:val="bottom"/>
          </w:tcPr>
          <w:p>
            <w:pPr>
              <w:jc w:val="right"/>
              <w:spacing w:after="0"/>
              <w:rPr>
                <w:sz w:val="20"/>
                <w:szCs w:val="20"/>
                <w:color w:val="auto"/>
              </w:rPr>
            </w:pPr>
            <w:r>
              <w:rPr>
                <w:rFonts w:ascii="Arial" w:cs="Arial" w:eastAsia="Arial" w:hAnsi="Arial"/>
                <w:sz w:val="18"/>
                <w:szCs w:val="18"/>
                <w:color w:val="auto"/>
              </w:rPr>
              <w:t>2,262</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824</w:t>
            </w:r>
          </w:p>
        </w:tc>
        <w:tc>
          <w:tcPr>
            <w:tcW w:w="6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2,262</w:t>
            </w:r>
          </w:p>
        </w:tc>
        <w:tc>
          <w:tcPr>
            <w:tcW w:w="82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5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6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Exchangeable senior notes (if converted)</w:t>
            </w:r>
          </w:p>
        </w:tc>
        <w:tc>
          <w:tcPr>
            <w:tcW w:w="820" w:type="dxa"/>
            <w:vAlign w:val="bottom"/>
          </w:tcPr>
          <w:p>
            <w:pPr>
              <w:jc w:val="right"/>
              <w:spacing w:after="0"/>
              <w:rPr>
                <w:sz w:val="20"/>
                <w:szCs w:val="20"/>
                <w:color w:val="auto"/>
              </w:rPr>
            </w:pPr>
            <w:r>
              <w:rPr>
                <w:rFonts w:ascii="Arial" w:cs="Arial" w:eastAsia="Arial" w:hAnsi="Arial"/>
                <w:sz w:val="18"/>
                <w:szCs w:val="18"/>
                <w:color w:val="auto"/>
              </w:rPr>
              <w:t>49,215</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17,021</w:t>
            </w:r>
          </w:p>
        </w:tc>
        <w:tc>
          <w:tcPr>
            <w:tcW w:w="680" w:type="dxa"/>
            <w:vAlign w:val="bottom"/>
          </w:tcPr>
          <w:p>
            <w:pPr>
              <w:spacing w:after="0"/>
              <w:rPr>
                <w:sz w:val="19"/>
                <w:szCs w:val="19"/>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49,215</w:t>
            </w:r>
          </w:p>
        </w:tc>
        <w:tc>
          <w:tcPr>
            <w:tcW w:w="820" w:type="dxa"/>
            <w:vAlign w:val="bottom"/>
          </w:tcPr>
          <w:p>
            <w:pPr>
              <w:jc w:val="right"/>
              <w:spacing w:after="0"/>
              <w:rPr>
                <w:sz w:val="20"/>
                <w:szCs w:val="20"/>
                <w:color w:val="auto"/>
              </w:rPr>
            </w:pPr>
            <w:r>
              <w:rPr>
                <w:rFonts w:ascii="Arial" w:cs="Arial" w:eastAsia="Arial" w:hAnsi="Arial"/>
                <w:sz w:val="18"/>
                <w:szCs w:val="18"/>
                <w:color w:val="auto"/>
              </w:rPr>
              <w:t>17,021</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Debt instruments are initially recorded at fair value, with coupon interest and amortization of debt issuance discounts recognized in the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both the 2012 Notes and 2014 Notes qualify for the exception from derivative accounting in accordance with ASC 815-40. The 2012 Notes may be settled, at the Company’s discretion, in any combination of ADSs or cash upon conversion and have been accounted for in accordance with ASC 470-20. Under ASC 470-20, the fair value of the liability component of the 2012 Notes was determined and deducted from the initial proceeds to determine the proceeds allocated to the conversion option, which has been recorded in equity. The difference between the initial fair value of the liability component and the amount repayable was amortized over the expected term of the instrument. The conversion feature in the 2014 Notes may only be settled in ADSs upon conversion and has been accounted for as part of the debt host.</w:t>
      </w:r>
    </w:p>
    <w:p>
      <w:pPr>
        <w:spacing w:after="0" w:line="108"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The conversion options in both the 2012 Notes and 2014 Notes continue to be evaluated on a quarterly basis to determine if they still receive an exception from derivative accounting in accordance with ASC 815-40. The 2014 Notes were recognized initially at fair value as part of an extinguishment of a portion of the</w:t>
      </w:r>
    </w:p>
    <w:p>
      <w:pPr>
        <w:spacing w:after="0" w:line="261" w:lineRule="auto"/>
        <w:rPr>
          <w:sz w:val="20"/>
          <w:szCs w:val="20"/>
          <w:color w:val="auto"/>
        </w:rPr>
      </w:pPr>
      <w:r>
        <w:rPr>
          <w:rFonts w:ascii="Arial" w:cs="Arial" w:eastAsia="Arial" w:hAnsi="Arial"/>
          <w:sz w:val="18"/>
          <w:szCs w:val="18"/>
          <w:color w:val="auto"/>
        </w:rPr>
        <w:t>2012 Notes (see further discussion in Note 6). As a result, the debt was initially recognized at a discount of $27.9 million. This discount will be amortized through interest expense over the expected term of the note.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cost over the requisite service period. Equity awards granted for which the grant date fair value is not determinable are marked to fair value each reporting period over the requisite service period.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8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and 96% of gross product sales for the nine months ending September 30, 2014 and 2013, respectively and represented 96% and 98% of the gross accounts receivable balance as of September 30, 2014 and September 30, 2013,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All subsidiaries use the United States dollar as their functional currency. Monetary assets and liabilities denominated in a foreign currency are remeasured into United States dollars at period-end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 The Company periodically uses foreign exchange forward contracts to hedge against changes in exchange rates for inventory purchases denominated in foreign currency. As of September 30, 2014 and December 31, 2013, there were no outstanding foreign exchange contracts.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Debt issuance costs are initially capitalized as a deferred cost within other non-current assets and amortized to interest expense using the effective interest method over the expected term of the related debt. Unamortized debt issuance costs related to extinguishment of debt are expensed at the time the debt is extinguished and recorded in other (expense) income, net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following table presents information about the Company’s assets and liabilities as of September 30, 2014 and December 31, 2013 that are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85"/>
              </w:rPr>
              <w:t>September 30, 2014</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Total</w:t>
            </w:r>
          </w:p>
        </w:tc>
        <w:tc>
          <w:tcPr>
            <w:tcW w:w="920" w:type="dxa"/>
            <w:vAlign w:val="bottom"/>
            <w:gridSpan w:val="5"/>
          </w:tcPr>
          <w:p>
            <w:pPr>
              <w:ind w:left="400"/>
              <w:spacing w:after="0" w:line="142" w:lineRule="exact"/>
              <w:rPr>
                <w:sz w:val="20"/>
                <w:szCs w:val="20"/>
                <w:color w:val="auto"/>
              </w:rPr>
            </w:pPr>
            <w:r>
              <w:rPr>
                <w:rFonts w:ascii="Arial" w:cs="Arial" w:eastAsia="Arial" w:hAnsi="Arial"/>
                <w:sz w:val="14"/>
                <w:szCs w:val="14"/>
                <w:b w:val="1"/>
                <w:bCs w:val="1"/>
                <w:color w:val="auto"/>
              </w:rPr>
              <w:t>Level 1</w:t>
            </w:r>
          </w:p>
        </w:tc>
        <w:tc>
          <w:tcPr>
            <w:tcW w:w="86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w w:val="92"/>
              </w:rPr>
              <w:t>Level 2</w:t>
            </w: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Cash equivalents—money markets</w:t>
            </w:r>
          </w:p>
        </w:tc>
        <w:tc>
          <w:tcPr>
            <w:tcW w:w="14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$ 65.1</w:t>
            </w:r>
          </w:p>
        </w:tc>
        <w:tc>
          <w:tcPr>
            <w:tcW w:w="100" w:type="dxa"/>
            <w:vAlign w:val="bottom"/>
          </w:tcPr>
          <w:p>
            <w:pPr>
              <w:spacing w:after="0"/>
              <w:rPr>
                <w:sz w:val="18"/>
                <w:szCs w:val="18"/>
                <w:color w:val="auto"/>
              </w:rPr>
            </w:pPr>
          </w:p>
        </w:tc>
        <w:tc>
          <w:tcPr>
            <w:tcW w:w="860" w:type="dxa"/>
            <w:vAlign w:val="bottom"/>
            <w:gridSpan w:val="4"/>
          </w:tcPr>
          <w:p>
            <w:pPr>
              <w:ind w:left="400"/>
              <w:spacing w:after="0"/>
              <w:rPr>
                <w:sz w:val="20"/>
                <w:szCs w:val="20"/>
                <w:color w:val="auto"/>
              </w:rPr>
            </w:pPr>
            <w:r>
              <w:rPr>
                <w:rFonts w:ascii="Arial" w:cs="Arial" w:eastAsia="Arial" w:hAnsi="Arial"/>
                <w:sz w:val="18"/>
                <w:szCs w:val="18"/>
                <w:color w:val="auto"/>
              </w:rPr>
              <w:t>$ —</w:t>
            </w:r>
          </w:p>
        </w:tc>
        <w:tc>
          <w:tcPr>
            <w:tcW w:w="940" w:type="dxa"/>
            <w:vAlign w:val="bottom"/>
            <w:gridSpan w:val="4"/>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Warrant derivative liability</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20" w:type="dxa"/>
            <w:vAlign w:val="bottom"/>
            <w:gridSpan w:val="5"/>
          </w:tcPr>
          <w:p>
            <w:pPr>
              <w:ind w:left="400"/>
              <w:spacing w:after="0"/>
              <w:rPr>
                <w:sz w:val="20"/>
                <w:szCs w:val="20"/>
                <w:color w:val="auto"/>
              </w:rPr>
            </w:pPr>
            <w:r>
              <w:rPr>
                <w:rFonts w:ascii="Arial" w:cs="Arial" w:eastAsia="Arial" w:hAnsi="Arial"/>
                <w:sz w:val="18"/>
                <w:szCs w:val="18"/>
                <w:color w:val="auto"/>
              </w:rPr>
              <w:t>$ —</w:t>
            </w:r>
          </w:p>
        </w:tc>
        <w:tc>
          <w:tcPr>
            <w:tcW w:w="860" w:type="dxa"/>
            <w:vAlign w:val="bottom"/>
            <w:gridSpan w:val="4"/>
          </w:tcPr>
          <w:p>
            <w:pPr>
              <w:ind w:left="400"/>
              <w:spacing w:after="0"/>
              <w:rPr>
                <w:sz w:val="20"/>
                <w:szCs w:val="20"/>
                <w:color w:val="auto"/>
              </w:rPr>
            </w:pPr>
            <w:r>
              <w:rPr>
                <w:rFonts w:ascii="Arial" w:cs="Arial" w:eastAsia="Arial" w:hAnsi="Arial"/>
                <w:sz w:val="18"/>
                <w:szCs w:val="18"/>
                <w:color w:val="auto"/>
              </w:rPr>
              <w:t>$ —</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derivative liabilities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8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5"/>
              </w:rPr>
              <w:t>December 31, 2013</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4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3"/>
              </w:rPr>
              <w:t>Total</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88"/>
              </w:rPr>
              <w:t>Level 1</w:t>
            </w:r>
          </w:p>
        </w:tc>
        <w:tc>
          <w:tcPr>
            <w:tcW w:w="400" w:type="dxa"/>
            <w:vAlign w:val="bottom"/>
          </w:tcPr>
          <w:p>
            <w:pPr>
              <w:spacing w:after="0"/>
              <w:rPr>
                <w:sz w:val="12"/>
                <w:szCs w:val="12"/>
                <w:color w:val="auto"/>
              </w:rPr>
            </w:pPr>
          </w:p>
        </w:tc>
        <w:tc>
          <w:tcPr>
            <w:tcW w:w="4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8"/>
              </w:rPr>
              <w:t>Level 2</w:t>
            </w: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w:t>
            </w:r>
          </w:p>
        </w:tc>
        <w:tc>
          <w:tcPr>
            <w:tcW w:w="28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Cash equivalents—money markets</w:t>
            </w:r>
          </w:p>
        </w:tc>
        <w:tc>
          <w:tcPr>
            <w:tcW w:w="11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113.5</w:t>
            </w:r>
          </w:p>
        </w:tc>
        <w:tc>
          <w:tcPr>
            <w:tcW w:w="920" w:type="dxa"/>
            <w:vAlign w:val="bottom"/>
            <w:gridSpan w:val="5"/>
          </w:tcPr>
          <w:p>
            <w:pPr>
              <w:ind w:left="4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113.5</w:t>
            </w:r>
          </w:p>
        </w:tc>
        <w:tc>
          <w:tcPr>
            <w:tcW w:w="400" w:type="dxa"/>
            <w:vAlign w:val="bottom"/>
          </w:tcPr>
          <w:p>
            <w:pPr>
              <w:spacing w:after="0"/>
              <w:rPr>
                <w:sz w:val="18"/>
                <w:szCs w:val="18"/>
                <w:color w:val="auto"/>
              </w:rPr>
            </w:pPr>
          </w:p>
        </w:tc>
        <w:tc>
          <w:tcPr>
            <w:tcW w:w="4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940" w:type="dxa"/>
            <w:vAlign w:val="bottom"/>
            <w:gridSpan w:val="4"/>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Warrant derivative liability</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derivative liability</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$ 11.1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The carrying amounts of cash, cash equivalents, accounts payable and accrued liabilities approximate fair value because of their short-term nature. The estimated fair value of debt is based on the Level 1 quoted prices for the exchangeable senior notes and based on Level 3 inputs for the remainder of the Company’s long-term debt. The carrying amounts and the estimated fair values of debt instruments as of September 30, 2014 and December 31, 2013, are as follows:</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 2014</w:t>
            </w: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 2013</w:t>
            </w:r>
          </w:p>
        </w:tc>
      </w:tr>
      <w:tr>
        <w:trPr>
          <w:trHeight w:val="149"/>
        </w:trPr>
        <w:tc>
          <w:tcPr>
            <w:tcW w:w="4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Carrying</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r>
      <w:tr>
        <w:trPr>
          <w:trHeight w:val="161"/>
        </w:trPr>
        <w:tc>
          <w:tcPr>
            <w:tcW w:w="4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debt—December 2012 financing</w:t>
            </w:r>
          </w:p>
        </w:tc>
        <w:tc>
          <w:tcPr>
            <w:tcW w:w="2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$89,152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$ 79,400</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$ 87,717</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2012 Notes</w:t>
            </w:r>
          </w:p>
        </w:tc>
        <w:tc>
          <w:tcPr>
            <w:tcW w:w="3100" w:type="dxa"/>
            <w:vAlign w:val="bottom"/>
            <w:gridSpan w:val="3"/>
          </w:tcPr>
          <w:p>
            <w:pPr>
              <w:jc w:val="right"/>
              <w:ind w:right="240"/>
              <w:spacing w:after="0"/>
              <w:rPr>
                <w:sz w:val="20"/>
                <w:szCs w:val="20"/>
                <w:color w:val="auto"/>
              </w:rPr>
            </w:pPr>
            <w:r>
              <w:rPr>
                <w:rFonts w:ascii="Arial" w:cs="Arial" w:eastAsia="Arial" w:hAnsi="Arial"/>
                <w:sz w:val="18"/>
                <w:szCs w:val="18"/>
                <w:color w:val="auto"/>
              </w:rPr>
              <w:t>31,266</w:t>
            </w: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24,100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149,317</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106,600</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2014 Notes</w:t>
            </w:r>
          </w:p>
        </w:tc>
        <w:tc>
          <w:tcPr>
            <w:tcW w:w="3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89,221</w:t>
            </w:r>
          </w:p>
        </w:tc>
        <w:tc>
          <w:tcPr>
            <w:tcW w:w="13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78,700</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511"/>
        </w:trPr>
        <w:tc>
          <w:tcPr>
            <w:tcW w:w="4140" w:type="dxa"/>
            <w:vAlign w:val="bottom"/>
          </w:tcPr>
          <w:p>
            <w:pPr>
              <w:spacing w:after="0"/>
              <w:rPr>
                <w:sz w:val="24"/>
                <w:szCs w:val="24"/>
                <w:color w:val="auto"/>
              </w:rPr>
            </w:pPr>
          </w:p>
        </w:tc>
        <w:tc>
          <w:tcPr>
            <w:tcW w:w="2280" w:type="dxa"/>
            <w:vAlign w:val="bottom"/>
          </w:tcPr>
          <w:p>
            <w:pPr>
              <w:jc w:val="right"/>
              <w:ind w:right="992"/>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carrying value of the 2012 Notes at September 30, 2014 and December 31, 2013 includes a debt discount of zero and $0.7 million, respectively, which is being amortized as non-cash interest expense over the expected term of the 2012 Notes. The carrying value of the 2014 Notes at September 30, 2014 includes a debt discount of $29.5 million which is being amortized as non-cash interest expense over the expected term of the 2014 Notes. The change in the estimated fair values of these liabilities from December 31, 2013 to September 30, 2014 is largely related to the issuance of the 2014 Notes and the quoted bond prices.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Warrant Derivative Liability</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September 30, 2014, the fair value of the warrant derivative liability was determined to be $0.1 million using the Black-Scholes option valuation model applying the following assumptions: (i) risk-free rate of 0.02%, (ii) remaining term of 0.04 years, (iii) no dividend yield, (iv) volatility of 123% and (v) the stock price on the date of measurement. As of December 31, 2013, the fair value of the warrant derivative liability was determined to be $6.9 million using the Black-Scholes option valuation applying the following assumptions: (i) risk-free rate of 0.12%, (ii) remaining term of 0.8 years, (iii) no dividend yield, (iv) volatility of 99% and (v) the stock price on the date of measurement. The $6.8 million decrease in the fair value of the warrant liability during the nine months ended September 30, 2014 was recognized as: (i) a $6.3 million gain on change in fair value of the remaining derivative liability and (ii) $0.5 million in compensation income for change in fair value of warrants issued to former employees. Both amounts are included in the consolidated statement of operations for the nine months ended September 30, 2014. The fair value of this warrant liability is determined using the Black-Scholes option valuation model and is therefore sensitive to changes in the market price and volatility of the Company’s common stock among other factors. In the event of a hypothetical 10% increase in the market price of the Company’s common shares ($1.20 based on the $1.09 market price of the stock at September 30, 2014) on which the September 30, 2014 valuation was based, the value of the derivative liability would have increased by $0.1 million. Such increase would have been reflected as additional loss on change in fair value of derivative liabilities within the statement of operations. Significant increases (decreases) in this input in isolation would result in a significantly higher (lower) fair value asset measurement.</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 Term Debt Derivative Liabilities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December 2012 financing agreement with BioPharma Secured Debt Fund II Holdings Cayman LP (discussed in Note 6 below) contains a redemption feature whereby,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for potential change in control, and by determining the fair value of the debt with and without the change in control provision included. The difference between the two was determined to be the fair value of the embedded derivative. At September 30, 2014, the fair value of the derivative was determined to be $4.6 million, and the debt was valued by comparing debt issues of similar companies with (i) remaining terms of between 2.5 and 3.9 years, (ii) coupon rates of between 9.8% and 10.8% and (iii) market yields of between 8.9% and 17.2%. The Company recognized a $6.5 million gain on change in fair value of derivative liability for the nine months ended September 30, 2014. The Company recognized a $7.4 million gain on change in fair value of derivative liability for the nine months ended September 30, 2013. At December 31, 2013, the fair value of the derivative was determined to be $11.1 million, and the debt was valued by comparing debt issues of similar companies with (i) remaining terms of between 3.3 and 6.6 years, (ii) coupon rates of between 9.9% and 12.5% and (iii) market yields of between 9.0% and 29.4%.</w:t>
      </w:r>
    </w:p>
    <w:p>
      <w:pPr>
        <w:spacing w:after="0" w:line="121"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The Company’s 2014 Notes contain a redemption feature whereby, upon occurrence of a change in control, the Company would be required to repurchase the notes. The Company determined this redemption feature to be an embedded derivative, requiring bifurcation in accordance with ASC 815. The derivative is carried at fair value and is classified as Level 3 in the fair value hierarchy due to the use of significant unobservable inputs.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September 30, 2014, the fair value of the derivative was determined to be $4.4 million, and the debt was valued by using</w:t>
      </w:r>
    </w:p>
    <w:p>
      <w:pPr>
        <w:spacing w:after="0" w:line="1" w:lineRule="exact"/>
        <w:rPr>
          <w:sz w:val="20"/>
          <w:szCs w:val="20"/>
          <w:color w:val="auto"/>
        </w:rPr>
      </w:pPr>
    </w:p>
    <w:p>
      <w:pPr>
        <w:ind w:right="160" w:firstLine="8"/>
        <w:spacing w:after="0" w:line="261"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remaining term of the notes, (ii) a bond yield of 22.6%, (iii) a risk-free interest rate of 3.2% and (iv) volatility of 83.0%. The Company recognized a $0.9 million loss on change in fair value of derivative liability for the nine months ended September 30,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is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October</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Long-Term Debt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Derivative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Warrants</w:t>
            </w:r>
          </w:p>
        </w:tc>
        <w:tc>
          <w:tcPr>
            <w:tcW w:w="14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Liabilities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11,100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17,994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Record initial fair value of derivative liability on 2014 senior notes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(6,270)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w w:val="98"/>
              </w:rPr>
              <w:t>Compensation income for change in fair value of warrants issued to</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former employees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2014</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980" w:type="dxa"/>
            <w:vAlign w:val="bottom"/>
            <w:gridSpan w:val="2"/>
          </w:tcPr>
          <w:p>
            <w:pPr>
              <w:jc w:val="center"/>
              <w:ind w:right="320"/>
              <w:spacing w:after="0" w:line="136" w:lineRule="exact"/>
              <w:rPr>
                <w:sz w:val="20"/>
                <w:szCs w:val="20"/>
                <w:color w:val="auto"/>
              </w:rPr>
            </w:pPr>
            <w:r>
              <w:rPr>
                <w:rFonts w:ascii="Arial" w:cs="Arial" w:eastAsia="Arial" w:hAnsi="Arial"/>
                <w:sz w:val="14"/>
                <w:szCs w:val="14"/>
                <w:b w:val="1"/>
                <w:bCs w:val="1"/>
                <w:color w:val="auto"/>
                <w:w w:val="85"/>
              </w:rPr>
              <w:t>October</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Long-Term Debt</w:t>
            </w:r>
          </w:p>
        </w:tc>
        <w:tc>
          <w:tcPr>
            <w:tcW w:w="140" w:type="dxa"/>
            <w:vAlign w:val="bottom"/>
          </w:tcPr>
          <w:p>
            <w:pPr>
              <w:spacing w:after="0"/>
              <w:rPr>
                <w:sz w:val="11"/>
                <w:szCs w:val="11"/>
                <w:color w:val="auto"/>
              </w:rPr>
            </w:pPr>
          </w:p>
        </w:tc>
        <w:tc>
          <w:tcPr>
            <w:tcW w:w="1160" w:type="dxa"/>
            <w:vAlign w:val="bottom"/>
            <w:gridSpan w:val="2"/>
          </w:tcPr>
          <w:p>
            <w:pPr>
              <w:jc w:val="center"/>
              <w:ind w:right="460"/>
              <w:spacing w:after="0" w:line="136" w:lineRule="exact"/>
              <w:rPr>
                <w:sz w:val="20"/>
                <w:szCs w:val="20"/>
                <w:color w:val="auto"/>
              </w:rPr>
            </w:pPr>
            <w:r>
              <w:rPr>
                <w:rFonts w:ascii="Arial" w:cs="Arial" w:eastAsia="Arial" w:hAnsi="Arial"/>
                <w:sz w:val="14"/>
                <w:szCs w:val="14"/>
                <w:b w:val="1"/>
                <w:bCs w:val="1"/>
                <w:color w:val="auto"/>
                <w:w w:val="89"/>
              </w:rPr>
              <w:t>Foreign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Exchange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Warrants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Liability</w:t>
            </w:r>
          </w:p>
        </w:tc>
        <w:tc>
          <w:tcPr>
            <w:tcW w:w="14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Contracts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$ 54,854</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14,577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69,431</w:t>
            </w:r>
          </w:p>
        </w:tc>
        <w:tc>
          <w:tcPr>
            <w:tcW w:w="0" w:type="dxa"/>
            <w:vAlign w:val="bottom"/>
          </w:tcPr>
          <w:p>
            <w:pPr>
              <w:spacing w:after="0"/>
              <w:rPr>
                <w:sz w:val="1"/>
                <w:szCs w:val="1"/>
                <w:color w:val="auto"/>
              </w:rPr>
            </w:pPr>
          </w:p>
        </w:tc>
      </w:tr>
      <w:tr>
        <w:trPr>
          <w:trHeight w:val="322"/>
        </w:trPr>
        <w:tc>
          <w:tcPr>
            <w:tcW w:w="5320" w:type="dxa"/>
            <w:vAlign w:val="bottom"/>
            <w:gridSpan w:val="2"/>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(14,077)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(7,377)</w:t>
            </w:r>
          </w:p>
        </w:tc>
        <w:tc>
          <w:tcPr>
            <w:tcW w:w="14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8"/>
              </w:rPr>
              <w:t>Compensation income for change in fair value of warrants issued to</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former employees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(1,179)</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331"/>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2013</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$ 39,598</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7,200</w:t>
            </w:r>
          </w:p>
        </w:tc>
        <w:tc>
          <w:tcPr>
            <w:tcW w:w="6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47,193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 maker, who is the Chief Executive Officer, comprehensively manages the business. Accordingly, the Company does not have separately reportable segments.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considered the following recent accounting pronouncements which were not yet adopted as of September 30, 2014:</w:t>
      </w:r>
    </w:p>
    <w:p>
      <w:pPr>
        <w:spacing w:after="0" w:line="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(Topic 606).” This amendment provides principles for recognizing revenue for the transfer of promised goods or services to customers with the consideration to which the entity expects to be entitled in exchange for those goods or services. This amendment will be effective for the Company’s fiscal year beginning January 1, 2017. Early adoption is not permitted. The Company is currently evaluating the accounting, transition and disclosure requirements of the standard and cannot currently estimate the financial statement impact of adoption.</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Company is required to adopt this standard in the first quarter of fiscal 2016 and early adoption is permitted. This standard will not have an impact on the Company’s condensed consolidated financial statements.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2014, the FASB issued ASU No. 2014-15, Presentation of Financial Statements—Going Concern, Disclosure of Uncertainties about an Entity’s Ability to Continue as a Going Concern (Subtopic 205-40). ASU 2014-15 requires management to assess an entity’s ability to continue as a 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the fiscal years ending after December 15, 2016, and for annual periods and interim periods thereafter. Early application is permitted. The Company is currently evaluating the accounting, transition and disclosure requirements of the standard and cannot currently estimate the financial statement impact of adoption.</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Intangible assets consist of technology rights for Vascepa and have an estimated remaining useful life of 15.8 years. The carrying value as of September 30, 2014 and December 31, 2013 is as follows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400" w:type="dxa"/>
            <w:vAlign w:val="bottom"/>
            <w:gridSpan w:val="4"/>
          </w:tcPr>
          <w:p>
            <w:pPr>
              <w:ind w:left="1740"/>
              <w:spacing w:after="0"/>
              <w:rPr>
                <w:sz w:val="20"/>
                <w:szCs w:val="20"/>
                <w:color w:val="auto"/>
              </w:rPr>
            </w:pPr>
            <w:r>
              <w:rPr>
                <w:rFonts w:ascii="Arial" w:cs="Arial" w:eastAsia="Arial" w:hAnsi="Arial"/>
                <w:sz w:val="14"/>
                <w:szCs w:val="14"/>
                <w:b w:val="1"/>
                <w:bCs w:val="1"/>
                <w:color w:val="auto"/>
              </w:rPr>
              <w:t>September 30, 2014</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rights</w:t>
            </w:r>
          </w:p>
        </w:tc>
        <w:tc>
          <w:tcPr>
            <w:tcW w:w="1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(1,399)</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r>
      <w:tr>
        <w:trPr>
          <w:trHeight w:val="27"/>
        </w:trPr>
        <w:tc>
          <w:tcPr>
            <w:tcW w:w="3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120" w:type="dxa"/>
            <w:vAlign w:val="bottom"/>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After approval of Vascepa on July 26, 2012 by the FDA, the Company began capitalizing its purchases of saleable inventory of Vascepa from suppliers that have been qualified by the FDA. Inventories consist of the following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20" w:type="dxa"/>
            <w:vAlign w:val="bottom"/>
            <w:gridSpan w:val="3"/>
          </w:tcPr>
          <w:p>
            <w:pPr>
              <w:ind w:left="1280"/>
              <w:spacing w:after="0"/>
              <w:rPr>
                <w:sz w:val="20"/>
                <w:szCs w:val="20"/>
                <w:color w:val="auto"/>
              </w:rPr>
            </w:pPr>
            <w:r>
              <w:rPr>
                <w:rFonts w:ascii="Arial" w:cs="Arial" w:eastAsia="Arial" w:hAnsi="Arial"/>
                <w:sz w:val="14"/>
                <w:szCs w:val="14"/>
                <w:b w:val="1"/>
                <w:bCs w:val="1"/>
                <w:color w:val="auto"/>
                <w:w w:val="85"/>
              </w:rPr>
              <w:t>September 30, 2014</w:t>
            </w:r>
          </w:p>
        </w:tc>
        <w:tc>
          <w:tcPr>
            <w:tcW w:w="2140" w:type="dxa"/>
            <w:vAlign w:val="bottom"/>
            <w:gridSpan w:val="4"/>
          </w:tcPr>
          <w:p>
            <w:pPr>
              <w:ind w:left="940"/>
              <w:spacing w:after="0"/>
              <w:rPr>
                <w:sz w:val="20"/>
                <w:szCs w:val="20"/>
                <w:color w:val="auto"/>
              </w:rPr>
            </w:pPr>
            <w:r>
              <w:rPr>
                <w:rFonts w:ascii="Arial" w:cs="Arial" w:eastAsia="Arial" w:hAnsi="Arial"/>
                <w:sz w:val="14"/>
                <w:szCs w:val="14"/>
                <w:b w:val="1"/>
                <w:bCs w:val="1"/>
                <w:color w:val="auto"/>
                <w:w w:val="93"/>
              </w:rPr>
              <w:t>December 31, 2013</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current</w:t>
            </w:r>
          </w:p>
        </w:tc>
        <w:tc>
          <w:tcPr>
            <w:tcW w:w="1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9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 in process</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3,308</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 current</w:t>
            </w:r>
          </w:p>
        </w:tc>
        <w:tc>
          <w:tcPr>
            <w:tcW w:w="1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9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w:t>
            </w:r>
          </w:p>
        </w:tc>
        <w:tc>
          <w:tcPr>
            <w:tcW w:w="100" w:type="dxa"/>
            <w:vAlign w:val="bottom"/>
            <w:shd w:val="clear" w:color="auto" w:fill="CCEEFF"/>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Raw materials, long-term</w:t>
            </w:r>
          </w:p>
        </w:tc>
        <w:tc>
          <w:tcPr>
            <w:tcW w:w="1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16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Warrant Derivative Liability</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had 8,087,388 warrants to purchase common shares outstanding at September 30, 2014 at a weighted-average exercise price of $1.50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 Derivative Liability</w:t>
      </w:r>
    </w:p>
    <w:p>
      <w:pPr>
        <w:spacing w:after="0" w:line="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officers.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4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derivative liability to additional paid-in 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1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As of September 30, 2014, October 2009 warrants remained outstanding to purchase up to an aggregate of 8,087,388 of the ordinary shares of the Company at $1.50 per share. In October 2014, the Company and the holders of the remaining October 2009 Warrants mutually agreed to extend the expiration date of such warrants from October 16, 2014 to February 27, 2015.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July 2009 Warrants</w:t>
      </w:r>
    </w:p>
    <w:p>
      <w:pPr>
        <w:spacing w:after="0" w:line="90"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The Company issued several warrants in July 2009. As of September 30, 2014, there are no July 2009 warrants outstanding, while at December 31, 2013 these warrants were classified as equity instruments and are included in the Company’s consolidated balance sheet within additional paid-in-capital. During the nine months ended September 30, 2014, 1,684,888 of the July 2009 warrants were exercised, resulting in proceeds to the Company of $1.7 million. During the nine months ended September 30, 2013, 120,000 of the July 2009 warrants were exercised, resulting in proceeds to the Company of $0.1 million.</w:t>
      </w:r>
    </w:p>
    <w:p>
      <w:pPr>
        <w:spacing w:after="0" w:line="22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 Term Debt—December 2012 Financing</w:t>
      </w:r>
    </w:p>
    <w:p>
      <w:pPr>
        <w:spacing w:after="0" w:line="90"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 million received at the closing of the agreement which occurred in December 2012. The Company has agreed to repay BioPharma up to $150 million of future revenue and receivables. As of September 30, 2014, the net remaining amount to be repaid to BioPharma is $145.8 million. During the three and nine months ended September 30, 2014, the Company made repayments under the agreement of $1.3 million and $3.4 million to BioPharma, respectively, and an additional</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$1.4 million is scheduled to be paid in November 2014. These payments, each representing 10% of net revenues for the respective periods, were calculated based on the threshold limitation, as described below, as opposed to the scheduled quarterly repayments. Additional quarterly repayments, subject to the threshold limitation, are scheduled to be paid thereafter in accordance with the following schedule: $8.0 million in the first quarter of 2015, $10.0 million per quarter in each of the next four quarters, $15.0 million per quarter in each of the next four quarters and a final payment of $13.0 million scheduled for payment in May 2017. All such payments reduce the remainder of the $150 million in aggregate payments to BioPharma. These quarterly payments are subject to a quarterly threshold amount whereby, if a calculated threshold, based on quarterly Vascepa revenues, is not achieved, the quarterly payment payable in that quarter can at the Company’s election be reduced and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in aggregate has been repaid. The Company can prepay an amount equal to $150 million less any previously repaid amount.</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currently estimates that its Vascepa revenue levels will not be high enough in each quarter to support repayment to BioPharma in accordance with the threshold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The payment of $1.4 million for the third quarter of 2014 is due in November 2014.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The Company recognized a gain on change in fair value of derivative liability of $6.5 million and $7.4 million during the nine months ended September 30, 2014 and 2013, respectively.</w:t>
      </w:r>
    </w:p>
    <w:p>
      <w:pPr>
        <w:spacing w:after="0" w:line="12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nine months ended September 30, 2014, the Company recorded $5.5 million and $1.4 million of cash and non-cash interest expense, respectively, on the BioPharma debt. During the nine months ended September 30, 2013, the Company recorded $9.7 million and $2.2 million of cash and non-cash interest expense, respectively. The Company will periodically evaluate the remaining term of the agreement and the effective interest will be recalculated each period based on the Company’s most current estimate of repayment.</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January 2012 Exchangeable Senior Notes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a portion of which were subsequently exchanged (see discussion of May 2014 Exchangeable Senior Notes below). 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 2012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2012 Notes have a stated interest rate of 3.5% per year, payable semiannually in arrears on January 15 and July 15 of each year beginning on July 15, 2012, and ending upon the 2012 Notes’ maturity on January 15, 2032. The 2012 Notes are subject to repurchase by the Company at the option of the holders on each of January 19, 2017, January 19, 2022, and January 19, 2027, at a price equal to 100% of the principal amount of the 2012 Notes to be repurchased, plus accrued and unpaid interest to, but excluding, the repurchase date. The 2012 Notes are exchangeable under certain circumstances into cash, ADSs, or a combination of cash and ADSs, at the Company’s election, with an initial exchange rate of 113.4752 ADSs per $1,000 principal amount of 2012 Notes. If the Company elected physical settlement, the net remaining outstanding portion of the 2012 Notes would be exchangeable into 3,547,916 ADSs after the May 2014 exchange of a portion of the 2012 Notes (see below for further discussion of the May 2014 exchange).</w:t>
      </w:r>
    </w:p>
    <w:p>
      <w:pPr>
        <w:spacing w:after="0" w:line="11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Exchange Act with both the SEC and the Trustee and (iii) maintaining the tradability of the 2012 Notes. The Company is required to use commercially reasonable efforts to procure and maintain the listing of the 2012 Notes on the Global Exchange Market operated under the supervision of the Irish Stock Exchange (or other recognized stock exchange as defined in the Note Indenture) prior to July 15, 2012. If the 2012 Notes are not freely tradable, as a result of restrictions pursuant to U.S. securities law or the terms of the Indenture or the 2012 Notes, the Company shall pay additional interest on 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 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is being amortized to interest expense using the effective interest method over the 2012 Notes’ estimated remaining life, which was calculated to be a period of twenty-four months. As of September 30, 2014, the discount created from the allocation of the proceeds to the conversion option was fully amortized. The conversion option will not be subsequently remeasured as long as it continues to meet the criteria for equity classification.</w:t>
      </w:r>
    </w:p>
    <w:p>
      <w:pPr>
        <w:spacing w:after="0" w:line="14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 costs allocated to the liability component was amortized as interest expense over the estimated life of the 2012 Notes of twenty-four months. As of September 30, 2014, the debt discount was fully amortized and the carrying value of the 2012 Notes was $31.3 million after an exchange of a portion of the 2012 Notes (see below for further discussion of the May 2014 exchange).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May 2014 Exchangeable Senior Notes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 3.50% May 2014 Exchangeable Senior Notes due 2032, following which $31.3 million in aggregate principal amount of the 2012 Notes remained outstanding with terms unchanged (the 2012 Notes and 2014 Notes are referred to collectively as the “Notes”).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2014 Notes have a stated interest rate of 3.5% per year, payable semiannually in arrears on January 15 and July 15 of each year beginning on July 15, 2014, and ending upon the 2014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 2014 Notes at their option. If prior to January 15, 2018, a make-whole fundamental change (as defined in the Indenture) occurs or the Company elects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In the event of physical settlement, the 2014 Notes would be exchangeable into 45,666,925 ADSs. The exchange rate will initially be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w:t>
      </w:r>
    </w:p>
    <w:p>
      <w:pPr>
        <w:spacing w:after="0" w:line="1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Prior to January 19, 2018, the Company may not redeem the 2014 Notes at its option other than in connection with certain changes in the tax law of a relevant taxing jurisdiction that results in additional amounts (as defined in the Indenture) becoming due with respect to payments and/or deliveries on the 2014 Notes. On or after January 19, 2018, the Company may redeem for cash all or a portion of the 2014 Notes at a redemption price of 100% of the aggregate principal amount of the 2014 Notes to be redeemed, plus accrued and unpaid interest to, but not including, the redemption date. If a fundamental change (as defined in the Indenture) occurs, holders may require the Company to repurchase all or part of their 2014 Notes for cash at a fundamental change repurchase price equal to 100% of the aggregate principal amount of the 2014 Notes to be repurchased, plus accrued and unpaid interest to, but not including, the fundamental change repurchase date. In addition, holders of the 2014 Notes may require the Company to repurchase all or any portion of the 2014 Notes on each of January 19, 2019, January 19, 2024 and January 19, 2029 for cash at a price equal to 100% of the aggregate principal amount of the 2014 Notes to be repurchased, plus accrued and unpaid interest to, but not including, the repurchase date.</w:t>
      </w:r>
    </w:p>
    <w:p>
      <w:pPr>
        <w:spacing w:after="0" w:line="1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may elect at its option to cause all or any portion of the 2014 Notes to be mandatorily exchanged in whole or in part at any time prior to the close of business on the business day preceding January 15, 2032 if the Daily VWAP (as defined in the Indenture) equals or exceeds 110% of the Exchange Price then in effect for at least 20 VWAP Trading Days (as defined in the Indenture) in any 30 VWAP Trading Day period. The Company may only exercise its optional exchange rights upon satisfaction of specified equity conditions, including that the ADSs issuable upon exchange of the 2014 Notes be eligible for resale without registration by non-affiliates and listed on The NASDAQ Global Market, its related exchanges or the New York Stock Exchange. If Corsicanto elects to exercise its optional exchange rights on or prior to January 15, 2018, each holder whose 2014 Notes are exchanged will upon exchange receive a specified number of additional ADSs as set forth in the Indenture. Upon such a declaration of acceleration, such principal and accrued and unpaid interest, if any, will be due and payable immediately. Upon the occurrence of certain events of bankruptcy, insolvency or reorganization involving Corsicanto, 100% of the principal of and accrued and unpaid interest, if any, on all of the 2014 Notes will become due and payable automatically. Notwithstanding the foregoing, the Indenture will provide that, to the extent Corsicanto elects and for up to 360 days, the sole remedy for an event of default relating to certain failures by Corsicanto or the Company, as the case may be, to comply with certain reporting covenants in the Indenture consists exclusively of the right to receive additional interest on the 2014 Notes. Additional covenants pertaining to the 2012 Notes (as described above for the January 2012 Exchangeable Senior Notes) are also applicable to the May 2014 Notes.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 result of the note exchange (as described above), the Company assessed both quantitative and qualitative aspects of the features of the 2014 Notes as compared to the 2012 Notes. Such assessment resulted in the conclusion that the features of the 2014 Notes represent a substantive modification from the 2012 Notes as the terms of the exchange resulted in a substantive modification to the embedded conversion feature within the 2012 Notes, and as such should be accounted for as an extinguishment of debt. In accordance with ASC 470-20, the Company extinguished the 2012 Notes by recording a gain on extinguishment of the liability component of $38.0 million and repurchase of the conversion option in equity through a reduction to additional paid-in capital of $10.1 million. The 2014 Notes were recorded at fair value of $90.8 million representing a $27.9 million discount to par. In addition the Company recognized $2.5 million in underwriter’s fees and offering costs and recognized those costs as deferred assets. The Company further allocated $3.5 million of the $90.8 million fair value of the 2014 Notes to the derivative liability related to the fundamental change redemption feature (as described above), which will be measured at fair value on an ongoing basis. During the three months ended September 30, 2014, the Company recognized a $1.1 million loss on the change in fair value of the redemption feature and recorded a related long-term debt derivative liability of $4.4 million.</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the conversion option in the 2014 Notes receives an exception from derivative accounting and only requires gross physical settlement in shares, the embedded option does not require separate accounting and is therefore accounted for as part of the debt host at amortized cost. The debt discount is being amortized as interest expense over the estimated life of the 2014 Notes and recognized in the statement of operations as interest expense. As of September 30, 2014, the carrying value of the 2014 Notes was $89.2 million. During the nine months ended September 30, 2014, the Company recognized interest expense of $6.7 million related to the 2014 Notes, of which $2.8 million represents amortization of the debt discount and $3.9 million represents contractual coupon interest. At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September 30, 2014 and December 31, 2013, the Company had accrued interest of $1.1 and $2.4 million, respectively, which is included in other current liabilities. The Company made the contractual interest payments due on the Notes in the nine months ended September 30, 2014 and 2013 of $5.3 million.</w:t>
      </w:r>
    </w:p>
    <w:p>
      <w:pPr>
        <w:spacing w:after="0" w:line="178" w:lineRule="exact"/>
        <w:rPr>
          <w:sz w:val="20"/>
          <w:szCs w:val="20"/>
          <w:color w:val="auto"/>
        </w:rPr>
      </w:pPr>
    </w:p>
    <w:p>
      <w:pPr>
        <w:ind w:left="240" w:right="8480" w:hanging="232"/>
        <w:spacing w:after="0" w:line="347" w:lineRule="auto"/>
        <w:tabs>
          <w:tab w:leader="none" w:pos="45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spacing w:after="0" w:line="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On November 1, 2013, a purported investor of Amarin filed a putative class action lawsuit captioned </w:t>
      </w:r>
      <w:r>
        <w:rPr>
          <w:rFonts w:ascii="Arial" w:cs="Arial" w:eastAsia="Arial" w:hAnsi="Arial"/>
          <w:sz w:val="16"/>
          <w:szCs w:val="16"/>
          <w:i w:val="1"/>
          <w:iCs w:val="1"/>
          <w:color w:val="auto"/>
        </w:rPr>
        <w:t>Steven Sklar v. Amarin Corporation plc et al.</w:t>
      </w:r>
      <w:r>
        <w:rPr>
          <w:rFonts w:ascii="Arial" w:cs="Arial" w:eastAsia="Arial" w:hAnsi="Arial"/>
          <w:sz w:val="16"/>
          <w:szCs w:val="16"/>
          <w:color w:val="auto"/>
        </w:rPr>
        <w:t xml:space="preserve">, No. 13-cv-6954 (D.N.J. Nov. 1, 2013) in the U.S. District Court for the District of New Jersey. Substantially similar lawsuits, captioned </w:t>
      </w:r>
      <w:r>
        <w:rPr>
          <w:rFonts w:ascii="Arial" w:cs="Arial" w:eastAsia="Arial" w:hAnsi="Arial"/>
          <w:sz w:val="16"/>
          <w:szCs w:val="16"/>
          <w:i w:val="1"/>
          <w:iCs w:val="1"/>
          <w:color w:val="auto"/>
        </w:rPr>
        <w:t>Bove v. Amarin Corporation plc</w:t>
      </w:r>
      <w:r>
        <w:rPr>
          <w:rFonts w:ascii="Arial" w:cs="Arial" w:eastAsia="Arial" w:hAnsi="Arial"/>
          <w:sz w:val="16"/>
          <w:szCs w:val="16"/>
          <w:color w:val="auto"/>
        </w:rPr>
        <w:t xml:space="preserve">, Civ. No. 13-07882 (AT) (S.D.N.Y. Nov. 5, 2013), </w:t>
      </w:r>
      <w:r>
        <w:rPr>
          <w:rFonts w:ascii="Arial" w:cs="Arial" w:eastAsia="Arial" w:hAnsi="Arial"/>
          <w:sz w:val="16"/>
          <w:szCs w:val="16"/>
          <w:i w:val="1"/>
          <w:iCs w:val="1"/>
          <w:color w:val="auto"/>
        </w:rPr>
        <w:t>Bentley v. Amarin Corporation plc</w:t>
      </w:r>
      <w:r>
        <w:rPr>
          <w:rFonts w:ascii="Arial" w:cs="Arial" w:eastAsia="Arial" w:hAnsi="Arial"/>
          <w:sz w:val="16"/>
          <w:szCs w:val="16"/>
          <w:color w:val="auto"/>
        </w:rPr>
        <w:t xml:space="preserve">, Civ. No. 13-08283 (AT) (S.D.N.Y. Nov. 20, 2013) and </w:t>
      </w:r>
      <w:r>
        <w:rPr>
          <w:rFonts w:ascii="Arial" w:cs="Arial" w:eastAsia="Arial" w:hAnsi="Arial"/>
          <w:sz w:val="16"/>
          <w:szCs w:val="16"/>
          <w:i w:val="1"/>
          <w:iCs w:val="1"/>
          <w:color w:val="auto"/>
        </w:rPr>
        <w:t>Siegel v. Amarin</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plc</w:t>
      </w:r>
      <w:r>
        <w:rPr>
          <w:rFonts w:ascii="Arial" w:cs="Arial" w:eastAsia="Arial" w:hAnsi="Arial"/>
          <w:sz w:val="16"/>
          <w:szCs w:val="16"/>
          <w:color w:val="auto"/>
        </w:rPr>
        <w:t>, No. 3:13-cv-07210 (D.N.J. Nov. 27, 2013), were subsequently filed in the U.S. District Court for the District of New Jersey and U.S.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Court for the Southern District of New York. On December 9, 2013, the cases filed in the Southern District of New York were transferred to the District of New Jersey and all such cases are now consolidated as </w:t>
      </w:r>
      <w:r>
        <w:rPr>
          <w:rFonts w:ascii="Arial" w:cs="Arial" w:eastAsia="Arial" w:hAnsi="Arial"/>
          <w:sz w:val="16"/>
          <w:szCs w:val="16"/>
          <w:i w:val="1"/>
          <w:iCs w:val="1"/>
          <w:color w:val="auto"/>
        </w:rPr>
        <w:t>In re Amarin Corporation plc, Securities Litigation,</w:t>
      </w:r>
      <w:r>
        <w:rPr>
          <w:rFonts w:ascii="Arial" w:cs="Arial" w:eastAsia="Arial" w:hAnsi="Arial"/>
          <w:sz w:val="16"/>
          <w:szCs w:val="16"/>
          <w:color w:val="auto"/>
        </w:rPr>
        <w:t xml:space="preserve"> No. 3:13-cv-06663 (D.N.J. Nov. 1, 2013). The plaintiffs assert claims under the Securities Exchange Act of 1934 and allege that Amarin and certain of its current and former officers and directors made misstatements and omissions regarding the FDA’s willingness to approve Vascepa’s ANCHOR indication and related contributing factors and the potential relevance of data from the ongoing REDUCE-IT trial to that approval. The lawsuit seeks unspecified monetary damages and attorneys’ fees and costs. The Company believes that it has valid defenses and will vigorously defend against this class action suit, but cannot predict the outcome. The Company is unable to reasonably estimate the loss exposure, if any, associated with the claims. The Company has insurance coverage that is anticipated to cover any significant loss exposure that may arise from this action after payment by the Company of the associated deductible obligation under such insurance coverage.</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27, 2014, the Company commenced a lawsuit against the FDA that challenges FDA’s denial of the Company’s request for five-year NCE exclusivity for Vascepa based on its reading of the relevant statute, the Company’s view of FDA’s inconsistency with past actions in this area and the retroactive effect of what the Company believes is a new policy at FDA as it relates to Vascepa situation. The Company’s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the Company contends are—due to the denial of five-year exclusivity to Vascepa—prematurely accepted pending ANDA applications.</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On March 4, 2014, the Company filed a lawsuit for patent infringement of U.S. Patent No. 8,663,662 in the U.S. District Court for the District of Delaware against AstraZeneca Pharmaceuticals LP and its subsidiary, Omthera Pharmaceuticals, Inc., captioned </w:t>
      </w:r>
      <w:r>
        <w:rPr>
          <w:rFonts w:ascii="Arial" w:cs="Arial" w:eastAsia="Arial" w:hAnsi="Arial"/>
          <w:sz w:val="16"/>
          <w:szCs w:val="16"/>
          <w:i w:val="1"/>
          <w:iCs w:val="1"/>
          <w:color w:val="auto"/>
        </w:rPr>
        <w:t>Amarin Pharmaceuticals Ireland Limited v. Omthera</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Inc. et al.</w:t>
      </w:r>
      <w:r>
        <w:rPr>
          <w:rFonts w:ascii="Arial" w:cs="Arial" w:eastAsia="Arial" w:hAnsi="Arial"/>
          <w:sz w:val="16"/>
          <w:szCs w:val="16"/>
          <w:color w:val="auto"/>
        </w:rPr>
        <w:t>, Civ. A. No. 1:14-cv-00279 (D.Del). On June 23, a second complaint was filed against AstraZeneca and Omthera, captioned</w:t>
      </w:r>
      <w:r>
        <w:rPr>
          <w:rFonts w:ascii="Arial" w:cs="Arial" w:eastAsia="Arial" w:hAnsi="Arial"/>
          <w:sz w:val="16"/>
          <w:szCs w:val="16"/>
          <w:i w:val="1"/>
          <w:iCs w:val="1"/>
          <w:color w:val="auto"/>
        </w:rPr>
        <w:t xml:space="preserve"> Amarin Pharmaceuticals Ireland Limited v. Omthera Pharmaceuticals, Inc. et al.</w:t>
      </w:r>
      <w:r>
        <w:rPr>
          <w:rFonts w:ascii="Arial" w:cs="Arial" w:eastAsia="Arial" w:hAnsi="Arial"/>
          <w:sz w:val="16"/>
          <w:szCs w:val="16"/>
          <w:color w:val="auto"/>
        </w:rPr>
        <w:t>, Civ. A. No. 1:14-cv-00791 (D.Del). That second complaint replaced the first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voluntarily dismissed on June 27, and was filed in order to expedite the progress of this litigation on the merits. The focus of the lawsuit is the commercial marketing of Epanova</w:t>
      </w:r>
      <w:r>
        <w:rPr>
          <w:rFonts w:ascii="Arial" w:cs="Arial" w:eastAsia="Arial" w:hAnsi="Arial"/>
          <w:sz w:val="10"/>
          <w:szCs w:val="10"/>
          <w:color w:val="auto"/>
        </w:rPr>
        <w:t>®</w:t>
      </w:r>
      <w:r>
        <w:rPr>
          <w:rFonts w:ascii="Arial" w:cs="Arial" w:eastAsia="Arial" w:hAnsi="Arial"/>
          <w:sz w:val="16"/>
          <w:szCs w:val="16"/>
          <w:color w:val="auto"/>
        </w:rPr>
        <w:t xml:space="preserve"> (omega-3-carboxylic acids) capsules in the United States. Epanova was approved by the FDA in May 2014 with substantially the same indication as Vascepa and is expected to compete with Vascepa. The Company is seeking damages and injunctive relief in the litigation. The Company intends to litigate the case vigorously, but cannot predict the outcome of this lawsuit.</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In March, April, and May 2014, the Company received paragraph IV certification notices from six companies contending to varying degrees that certain of its patents are invalid, unenforceable and/or will not be infringed by the manufacture, use, sale or offer for sale of a generic form of Vascepa as described in those companies’ abbreviated new drug applications, or ANDAs. The Company has commenced patent infringement lawsuits against each of these ANDA applicants. In each of the lawsuits, Amarin is seeking, among other remedies, an order enjoining the defendants from marketing generic versions of Vascepa before the last to expire of the asserted patents expires in 2030. In April 2014, Amarin filed lawsuits against Apotex, Inc. and Apotex Corporation, or collectively, Apotex, in the U.S. District Court for the District of New Jersey and the U.S. District Court for the Northern District of Illinois. The cases against Apotex are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Apotex, Inc. et al.</w:t>
      </w:r>
      <w:r>
        <w:rPr>
          <w:rFonts w:ascii="Arial" w:cs="Arial" w:eastAsia="Arial" w:hAnsi="Arial"/>
          <w:sz w:val="16"/>
          <w:szCs w:val="16"/>
          <w:color w:val="auto"/>
        </w:rPr>
        <w:t>, Civ. A. No. 14-2550 (D.N.J) and</w:t>
      </w:r>
      <w:r>
        <w:rPr>
          <w:rFonts w:ascii="Arial" w:cs="Arial" w:eastAsia="Arial" w:hAnsi="Arial"/>
          <w:sz w:val="16"/>
          <w:szCs w:val="16"/>
          <w:i w:val="1"/>
          <w:iCs w:val="1"/>
          <w:color w:val="auto"/>
        </w:rPr>
        <w:t xml:space="preserve"> Amarin Pharma, Inc. et al. v. Apotex, Inc. et al.</w:t>
      </w:r>
      <w:r>
        <w:rPr>
          <w:rFonts w:ascii="Arial" w:cs="Arial" w:eastAsia="Arial" w:hAnsi="Arial"/>
          <w:sz w:val="16"/>
          <w:szCs w:val="16"/>
          <w:color w:val="auto"/>
        </w:rPr>
        <w:t>, Civ. A. No. 14-2958 (N.D. Ill.). In April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2014, Amarin also filed lawsuits against Roxane Laboratories, Inc., or Roxane, in the U.S. District Court for the District of New Jersey and the U.S. District Court for the Northern District of Ohio. The cases against Roxane are captioned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14-2551 (D.N.J) and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14-901 (N.D. Ohio). Amarin voluntarily dismissed the Northern District of Ohio case against Roxane on May 7, 2014. In April 2014, Amarin also filed a lawsuit against Dr. Reddy’s Laboratories, Inc. and Dr. Reddy’s Laboratories, Ltd., or collectively, Dr. Reddy’s, in the U.S. District Court for the District of New Jersey. The case against Dr. Reddy’s is captioned </w:t>
      </w:r>
      <w:r>
        <w:rPr>
          <w:rFonts w:ascii="Arial" w:cs="Arial" w:eastAsia="Arial" w:hAnsi="Arial"/>
          <w:sz w:val="16"/>
          <w:szCs w:val="16"/>
          <w:i w:val="1"/>
          <w:iCs w:val="1"/>
          <w:color w:val="auto"/>
        </w:rPr>
        <w:t>Amarin Pharma, Inc. et al. v.</w:t>
      </w:r>
    </w:p>
    <w:p>
      <w:pPr>
        <w:spacing w:after="0" w:line="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Dr. Reddy’s Laboratories, Inc. et al.</w:t>
      </w:r>
      <w:r>
        <w:rPr>
          <w:rFonts w:ascii="Arial" w:cs="Arial" w:eastAsia="Arial" w:hAnsi="Arial"/>
          <w:sz w:val="18"/>
          <w:szCs w:val="18"/>
          <w:color w:val="auto"/>
        </w:rPr>
        <w:t>, Civ. A. No. 14-2760 (D.N.J.). In May 2014, Amarin also filed a lawsuit against Watson Laboratories, Inc. and Actavis plc, or</w:t>
      </w:r>
      <w:r>
        <w:rPr>
          <w:rFonts w:ascii="Arial" w:cs="Arial" w:eastAsia="Arial" w:hAnsi="Arial"/>
          <w:sz w:val="18"/>
          <w:szCs w:val="18"/>
          <w:i w:val="1"/>
          <w:iCs w:val="1"/>
          <w:color w:val="auto"/>
        </w:rPr>
        <w:t xml:space="preserve"> </w:t>
      </w:r>
      <w:r>
        <w:rPr>
          <w:rFonts w:ascii="Arial" w:cs="Arial" w:eastAsia="Arial" w:hAnsi="Arial"/>
          <w:sz w:val="18"/>
          <w:szCs w:val="18"/>
          <w:color w:val="auto"/>
        </w:rPr>
        <w:t>Watson, in the U.S. District Court for the District of New Jersey. One of the Company’s directors, Patrick J. O’Sullivan, is also a director of Actavis plc. The case against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Watson is captioned </w:t>
      </w:r>
      <w:r>
        <w:rPr>
          <w:rFonts w:ascii="Arial" w:cs="Arial" w:eastAsia="Arial" w:hAnsi="Arial"/>
          <w:sz w:val="16"/>
          <w:szCs w:val="16"/>
          <w:i w:val="1"/>
          <w:iCs w:val="1"/>
          <w:color w:val="auto"/>
        </w:rPr>
        <w:t>Amarin Pharma, Inc. et al. v. Watson Laboratories, Inc. et al.</w:t>
      </w:r>
      <w:r>
        <w:rPr>
          <w:rFonts w:ascii="Arial" w:cs="Arial" w:eastAsia="Arial" w:hAnsi="Arial"/>
          <w:sz w:val="16"/>
          <w:szCs w:val="16"/>
          <w:color w:val="auto"/>
        </w:rPr>
        <w:t xml:space="preserve">, Civ. A. No. 14-3259 (D.N.J). On July 17, 2014, Amarin agreed to dismiss Actavis plc but the lawsuit against Watson remains pending. In June 2014, Amarin also filed a case against Teva Pharmaceuticals USA, Inc., or Teva, in the U.S. District Court for the District of New Jersey. The case against Teva is captioned </w:t>
      </w:r>
      <w:r>
        <w:rPr>
          <w:rFonts w:ascii="Arial" w:cs="Arial" w:eastAsia="Arial" w:hAnsi="Arial"/>
          <w:sz w:val="16"/>
          <w:szCs w:val="16"/>
          <w:i w:val="1"/>
          <w:iCs w:val="1"/>
          <w:color w:val="auto"/>
        </w:rPr>
        <w:t>Amarin Pharma, Inc. et al. v. Teva Pharmaceuticals USA, Inc.</w:t>
      </w:r>
      <w:r>
        <w:rPr>
          <w:rFonts w:ascii="Arial" w:cs="Arial" w:eastAsia="Arial" w:hAnsi="Arial"/>
          <w:sz w:val="16"/>
          <w:szCs w:val="16"/>
          <w:color w:val="auto"/>
        </w:rPr>
        <w:t xml:space="preserve">, Civ. A. No. 14-3558 (D.N.J.). In June 2014, Amarin also filed a lawsuit against Andrx Labs, LLC, Andrx Corporation, and Actavis plc, or collectively, Andrx, in the U.S. District Court for the District of New Jersey. The case against Andrx is captioned </w:t>
      </w:r>
      <w:r>
        <w:rPr>
          <w:rFonts w:ascii="Arial" w:cs="Arial" w:eastAsia="Arial" w:hAnsi="Arial"/>
          <w:sz w:val="16"/>
          <w:szCs w:val="16"/>
          <w:i w:val="1"/>
          <w:iCs w:val="1"/>
          <w:color w:val="auto"/>
        </w:rPr>
        <w:t>Amarin Pharma, Inc. et al v. Andrx Labs, LLC et. al.</w:t>
      </w:r>
      <w:r>
        <w:rPr>
          <w:rFonts w:ascii="Arial" w:cs="Arial" w:eastAsia="Arial" w:hAnsi="Arial"/>
          <w:sz w:val="16"/>
          <w:szCs w:val="16"/>
          <w:color w:val="auto"/>
        </w:rPr>
        <w:t>, Civ. A. No. 14-3924 (D.N.J.). As a result of the 30-month stay associated with the filing of these lawsuits under the Hatch-Waxman Act, the FDA cannot grant final approval to any ANDA before September 2016, unless there is an earlier court decision holding that the subject patents are not infringed and/or are invalid. The Company intends to vigorously enforce its intellectual property rights relating to Vascepa, but cannot predict the outcome of these lawsuits.</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to the above, in the ordinary course of business, the Company is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2014, the Company was not party to any legal or arbitration proceedings that may have, or have had in the recent past, significant effects on the Company’s financial position or profitability. No governmental proceedings are pending or, to its knowledge, contemplated against the Company. The Company is not a party to any material proceedings in which any director, member of senior management or affiliate is either a party adverse to the Company or its subsidiaries or has a material interest adverse to the Company or its subsidiaries.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entered into several product development agreements with, subject to performance obligations, certain milestone and supply purchase obligations, as detailed below:</w:t>
      </w:r>
    </w:p>
    <w:p>
      <w:pPr>
        <w:spacing w:after="0" w:line="51" w:lineRule="exact"/>
        <w:rPr>
          <w:sz w:val="20"/>
          <w:szCs w:val="20"/>
          <w:color w:val="auto"/>
        </w:rPr>
      </w:pPr>
    </w:p>
    <w:p>
      <w:pPr>
        <w:ind w:left="900" w:right="160" w:hanging="325"/>
        <w:spacing w:after="0" w:line="25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entered into its initial Vascepa API supply agreement with Nisshin Pharma, Inc., or Nisshin, in 2010. In 2011, the Company entered into agreements with two additional suppliers, Chemport, Inc., or Chemport, and BASF (formerly Equateq Limited) for the supply of API. In 2012, the Company agreed to terms with a fourth API supplier, a consortium of companies led by Slanmhor Pharmaceutical, Inc. (Slanmhor).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63" w:lineRule="exact"/>
        <w:rPr>
          <w:sz w:val="20"/>
          <w:szCs w:val="20"/>
          <w:color w:val="auto"/>
        </w:rPr>
      </w:pPr>
    </w:p>
    <w:p>
      <w:pPr>
        <w:ind w:left="920" w:right="100"/>
        <w:spacing w:after="0" w:line="294" w:lineRule="auto"/>
        <w:rPr>
          <w:sz w:val="20"/>
          <w:szCs w:val="20"/>
          <w:color w:val="auto"/>
        </w:rPr>
      </w:pPr>
      <w:r>
        <w:rPr>
          <w:rFonts w:ascii="Arial" w:cs="Arial" w:eastAsia="Arial" w:hAnsi="Arial"/>
          <w:sz w:val="16"/>
          <w:szCs w:val="16"/>
          <w:color w:val="auto"/>
        </w:rPr>
        <w:t>Chemport was approved by the FDA to manufacture API for commercial sale in April 2013. The Company began purchasing commercial supply from Chemport in 2013. The agreement with Chemport contains a provision requiring the Company to pay Chemport in cash for any shortfall in the minimum purchase obligations. The 2011 supply agreement with Chemport includes commitments for the Company to fund (i) certain development fees, (ii) material purchases for initial raw materials, which amount will be credited against future API purchases and (iii) a raw material purchase commitment. During the nine months ended September 30, 2014, the Company made payments of $3.3 million to Chemport.</w:t>
      </w:r>
    </w:p>
    <w:p>
      <w:pPr>
        <w:spacing w:after="0" w:line="35" w:lineRule="exact"/>
        <w:rPr>
          <w:sz w:val="20"/>
          <w:szCs w:val="20"/>
          <w:color w:val="auto"/>
        </w:rPr>
      </w:pPr>
    </w:p>
    <w:p>
      <w:pPr>
        <w:ind w:left="920" w:right="620"/>
        <w:spacing w:after="0" w:line="268" w:lineRule="auto"/>
        <w:rPr>
          <w:sz w:val="20"/>
          <w:szCs w:val="20"/>
          <w:color w:val="auto"/>
        </w:rPr>
      </w:pPr>
      <w:r>
        <w:rPr>
          <w:rFonts w:ascii="Arial" w:cs="Arial" w:eastAsia="Arial" w:hAnsi="Arial"/>
          <w:sz w:val="18"/>
          <w:szCs w:val="18"/>
          <w:color w:val="auto"/>
        </w:rPr>
        <w:t>Chemport together with Nisshin are currently the two manufacturers from which the Company purchases API. The Company has no royalty, milestone or minimum purchase commitments with Nisshin.</w:t>
      </w:r>
    </w:p>
    <w:p>
      <w:pPr>
        <w:spacing w:after="0" w:line="51"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The API supply agreement with BASF terminated in February 2014. In April 2014, the Company reached a settlement agreement with BASF under which it received a refund for material purchases of $3.0 million, included as other income in the statement of operations. The Company made payments of $3.1 million to BASF related to development and supply commitments through September 30, 2014.</w:t>
      </w:r>
    </w:p>
    <w:p>
      <w:pPr>
        <w:spacing w:after="0" w:line="26" w:lineRule="exact"/>
        <w:rPr>
          <w:sz w:val="20"/>
          <w:szCs w:val="20"/>
          <w:color w:val="auto"/>
        </w:rPr>
      </w:pPr>
    </w:p>
    <w:p>
      <w:pPr>
        <w:ind w:left="920" w:right="160"/>
        <w:spacing w:after="0" w:line="306" w:lineRule="auto"/>
        <w:rPr>
          <w:sz w:val="20"/>
          <w:szCs w:val="20"/>
          <w:color w:val="auto"/>
        </w:rPr>
      </w:pPr>
      <w:r>
        <w:rPr>
          <w:rFonts w:ascii="Arial" w:cs="Arial" w:eastAsia="Arial" w:hAnsi="Arial"/>
          <w:sz w:val="16"/>
          <w:szCs w:val="16"/>
          <w:color w:val="auto"/>
        </w:rPr>
        <w:t>The Company made payments of $6.2 million to the Slanmhor consortium related to development fees and other provisions through September 30, 2014 and during the nine months ended September 30, 2014 and 2013, made payments of $0.4 million and $6.1 million, respectively, to the Slanmhor consortium related to stability and technical batches and advances on anticipated future API purchases.</w:t>
      </w:r>
    </w:p>
    <w:p>
      <w:pPr>
        <w:spacing w:after="0" w:line="2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Pursuant to the agreements with our suppliers, there is a total of $54.5 million that is potentially payable over the term of such agreements based on minimum purchase obligations.</w:t>
      </w:r>
    </w:p>
    <w:p>
      <w:pPr>
        <w:spacing w:after="0" w:line="51" w:lineRule="exact"/>
        <w:rPr>
          <w:sz w:val="20"/>
          <w:szCs w:val="20"/>
          <w:color w:val="auto"/>
        </w:rPr>
      </w:pPr>
    </w:p>
    <w:p>
      <w:pPr>
        <w:ind w:left="90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Concurrent with its entry into one of its API supply agreements, the Company agreed to make a non-controlling minority share equity investment in the supplier of $3.3 million. The Company invested $1.7 million under this agreement in July 2011 and the remaining $1.6 million during 2012. In September 2013, the Company entered into an equity sale and purchase agreement between this supplier and a third party in which the Company agreed to sell approximately $1.3 million of its investment in the supplier to the third party at cost. This transaction closed in the first quarter of 2014. The carrying amount of the investment of $2.0 million and $3.3 million as of September 30, 2014 and December 31, 2013, respectively, is included in other long term assets and is accounted for under the cost method.</w:t>
      </w:r>
    </w:p>
    <w:p>
      <w:pPr>
        <w:spacing w:after="0" w:line="39" w:lineRule="exact"/>
        <w:rPr>
          <w:rFonts w:ascii="Arial" w:cs="Arial" w:eastAsia="Arial" w:hAnsi="Arial"/>
          <w:sz w:val="16"/>
          <w:szCs w:val="16"/>
          <w:color w:val="auto"/>
        </w:rPr>
      </w:pPr>
    </w:p>
    <w:p>
      <w:pPr>
        <w:jc w:val="both"/>
        <w:ind w:left="900" w:right="1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2004 share repurchase agreement with Laxdale Limited, or Laxdale, upon receipt of marketing approval in Europe for the first indication for Vascepa (or first indication of any product containing Amarin Neuroscience intellectual property acquired from Laxdale in 2004), the Company must make an aggregate stock or cash payment to the former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shareholders of Laxdale (at the sole option of each of the sellers) of £7.5 million (approximately $12.2 million at September 30, 2014). Also under the Laxdale agreement,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$8.1 million at September 30, 2014) for each of the two potential market approvals (i.e. £10 million maximum, or approximately $16.2 million at September 30, 2014).</w:t>
      </w:r>
    </w:p>
    <w:p>
      <w:pPr>
        <w:spacing w:after="0" w:line="35"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The Company has no provision for any of the obligations above since the amounts are either not probable or able to be estimated at September 30, 2014.</w:t>
      </w:r>
    </w:p>
    <w:p>
      <w:pPr>
        <w:spacing w:after="0" w:line="24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three months ended September 30, 2014, the Company received a refund of $3.2 million for UK stamp duty taxes paid in prior periods related to the issuance of common stock. Such proceeds were recorded as an increase to additional paid-in capital.</w:t>
      </w:r>
    </w:p>
    <w:p>
      <w:pPr>
        <w:spacing w:after="0" w:line="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nine months ended September 30, 2014 and 2013, the Company issued 234,500 and 386,000 shares, respectively, as a result of the exercise of stock options, resulting in gross and net proceeds of $0.3 million and $0.6 million, respectively, for each period. In addition, during the nine months ended September 30, 2014 and 2013, the Company issued 1,684,888 and 120,000 shares, respectively, as a result of the exercise of warrants, resulting in gross and net proceeds of $1.7 million and $0.1 million, respectively.</w:t>
      </w:r>
    </w:p>
    <w:p>
      <w:pPr>
        <w:spacing w:after="0" w:line="143"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On March 11, 2014, the Company granted a total of 173,348 restricted stock units, or RSUs, and 205,890 stock options to members of the Company’s Board of Directors under the Amarin Corporation plc 2011 Stock Incentive Plan, or the 2011 Plan. The RSUs vest in equal installments over a three year period commencing with each installment vesting each year upon the earlier of the anniversary of the grant date or the Company’s annual general meeting of shareholders in such anniversary year. The RSUs will become fully vested upon a change of control of the Company. Upon termination of service to the Company, each Director shall be entitled to a payment equal to the fair market value of one share of Amarin common stock, which is required to be made in shares. The stock options vest in full upon the earlier of the anniversary of the grant date or the Company’s annual general meeting of shareholders in such anniversary year. The stock options will become fully vested upon a change of control of the Company.</w:t>
      </w:r>
    </w:p>
    <w:p>
      <w:pPr>
        <w:spacing w:after="0" w:line="118"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On January 8, 2014, the Company granted a total of 2,082,000 RSUs and 2,605,500 stock options to employees under the 2011 Plan. The RSU’s vest annually over a three year period and the stock options vest monthly over a four year period, with both becoming fully vested upon a change of control of the Company.</w:t>
      </w:r>
    </w:p>
    <w:p>
      <w:pPr>
        <w:spacing w:after="0" w:line="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January 2013, the Company granted 454,875 RSUs to several employees under the 2011 Plan. The terms of these RSUs provided for vesting upon the achievement of certain operational milestones. In the year ended December 31, 2013, as a result of the operational milestones not being achieved, all of these RSU’s were forfeited and no shares were issued as a result of vesting.</w:t>
      </w:r>
    </w:p>
    <w:p>
      <w:pPr>
        <w:spacing w:after="0" w:line="25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March 31, 2014, the Company entered into a Co-Promotion Agreement, or the Agreement, with Kowa Pharmaceuticals America related to the commercialization of Vascepa</w:t>
      </w:r>
      <w:r>
        <w:rPr>
          <w:rFonts w:ascii="Arial" w:cs="Arial" w:eastAsia="Arial" w:hAnsi="Arial"/>
          <w:sz w:val="10"/>
          <w:szCs w:val="10"/>
          <w:color w:val="auto"/>
        </w:rPr>
        <w:t>®</w:t>
      </w:r>
      <w:r>
        <w:rPr>
          <w:rFonts w:ascii="Arial" w:cs="Arial" w:eastAsia="Arial" w:hAnsi="Arial"/>
          <w:sz w:val="16"/>
          <w:szCs w:val="16"/>
          <w:color w:val="auto"/>
        </w:rPr>
        <w:t xml:space="preserve"> in the United States. Under the terms of the Agreement, Amarin granted to Kowa Pharmaceuticals America the right to be the sole co-promoter, together with the Company, of Vascepa in the United States during the term. The initial term of the Agreement extends through 2018.</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term, Kowa Pharmaceuticals America and Amarin have agreed to use commercially reasonable efforts to promote, detail and optimize sales of Vascepa in the United States. The performance requirements include a negotiated minimum number of details to be delivered by each party in the first and second position, the use of a negotiated number of minimum sales representatives from each party, including no less than 250 Kowa Pharmaceuticals America sales representatives, and minimum levels of Vascepa revenues beginning in 2015. Kowa Pharmaceuticals America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Amarin will continue to recognize all revenue from sales of Vascepa under the Agreement. In exchange for Kowa Pharmaceuticals America’s co-promotional services, Kowa Pharmaceuticals America is entitled to a quarterly co-promotion fee based on a percentage of aggregate Vascepa gross margins. The percentage of aggregate Vascepa gross margins earned by Kowa Pharmaceuticals America is scheduled to increase during the Agreement’s term, from the high single digits in 2014, to mid-teen percent levels in 2015, and to the low twenty percent levels in 2018.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the event of a change of control (as defined) or termination of the agreement, the Company would be required to make certain tail payments based on a specified percentage of revenues.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evaluated subsequent events from September 30, 2014 through the date of the issuance of these condensed consolidated financial statements.</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2013 and below under Part II, Item IA, “Risk Factors”.</w:t>
      </w:r>
    </w:p>
    <w:p>
      <w:pPr>
        <w:spacing w:after="0" w:line="12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500mg/dL) hypertriglyceridemia. Vascepa is available in the United States by prescription only. We began selling and marketing Vascepa in the United States in January 2013. We sell Vascepa principally to a limited number of major wholesalers, as well as selected regional wholesalers and specialty pharmacy providers, or collectively, its Distributors, that in turn resell Vascepa to retail pharmacies for subsequent resale to patients and health care providers. We market Vascepa through our sales force of approximately 150 sales professionals, including sales representatives and their managers. In March 2014, we entered into a co-promotion agreement with Kowa Pharmaceuticals America, Inc. (Kowa Pharmaceuticals America) under which approximately 250 Kowa Pharmaceuticals America sales representatives began to devote a substantial portion of their time to promoting Vascepa starting in May 2014. We operate in one business segment.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500mg/dL), commonly known as very high triglyceride levels. According to </w:t>
      </w:r>
      <w:r>
        <w:rPr>
          <w:rFonts w:ascii="Arial" w:cs="Arial" w:eastAsia="Arial" w:hAnsi="Arial"/>
          <w:sz w:val="16"/>
          <w:szCs w:val="16"/>
          <w:i w:val="1"/>
          <w:iCs w:val="1"/>
          <w:color w:val="auto"/>
        </w:rPr>
        <w:t>The American Heart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Scientific Statement on Triglycerides and Cardiovascular Disease </w:t>
      </w:r>
      <w:r>
        <w:rPr>
          <w:rFonts w:ascii="Arial" w:cs="Arial" w:eastAsia="Arial" w:hAnsi="Arial"/>
          <w:sz w:val="16"/>
          <w:szCs w:val="16"/>
          <w:color w:val="auto"/>
        </w:rPr>
        <w:t>(2011), triglycerides also provide important information as a marker associated with the risk for</w:t>
      </w:r>
      <w:r>
        <w:rPr>
          <w:rFonts w:ascii="Arial" w:cs="Arial" w:eastAsia="Arial" w:hAnsi="Arial"/>
          <w:sz w:val="16"/>
          <w:szCs w:val="16"/>
          <w:i w:val="1"/>
          <w:iCs w:val="1"/>
          <w:color w:val="auto"/>
        </w:rPr>
        <w:t xml:space="preserve"> </w:t>
      </w:r>
      <w:r>
        <w:rPr>
          <w:rFonts w:ascii="Arial" w:cs="Arial" w:eastAsia="Arial" w:hAnsi="Arial"/>
          <w:sz w:val="16"/>
          <w:szCs w:val="16"/>
          <w:color w:val="auto"/>
        </w:rPr>
        <w:t>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18"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potential efficacy and safety of Vascepa (known in its development stage as AMR 101) was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w:t>
      </w:r>
    </w:p>
    <w:p>
      <w:pPr>
        <w:spacing w:after="0"/>
        <w:rPr>
          <w:sz w:val="20"/>
          <w:szCs w:val="20"/>
          <w:color w:val="auto"/>
        </w:rPr>
      </w:pPr>
      <w:r>
        <w:rPr>
          <w:rFonts w:ascii="Arial" w:cs="Arial" w:eastAsia="Arial" w:hAnsi="Arial"/>
          <w:sz w:val="18"/>
          <w:szCs w:val="18"/>
          <w:color w:val="auto"/>
        </w:rPr>
        <w:t>(2.3% for Vascepa vs. 1.0% for placebo).</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also developing Vascepa for the treatment of patients with high (TG ³ 200 mg/dL and &lt;500 mg/dL) triglyceride levels who are also on statin therapy for elevated low-density lipoprotein cholesterol, or LDL-C, levels which we refer to as mixed dyslipidemia. We refer to this second proposed indication for Vascepa as the ANCHOR indication. The FDA has stated that it views the proposed ANCHOR indication as ostensibly and impliedly an indication to reduce cardiovascular risk. In addition, in December 2011, we announced commencement of patient dosing in our cardiovascular outcomes study of Vascepa, titled REDUCE-IT (Reduction of Cardiovascular Events with EPA—Intervention Trial). The REDUCE-IT study is designed to evaluate the efficacy of Vascepa in reducing major cardiovascular events in a high risk patient population on statin therapy.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a pending supplemental new drug application, or sNDA, with the FDA that seeks marketing approval of Vascepa for use in the ANCHOR indication. On October 16, 2013, the FDA convened an advisory committee to review our sNDA. This advisory committee was not asked by the FDA to evaluate whether Vascepa is effective in lowering triglycerides in the studied population, the ANCHOR indication as specified in the sNDA. Rather, the advisory panel was asked whether Vascepa has been demonstrated to improve cardiovascular outcomes or whether approval of the ANCHOR indication 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 on information presented at the meeting. The FDA considers the recommendation of advisory committees, but final decisions on the approval of new drug applications are made by the FDA.</w:t>
      </w:r>
    </w:p>
    <w:p>
      <w:pPr>
        <w:spacing w:after="0" w:line="118"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 ANCHOR clinical study was conducted under a special protocol assessment, or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we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alone as sufficient to establish the effectiveness of a drug intended to reduce cardiovascular risk in subjects with serum triglyceride levels below 500 mg/dL. Beginning in November 2013, we sought reconsideration and appealed the SPA rescission decision to three levels of increasing authority within the FDA and were denied each time, most recently in September 2014. Based on FDA’s repeated position in its appeal denials and its internal consultation with FDA officials at higher levels, we informed the FDA that we did not intend to appeal the SPA rescission further.</w:t>
      </w:r>
    </w:p>
    <w:p>
      <w:pPr>
        <w:spacing w:after="0" w:line="33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FDA did not take action on the ANCHOR sNDA by the Prescription Drug User Fee Act, or PDUFA, goal date for completion of FDA’s review, December 20, 2013. Given our determination to not appeal the SPA rescission further, we expect the FDA to take action on our pending ANCHOR sNDA in the near future.</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are currently focused on the ongoing REDUCE-IT cardiovascular outcomes study of Vascepa.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indications for Vascepa beyond the indications studied in the ANCHOR and MARINE trials. In REDUCE-IT, cardiovascular event rates for patients on stable statin therapy plus four grams per day of Vascepa will be compared to cardiovascular event rates for patients on stable statin therapy plus placebo. The REDUCE-IT study is designed to be completed after reaching an aggregate number of cardiovascular events. Based on projected event rates, we estimate the REDUCE-IT study can be completed in or about 2017 with results then expected to be available in 2018. An interim review of the efficacy results of the trial is scheduled to occur upon reaching 60% of the target aggregate number of cardiovascular events. We currently expect this interim review by the independent data monitoring committee (DMC) to occur during 2016. The DMC has been more frequently examining interim reviews of the safety data from the study. Amarin remains blinded to all data from the study. Approximately 90% of the 8,000 patients targeted for enrollment in the REDUCE-IT study have been enrolled.</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our communications with the FDA, we currently expect that final positive results from the REDUCE-IT outcomes study will be required for label expansion for Vascepa. There can be no assurance that we will be successful in our efforts to obtain a label expansion reflecting the ANCHOR clinical trial whether or not we obtain final positive results from the REDUCE-IT outcomes study. If the FDA does not approve the ANCHOR indication, it could have a material impact on our future results of operations and financial condition.</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against approval of the ANCHOR indication, we implemented a worldwide reduction in force of approximately 50% of our staff positions. The majority of affected staff members were sales professionals who supported the initial commercial launch of Vascepa. We incurred approximately $2.8 million in charges related to the reduction in force, all of which includes cash expenditures for one-time termination benefits and associated costs. The charges were recorded in the fourth quarter of 2013 and the related payments were made by the first half of 2014. As part of the reduction in force, we retained approximately 130 sales representatives, excluding sales management, in the United States in sales territories that we believe have demonstrated the greatest potential for Vascepa sales growth. This team covers the target base of physicians responsible for the majority of Vascepa prescription volume and growth since its launch in early 2013. With these changes and the resulting target base coverage, as well as the addition of the promotional efforts of 250 sales representatives from Kowa Pharmaceuticals America that began in May 2014, we anticipate continued Vascepa revenue growth over time. We also anticipate that such sales growth may be inconsistent from period to period.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Vascepa became commercially available in the United States by prescription in January 2013 when we commenced sales and shipments to our network of U.S.-based wholesalers. On January 28, 2013, we commenced our full commercial launch of Vascepa in the United States. In preparation for our commercial launch, we hired and trained a direct sales force of approximately 275 sales representatives. In October 2013, we reduced our number of sales representatives to approximately 130, excluding sales management, in the United States to focus on the sales territories that we believe have demonstrated the greatest potential for Vascepa sales growth. We now market Vascepa in the United States through our sales force of approximately 150 sales professionals and their managers. Commencing in the middle of the second quarter of 2014, in addition to promotion by our sales representatives, approximately 250 Kowa Pharmaceuticals America sales representatives began promoting Vascepa. We also employ various marketing personnel to support our commercialization of Vascepa. Our clinical and commercial supply is provided to us under agreements with various third-party suppliers. As of November 1, 2014, over 23,000 clinicians had written prescriptions for Vascepa.</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co-promotion agreement with Kowa Pharmaceuticals America, under which promotion commenced in May 2014,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sales representatives and the achievement of minimal levels of Vascepa revenue in 2015 and beyond. Kowa Pharmaceuticals America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America’s co-promotional services, Kowa Pharmaceuticals America is entitled to a quarterly co-promotion fee based on a percentage of aggregate Vascepa gross margins that increases during the term. The percentage of aggregate Vascepa gross margins earned by Kowa Pharmaceuticals America is scheduled to increase from the high single digits in 2014, to mid-teen percent levels in 2015, and to the low twenty percent levels in 2018, subject to certain adjustments.</w:t>
      </w:r>
    </w:p>
    <w:p>
      <w:pPr>
        <w:spacing w:after="0" w:line="12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Based on monthly compilations of data provided by a third party, Symphony Health Solutions, the estimated number of normalized total Vascepa prescriptions for the three months ended September 30, 2014 was approximately 132,000 as compared to 110,000 and 93,000 prescriptions in the three months ended June 30, 2014 and March 31, 2014, respectively. According to data from another third party, IMS Health, the estimated number of normalized total Vascepa prescriptions for the three months ended September 30, 2014 was approximately 113,000 as compared to 93,000 and 78,000 prescriptions in the three months ended June 30, 2014 and March 31, 2014, respectively.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a third party resource and may be subject to adjustment and may overstate or understate actual prescriptions. Timing of shipments to wholesalers, as used for revenue recognition, and timing of prescriptions as estimated by these third parties may differ from period to period.</w:t>
      </w:r>
    </w:p>
    <w:p>
      <w:pPr>
        <w:spacing w:after="0" w:line="10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Although we believe these data are prepared on a period-to-period basis in a manner that is generally consistent and that such results are generally indicative of current prescription trends, these data are based on estimates and should not be relied upon as definitive. In addition, because we had limited selling history during the year ended December 31, 2013, we only recognized revenue on product that was resold for purposes of filling prescriptions. Those prescription data may differ from data reported by other third parties.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commencing our U.S. commercial launch of Vascepa in January 2013, we had no revenue from Vascepa. Because of our limited selling history, changes in the size of our sales force, our co-promotion agreement, and uncertainty regarding resolution of the ANCHOR sNDA with the FDA, we do not believe that we can provide a reasonably accurate forecast of Vascepa revenues. While we expect to be able to grow Vascepa revenues, we provide no quantified guidance regarding anticipated levels of Vascepa prescriptions or revenues and no such guidance should be inferred from the operating metrics described above.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secured managed care coverage for over 200 million lives, including as of November 1, 2014 over 119 million lives covered on Tier 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commercial launch of a new pharmaceutical product is a complex undertaking, and our ability to effectively and profitably launch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Commercialization and Development of Vascepa</w:t>
      </w:r>
      <w:r>
        <w:rPr>
          <w:rFonts w:ascii="Arial" w:cs="Arial" w:eastAsia="Arial" w:hAnsi="Arial"/>
          <w:sz w:val="18"/>
          <w:szCs w:val="18"/>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Update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September 2014, we announced our continued commitment to completing the ongoing REDUCE-IT cardiovascular outcomes study. This multinational, prospective, randomized, double-blind, placebo-controlled study is the first prospective cardiovascular outcomes study of any drug in a population of patients who, despite stable statin therapy, have elevated triglyceride levels.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have over 7,100 patients enrolled in the REDUCE-IT study. We currently estimate that we will complete patient enrollment in this study within 2015. The REDUCE-IT study is designed to be completed after reaching an aggregate number of cardiovascular events. Based on projected event rates, we estimate the REDUCE-IT study can be completed in or about 2017 with results then expected to be available in 2018. Based on the results of REDUCE-IT, we may seek additional indications for Vascepa beyond the indications studied in the ANCHOR or MARINE trials. An interim review of the efficacy results of the trial is scheduled to occur upon reaching 60% of the target aggregate number of cardiovascular events. We currently expect this interim review by the independent data monitoring committee (DMC) to occur during 2016. As is typical, the statistical threshold for defining overwhelming efficacy on the primary endpoint at the interim analysis is considerably higher than the threshold for defining statistical significance at the end of the study. Amarin remains blinded to all data from the study.</w:t>
      </w:r>
    </w:p>
    <w:p>
      <w:pPr>
        <w:spacing w:after="0" w:line="14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 Update</w:t>
      </w:r>
    </w:p>
    <w:p>
      <w:pPr>
        <w:spacing w:after="0" w:line="90" w:lineRule="exact"/>
        <w:rPr>
          <w:sz w:val="20"/>
          <w:szCs w:val="20"/>
          <w:color w:val="auto"/>
        </w:rPr>
      </w:pPr>
    </w:p>
    <w:p>
      <w:pPr>
        <w:jc w:val="both"/>
        <w:ind w:right="340" w:firstLine="456"/>
        <w:spacing w:after="0" w:line="294" w:lineRule="auto"/>
        <w:rPr>
          <w:sz w:val="20"/>
          <w:szCs w:val="20"/>
          <w:color w:val="auto"/>
        </w:rPr>
      </w:pPr>
      <w:r>
        <w:rPr>
          <w:rFonts w:ascii="Arial" w:cs="Arial" w:eastAsia="Arial" w:hAnsi="Arial"/>
          <w:sz w:val="16"/>
          <w:szCs w:val="16"/>
          <w:color w:val="auto"/>
        </w:rPr>
        <w:t>During 2013 and the nine months ended September 30, 2014, all of our active pharmaceutical ingredient, or API, was acquired through two suppliers, Nisshin and Chemport. On April 30, 2014, the Company reached a settlement agreement with a former supplier, BASF, under which the Company received a refund for previous material purchases of $3.0 million, included as other income in the statement of operations. The amount of supply we seek to purchase in 2014 and beyond will depend on the level of growth of Vascepa revenues. Much of the inventory sold in 2014 was purchased in 2013 from Nisshin at a price which is higher than expected future average API costs.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our cash and cash equivalents balance of $135.4 million at September 30, 2014 is sufficient to fund our projected operations for at least the next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All of our revenue is derived from product sales of Vascepa, net of allowances, discounts, incentives, rebates, chargebacks and returns. We sell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to a limited number of major wholesalers, as well as selected regional wholesalers and specialty pharmacy providers, or collectively, our Distributors, who resell the product to retail pharmacies for purposes of their reselling the product to fill patient prescriptions. The Company commenced its commercial launch in the United States in January 2013.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Consequently, we recognized revenues of $37.7 million based on sales to Distributors during the nine months ended September 30, 2014. Through September 30, 2014, product returns were de minimis.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 of API for Vascepa on which revenue was recognized during the period, as well as the associated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for encapsulation, packaging, shipment, supply management, insurance and quality assurance. The cost of the API included in cost of goods sold reflects the average cost method of inventory valuation and relief. This average cost reflects the actual purchase price of Vascepa API, which through September 30, 2014 was sourced from Nisshin and Chemport.</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 In addition, research and development costs include the costs of product supply received from suppliers when such receipt by the Company is prior to regulatory approval of the supplier.</w:t>
      </w:r>
    </w:p>
    <w:p>
      <w:pPr>
        <w:spacing w:after="0" w:line="143"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consists primarily of salaries and other related costs for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stock-based compensation expense, in our sales, marketing, executive, business development, finance and information technology functions. Other costs primarily include facility costs and professional fees for accounting, consulting and legal services.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expense consists of interest incurred under lease obligations, interest incurred under our 3.5% exchangeable</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and interest incurred under our December 2012 financing arrangement with BioPharma Secured Debt Fund II Holdings Cayman LP, or BioPharma. Interest expense under our exchangeable notes includes the amortization of the conversion option related to our exchangeable debt, the amortization of the related debt discount and debt obligation coupon interest. Interest income consists of interest earned on our cash and cash equivalents. Other (expense) income, net, consists primarily of foreign exchange losses and gains.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Quarterly Report. We believe the following critical accounting policies affect our more significant judgments and estimates used in the preparation of our consolidated financial statements.</w:t>
      </w:r>
    </w:p>
    <w:p>
      <w:pPr>
        <w:spacing w:after="0" w:line="118"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—We sell Vascepa principally to a limited number of Distributors, that in turn resell Vascepa to retail pharmacies that subsequently resell it</w:t>
      </w:r>
      <w:r>
        <w:rPr>
          <w:rFonts w:ascii="Arial" w:cs="Arial" w:eastAsia="Arial" w:hAnsi="Arial"/>
          <w:sz w:val="16"/>
          <w:szCs w:val="16"/>
          <w:i w:val="1"/>
          <w:iCs w:val="1"/>
          <w:color w:val="auto"/>
        </w:rPr>
        <w:t xml:space="preserve"> </w:t>
      </w:r>
      <w:r>
        <w:rPr>
          <w:rFonts w:ascii="Arial" w:cs="Arial" w:eastAsia="Arial" w:hAnsi="Arial"/>
          <w:sz w:val="16"/>
          <w:szCs w:val="16"/>
          <w:color w:val="auto"/>
        </w:rPr>
        <w:t>to patients and health 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began recognizing revenue from the sale of Vascepa following our commercial launch in the United States in January 2013. Prior to 2013, we recognized no revenue from Vascepa sales. 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Consequently, we recognized revenues of $37.7 million based on sales to Distributors during the nine months ended September 30, 2014. Through September 30, 2014, product returns were de minimis.</w:t>
      </w:r>
    </w:p>
    <w:p>
      <w:pPr>
        <w:spacing w:after="0" w:line="120"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0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arising for changes in fair value recognized in the statement of operations. The fair value of derivative financial liabilities is determined using valuation techniques; typically we use the Black-Scholes option pricing model. We use our judgment to select a variety of methods and make assumptions that are mainly based on market conditions existing at each balance sheet date. Fluctuations in the assumptions used in the valuation model would result in adjustments to the fair value of the warrant derivative liability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the change in control provision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associated with our December 2012 debt financing and the change in control provision associated with our May 2014 exchangeable senior notes. During 2013, we recorded a derivative liability related to our forward foreign exchange contracts, which was extinguished prior to December 31, 2013. The fair value of these derivatives could fluctuate based on changes in the assumptions used in the valuation models.</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—Prior to July 26, 2012, when we received approval from the FDA to market and sell Vascepa in the United States for the MARINE indication,</w:t>
      </w:r>
      <w:r>
        <w:rPr>
          <w:rFonts w:ascii="Arial" w:cs="Arial" w:eastAsia="Arial" w:hAnsi="Arial"/>
          <w:sz w:val="16"/>
          <w:szCs w:val="16"/>
          <w:i w:val="1"/>
          <w:iCs w:val="1"/>
          <w:color w:val="auto"/>
        </w:rPr>
        <w:t xml:space="preserve"> </w:t>
      </w:r>
      <w:r>
        <w:rPr>
          <w:rFonts w:ascii="Arial" w:cs="Arial" w:eastAsia="Arial" w:hAnsi="Arial"/>
          <w:sz w:val="16"/>
          <w:szCs w:val="16"/>
          <w:color w:val="auto"/>
        </w:rPr>
        <w:t>Vascepa was considered a product candidate under development. All supply of Vascepa purchased prior to July 26, 2012 was not capitalized and instead charged as a component of research and development expense in the period received. After Vascepa was approved, we began to capitalize inventory purchased from Nisshin, the API supplier approved in the NDA. Prior to April 2013, only Nisshin was an FDA-approved supplier of API for Vascepa. In April 2013, the FDA approved our sNDAs covering Chemport and BASF and in July 2014 the FDA approved our sNDA covering Slanmhor such that there are now four suppliers FDA-qualified to produce Vascepa API. All supply from Chemport and BASF prior to FDA approval of these API suppliers was not capitalized and instead charged as a component of research and development expense in the period received. Subsequent to the approval of these suppliers, we capitalize API purchases from them. Until an API supplier is approved, all Vascepa API purchased from such supplier is included as a component of research and development expense. Upon sNDA approval of each additional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sNDA for the supplier that produced the API is approved. We state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we will reduce the carrying value of such inventory to market value. We expense inventory identified for use as marketing samples when they are packaged. The average cost reflects the actual purchase price of Vascepa API, as well as a portion of API carried at zero cost for material which was purchased prior to FDA approval of Vascepa or was purchased prior to the sNDA approval of our suppliers. Additionally, the determination of the classification of our inventory requires the use of estimates in order to determine the portion of inventories anticipated to be utilized within twelve months of the balance sheet date.</w:t>
      </w:r>
    </w:p>
    <w:p>
      <w:pPr>
        <w:spacing w:after="0" w:line="121"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—Deferred tax assets and liabilities are recognized for the future tax consequences of differences between the carrying amounts and tax bases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43"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We assess our ability to realize deferred tax assets at each reporting period. The realization of deferred tax assets depends on generating future taxable income during the periods in which the tax benefits are deductible or creditable. The Company has been historically profitable in the U.S. When making its assessment about the realization of its U.S. deferred tax assets at September 30, 2014, the Company considered all available evidence, placing particular weight on evidence that could be objectively verified. The evidence considered included the (i) historical profitability of the Company’s U.S. operations, (ii) sources of future taxable income, giving weight to sources according to the extent to which they can be objectively verified and (iii) the risks to our business related to the commercialization and development of Vascepa. Based on its assessment, the Company concluded that the U.S. deferred tax assets are more likely than not to be realizable as of September 30, 2014.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The Company considered the following recent accounting pronouncements which were not yet adopted as of September 30, 2014:</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May 2014, the FASB issued ASU No. 2014-09, “Revenue from Contracts with Customers (Topic 606).” This amendment provides principles for recognizing revenue for the transfer of promised goods or services to customers with the consideration to which the entity expects to be entitled in exchange for those goods or services. This amendment will be effective for our fiscal year beginning January 1, 2017. Early adoption is not permitted. We are currently evaluating the accounting, transition and disclosure requirements of the standard and cannot currently estimate the financial statement impact of adoption.</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condition. As such, the performance target should not be reflected in estimating the grant-date fair value of the award. We are required to adopt this standard in the first quarter of fiscal 2016 and early adoption is permitted. This standard will not have an impact on our condensed consolidated financial statements.</w:t>
      </w:r>
    </w:p>
    <w:p>
      <w:pPr>
        <w:spacing w:after="0" w:line="8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August 2014, the FASB issued ASU No. 2014-15, Presentation of Financial Statements—Going Concern, Disclosure of Uncertainties about an Entity’s Ability to Continue as a Going Concern (Subtopic 205-40). ASU 2014-15 requires management to assess an entity’s ability to continue as a 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the fiscal years ending after December 15, 2016, and for annual periods and interim periods thereafter. Early application is permitted. We are currently evaluating the accounting, transition and disclosure requirements of the standard and cannot currently estimate the financial statement impact of adoption.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discussed, we believe that the impact of other recently issued accounting pronouncements will not have a material impact on consolidated financial position, results of operations, and cash flows, or do not apply to our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2014 and September 30, 2013</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revenue of $14.1 million and $8.4 million during the three months ended September 30, 2014 and 2013, respectively, an increase of $5.7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68%. We commenced our full commercial launch of Vascepa in the United States for use in the MARINE indication in January, 2013. All of our revenue in the three months ended September 30, 2014 and 2013 was derived from product sales of Vascepa, net of allowances, discounts, incentives, rebates, chargebacks and returns.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Through September 30, 2014, product returns were de minimis. Timing of shipments to wholesalers, as used for revenue recognition, and timing of prescriptions as estimated by third party sources such as Symphony Health Solutions and IMS Health may differ from period to period.</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quarters ended September 30, 2014 and 2013, our net product revenues included an adjustment for co-pay mitigation rebates provided by us to commercially insured patients. Patients not covered on tier 2 by their commercial insurance carrier pay a higher co-pay payment when purchasing Vascepa. Such rebates are intended to offset the cost differential for such patients. Our cost for these co-payment mitigation rebates was up to $75 per prescription filled prior to February 20, 2014 and up to $70 per prescription filled after February 20, 2014 to September 30, 2014. Commencing in March 2013, certain third-party payors added Vascepa to their tier 2 coverage, which results in lower co-payments for patients covered by these third-party payors. The number of lives covered by these payors increased throughout 2013 and continued to increase in 2014. As of November 1, 2014, over 119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is typical in the pharmaceutical industry, the majority of Vascepa sales are to major commercial wholesalers which then resell Vascepa to retail pharmacies. As of November 1, 2014, over 23,000 clinicians had written prescriptions for Vascepa. As of November 1, 2014, we are not aware of any clinician who is responsible for 10% or more of the aggregate prescriptions written for Vascepa.</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we implemented a worldwide reduction in force including a reduction of approximately 50%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majority of Vascepa prescription volume and growth since its launch in early 2013. With these changes and the resulting target base coverage and the addition of the promotional efforts of 250 sales representatives from Kowa Pharmaceuticals America which commenced in May 2014, we anticipate continued Vascepa revenue growth over time. We further anticipate that such revenue growth may be inconsistent from period to period.</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during the three months ended September 30, 2014 and 2013 was $5.4 million and $3.7 million, respectively,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$1.7 million or 46%, which was driven by the increase in revenues and partially offset by lower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supply costs. These amounts include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API included in the calculation of the average cost of goods sold during the three months ended September 30, 2014 and 2013 was sourced from two API suppliers. The contracted cost of supply from our initial API supplier was higher than the contracted cost from our other API supplier. In the future, we anticipate making continued purchases from this initial supplier and to make additional lower unit cost purchases of Vascepa API from other API suppliers. We began purchasing lower unit cost API from Chemport, which was approved by the FDA in April 2013 to produce Vascepa, in the second quarter of 2013. During the three months ended September 30, 2014 and 2013, the cost basis of product sold that had a carrying value of zero was $0.6 million and zero, respectively. Had such inventories been valued at acquisition cost, it would have resulted in a corresponding increase in cost of goods sold and a decrease in gross margin during such periods. As of September 30, 2014, we maintained no inventory with a carrying value of zero.</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gross margin for the three months ended September 30, 2014 and 2013 was 62% and 56%,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September 30, 2014 and 2013 was $19.3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$28.3 million, respectively, a decrease of $9.0 million, or 32%. Selling, general and administrative expenses for the three months ended September 30, 2014 and 2013 are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Three months Ended</w:t>
            </w:r>
          </w:p>
        </w:tc>
      </w:tr>
      <w:tr>
        <w:trPr>
          <w:trHeight w:val="162"/>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4"/>
              </w:rPr>
              <w:t>September 30</w:t>
            </w:r>
          </w:p>
        </w:tc>
      </w:tr>
      <w:tr>
        <w:trPr>
          <w:trHeight w:val="161"/>
        </w:trPr>
        <w:tc>
          <w:tcPr>
            <w:tcW w:w="6880" w:type="dxa"/>
            <w:vAlign w:val="bottom"/>
          </w:tcPr>
          <w:p>
            <w:pPr>
              <w:spacing w:after="0"/>
              <w:rPr>
                <w:sz w:val="14"/>
                <w:szCs w:val="14"/>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excluding non-cash expenses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$18,284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Non-cash stock-based compensation expense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expense (3)</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68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19,270</w:t>
            </w: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28,274</w:t>
            </w:r>
          </w:p>
        </w:tc>
        <w:tc>
          <w:tcPr>
            <w:tcW w:w="100" w:type="dxa"/>
            <w:vAlign w:val="bottom"/>
          </w:tcPr>
          <w:p>
            <w:pPr>
              <w:spacing w:after="0"/>
              <w:rPr>
                <w:sz w:val="24"/>
                <w:szCs w:val="24"/>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80" w:right="100" w:hanging="572"/>
        <w:spacing w:after="0" w:line="252"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three months ended September 30, 2014 and 2013 was $18.3 million and $24.3 million, respectively, a decrease of $6.0 million, or 25%. The decrease was due primarily to cost decreases in 2014 for sales force staffing, marketing program spending and costs for other general and administrative support incurred in connection with the commercialization of Vascepa.</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Stock-based compensation expense for the three months ended September 30, 2014 and 2013 was $1.3 million and $3.7 million, respectively, a decrease of $2.4 million, or 65%, primarily due to a decrease in the fair value of new stock option and restricted stock awards granted to attract and retain qualified employees as a result of a decrease in our stock price.</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Warrant-related compensation (income) expense for the three months ended September 30, 2014 and 2013 was income of $0.3 million and expense of</w:t>
      </w:r>
    </w:p>
    <w:p>
      <w:pPr>
        <w:spacing w:after="0" w:line="32" w:lineRule="exact"/>
        <w:rPr>
          <w:rFonts w:ascii="Arial" w:cs="Arial" w:eastAsia="Arial" w:hAnsi="Arial"/>
          <w:sz w:val="16"/>
          <w:szCs w:val="16"/>
          <w:color w:val="auto"/>
        </w:rPr>
      </w:pPr>
    </w:p>
    <w:p>
      <w:pPr>
        <w:ind w:left="580"/>
        <w:spacing w:after="0" w:line="288" w:lineRule="auto"/>
        <w:rPr>
          <w:rFonts w:ascii="Arial" w:cs="Arial" w:eastAsia="Arial" w:hAnsi="Arial"/>
          <w:sz w:val="16"/>
          <w:szCs w:val="16"/>
          <w:color w:val="auto"/>
        </w:rPr>
      </w:pPr>
      <w:r>
        <w:rPr>
          <w:rFonts w:ascii="Arial" w:cs="Arial" w:eastAsia="Arial" w:hAnsi="Arial"/>
          <w:sz w:val="16"/>
          <w:szCs w:val="16"/>
          <w:color w:val="auto"/>
        </w:rPr>
        <w:t>$0.3 million, respectively. Warrant related compensation (income) expense for the periods ended September 30, 2014 and 2013 reflects a non-cash change in fair value of the warrant derivative liability associated with warrants issued in October 2009 to three of our former employees, net of warrants exercised. The change in the fair value of the warrants is due primarily to the change in our stock price during each period.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3"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We anticipate a reduction in the level of selling, general and administrative costs in 2014 as compared to 2013 as a result of the reduction in force announced in October 2013 and expected reductions in certain marketing program spend and other overhead costs. Such cost reductions will be partially offset by the incremental selling costs associated with the Kowa Pharmaceuticals America co-promotion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for the three months ended September 30, 2014 and 2013 was $14.5 million and</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$16.8 million, respectively, a decrease of $2.3 million, or 14%. Research and development expenses for the three months ended September 30, 2014 and 2013 are summarized in the table below (in thousands):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$11,753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Pre-approval commercial supply (2)</w:t>
            </w:r>
          </w:p>
        </w:tc>
        <w:tc>
          <w:tcPr>
            <w:tcW w:w="120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Regulatory filing fees and expenses (3)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Internal staffing, overhead and other (4)</w:t>
            </w:r>
          </w:p>
        </w:tc>
        <w:tc>
          <w:tcPr>
            <w:tcW w:w="1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Non-cash stock-based compensation (5)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14,457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decrease in research and development expenses for the quarter ended September 30, 2014, as compared to the prior year period, is primarily due to a decrease in expenses associated with pre-commercial inventory supply and a decrease in staffing and overhead costs, as further described below.</w:t>
      </w:r>
    </w:p>
    <w:p>
      <w:pPr>
        <w:spacing w:after="0" w:line="4" w:lineRule="exact"/>
        <w:rPr>
          <w:sz w:val="20"/>
          <w:szCs w:val="20"/>
          <w:color w:val="auto"/>
        </w:rPr>
      </w:pPr>
    </w:p>
    <w:p>
      <w:pPr>
        <w:ind w:left="460" w:hanging="452"/>
        <w:spacing w:after="0" w:line="28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We currently have over 7,100 patients enrolled in REDUCE-IT. We estimate that we will complete patient enrollment in this study within 2015. For the three months ended September 30, 2014 and 2013, we incurred expenses through our CRO in connection with this trial of approximately $9.5 million and $8.3 million, respectively. Inclusive of CTM costs, the combined CRO and CTM costs in the three months ended September 30, 2014 and 2013 for REDUCE-IT were approximately $11.8 million and $9.1 million, respectively. We expense costs for CTM upon receipt. The aggregate cost of this outcomes study will depend on the rate of clinical events in the study. We currently estimate that costs incurred for this study in 2014 will continue at approximately the same levels as we have incurred in 2013 but may vary from quarter to quarter. Based on our current assumptions of CRO and CTM costs, we estimate that aggregate remaining costs to complete the REDUCE-IT study and evaluate its results to likely exceed $100 million. We anticipate that our costs for this outcomes study will continue to represent the most significant component of our research and development expenditures.</w:t>
      </w:r>
    </w:p>
    <w:p>
      <w:pPr>
        <w:spacing w:after="0" w:line="4"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The amount of commercial supply that we receive from potential additional API suppliers prior to sNDA approval depends upon production schedules at such suppliers and the timing of regulatory approval, and we are unable to estimate these amounts at this time. We will continue to expense inventory received from the unapproved supplier until such time as FDA approval is obtained.</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regulatory filing fees in each of the three months ended September 30, 2014 and 2013 included annual FDA fees for maintaining manufacturing sites.</w:t>
      </w:r>
    </w:p>
    <w:p>
      <w:pPr>
        <w:spacing w:after="0" w:line="32" w:lineRule="exact"/>
        <w:rPr>
          <w:rFonts w:ascii="Arial" w:cs="Arial" w:eastAsia="Arial" w:hAnsi="Arial"/>
          <w:sz w:val="16"/>
          <w:szCs w:val="16"/>
          <w:color w:val="auto"/>
        </w:rPr>
      </w:pPr>
    </w:p>
    <w:p>
      <w:pPr>
        <w:ind w:left="460" w:right="22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Such costs also include costs related to qualifying suppliers and legal costs. We anticipate a reduction in such costs in 2014 compared to 2013 levels as a result of a company-wide reduction in force announced in October 2013. Other research and development costs in 2013 also include costs related to testing of the relative bioavailability of AMR102 capsules, Vascepa capsules with a selected statin taken concomitantly. We have suspended additional development of AMR102 pending resolution of the ANCHOR sNDA with the FDA.</w:t>
      </w:r>
    </w:p>
    <w:p>
      <w:pPr>
        <w:spacing w:after="0" w:line="4" w:lineRule="exact"/>
        <w:rPr>
          <w:rFonts w:ascii="Arial" w:cs="Arial" w:eastAsia="Arial" w:hAnsi="Arial"/>
          <w:sz w:val="16"/>
          <w:szCs w:val="16"/>
          <w:color w:val="auto"/>
        </w:rPr>
      </w:pPr>
    </w:p>
    <w:p>
      <w:pPr>
        <w:ind w:left="460" w:right="62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Gain (Loss) on Change in Fair Value of Derivative Liabilities</w:t>
      </w:r>
      <w:r>
        <w:rPr>
          <w:rFonts w:ascii="Arial" w:cs="Arial" w:eastAsia="Arial" w:hAnsi="Arial"/>
          <w:sz w:val="18"/>
          <w:szCs w:val="18"/>
          <w:color w:val="auto"/>
        </w:rPr>
        <w:t>. Gain (loss) on change in fair value of derivative liabilities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and 2013 was a gain of $4.5 million and a loss of $1.4 million, respectively. Gain (loss) on change in fair value of derivative liabilities is comprised of (i) the change in fair value of the warrant derivative liability, (ii) the change in fair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value of the derivative liability related to the change in control provision associated with the December 2012 BioPharma financing, (iii) the change in fair value of the derivative liability related to the change in control provision associated with the May 2014 exchangeable senior notes and (iv) an unrealized loss on foreign exchange contracts for the three months ended September 30, 2013.</w:t>
      </w:r>
    </w:p>
    <w:p>
      <w:pPr>
        <w:spacing w:after="0" w:line="14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June 30, 2014 was $4.5 million and we recognized a $4.1 million gain on change in fair value of derivative liability for the quarter ended September 30, 2014 for these warrants. The fair value of the warrant derivative liability at June 30, 2013 was $36.0 million and we recognized a $3.3 million loss on change in fair value of derivative liability for the quarter ended September 30, 2013 for these warrants. The decrease or increase in the fair value of the warrant derivative liability is due primarily to the decrease or increase in the price of our common stock on the date of valuation.</w:t>
      </w:r>
    </w:p>
    <w:p>
      <w:pPr>
        <w:spacing w:after="0" w:line="118" w:lineRule="exact"/>
        <w:rPr>
          <w:sz w:val="20"/>
          <w:szCs w:val="20"/>
          <w:color w:val="auto"/>
        </w:rPr>
      </w:pPr>
    </w:p>
    <w:p>
      <w:pPr>
        <w:ind w:firstLine="913"/>
        <w:spacing w:after="0" w:line="309" w:lineRule="auto"/>
        <w:rPr>
          <w:sz w:val="20"/>
          <w:szCs w:val="20"/>
          <w:color w:val="auto"/>
        </w:rPr>
      </w:pPr>
      <w:r>
        <w:rPr>
          <w:rFonts w:ascii="Arial" w:cs="Arial" w:eastAsia="Arial" w:hAnsi="Arial"/>
          <w:sz w:val="15"/>
          <w:szCs w:val="15"/>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June 30, 2014, the fair value of the derivative was determined to be $6.1 million, and at September 30, 2014, the fair value of the derivative was determined to be $4.6 million. We recognized a $1.5 million gain on change in fair value of derivative liability for the three months ended September 30, 2014. At June 30, 2013, the fair value of the derivative was determined to be $8.6 million, and at September 30, 2013, the fair value of the derivative was determined to be $7.2 million. We recognized a $1.4 million gain on change in fair value of derivative liability for the three months ended September 30, 2013.</w:t>
      </w:r>
    </w:p>
    <w:p>
      <w:pPr>
        <w:spacing w:after="0" w:line="108"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Our 2014 Notes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June 30, 2014, the fair value of the derivative was determined to be $3.3 million and at September 30, 2014, the fair value of the derivative was determined to be $4.4 million. We recognized a $1.1 million loss on change in fair value of derivative liability for the three months ended September 30, 2014.</w:t>
      </w:r>
    </w:p>
    <w:p>
      <w:pPr>
        <w:spacing w:after="0" w:line="120"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We periodically use foreign exchange forward contracts to hedge against changes in exchange rates for inventory purchases denominated in foreign currency. As of September 30, 2014, there were no such outstanding contracts. As of September 30, 2013 we held a foreign exchange forward contract with a notional amount of $4.5 million. For the three months ended September 30, 2013, we recognized an unrealized gain of $0.5 million related to the change in fair value of the foreign exchange forward contract derivative liability, which was included as a component of change in fair value of derivative liabilities.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 xml:space="preserve">Interest Expense, net. </w:t>
      </w:r>
      <w:r>
        <w:rPr>
          <w:rFonts w:ascii="Arial" w:cs="Arial" w:eastAsia="Arial" w:hAnsi="Arial"/>
          <w:sz w:val="15"/>
          <w:szCs w:val="15"/>
          <w:color w:val="auto"/>
        </w:rPr>
        <w:t>Net interest expense for the three months ended September 30, 2014 and 2013 was $4.9 million and $8.4 million, respectively, a decrease of</w:t>
      </w:r>
      <w:r>
        <w:rPr>
          <w:rFonts w:ascii="Arial" w:cs="Arial" w:eastAsia="Arial" w:hAnsi="Arial"/>
          <w:sz w:val="15"/>
          <w:szCs w:val="15"/>
          <w:i w:val="1"/>
          <w:iCs w:val="1"/>
          <w:color w:val="auto"/>
        </w:rPr>
        <w:t xml:space="preserve"> </w:t>
      </w:r>
      <w:r>
        <w:rPr>
          <w:rFonts w:ascii="Arial" w:cs="Arial" w:eastAsia="Arial" w:hAnsi="Arial"/>
          <w:sz w:val="15"/>
          <w:szCs w:val="15"/>
          <w:color w:val="auto"/>
        </w:rPr>
        <w:t>$3.5 million, or 42%. Net interest expense for the three months ended September 30, 2014 and 2013 is summarized in the table below (in thousands):</w:t>
      </w:r>
    </w:p>
    <w:p>
      <w:pPr>
        <w:spacing w:after="0" w:line="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7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70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Amortization of debt discounts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$ 1,425</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Contractual coupon interest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8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520" w:type="dxa"/>
            <w:vAlign w:val="bottom"/>
          </w:tcPr>
          <w:p>
            <w:pPr>
              <w:jc w:val="right"/>
              <w:spacing w:after="0"/>
              <w:rPr>
                <w:sz w:val="20"/>
                <w:szCs w:val="20"/>
                <w:color w:val="auto"/>
              </w:rPr>
            </w:pPr>
            <w:r>
              <w:rPr>
                <w:rFonts w:ascii="Arial" w:cs="Arial" w:eastAsia="Arial" w:hAnsi="Arial"/>
                <w:sz w:val="18"/>
                <w:szCs w:val="18"/>
                <w:color w:val="auto"/>
              </w:rPr>
              <w:t>2,738</w:t>
            </w: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Cash interest—current</w:t>
            </w:r>
          </w:p>
        </w:tc>
        <w:tc>
          <w:tcPr>
            <w:tcW w:w="520" w:type="dxa"/>
            <w:vAlign w:val="bottom"/>
          </w:tcPr>
          <w:p>
            <w:pPr>
              <w:jc w:val="right"/>
              <w:spacing w:after="0"/>
              <w:rPr>
                <w:sz w:val="20"/>
                <w:szCs w:val="20"/>
                <w:color w:val="auto"/>
              </w:rPr>
            </w:pPr>
            <w:r>
              <w:rPr>
                <w:rFonts w:ascii="Arial" w:cs="Arial" w:eastAsia="Arial" w:hAnsi="Arial"/>
                <w:sz w:val="18"/>
                <w:szCs w:val="18"/>
                <w:color w:val="auto"/>
              </w:rPr>
              <w:t>1,415</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interest—deferred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Non-cash interest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980" w:type="dxa"/>
            <w:vAlign w:val="bottom"/>
            <w:gridSpan w:val="2"/>
          </w:tcPr>
          <w:p>
            <w:pPr>
              <w:spacing w:after="0"/>
              <w:rPr>
                <w:sz w:val="20"/>
                <w:szCs w:val="20"/>
                <w:color w:val="auto"/>
              </w:rPr>
            </w:pPr>
            <w:r>
              <w:rPr>
                <w:rFonts w:ascii="Arial" w:cs="Arial" w:eastAsia="Arial" w:hAnsi="Arial"/>
                <w:sz w:val="18"/>
                <w:szCs w:val="18"/>
                <w:color w:val="auto"/>
              </w:rPr>
              <w:t>Total interest expense</w:t>
            </w:r>
          </w:p>
        </w:tc>
        <w:tc>
          <w:tcPr>
            <w:tcW w:w="520" w:type="dxa"/>
            <w:vAlign w:val="bottom"/>
          </w:tcPr>
          <w:p>
            <w:pPr>
              <w:jc w:val="right"/>
              <w:spacing w:after="0"/>
              <w:rPr>
                <w:sz w:val="20"/>
                <w:szCs w:val="20"/>
                <w:color w:val="auto"/>
              </w:rPr>
            </w:pPr>
            <w:r>
              <w:rPr>
                <w:rFonts w:ascii="Arial" w:cs="Arial" w:eastAsia="Arial" w:hAnsi="Arial"/>
                <w:sz w:val="18"/>
                <w:szCs w:val="18"/>
                <w:color w:val="auto"/>
              </w:rPr>
              <w:t>4,888</w:t>
            </w:r>
          </w:p>
        </w:tc>
        <w:tc>
          <w:tcPr>
            <w:tcW w:w="2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8,463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980" w:type="dxa"/>
            <w:vAlign w:val="bottom"/>
            <w:gridSpan w:val="2"/>
          </w:tcPr>
          <w:p>
            <w:pPr>
              <w:spacing w:after="0"/>
              <w:rPr>
                <w:sz w:val="20"/>
                <w:szCs w:val="20"/>
                <w:color w:val="auto"/>
              </w:rPr>
            </w:pPr>
            <w:r>
              <w:rPr>
                <w:rFonts w:ascii="Arial" w:cs="Arial" w:eastAsia="Arial" w:hAnsi="Arial"/>
                <w:sz w:val="18"/>
                <w:szCs w:val="18"/>
                <w:color w:val="auto"/>
              </w:rPr>
              <w:t>Total interest expense, net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$ 4,876</w:t>
            </w:r>
          </w:p>
        </w:tc>
        <w:tc>
          <w:tcPr>
            <w:tcW w:w="2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$ 8,441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three months ended September 30, 2014 and 2013 was $2.7 million and $5.2 million, respectively.</w:t>
      </w:r>
    </w:p>
    <w:p>
      <w:pPr>
        <w:ind w:left="460" w:right="8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Cash and non-cash interest expense related to the BioPharma financing for three months ended September 30, 2014 and 2013 was $2.2 million and $3.3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460" w:right="34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income for the three months ended September 30, 2014 and 2013 was $0.01 million and $0.02 million, respectively. Interest income represents income earned on cash balances.</w:t>
      </w:r>
    </w:p>
    <w:p>
      <w:pPr>
        <w:spacing w:after="0" w:line="13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net for the three months ended September 30, 2014 and 2013 was expense of $0.2 million and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Other (expense) income, net primarily consists of losses and gains on foreign exchange transactions, including realized gains and losses on foreign exchange forward contracts. We periodically use foreign exchange forward contracts to hedge against changes in exchange rates for inventory purchases denominated in foreign currency.</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(Provision for) Benefit from Income Taxes. </w:t>
      </w:r>
      <w:r>
        <w:rPr>
          <w:rFonts w:ascii="Arial" w:cs="Arial" w:eastAsia="Arial" w:hAnsi="Arial"/>
          <w:sz w:val="16"/>
          <w:szCs w:val="16"/>
          <w:color w:val="auto"/>
        </w:rPr>
        <w:t>(Provision for) benefit from income taxes for the three months ended September 30, 2014 and 2013 was a provision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$0.4 million and a benefit of $1.6 million, respectively. The current provision relates entirely to the United States subsidiary operations. We are profitable in the United States as a result of intercompany transactions between our United States subsidiary and our other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2014 and September 30, 2013</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revenue of $37.7 million and $16.2 million during the nine months ended September 30, 2014 and 2013, respectively, an increase of $21.5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133%. We commenced our full commercial launch of Vascepa in the United States for use in the MARINE indication in January 2013. All of our revenue in the nine months ended September 30, 2014 and 2013 was derived from product sales of Vascepa, net of allowances, discounts, incentives, rebates, chargebacks and returns.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Through September 30, 2014, product returns were de minimis. Timing of shipments to wholesalers, as used for revenue recognition, and timing of prescriptions as estimated by third party sources such as Symphony Health Solutions and IMS Health may differ from period to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nine months ended September 30, 2014 and 2013, our net product revenues included an adjustment for co-pay mitigation rebates provided by us to commercially insured patients. Patients not covered on tier 2 by their commercial insurance carrier pay a higher co-pay payment when purchasing Vascepa. Such rebates are intended to offset the cost differential for such patients. Our cost for these co-payment mitigation rebates was up to $75 per prescription filled prior to February 20, 2014 and up to $70 per prescription filled after February 20, 2014 to September 30, 2014. Commencing in March 2013, certain third-party payors added Vascepa to their tier 2 coverage, which results in lower co-payments for patients covered by these third-party payors. The number of lives covered by these payors increased throughout 2013 and continued to increase in 2014. As of November 1, 2014, over 119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is typical in the pharmaceutical industry, the majority of Vascepa sales are to major commercial wholesalers which then resell Vascepa to retail pharmacies. As of November 1, 2014, over 23,000 clinicians had written prescriptions for Vascepa. As of November 1, 2014, we are not aware of any clinician who is responsible for 10% or more of the aggregate prescriptions written for Vascepa.</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we implemented a worldwide reduction in force including a reduction of approximately 50%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majority of Vascepa prescription volume and growth since its launch in early 2013. With these changes and the resulting target base coverage and the addition of the promotional efforts of 250 sales representatives from Kowa Pharmaceuticals America which commenced in May 2014, we anticipate continued Vascepa revenue growth over time. We further anticipate that such revenue growth may be inconsistent from period to period.</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nine months ended September 30, 2014 and 2013 was $14.6 million and $7.8 million, respectively,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$6.8 million or 87%, which was driven by the increase in revenues and partially offset by lower supply costs. These amounts include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API included in the calculation of the average cost of goods sold during 2013 and the nine months ended September 30, 2014 was sourced from two API suppliers. The contracted cost of supply from our initial API supplier was higher than the contracted cost from our other API supplier. Contracted purchase costs from this initial API supplier reflect that they were working with Amarin prior to commencement of the MARINE and ANCHOR clinical trials and are anticipated to decline as additional API volume is purchased. In the future, we anticipate making continued purchases from this initial supplier and to make additional lower unit cost purchases of Vascepa API from other API suppliers. We began purchasing lower unit cost API from Chemport, which was approved by the FDA in April 2013 to produce Vascepa, in the second quarter of 2013. During the nine months ended September 30, 2014 and 2013, the cost basis of product sold that had a carrying value of zero was $0.6 million and $4.0 million, respectively. Had such inventories been valued at acquisition cost, it would have resulted in a corresponding increase in cost of goods sold and a decrease in gross margin during such periods. As of September 30, 2014, we maintained no inventory with a carrying value of zero.</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gross margin for the nine months ended September 30, 2014 and 2013 was 61% and 52%,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nine months ended September 30, 2014 and 2013 was $60.9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$101.5 million, respectively, a decrease of $40.6 million, or 40%. Selling, general and administrative expenses for the nine months ended September 30, 2014 and 2013 are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6"/>
              </w:rPr>
              <w:t>Selling, general and administrative expenses, excluding non-cash expenses (1)</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$57,108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Non-cash stock-based compensation expense (2)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(3)</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1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60,949</w:t>
            </w:r>
          </w:p>
        </w:tc>
        <w:tc>
          <w:tcPr>
            <w:tcW w:w="3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101,502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right"/>
              <w:ind w:right="1632"/>
              <w:spacing w:after="0"/>
              <w:rPr>
                <w:sz w:val="20"/>
                <w:szCs w:val="20"/>
                <w:color w:val="auto"/>
              </w:rPr>
            </w:pPr>
            <w:r>
              <w:rPr>
                <w:rFonts w:ascii="Arial" w:cs="Arial" w:eastAsia="Arial" w:hAnsi="Arial"/>
                <w:sz w:val="18"/>
                <w:szCs w:val="18"/>
                <w:color w:val="auto"/>
              </w:rPr>
              <w:t>35</w:t>
            </w: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1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20" w:hanging="452"/>
        <w:spacing w:after="0" w:line="28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non-cash compensation charges for stock compensation and warrants, for the nine months ended September 30, 2014 and 2013 was $57.1 million and $90.7 million, respectively, a decrease of $33.6 million, or 37%. The decrease was due primarily to cost decreases in 2014 for sales force staffing, marketing program spending and costs for other general and administrative support incurred in connection with the commercialization of Vascepa. The nine months ended September 30, 2013 was the period in which we were commenced selling Vascepa and costs during this period included certain launch-related costs.</w:t>
      </w:r>
    </w:p>
    <w:p>
      <w:pPr>
        <w:spacing w:after="0" w:line="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 expense for the nine months ended September 30, 2014 and 2013 was $4.3 million and $12.0 million, respectively, a decrease of $7.7 million, or 64%, primarily due to a decrease in the fair value of new stock option and restricted stock awards granted to attract and retain qualified employees as a result of a decrease in our stock price.</w:t>
      </w:r>
    </w:p>
    <w:p>
      <w:pPr>
        <w:spacing w:after="0" w:line="1"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Warrant-related compensation income for the nine months ended September 30, 2014 and 2013 was $0.5 million and $1.2 million, respectively. Warrant related compensation income for the nine months ended September 30, 2014 and 2013 reflects a non-cash change in fair value of the warrant derivative liability associated with warrants issued in October 2009 to three of our former employees, net of warrants exercised. The decrease in the fair value of the warrants is due primarily to a decrease in our stock price during each period.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We anticipate a reduction in the level of selling, general and administrative costs in 2014 as compared to 2013 as a result of the reduction in force announced in October 2013 and expected reductions in certain marketing program spend and other overhead costs. Such cost reductions will be partially offset by the incremental selling costs associated with the Kowa Pharmaceuticals America co-promotion agreement.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for the nine months ended September 30, 2014 and 2013 was $37.9 million and</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$56.1 million, respectively, a decrease of $18.2 million, or 32%. Research and development expenses for the nine months ended September 30, 2014 and 2013 are summarized in the table below (in thousands):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1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$28,409</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Pre-approval commercial supply (2)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Regulatory filing fees and expenses (3)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Internal staffing, overhead and other (4)</w:t>
            </w:r>
          </w:p>
        </w:tc>
        <w:tc>
          <w:tcPr>
            <w:tcW w:w="1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35,962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Non-cash stock-based compensation (5)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decrease in research and development expenses for the nine months ended September 30, 2014, as compared to the prior year period, is primarily due to a decrease in costs associated with the REDUCE-IT study, a decrease in expenses associated with pre-commercial inventory supply, and a decrease in staffing and overhead costs, as further described below.</w:t>
      </w:r>
    </w:p>
    <w:p>
      <w:pPr>
        <w:spacing w:after="0" w:line="59" w:lineRule="exact"/>
        <w:rPr>
          <w:sz w:val="20"/>
          <w:szCs w:val="20"/>
          <w:color w:val="auto"/>
        </w:rPr>
      </w:pPr>
    </w:p>
    <w:p>
      <w:pPr>
        <w:ind w:left="460" w:right="80" w:hanging="452"/>
        <w:spacing w:after="0" w:line="28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We currently have over 7,100 patients enrolled in REDUCE-IT. We estimate that we will complete patient enrollment in this study within 2015. For the nine months ended September 30, 2014 and 2013, we incurred expenses through our CRO in connection with this trial of approximately $22.3 million and $28.0 million, respectively. Inclusive of CTM costs,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83" w:lineRule="auto"/>
        <w:rPr>
          <w:sz w:val="20"/>
          <w:szCs w:val="20"/>
          <w:color w:val="auto"/>
        </w:rPr>
      </w:pPr>
      <w:r>
        <w:rPr>
          <w:rFonts w:ascii="Arial" w:cs="Arial" w:eastAsia="Arial" w:hAnsi="Arial"/>
          <w:sz w:val="16"/>
          <w:szCs w:val="16"/>
          <w:color w:val="auto"/>
        </w:rPr>
        <w:t>the combined CRO and CTM costs in the nine months ended September 30, 2014 and 2013 for REDUCE-IT were approximately $28.4 million and $34.2 million, respectively. We expense costs for CTM upon receipt. The aggregate cost of this outcomes study will depend on the rate of clinical events in the study. We currently estimate that costs incurred for this study in 2014 will continue at approximately the same levels as we have incurred in 2013 but may vary from quarter to quarter. Based on our current assumptions of CRO and CTM costs, we estimate that aggregate remaining costs to complete the REDUCE-IT study and evaluate its results to likely exceed $100 million. We anticipate that our costs for this outcomes study will continue to represent the most significant component of our research and development expenditures.</w:t>
      </w:r>
    </w:p>
    <w:p>
      <w:pPr>
        <w:spacing w:after="0" w:line="1" w:lineRule="exact"/>
        <w:rPr>
          <w:sz w:val="20"/>
          <w:szCs w:val="20"/>
          <w:color w:val="auto"/>
        </w:rPr>
      </w:pPr>
    </w:p>
    <w:p>
      <w:pPr>
        <w:ind w:left="460" w:right="8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The amount of commercial supply that we receive from other potential API suppliers to their sNDA approval depends upon production schedules at such suppliers and the timing of regulatory approval, and we are unable to estimate these amounts at this time. We will continue to expense inventory received from the unapproved supplier until such time as FDA approval is obtained.</w:t>
      </w:r>
    </w:p>
    <w:p>
      <w:pPr>
        <w:spacing w:after="0" w:line="5" w:lineRule="exact"/>
        <w:rPr>
          <w:rFonts w:ascii="Arial" w:cs="Arial" w:eastAsia="Arial" w:hAnsi="Arial"/>
          <w:sz w:val="16"/>
          <w:szCs w:val="16"/>
          <w:color w:val="auto"/>
        </w:rPr>
      </w:pPr>
    </w:p>
    <w:p>
      <w:pPr>
        <w:ind w:left="460" w:right="18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regulatory filing fees in each of the nine months ended September 30, 2014 and 2013 included annual FDA fees for maintaining manufacturing sites. In addition, during the nine months ended September 30, 2013, these fees included regulatory filings associated with the sNDA for the ANCHOR indication as well as costs associated with preparing for the October 16, 2013 FDA advisory committee meeting.</w:t>
      </w:r>
    </w:p>
    <w:p>
      <w:pPr>
        <w:spacing w:after="0" w:line="2" w:lineRule="exact"/>
        <w:rPr>
          <w:rFonts w:ascii="Arial" w:cs="Arial" w:eastAsia="Arial" w:hAnsi="Arial"/>
          <w:sz w:val="16"/>
          <w:szCs w:val="16"/>
          <w:color w:val="auto"/>
        </w:rPr>
      </w:pPr>
    </w:p>
    <w:p>
      <w:pPr>
        <w:ind w:left="460" w:right="24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managed research, development and regulatory affairs activities and related overhead costs including consulting and other professional fees that are not allocated to specific projects. Such costs also include costs related to qualifying suppliers and legal costs. We anticipate a reduction in such costs in 2014 compared to 2013 levels as a result of a company-wide reduction in force announced in October 2013. Other research and development costs in 2013 also include costs related to testing of the relative bioavailability of AMR102 capsules, Vascepa capsules with a selected statin taken concomitantly. We have suspended additional development of AMR102 pending resolution of the ANCHOR sNDA with the FDA.</w:t>
      </w:r>
    </w:p>
    <w:p>
      <w:pPr>
        <w:spacing w:after="0" w:line="4" w:lineRule="exact"/>
        <w:rPr>
          <w:rFonts w:ascii="Arial" w:cs="Arial" w:eastAsia="Arial" w:hAnsi="Arial"/>
          <w:sz w:val="16"/>
          <w:szCs w:val="16"/>
          <w:color w:val="auto"/>
        </w:rPr>
      </w:pPr>
    </w:p>
    <w:p>
      <w:pPr>
        <w:ind w:left="460" w:right="64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Gain (Loss) on Change in Fair Value of Derivative Liabilities</w:t>
      </w:r>
      <w:r>
        <w:rPr>
          <w:rFonts w:ascii="Arial" w:cs="Arial" w:eastAsia="Arial" w:hAnsi="Arial"/>
          <w:sz w:val="16"/>
          <w:szCs w:val="16"/>
          <w:color w:val="auto"/>
        </w:rPr>
        <w:t>. Gain (loss) on change in fair value of derivative liabilities for the nine months ended</w:t>
      </w:r>
    </w:p>
    <w:p>
      <w:pPr>
        <w:spacing w:after="0" w:line="3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September 30, 2014 and 2013 was a gain of $11.9 million and a gain of $21.1 million, respectively. Gain (loss) on change in fair value of derivative liabilities is comprised of (i) the change in fair value of the warrant derivative liability, (ii) the change in fair value of the derivative liability related to the change in control provision associated with the December 2012 BioPharma financing , (iii) the change in fair value of the derivative liability related to the change in control provision associated with the May 2014 exchangeable senior notes and (iv) an unrealized loss on foreign exchange contracts for the nine months ended September 30, 2013.</w:t>
      </w:r>
    </w:p>
    <w:p>
      <w:pPr>
        <w:spacing w:after="0" w:line="145"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2013 was $6.9 million and we recognized a $6.3 million gain on change in fair value of derivative liability for the nine months ended September 30, 2014 for these warrants. The fair value of the warrant derivative liability at December 31, 2012 was $54.9 million and we recognized a $14.1 million gain on change in fair value of derivative liability for the nine months ended September 30, 2013 for these warrants. The decrease or increase in the fair value of the warrant derivative liability is due primarily to the decrease or increase in the price of our common stock on the date of valuation.</w:t>
      </w:r>
    </w:p>
    <w:p>
      <w:pPr>
        <w:spacing w:after="0" w:line="11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December 31, 2013, the fair value of the derivative was determined to be $11.1 million, and at September 30, 2014, the fair value of the derivative was determined to be $4.6 million. We recognized a $6.5 million gain on change in fair value of derivative liability for the nine months ended September 30, 2014. At December 31, 2012, the fair value of the derivative was determined to be $14.6 million, and at September 30, 2013, the fair value of the derivative was determined to be $7.2 million. We recognized a $7.4 million gain on change in fair value of derivative liability for the nine months ended September 30, 2013.</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913"/>
        <w:spacing w:after="0" w:line="302" w:lineRule="auto"/>
        <w:rPr>
          <w:sz w:val="20"/>
          <w:szCs w:val="20"/>
          <w:color w:val="auto"/>
        </w:rPr>
      </w:pPr>
      <w:r>
        <w:rPr>
          <w:rFonts w:ascii="Arial" w:cs="Arial" w:eastAsia="Arial" w:hAnsi="Arial"/>
          <w:sz w:val="15"/>
          <w:szCs w:val="15"/>
          <w:color w:val="auto"/>
        </w:rPr>
        <w:t>Our 2014 Notes contain a redemption feature whereby, upon occurrence of a change in control (as defined),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September 30, 2014, the fair value of the derivative was determined to be $4.4 million.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 $0.9 million loss on change in fair value of derivative liability for the nine months ended September 30, 2014.</w:t>
      </w:r>
    </w:p>
    <w:p>
      <w:pPr>
        <w:spacing w:after="0" w:line="165"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We periodically use foreign exchange forward contracts to hedge against changes in exchange rates for inventory purchases denominated in foreign currency. As of September 30, 2014, there were no such outstanding contracts. As of September 30, 2013 we held a foreign exchange forward contract with a notional amount of $4.5 million. For the nine months ended September 30, 2013, we recognized an unrealized loss of $0.4 million related to the change in fair value of the foreign exchange forward contract derivative liability.</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Gain on Extinguishment of Debt. </w:t>
      </w:r>
      <w:r>
        <w:rPr>
          <w:rFonts w:ascii="Arial" w:cs="Arial" w:eastAsia="Arial" w:hAnsi="Arial"/>
          <w:sz w:val="16"/>
          <w:szCs w:val="16"/>
          <w:color w:val="auto"/>
        </w:rPr>
        <w:t>On May 15, 2014, we entered into separate, privately negotiated exchange agreements with certain holders of our exchangeable</w:t>
      </w:r>
      <w:r>
        <w:rPr>
          <w:rFonts w:ascii="Arial" w:cs="Arial" w:eastAsia="Arial" w:hAnsi="Arial"/>
          <w:sz w:val="16"/>
          <w:szCs w:val="16"/>
          <w:i w:val="1"/>
          <w:iCs w:val="1"/>
          <w:color w:val="auto"/>
        </w:rPr>
        <w:t xml:space="preserve"> </w:t>
      </w:r>
      <w:r>
        <w:rPr>
          <w:rFonts w:ascii="Arial" w:cs="Arial" w:eastAsia="Arial" w:hAnsi="Arial"/>
          <w:sz w:val="16"/>
          <w:szCs w:val="16"/>
          <w:color w:val="auto"/>
        </w:rPr>
        <w:t>senior notes pursuant to which we exchanged $118.7 million in aggregate principal amount of existing exchangeable senior notes for $118.7 million in aggregate principal amount of new 3.50% exchangeable senior notes due 2032. The key changes in the terms of the new notes included moving the first put date from January 2017 to January 2019, adding an issuer conversion option whereby we can opt to convert the notes into equity should the Daily VWAP (as defined in the Indenture) exceed $2.86 for a certain number of days and reducing the conversion price (see Note 6). As a result of the exchange, we assessed the value of the notes immediately prior to the exchange and immediately after the exchange and determined that the exchange resulted in a substantial modification of the terms of the notes resulting in an extinguishment of the original notes. We subsequently recorded a gain on extinguishment of the original notes of $38.0 million in the nine months ended September 30, 2014.</w:t>
      </w:r>
    </w:p>
    <w:p>
      <w:pPr>
        <w:spacing w:after="0" w:line="118"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 xml:space="preserve">Interest Expense, net. </w:t>
      </w:r>
      <w:r>
        <w:rPr>
          <w:rFonts w:ascii="Arial" w:cs="Arial" w:eastAsia="Arial" w:hAnsi="Arial"/>
          <w:sz w:val="15"/>
          <w:szCs w:val="15"/>
          <w:color w:val="auto"/>
        </w:rPr>
        <w:t>Net interest expense for the nine months ended September 30, 2014 and 2013 was $13.6 million and $26.6 million, respectively, a decrease</w:t>
      </w:r>
      <w:r>
        <w:rPr>
          <w:rFonts w:ascii="Arial" w:cs="Arial" w:eastAsia="Arial" w:hAnsi="Arial"/>
          <w:sz w:val="15"/>
          <w:szCs w:val="15"/>
          <w:i w:val="1"/>
          <w:iCs w:val="1"/>
          <w:color w:val="auto"/>
        </w:rPr>
        <w:t xml:space="preserve"> </w:t>
      </w:r>
      <w:r>
        <w:rPr>
          <w:rFonts w:ascii="Arial" w:cs="Arial" w:eastAsia="Arial" w:hAnsi="Arial"/>
          <w:sz w:val="15"/>
          <w:szCs w:val="15"/>
          <w:color w:val="auto"/>
        </w:rPr>
        <w:t>of $13.0 million, or 49%. Net interest expense for the nine months ended September 30, 2014 and 2013 is summarized in the table below (in thousands):</w:t>
      </w:r>
    </w:p>
    <w:p>
      <w:pPr>
        <w:spacing w:after="0" w:line="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right"/>
              <w:ind w:right="5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Amortization of debt discounts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2,756</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Contractual coupon interest</w:t>
            </w:r>
          </w:p>
        </w:tc>
        <w:tc>
          <w:tcPr>
            <w:tcW w:w="1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6,693</w:t>
            </w: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Cash interest—current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3,772</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interest—deferred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Non-cash interest</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160" w:type="dxa"/>
            <w:vAlign w:val="bottom"/>
            <w:gridSpan w:val="2"/>
          </w:tcPr>
          <w:p>
            <w:pPr>
              <w:spacing w:after="0"/>
              <w:rPr>
                <w:sz w:val="20"/>
                <w:szCs w:val="20"/>
                <w:color w:val="auto"/>
              </w:rPr>
            </w:pPr>
            <w:r>
              <w:rPr>
                <w:rFonts w:ascii="Arial" w:cs="Arial" w:eastAsia="Arial" w:hAnsi="Arial"/>
                <w:sz w:val="18"/>
                <w:szCs w:val="18"/>
                <w:color w:val="auto"/>
              </w:rPr>
              <w:t>Other interest expense</w:t>
            </w:r>
          </w:p>
        </w:tc>
        <w:tc>
          <w:tcPr>
            <w:tcW w:w="1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13,629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income (3)</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13,565</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nine months ended September 30, 2014 and 2013 was $6.7 million and $15.0 million, respectively.</w:t>
      </w:r>
    </w:p>
    <w:p>
      <w:pPr>
        <w:ind w:left="46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Cash and non-cash interest expense related to the BioPharma financing for nine months ended September 30, 2014 and 2013 was $6.9 million and $11.9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460" w:right="48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for the nine months ended September 30, 2014 and 2013 was $0.06 million and $0.2 million, respectively. Interest income represents income earned on cash balances.</w:t>
      </w:r>
    </w:p>
    <w:p>
      <w:pPr>
        <w:spacing w:after="0" w:line="13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net for the nine months ended September 30, 2014 and 2013 was income of $4.0 million and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$0.8 million, respectively. Other (expense) income, net in the nine months ended September 30, 2014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primarily consists of $4.1 million received in the second quarter of 2014 with respect to settlement agreements with one of our suppliers and one of our encapsulators that provided for the reimbursement of certain amounts previously paid by us. Other (expense) income, net for the nine months ended September 30, 2013 primarily consisted of losses and gains on foreign exchange transactions, including realized gains and losses on foreign exchange forward contracts. We periodically use foreign exchange forward contracts to hedge against changes in exchange rates for inventory purchases denominated in foreign currency.</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(Provision for) Benefit from Income Taxes. </w:t>
      </w:r>
      <w:r>
        <w:rPr>
          <w:rFonts w:ascii="Arial" w:cs="Arial" w:eastAsia="Arial" w:hAnsi="Arial"/>
          <w:sz w:val="16"/>
          <w:szCs w:val="16"/>
          <w:color w:val="auto"/>
        </w:rPr>
        <w:t>(Provision for) benefit from income taxes for the nine months ended September 30, 2014 and 2013 was a provision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$1.3 million and a benefit of $4.8 million, respectively. The current provision relates entirely to the United States subsidiary operations. We are profitable in the United States as a result of intercompany transactions between our United States subsidiary and our other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sources of liquidity as of September 30, 2014 include cash and cash equivalents of $135.4 million. Our projected uses of cash include commercialization of Vascepa for the MARINE indication, the continued funding of the REDUCE-IT cardiovascular outcomes study, working capital and other general corporate activities. Our cash flows from operating, investing and financing activities, as reflected in the consolidated statements of cash flows, are summarized in the following table (in millions):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(58.7)</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1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As of September 30, 2014, the net remaining amount to be repaid to BioPharma is $145.8 million. To date, our revenues have been below the contractual threshold amount such that each payment made has reflected the calculated optional reduction amount as opposed to the contractual threshold payments for each quarterly period. The quarterly repayments through the third quarter of September 2014 represented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9, 2012, Amarin, through our wholly-owned subsidiary Corsicanto Limited, or Corsicanto, a private limited company incorporated under the laws of Ireland, completed a private placement of $150.0 million in aggregate principal amount of its 3.5% exchangeable senior notes due 2032, or the 2012 Notes. The proceeds we received from the January 2012 debt offering were approximately $144.3 million, net of fees and transaction costs. On May 20, 2014, we entered into separate, privately negotiated exchange agreements with certain holders of the 2012 Notes pursuant to which Corsicanto exchanged $118.7 million in aggregate principal amount of the 2012 Notes for $118.7 million in aggregate principal amount of new 3.50% May 2014 Exchangeable Senior Notes due 2032, or the 2014 Notes, following which $31.3 million in aggregate principal amount of the 2012 Notes remain outstanding with terms unchanged.</w:t>
      </w:r>
    </w:p>
    <w:p>
      <w:pPr>
        <w:spacing w:after="0" w:line="12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2014 Notes were issued pursuant to an indenture dated May 20, 2014 by and among Corsicanto, us as grantor, and Wells Fargo Bank, National Association, as trustee. The notes are senior unsecured obligations of Corsicanto and are guaranteed by us. The 2014 Notes have a stated interest rate of 3.5% per year, payable semiannually in arrears on January 15 and July 15 of each year beginning on July 15, 2014, and ending upon the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their 2014 Notes at their option. If prior to January 15, 2018, a make-whole fundamental change (as defined in the Indenture) occurs or we elect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The exchange rate will initially be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w:t>
      </w:r>
    </w:p>
    <w:p>
      <w:pPr>
        <w:spacing w:after="0" w:line="12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As of September 30, 2014, we had cash and cash equivalents of $135.4 million, a decrease of $56.1 million from December 31, 2013. The decrease is primarily due to net cash used in operating activities in support of the continued commercialization of Vascepa less accounts receivable collections. Cash flows from financing activities in the nine months ended September 30, 2014 include a refund of $3.2 million for UK stamp duty taxes paid in prior periods related to the issuance of common stock. We have incurred annual operating losses since our inception and, as a result, we had an accumulated deficit of $950.6 million as of September 30, 2014. We believe that our cash and cash equivalents balance of $135.4 million at September 30, 2014 will be sufficient to fund our projected operations for at least the next twelve months. We anticipate that net cash outflows in 2014 will be significantly lower than net cash outflows in 2013 as a result of a reduction in expenses associated with the commercialization of Vascepa, lower headcount and lower supply purchases.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summarizes our contractual obligations at September 30, 2014 and the effects such obligations are expected to have on our liquidity and cash flows in future periods (in millions):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2014</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2016</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2018</w:t>
            </w:r>
          </w:p>
        </w:tc>
        <w:tc>
          <w:tcPr>
            <w:tcW w:w="4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After 2018</w:t>
            </w:r>
          </w:p>
        </w:tc>
      </w:tr>
      <w:tr>
        <w:trPr>
          <w:trHeight w:val="210"/>
        </w:trPr>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 (1)</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$54.5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$ 26.6</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$ 22.7</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Operating Lease Obligations (2)</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 Obligations—Exchangeable Debt (3)</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Total Contractual Cash Obligations</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78.2</w:t>
            </w:r>
          </w:p>
        </w:tc>
        <w:tc>
          <w:tcPr>
            <w:tcW w:w="38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$ 1.6</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$ 38.3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$ 32.4</w:t>
            </w:r>
          </w:p>
        </w:tc>
        <w:tc>
          <w:tcPr>
            <w:tcW w:w="62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right="80" w:hanging="452"/>
        <w:spacing w:after="0" w:line="252"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agreements with API suppliers which include minimum purchase levels to enable us to maintain certain exclusivity with each respective supplier and certain agreements require any shortfall in such purchase levels to be paid in cash. The amounts in the table above reflect amounts potentially payable to our suppliers based on our minimum purchase obligations. Each supplier is required to meet certain performance obligations and the agreements may be terminated by us in the event of non-performance.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9"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scheduled interest payments due under the terms of the 2012 Notes and 2014 Notes, assuming that the 2012 Notes remain outstanding through January 19, 2017 and that the 2014 Notes remain outstanding through January 19, 2019 and they have not been exchanged for ADRs. The above table does not reflect the repayment of the $150.0 million notes as they may be exchanged for ADRs.</w:t>
      </w:r>
    </w:p>
    <w:p>
      <w:pPr>
        <w:spacing w:after="0" w:line="144"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 million received at the closing of the agreement which occurred in December 2012. The Company has agreed to repay BioPharma up to $150 million of future revenue and receivables.</w:t>
      </w:r>
    </w:p>
    <w:p>
      <w:pPr>
        <w:spacing w:after="0" w:line="1" w:lineRule="exact"/>
        <w:rPr>
          <w:sz w:val="20"/>
          <w:szCs w:val="20"/>
          <w:color w:val="auto"/>
        </w:rPr>
      </w:pPr>
    </w:p>
    <w:p>
      <w:pPr>
        <w:ind w:right="520"/>
        <w:spacing w:after="0" w:line="361" w:lineRule="auto"/>
        <w:rPr>
          <w:sz w:val="20"/>
          <w:szCs w:val="20"/>
          <w:color w:val="auto"/>
        </w:rPr>
      </w:pPr>
      <w:r>
        <w:rPr>
          <w:rFonts w:ascii="Arial" w:cs="Arial" w:eastAsia="Arial" w:hAnsi="Arial"/>
          <w:sz w:val="15"/>
          <w:szCs w:val="15"/>
          <w:color w:val="auto"/>
        </w:rPr>
        <w:t>As of September 30, 2014, the net remaining amount to be repaid to BioPharma is $145.8 million. To date, each payment made has reflected the calculated optional reduction amount as opposed to the contractual threshold payments for each quarterly period. These quarterly payments are subject to</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 quarterly threshold amount whereby, if a calculated threshold, based on quarterly Vascepa revenues, is not achieved, the quarterly payment payable in that quarter can at our election be reduced and with the reduction carried forward without interest for payment in a future period.</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enter into financial instruments for trading or speculative purposes. At September 30, 2014, we had no outstanding forward exchange contracts. At September 30, 2013, we held a forward exchange contract with a notional amount of $4.5 million to hedge payments made in foreign currency for API supply and we recorded an unrealized loss of $0.4 million for one outstanding foreign exchange contract.</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April 2013, we announced the approval by the FDA of the sNDAs covering two of our API suppliers, Chemport, Inc. and BASF (formerly Equateq Limited). In April 2014, we reached a settlement agreement with BASF under which we received a refund for material purchases of $3.0 million. The Chemport supply agreement provides access to additional API supply that is incremental to supply from Nisshin, our other existing FDA-approved API supplier. The Chemport agreement includes minimum annual purchase levels enabling us to maintain supply exclusivity. The Chemport and Slanmhor agreements also include a provision that any shortfall in the minimum purchase commitments is payable in cash, and the maximum amounts payable pursuant to this provision are reflected in the table above. The API supply agreement with BASF terminated in February 2014.</w:t>
      </w:r>
    </w:p>
    <w:p>
      <w:pPr>
        <w:spacing w:after="0" w:line="12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2011 supply agreement with Chemport includes commitments for us to fund (i) certain development fees (ii) material purchases for initial raw materials, which amount will be credited against future API purchases and (iii) a raw material purchase commitment. During the nine months ended September 30, 2014, we made payments of $3.3 million to Chemport. We have paid $3.1 million to BASF related to development and supply commitments through September 30, 2014. We have paid $6.2 million to Slanmhor related to development and supply provisions through September 30, 2014 and during the nine months ended September 30, 2014 and 2013, we made payments of $0.4 million and $6.1 million, respectively, related to stability and technical batches and advances on anticipated future API purchases.</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Concurrent with our supply agreement with Chemport entered into in 2011 for the supply of API materials for Vascepa, we agreed to make a non-controlling minority share equity investment in the supplier of up to $3.3 million. We invested $1.7 million under this agreement in July 2011 and the remaining $1.6 million during 2012. In September 2013, we entered into an equity sale and purchase agreement between this supplier and a third party in which we agreed to sell approximately $1.3 million of our investment in the supplier to the third party at cost. This transaction closed in the first quarter of 2014. The carrying amount of $2.0 million and $3.3 million as of September 30, 2014 and December 31, 2013, respectively, is included in other long term assets and is accounted for under the cost method.</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 term assets. This long-term asset is being amortized over the estimated useful life of the intellectual property we acquired from Laxdale and we recognized amortization expense of $0.5 million for the nine months ended September 30, 2014 and 2013.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 £7.5 million (approximately $12.2 million at September 30, 2014). Additionally, upon receipt of a marketing approval in the U.S. or Europe for a further indication of Vascepa (or further indication of any other product using Amarin Neuroscience intellectual property), we must make an aggregate stock or cash payment (at the sole option of each of the sellers) of £5 million (approximately $8.1 million at September 30, 2014) for each of the two potential market approvals (i.e. £10 million maximum, or approximately $16.2 million at September 30, 2014).</w:t>
      </w:r>
    </w:p>
    <w:p>
      <w:pPr>
        <w:spacing w:after="0" w:line="12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addition to the obligations in the table above, we have recorded a liability of $0.6 million for uncertain tax positions that have been recorded in long-term liabilities at September 30, 2014.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There have been no material changes with respect to the information appearing in PART II, Item 7A “Quantitative and Qualitative Disclosures about Market Risk” of our Annual Report on Form 10-K filed with the Securities and Exchange Commission on February 27, 2014.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w:t>
      </w:r>
    </w:p>
    <w:p>
      <w:pPr>
        <w:ind w:right="580" w:firstLine="8"/>
        <w:spacing w:after="0" w:line="261"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to allow timely decisions regarding required disclosure.</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September 30, 2014,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2014,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quarter ended September 30, 2014,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We have been in the process of appealing the October 2013 rescission of the Special Protocol Assessment, or SPA, agreement related to our ANCHOR clinical trial within the FDA in accordance with FDA dispute resolution guidance. A SPA agreement is an agreement with the FDA that Phase 3 trial protocol design, clinical endpoints, and planned statistical analyses are acceptable to support regulatory approval.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On October 29, 2013, the FDA notified us that it rescinded the SPA agreement we entered into for the ANCHOR trial protocol because the FDA determined that a substantial scientific issue essential to determining the effectiveness of Vascepa in the studied population was identified after testing began. As a basis for this determination, the FDA communicated that, consistent with discussion at the related, public October 16, 2013 advisory committee meeting, it determined that results from outcome studies of other triglyceride-lowering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 drug intended to reduce cardiovascular risk in subjects with serum triglyceride levels below 500 mg/dL.</w:t>
      </w:r>
    </w:p>
    <w:p>
      <w:pPr>
        <w:spacing w:after="0" w:line="12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On November 7, 2013, we submitted to the FDA a formal appeal of its decision to rescind the SPA agreement including documents outlining why we believe the SPA was wrongfully rescinded. On November 21, 2013, we received notification from the dispute resolution group of the Office of New Drugs at the FDA that it had not accepted for review, on procedural grounds, our appeal regarding the rescission of the SPA. We were also notified by the FDA that our request for a meeting at a high level within the FDA regarding the appeal was not granted and that we would first need to address the matter at the division level within the FDA. On December 19, 2013, the FDA notified us it did not expect to take action on our underlying sNDA on December 20, 2013 because our request to re-instate the ANCHOR SPA agreement remained under consideration with the FDA. The FDA also communicated to us that, as of December 19, 2013, it viewed our appeal of the ANCHOR SPA agreement rescission and the ANCHOR sNDA as separate administrative decisions worthy of separate consideration and that the FDA planned to complete its review of our request to re-instate the ANCHOR SPA agreement. The FDA provided no additional information on when it expects to complete its review of the ANCHOR sNDA.</w:t>
      </w:r>
    </w:p>
    <w:p>
      <w:pPr>
        <w:spacing w:after="0" w:line="12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On January 17, 2014, the Division of Metabolism and Endocrinology Products, or DMEP, within the FDA notified Amarin in connection with Amarin’s request for reconsideration of the October 2013 decision to rescind the ANCHOR SPA agreement that the DMEP “does not plan to re-instate the ANCHOR SPA agreement.” We appealed the DMEP decision to the next level within the FDA, the Office of Drug Evaluation II, or ODE II, and were informed in late April 2014, that ODE II determined to uphold the DMEP rescission determination. We appealed the ODE II decision to the next level within the FDA, the Director of the Office of New Drugs, Dr. John Jenkins, in accordance with FDA dispute resolution guidance and our appeal was denied on September 11, 2014.</w:t>
      </w:r>
    </w:p>
    <w:p>
      <w:pPr>
        <w:spacing w:after="0" w:line="116"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In September 2014, based on the FDA’s repeated position in its appeal denials and its internal consultation with FDA officials at higher levels, we determined and informed the FDA that we did not intend to appeal the SPA rescission further.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November 1, 2013, a purported investor of Amarin filed a putative class action lawsuit captioned</w:t>
      </w:r>
    </w:p>
    <w:p>
      <w:pPr>
        <w:spacing w:after="0" w:line="1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Steven Sklar v. Amarin Corporation plc et al.</w:t>
      </w:r>
      <w:r>
        <w:rPr>
          <w:rFonts w:ascii="Arial" w:cs="Arial" w:eastAsia="Arial" w:hAnsi="Arial"/>
          <w:sz w:val="16"/>
          <w:szCs w:val="16"/>
          <w:color w:val="auto"/>
        </w:rPr>
        <w:t>, No. 13-cv-6954 (D.N.J. Nov. 1, 2013) in the U.S. District Court for the District of New Jersey. Substantially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lawsuits, captioned </w:t>
      </w:r>
      <w:r>
        <w:rPr>
          <w:rFonts w:ascii="Arial" w:cs="Arial" w:eastAsia="Arial" w:hAnsi="Arial"/>
          <w:sz w:val="16"/>
          <w:szCs w:val="16"/>
          <w:i w:val="1"/>
          <w:iCs w:val="1"/>
          <w:color w:val="auto"/>
        </w:rPr>
        <w:t>Bove v. Amarin Corporation plc</w:t>
      </w:r>
      <w:r>
        <w:rPr>
          <w:rFonts w:ascii="Arial" w:cs="Arial" w:eastAsia="Arial" w:hAnsi="Arial"/>
          <w:sz w:val="16"/>
          <w:szCs w:val="16"/>
          <w:color w:val="auto"/>
        </w:rPr>
        <w:t xml:space="preserve">, Civ. No. 13-07882 (AT) (S.D.N.Y. Nov. 5, 2013), </w:t>
      </w:r>
      <w:r>
        <w:rPr>
          <w:rFonts w:ascii="Arial" w:cs="Arial" w:eastAsia="Arial" w:hAnsi="Arial"/>
          <w:sz w:val="16"/>
          <w:szCs w:val="16"/>
          <w:i w:val="1"/>
          <w:iCs w:val="1"/>
          <w:color w:val="auto"/>
        </w:rPr>
        <w:t>Bentley v. Amarin Corporation plc</w:t>
      </w:r>
      <w:r>
        <w:rPr>
          <w:rFonts w:ascii="Arial" w:cs="Arial" w:eastAsia="Arial" w:hAnsi="Arial"/>
          <w:sz w:val="16"/>
          <w:szCs w:val="16"/>
          <w:color w:val="auto"/>
        </w:rPr>
        <w:t xml:space="preserve">, Civ. No. 13-08283 (AT) (S.D.N.Y. Nov. 20, 2013) and </w:t>
      </w:r>
      <w:r>
        <w:rPr>
          <w:rFonts w:ascii="Arial" w:cs="Arial" w:eastAsia="Arial" w:hAnsi="Arial"/>
          <w:sz w:val="16"/>
          <w:szCs w:val="16"/>
          <w:i w:val="1"/>
          <w:iCs w:val="1"/>
          <w:color w:val="auto"/>
        </w:rPr>
        <w:t>Siegel v. Amarin Corporation plc</w:t>
      </w:r>
      <w:r>
        <w:rPr>
          <w:rFonts w:ascii="Arial" w:cs="Arial" w:eastAsia="Arial" w:hAnsi="Arial"/>
          <w:sz w:val="16"/>
          <w:szCs w:val="16"/>
          <w:color w:val="auto"/>
        </w:rPr>
        <w:t xml:space="preserve">, No. 3:13-cv-07210 (D.N.J. Nov. 27, 2013), were subsequently filed in the U.S. District Court for the District of New Jersey and U.S. District Court for the Southern District of New York. On December 9, 2013, the cases filed in the Southern District of New York were transferred to the District of New Jersey and all such cases are now consolidated as </w:t>
      </w:r>
      <w:r>
        <w:rPr>
          <w:rFonts w:ascii="Arial" w:cs="Arial" w:eastAsia="Arial" w:hAnsi="Arial"/>
          <w:sz w:val="16"/>
          <w:szCs w:val="16"/>
          <w:i w:val="1"/>
          <w:iCs w:val="1"/>
          <w:color w:val="auto"/>
        </w:rPr>
        <w:t>In re Amarin Corporation plc, Securities Litigation,</w:t>
      </w:r>
    </w:p>
    <w:p>
      <w:pPr>
        <w:spacing w:after="0" w:line="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 3:13-cv-06663 (D.N.J. Nov. 1, 2013). The plaintiffs assert claims under the Securities Exchange Act of 1934 and allege that Amarin and certain of its current and former officers and directors made misstatements and omissions regarding the FDA’s willingness to approve Vascepa’s ANCHOR indication and related contributing factors and the potential relevance of data from the ongoing REDUCE-IT trial to that approval. The lawsuit seeks unspecified monetary damages and attorneys’ fees and costs. We believe that we have valid defenses and we will vigorously defend against this class action suit, but cannot predict the outcome. We are unable to reasonably estimate the loss exposure, if any, associated with the claims. We have insurance coverage that is anticipated to cover any significant loss exposure that may arise from this action after payment by us of the associated deductible obligation under such insurance coverage.</w:t>
      </w:r>
    </w:p>
    <w:p>
      <w:pPr>
        <w:spacing w:after="0" w:line="118"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On February 27, 2014, we commenced a lawsuit against the FDA in the U.S. District Court for the District of Columbia captioned </w:t>
      </w:r>
      <w:r>
        <w:rPr>
          <w:rFonts w:ascii="Arial" w:cs="Arial" w:eastAsia="Arial" w:hAnsi="Arial"/>
          <w:sz w:val="18"/>
          <w:szCs w:val="18"/>
          <w:i w:val="1"/>
          <w:iCs w:val="1"/>
          <w:color w:val="auto"/>
        </w:rPr>
        <w:t>Amarin</w:t>
      </w:r>
      <w:r>
        <w:rPr>
          <w:rFonts w:ascii="Arial" w:cs="Arial" w:eastAsia="Arial" w:hAnsi="Arial"/>
          <w:sz w:val="18"/>
          <w:szCs w:val="18"/>
          <w:color w:val="auto"/>
        </w:rPr>
        <w:t xml:space="preserve"> </w:t>
      </w:r>
      <w:r>
        <w:rPr>
          <w:rFonts w:ascii="Arial" w:cs="Arial" w:eastAsia="Arial" w:hAnsi="Arial"/>
          <w:sz w:val="18"/>
          <w:szCs w:val="18"/>
          <w:i w:val="1"/>
          <w:iCs w:val="1"/>
          <w:color w:val="auto"/>
        </w:rPr>
        <w:t>Pharmaceuticals Ireland Ltd. v. Food &amp; Drug Administration, et al.</w:t>
      </w:r>
      <w:r>
        <w:rPr>
          <w:rFonts w:ascii="Arial" w:cs="Arial" w:eastAsia="Arial" w:hAnsi="Arial"/>
          <w:sz w:val="18"/>
          <w:szCs w:val="18"/>
          <w:color w:val="auto"/>
        </w:rPr>
        <w:t>, Civ. A. No. 14-0324 (D.D.C.) that challenges FDA’s denial of our request for five-year NCE</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exclusivity for Vascepa based on our reading of the relevant statute, our view of FDA’s inconsistency with its past actions in this area and the retroactive effect of what we believe is a new policy at FDA as it relates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 our situation.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 We intend to litigate the case vigorously, but we cannot predict the outcome of this lawsuit.</w:t>
      </w:r>
    </w:p>
    <w:p>
      <w:pPr>
        <w:spacing w:after="0" w:line="14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On March 4, 2014, we filed a lawsuit for patent infringement of U.S. Patent No. 8,663,662 in the U.S. District Court for the District of Delaware against AstraZeneca Pharmaceuticals LP and its subsidiary, Omthera Pharmaceuticals, Inc., captioned </w:t>
      </w:r>
      <w:r>
        <w:rPr>
          <w:rFonts w:ascii="Arial" w:cs="Arial" w:eastAsia="Arial" w:hAnsi="Arial"/>
          <w:sz w:val="16"/>
          <w:szCs w:val="16"/>
          <w:i w:val="1"/>
          <w:iCs w:val="1"/>
          <w:color w:val="auto"/>
        </w:rPr>
        <w:t>Amarin Pharmaceuticals Ireland Limited v. Omthera</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Inc. et al.</w:t>
      </w:r>
      <w:r>
        <w:rPr>
          <w:rFonts w:ascii="Arial" w:cs="Arial" w:eastAsia="Arial" w:hAnsi="Arial"/>
          <w:sz w:val="16"/>
          <w:szCs w:val="16"/>
          <w:color w:val="auto"/>
        </w:rPr>
        <w:t>, Civ. A. No. 1:14-cv-00279 (D.Del). On June 23, a second complaint was filed against AstraZeneca and Omthera, captioned</w:t>
      </w:r>
      <w:r>
        <w:rPr>
          <w:rFonts w:ascii="Arial" w:cs="Arial" w:eastAsia="Arial" w:hAnsi="Arial"/>
          <w:sz w:val="16"/>
          <w:szCs w:val="16"/>
          <w:i w:val="1"/>
          <w:iCs w:val="1"/>
          <w:color w:val="auto"/>
        </w:rPr>
        <w:t xml:space="preserve"> Amarin Pharmaceuticals Ireland Limited v. Omthera Pharmaceuticals, Inc. et al.</w:t>
      </w:r>
      <w:r>
        <w:rPr>
          <w:rFonts w:ascii="Arial" w:cs="Arial" w:eastAsia="Arial" w:hAnsi="Arial"/>
          <w:sz w:val="16"/>
          <w:szCs w:val="16"/>
          <w:color w:val="auto"/>
        </w:rPr>
        <w:t>, Civ. A. No. 1:14-cv-00791 (D.Del). That second complaint replaced the first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voluntarily dismissed on June 27, and was filed in order to expedite the progress of this litigation on the merits. The focus of the lawsuit is the commercial marketing of Epanova</w:t>
      </w:r>
      <w:r>
        <w:rPr>
          <w:rFonts w:ascii="Arial" w:cs="Arial" w:eastAsia="Arial" w:hAnsi="Arial"/>
          <w:sz w:val="10"/>
          <w:szCs w:val="10"/>
          <w:color w:val="auto"/>
        </w:rPr>
        <w:t>®</w:t>
      </w:r>
      <w:r>
        <w:rPr>
          <w:rFonts w:ascii="Arial" w:cs="Arial" w:eastAsia="Arial" w:hAnsi="Arial"/>
          <w:sz w:val="16"/>
          <w:szCs w:val="16"/>
          <w:color w:val="auto"/>
        </w:rPr>
        <w:t xml:space="preserve"> (omega-3-carboxylic acids) capsules in the United States. Epanova was approved by the FDA in May 2014 with substantially the same indication as Vascepa and is expected to compete with Vascepa. We are seeking damages and injunctive relief in the litigation. We intend to litigate the case vigorously, but we cannot predict the outcome of this lawsuit.</w:t>
      </w:r>
    </w:p>
    <w:p>
      <w:pPr>
        <w:spacing w:after="0" w:line="118"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color w:val="auto"/>
        </w:rPr>
        <w:t xml:space="preserve">In March, April, and May 2014, we received paragraph IV certification notices from six companies contending to varying degrees that certain of our patents are invalid, unenforceable and/or will not be infringed by the manufacture, use, sale or offer for sale of a generic form of Vascepa as described in those companies’ abbreviated new drug applications, or ANDAs. We have commenced patent infringement lawsuits against each of these ANDA applicants. In each of the lawsuits, Amarin is seeking, among other remedies, an order enjoining the defendants from marketing generic versions of Vascepa before the last to expire of the asserted patents expires in 2030. In April 2014, Amarin filed lawsuits against Apotex, Inc. and Apotex Corporation, or collectively, Apotex, in the U.S. District Court for the District of New Jersey and the U.S. District Court for the Northern District of Illinois. The cases against Apotex are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Apotex, Inc. et al.</w:t>
      </w:r>
      <w:r>
        <w:rPr>
          <w:rFonts w:ascii="Arial" w:cs="Arial" w:eastAsia="Arial" w:hAnsi="Arial"/>
          <w:sz w:val="16"/>
          <w:szCs w:val="16"/>
          <w:color w:val="auto"/>
        </w:rPr>
        <w:t>, Civ. A. No. 14-2550 (D.N.J) and</w:t>
      </w:r>
      <w:r>
        <w:rPr>
          <w:rFonts w:ascii="Arial" w:cs="Arial" w:eastAsia="Arial" w:hAnsi="Arial"/>
          <w:sz w:val="16"/>
          <w:szCs w:val="16"/>
          <w:i w:val="1"/>
          <w:iCs w:val="1"/>
          <w:color w:val="auto"/>
        </w:rPr>
        <w:t xml:space="preserve"> Amarin Pharma, Inc. et al. v. Apotex, Inc. et al.</w:t>
      </w:r>
      <w:r>
        <w:rPr>
          <w:rFonts w:ascii="Arial" w:cs="Arial" w:eastAsia="Arial" w:hAnsi="Arial"/>
          <w:sz w:val="16"/>
          <w:szCs w:val="16"/>
          <w:color w:val="auto"/>
        </w:rPr>
        <w:t>, Civ. A. No. 14-2958 (N.D. Ill.).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April 2014, Amarin also filed lawsuits against Roxane Laboratories, Inc., or Roxane, in the U.S. District Court for the District of New Jersey and the U.S. District Court for the Northern District of Ohio. The cases against Roxane are captioned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14-2551 (D.N.J) and </w:t>
      </w:r>
      <w:r>
        <w:rPr>
          <w:rFonts w:ascii="Arial" w:cs="Arial" w:eastAsia="Arial" w:hAnsi="Arial"/>
          <w:sz w:val="16"/>
          <w:szCs w:val="16"/>
          <w:i w:val="1"/>
          <w:iCs w:val="1"/>
          <w:color w:val="auto"/>
        </w:rPr>
        <w:t>Amarin Pharma, Inc. et al. v. Roxane Laboratories, Inc.</w:t>
      </w:r>
      <w:r>
        <w:rPr>
          <w:rFonts w:ascii="Arial" w:cs="Arial" w:eastAsia="Arial" w:hAnsi="Arial"/>
          <w:sz w:val="16"/>
          <w:szCs w:val="16"/>
          <w:color w:val="auto"/>
        </w:rPr>
        <w:t xml:space="preserve">, Civ. A. No. 14-901 (N.D. Ohio). Amarin voluntarily dismissed the Northern District of Ohio case against Roxane on May 7, 2014. In April 2014, Amarin also filed a lawsuit against Dr. Reddy’s Laboratories, Inc. and Dr. Reddy’s Laboratories, Ltd., or collectively, Dr. Reddy’s, in the U.S. District Court for the District of New Jersey. The case against Dr. Reddy’s is captioned </w:t>
      </w:r>
      <w:r>
        <w:rPr>
          <w:rFonts w:ascii="Arial" w:cs="Arial" w:eastAsia="Arial" w:hAnsi="Arial"/>
          <w:sz w:val="16"/>
          <w:szCs w:val="16"/>
          <w:i w:val="1"/>
          <w:iCs w:val="1"/>
          <w:color w:val="auto"/>
        </w:rPr>
        <w:t>Amarin Pharma, Inc. et al. v.</w:t>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Dr. Reddy’s Laboratories, Inc. et al.</w:t>
      </w:r>
      <w:r>
        <w:rPr>
          <w:rFonts w:ascii="Arial" w:cs="Arial" w:eastAsia="Arial" w:hAnsi="Arial"/>
          <w:sz w:val="16"/>
          <w:szCs w:val="16"/>
          <w:color w:val="auto"/>
        </w:rPr>
        <w:t>, Civ. A. No. 14-2760 (D.N.J.). In May 2014, Amarin also filed a lawsuit against Watson Laboratories, Inc. and Actavis plc,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Watson, in the U.S. District Court for the District of New Jersey. One of our directors, Patrick J. O’Sullivan, is also a director of Actavis plc. The case against Watson is captioned </w:t>
      </w:r>
      <w:r>
        <w:rPr>
          <w:rFonts w:ascii="Arial" w:cs="Arial" w:eastAsia="Arial" w:hAnsi="Arial"/>
          <w:sz w:val="16"/>
          <w:szCs w:val="16"/>
          <w:i w:val="1"/>
          <w:iCs w:val="1"/>
          <w:color w:val="auto"/>
        </w:rPr>
        <w:t>Amarin Pharma, Inc. et al. v. Watson Laboratories, Inc. et al.</w:t>
      </w:r>
      <w:r>
        <w:rPr>
          <w:rFonts w:ascii="Arial" w:cs="Arial" w:eastAsia="Arial" w:hAnsi="Arial"/>
          <w:sz w:val="16"/>
          <w:szCs w:val="16"/>
          <w:color w:val="auto"/>
        </w:rPr>
        <w:t xml:space="preserve">, Civ. A. No. 14-3259 (D.N.J). On July 17, 2014, Amarin agreed to dismiss Actavis plc but the lawsuit against Watson remains pending. In June 2014, Amarin also filed a case against Teva Pharmaceuticals USA, Inc., or Teva, in the U.S. District Court for the District of New Jersey. The case against Teva is captioned </w:t>
      </w:r>
      <w:r>
        <w:rPr>
          <w:rFonts w:ascii="Arial" w:cs="Arial" w:eastAsia="Arial" w:hAnsi="Arial"/>
          <w:sz w:val="16"/>
          <w:szCs w:val="16"/>
          <w:i w:val="1"/>
          <w:iCs w:val="1"/>
          <w:color w:val="auto"/>
        </w:rPr>
        <w:t>Amarin Pharma, Inc. et al. v. Teva Pharmaceuticals USA, Inc.</w:t>
      </w:r>
      <w:r>
        <w:rPr>
          <w:rFonts w:ascii="Arial" w:cs="Arial" w:eastAsia="Arial" w:hAnsi="Arial"/>
          <w:sz w:val="16"/>
          <w:szCs w:val="16"/>
          <w:color w:val="auto"/>
        </w:rPr>
        <w:t xml:space="preserve">, Civ. A. No. 14-3558 (D.N.J.). In June 2014, Amarin also filed a lawsuit against Andrx Labs, LLC, Andrx Corporation, and Actavis plc, or collectively, Andrx, in the U.S. District Court for the District of New Jersey. The case against Andrx is captioned </w:t>
      </w:r>
      <w:r>
        <w:rPr>
          <w:rFonts w:ascii="Arial" w:cs="Arial" w:eastAsia="Arial" w:hAnsi="Arial"/>
          <w:sz w:val="16"/>
          <w:szCs w:val="16"/>
          <w:i w:val="1"/>
          <w:iCs w:val="1"/>
          <w:color w:val="auto"/>
        </w:rPr>
        <w:t>Amarin Pharma, Inc. et al v. Andrx Labs, LLC et. al.</w:t>
      </w:r>
      <w:r>
        <w:rPr>
          <w:rFonts w:ascii="Arial" w:cs="Arial" w:eastAsia="Arial" w:hAnsi="Arial"/>
          <w:sz w:val="16"/>
          <w:szCs w:val="16"/>
          <w:color w:val="auto"/>
        </w:rPr>
        <w:t>, Civ. A. No. 14-3924 (D.N.J.). As a result of the 30-month stay associated with the filing of these lawsuits under the Hatch-Waxman Act, the FDA cannot grant final approval to any ANDA before September 2016, unless there is an earlier court decision holding that the subject patents are not infringed and/or are invalid. We intend to vigorously enforce our intellectual property rights relating to Vascepa, but we cannot predict the outcome of these lawsuits.</w:t>
      </w:r>
    </w:p>
    <w:p>
      <w:pPr>
        <w:spacing w:after="0" w:line="12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In addition to the above, in the ordinary course of business, we are from time to time involved in lawsuits, claims, investigations, proceedings, and threats of litigation relating to intellectual property, commercial arrangements and other matters.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2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for our fiscal year ended December 31,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96" w:lineRule="exact"/>
        <w:rPr>
          <w:sz w:val="20"/>
          <w:szCs w:val="20"/>
          <w:color w:val="auto"/>
        </w:rPr>
      </w:pPr>
    </w:p>
    <w:p>
      <w:pPr>
        <w:ind w:left="460" w:right="120" w:firstLine="4"/>
        <w:spacing w:after="0" w:line="259" w:lineRule="auto"/>
        <w:tabs>
          <w:tab w:leader="none" w:pos="592"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ability to generate increased revenue over the next few years depends, in part, on our ability to expand marketing approval beyond the currently approved MARINE indication. Based on our communications with the FDA, we currently expect that final positive results from the REDUCE-IT outcomes study will be required for label expansion for Vascepa.</w:t>
      </w:r>
    </w:p>
    <w:p>
      <w:pPr>
        <w:spacing w:after="0" w:line="59"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While we are currently marketing Vascepa for use in the MARINE indication in the United States, our ability to commercialize Vascepa in the ANCHOR indication in the United States or market Vascepa for either indication outside of the United States is dependent upon receiving additional regulatory approvals. In April 2013, the FDA accepted our Supplemental New Drug Application, or sNDA, which seeks approval for the use of Vascepa in patients with high triglyceride levels (TG</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which we refer to as the ANCHOR indication. On October 16, 2013 the FDA convened an advisory committee meeting to review the sNDA for the ANCHOR indication. At the meeting, the advisory committee voted 9 to 2 against recommending approval of Vascepa, based on the following question:</w:t>
      </w:r>
    </w:p>
    <w:p>
      <w:pPr>
        <w:spacing w:after="0" w:line="39" w:lineRule="exact"/>
        <w:rPr>
          <w:sz w:val="20"/>
          <w:szCs w:val="20"/>
          <w:color w:val="auto"/>
        </w:rPr>
      </w:pPr>
    </w:p>
    <w:p>
      <w:pPr>
        <w:ind w:left="1500" w:right="280"/>
        <w:spacing w:after="0" w:line="259" w:lineRule="auto"/>
        <w:rPr>
          <w:sz w:val="20"/>
          <w:szCs w:val="20"/>
          <w:color w:val="auto"/>
        </w:rPr>
      </w:pPr>
      <w:r>
        <w:rPr>
          <w:rFonts w:ascii="Arial" w:cs="Arial" w:eastAsia="Arial" w:hAnsi="Arial"/>
          <w:sz w:val="18"/>
          <w:szCs w:val="18"/>
          <w:color w:val="auto"/>
        </w:rPr>
        <w:t>Taking into account the described efficacy and safety data for Vascepa, do you believe that its effects on the described lipid/lipoprotein parameters are sufficient to grant approval for co-administration with statin therapy for the treatment of patients with mixed dyslipidemia and CHD or CHD risk equivalent prior to the completion of REDUCE-IT?</w:t>
      </w:r>
    </w:p>
    <w:p>
      <w:pPr>
        <w:spacing w:after="0" w:line="14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During the advisory committee meeting, based in part on the briefing materials prepared by the FDA for the meeting, the advisory committee reviewed the safety and efficacy data observed in the ANCHOR trial. This included a discussion regarding observed nominally statistically significant changes from baseline in an adverse direction, while on background statin therapy, in certain lipid parameters, including TGs, in the placebo group, raising the possibility that the mineral oil placebo used in the ANCHOR trial (and in the REDUCE-IT trial) was not biologically inert and might be viewed as artificially exaggerating the clinical effect of Vascepa when measured against placebo in the ANCHOR trial. Because no strong evidence for biological activity of mineral oil was identified by the FDA in the MARINE trial, ultimately it was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Following this discussion at the advisory committee meeting, while no formal vote was taken related to the inert nature of the placebo, we believe that the consensus of the advisory committee, although not unanimous, and the FDA was that, based on the information made available to the advisory committee and FDA at the meeting, Vascepa appeared to be safe and effective for the reduction of TGs in patients with mixed dyslipidemia on statin therapy.</w:t>
      </w:r>
    </w:p>
    <w:p>
      <w:pPr>
        <w:spacing w:after="0" w:line="12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However, there was also extensive discussion during the advisory committee meeting regarding the expected clinical benefit of a reduction in TGs in this patient population. That is, whether the clinical data derived from the ANCHOR trial was a sufficient basis for approval. In particular, the advisory committee and FDA noted the lack of prospective, controlled clinical trial data demonstrating that pharmacological reduction of TGs in patients with mixed dyslipidemia on statin therapy significantly reduces residual cardiovascular risk in these patients. The FDA noted that prior clinical outcomes studies conducted by others, albeit in different patient populations, evaluating different drugs with different mechanisms of action, failed to demonstrate a statistically significant reduction in cardiovascular events following concomitant use of drug therapy in patients on statin therapy. We believe that the negative vote of the advisory committee was principally due to the lack of recent conclusive data in these clinical outcomes studies in favor of the hypothesis that TG reduction will result in reduced cardiovascular risk. The FDA is not bound by the recommendations of the advisory committee, but it generally follows such recommendations.</w:t>
      </w:r>
    </w:p>
    <w:p>
      <w:pPr>
        <w:spacing w:after="0" w:line="118"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A Special Protocol Assessment, or SPA, agreement is an agreement with the FDA that Phase 3 trial protocol design, clinical endpoints, and planned statistical analyses are acceptable to support regulatory approval.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On October 29, 2013, the FDA notified us that it rescinded the SPA agreement we entered into for the ANCHOR trial protocol because the FDA determined that a substantial scientific issue essential to determining the effectiveness of Vascepa in the studied population was identified after testing began. The FDA determined, consistent with discussion at the advisory committee meeting, that results from outcome studies of other triglyceride-lowering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 drug intended to reduce cardiovascular risk in subjects with serum triglyceride levels below 500 mg/dL.</w:t>
      </w:r>
    </w:p>
    <w:p>
      <w:pPr>
        <w:spacing w:after="0" w:line="120"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FDA did not meet the originally assigned Prescription Drug User Fee Act, or PDUFA, goal date of December 20, 2013 for the completion of its review of the ANCHOR sNDA because of the pendency of our request to re-instate the ANCHOR SPA agreement. Beginning in November 2013, we sought reconsideration and appealed the SPA rescission decision to three levels of increasing authority within the FDA and were denied each time, most recently in September 2014. Based on FDA’s repeated position in its appeal denials and its internal consultation with FDA officials at higher levels, we informed the FDA that we did not intend to appeal the SPA rescission further. Given our determination to not appeal the SPA rescission further, we expect the FDA to take action on our pending ANCHOR sNDA in the near future.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913"/>
        <w:spacing w:after="0" w:line="256" w:lineRule="auto"/>
        <w:rPr>
          <w:sz w:val="20"/>
          <w:szCs w:val="20"/>
          <w:color w:val="auto"/>
        </w:rPr>
      </w:pPr>
      <w:r>
        <w:rPr>
          <w:rFonts w:ascii="Arial" w:cs="Arial" w:eastAsia="Arial" w:hAnsi="Arial"/>
          <w:sz w:val="18"/>
          <w:szCs w:val="18"/>
          <w:color w:val="auto"/>
        </w:rPr>
        <w:t>Based on our communications with the FDA, we currently expect that final positive results from the REDUCE-IT outcomes study will be required for FDA approval of label expansion for Vascepa. Any delay in obtaining, or an inability to obtain, expansion of our marketing approval rights could prevent us from growing revenue at greater than our current pace and could therefore have a material adverse effect on our operations and financial condition, including our ability to reach profitability.</w:t>
      </w:r>
    </w:p>
    <w:p>
      <w:pPr>
        <w:spacing w:after="0" w:line="14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Even if we obtain additional regulatory approvals for Vascepa, the timing or scope of any approvals may prohibit or reduce our ability to commercialize the product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from the FDA in July 2012 for the MARINE indication, may prove to not have the scope or breadth needed for us to successfully commercialize Vascepa or become profitable.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upon the success of Vascepa, which we launched commercially in the MARINE indication in early 2013.</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As a result of our reliance on a single product and our primary focus on the U.S. market in the near-term, much of our near-term results and value as a company depends on our ability to execute our commercial strategy for Vascepa in the United States, which we launched in January 2013. If commercialization efforts for Vascepa in the MARINE indication are not successful,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9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 In May 2014 we began co-promoting Vascepa in the United States with Kowa Pharmaceuticals America, Inc., or Kowa Pharmaceuticals America, under a co-promotion agreement we entered into in March 2014. Under the agreement, approximately 250 Kowa Pharmaceuticals America sales representatives devote a substantial portion of their time to promoting Vascepa with Amarin’s approximately 130 sales representatives based on a plan designed to substantially increase both the number of sales targets reached and the frequency of sales calls on existing sales targets. However, the commercialization of a new pharmaceutical product is a complex undertaking for a company to manage, and we have very limited experience as a company operating in this area and co-promoting a pharmaceutical product with a partner.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84"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90" w:lineRule="exact"/>
        <w:rPr>
          <w:rFonts w:ascii="Arial" w:cs="Arial" w:eastAsia="Arial" w:hAnsi="Arial"/>
          <w:sz w:val="18"/>
          <w:szCs w:val="18"/>
          <w:color w:val="auto"/>
        </w:rPr>
      </w:pPr>
    </w:p>
    <w:p>
      <w:pPr>
        <w:ind w:left="1480" w:right="280" w:hanging="446"/>
        <w:spacing w:after="0" w:line="259"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59" w:lineRule="exact"/>
        <w:rPr>
          <w:rFonts w:ascii="Arial" w:cs="Arial" w:eastAsia="Arial" w:hAnsi="Arial"/>
          <w:sz w:val="18"/>
          <w:szCs w:val="18"/>
          <w:color w:val="auto"/>
        </w:rPr>
      </w:pPr>
    </w:p>
    <w:p>
      <w:pPr>
        <w:ind w:left="1480" w:right="600" w:hanging="446"/>
        <w:spacing w:after="0" w:line="268"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50" w:lineRule="exact"/>
        <w:rPr>
          <w:rFonts w:ascii="Arial" w:cs="Arial" w:eastAsia="Arial" w:hAnsi="Arial"/>
          <w:sz w:val="18"/>
          <w:szCs w:val="18"/>
          <w:color w:val="auto"/>
        </w:rPr>
      </w:pPr>
    </w:p>
    <w:p>
      <w:pPr>
        <w:ind w:left="1480" w:right="500" w:hanging="446"/>
        <w:spacing w:after="0" w:line="268"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our recent reduction in force and regulatory events on our ability to contact potential purchasers of Vascepa in an efficient manner;</w:t>
      </w:r>
    </w:p>
    <w:p>
      <w:pPr>
        <w:spacing w:after="0" w:line="50" w:lineRule="exact"/>
        <w:rPr>
          <w:rFonts w:ascii="Arial" w:cs="Arial" w:eastAsia="Arial" w:hAnsi="Arial"/>
          <w:sz w:val="18"/>
          <w:szCs w:val="18"/>
          <w:color w:val="auto"/>
        </w:rPr>
      </w:pPr>
    </w:p>
    <w:p>
      <w:pPr>
        <w:ind w:left="1480" w:right="140" w:hanging="446"/>
        <w:spacing w:after="0" w:line="268"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171"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In addition, we believe that investors should view with caution both the results for the twelve months ended December 31, 2013 and the results for quarterly periods for the foreseeable future, as data for this limited period may not be representative of a trend consistent with the results presented or otherwise predictive of future results, especially in light of competitive developments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market in which we operate, our interactions with FDA on potential label expansions with Vascepa, the October 2013 approximately 50% reduction in our sales force, and the March 2014 co-promotion Agreement with Kowa Pharmaceuticals America. We commenced our commercial launch of Vascepa on January 28, 2013. Accordingly, there is a very limited amount of information available at this time to determine the actual number of total prescriptions for Vascepa. We believe investors should consider our results to date together with results over several future quarters, or longer, before making an assessment about potential future performance.</w:t>
      </w:r>
    </w:p>
    <w:p>
      <w:pPr>
        <w:spacing w:after="0" w:line="143"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4"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We began marketing and selling Vascepa for use in the MARINE indication in January 2013. Vascepa may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62" w:lineRule="exact"/>
        <w:rPr>
          <w:sz w:val="20"/>
          <w:szCs w:val="20"/>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1480" w:right="500" w:hanging="446"/>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scope, effectiveness and strength of product education, marketing and distribution support, including our sales and marketing team (which was affected by our recent reduction in force);</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perception that we will continue to market and sell Vascepa in the MARINE indications and any future approved indications;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50" w:lineRule="exact"/>
        <w:rPr>
          <w:rFonts w:ascii="Arial" w:cs="Arial" w:eastAsia="Arial" w:hAnsi="Arial"/>
          <w:sz w:val="18"/>
          <w:szCs w:val="18"/>
          <w:color w:val="auto"/>
        </w:rPr>
      </w:pPr>
    </w:p>
    <w:p>
      <w:pPr>
        <w:ind w:left="460" w:right="20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Our SPA agreement for ANCHOR has been rescinded and our SPA agreement for REDUCE-IT is not a guarantee of FDA approval of Vascepa for the proposed REDUCE-IT indication.</w:t>
      </w:r>
    </w:p>
    <w:p>
      <w:pPr>
        <w:spacing w:after="0" w:line="132" w:lineRule="exact"/>
        <w:rPr>
          <w:sz w:val="20"/>
          <w:szCs w:val="20"/>
          <w:color w:val="auto"/>
        </w:rPr>
      </w:pPr>
    </w:p>
    <w:p>
      <w:pPr>
        <w:ind w:right="280" w:firstLine="913"/>
        <w:spacing w:after="0" w:line="253" w:lineRule="auto"/>
        <w:rPr>
          <w:sz w:val="20"/>
          <w:szCs w:val="20"/>
          <w:color w:val="auto"/>
        </w:rPr>
      </w:pPr>
      <w:r>
        <w:rPr>
          <w:rFonts w:ascii="Arial" w:cs="Arial" w:eastAsia="Arial" w:hAnsi="Arial"/>
          <w:sz w:val="18"/>
          <w:szCs w:val="18"/>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47"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On October 29, 2013, the FDA notified us that it rescinded the ANCHOR study SPA agreement because the FDA determined that a substantial scientific issue essential to determining the effectiveness of Vascepa in the studied population was identified after testing began. Specifically, consistent with discussion at the advisory committee meeting, the FDA determined that results from outcome studies of other drugs failed to support the hypothesis that a triglyceride-lowering drug significantly reduces the risk for cardiovascular events among the population studied in the ANCHOR trial. Beginning in November 2013, we sought reconsideration and appealed the SPA rescission decision to three levels of increasing authority within the FDA and were denied each time, most recently in September 2014. Based on FDA’s repeated position in its appeal denials and its internal consultation with FDA officials at higher levels, we informed the FDA that we did not intend to appeal the SPA rescission further.</w:t>
      </w:r>
    </w:p>
    <w:p>
      <w:pPr>
        <w:spacing w:after="0" w:line="118"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Thus, even though we have received regulatory approval of Vascepa for the MARINE indication under an SPA agreement, our ANCHOR SPA agreement was rescinded and there is no assurance that the FDA will not rescind our REDUCE-IT SPA agreement. The inability to obtain marketing approval in the ANCHOR or REDUCE-IT indications has and would prevent us from growing revenue more significantly, and it has had, and could continue to have, a material adverse effect on our operations and financial condition, including our ability to reach profitability.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We may not be able to compete effectively against our competitors’ pharmaceutical products.</w:t>
      </w:r>
    </w:p>
    <w:p>
      <w:pPr>
        <w:spacing w:after="0" w:line="171"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right="40" w:firstLine="913"/>
        <w:spacing w:after="0" w:line="307" w:lineRule="auto"/>
        <w:rPr>
          <w:sz w:val="20"/>
          <w:szCs w:val="20"/>
          <w:color w:val="auto"/>
        </w:rPr>
      </w:pPr>
      <w:r>
        <w:rPr>
          <w:rFonts w:ascii="Arial" w:cs="Arial" w:eastAsia="Arial" w:hAnsi="Arial"/>
          <w:sz w:val="15"/>
          <w:szCs w:val="15"/>
          <w:color w:val="auto"/>
        </w:rPr>
        <w:t>Our competitors both in the United States and Europe include large, well-established pharmaceutical companies, specialty pharmaceutical sales and marketing companies, and specialized cardiovascular treatment companies. GlaxoSmithKline plc, which currently markets Lovaza</w:t>
      </w:r>
      <w:r>
        <w:rPr>
          <w:rFonts w:ascii="Arial" w:cs="Arial" w:eastAsia="Arial" w:hAnsi="Arial"/>
          <w:sz w:val="10"/>
          <w:szCs w:val="10"/>
          <w:color w:val="auto"/>
        </w:rPr>
        <w:t>®</w:t>
      </w:r>
      <w:r>
        <w:rPr>
          <w:rFonts w:ascii="Arial" w:cs="Arial" w:eastAsia="Arial" w:hAnsi="Arial"/>
          <w:sz w:val="15"/>
          <w:szCs w:val="15"/>
          <w:color w:val="auto"/>
        </w:rPr>
        <w:t>, a prescription-only omega-3 fatty acid indicated for patients with severe hypertriglyceridemia has been on the market since 2004. As described below, generic versions of Lovaza are now available in the United States. Other large companies with competitive products include AbbVie, Inc., which currently markets Tricor</w:t>
      </w:r>
      <w:r>
        <w:rPr>
          <w:rFonts w:ascii="Arial" w:cs="Arial" w:eastAsia="Arial" w:hAnsi="Arial"/>
          <w:sz w:val="10"/>
          <w:szCs w:val="10"/>
          <w:color w:val="auto"/>
        </w:rPr>
        <w:t>®</w:t>
      </w:r>
      <w:r>
        <w:rPr>
          <w:rFonts w:ascii="Arial" w:cs="Arial" w:eastAsia="Arial" w:hAnsi="Arial"/>
          <w:sz w:val="15"/>
          <w:szCs w:val="15"/>
          <w:color w:val="auto"/>
        </w:rPr>
        <w:t xml:space="preserve"> and Trilipix</w:t>
      </w:r>
      <w:r>
        <w:rPr>
          <w:rFonts w:ascii="Arial" w:cs="Arial" w:eastAsia="Arial" w:hAnsi="Arial"/>
          <w:sz w:val="10"/>
          <w:szCs w:val="10"/>
          <w:color w:val="auto"/>
        </w:rPr>
        <w:t>®</w:t>
      </w:r>
      <w:r>
        <w:rPr>
          <w:rFonts w:ascii="Arial" w:cs="Arial" w:eastAsia="Arial" w:hAnsi="Arial"/>
          <w:sz w:val="15"/>
          <w:szCs w:val="15"/>
          <w:color w:val="auto"/>
        </w:rPr>
        <w:t xml:space="preserve"> for the treatment of severe hypertriglyceridemia and mixed dyslipidemia and Niaspan</w:t>
      </w:r>
      <w:r>
        <w:rPr>
          <w:rFonts w:ascii="Arial" w:cs="Arial" w:eastAsia="Arial" w:hAnsi="Arial"/>
          <w:sz w:val="10"/>
          <w:szCs w:val="10"/>
          <w:color w:val="auto"/>
        </w:rPr>
        <w:t>®</w:t>
      </w:r>
      <w:r>
        <w:rPr>
          <w:rFonts w:ascii="Arial" w:cs="Arial" w:eastAsia="Arial" w:hAnsi="Arial"/>
          <w:sz w:val="15"/>
          <w:szCs w:val="15"/>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0"/>
          <w:szCs w:val="10"/>
          <w:color w:val="auto"/>
        </w:rPr>
        <w:t>®</w:t>
      </w:r>
      <w:r>
        <w:rPr>
          <w:rFonts w:ascii="Arial" w:cs="Arial" w:eastAsia="Arial" w:hAnsi="Arial"/>
          <w:sz w:val="15"/>
          <w:szCs w:val="15"/>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We expect AstraZeneca will utilize its substantial commercial resources to market its product imminently. Also, in April 2014, Omtryg, another omega-3-acid fatty acid composition developed by Trygg Pharma AS, received FDA approval for severe hypertriglyceridemia. We are not aware of the commercialization plan for Omtryg. Each of these competitors, other than Trygg, has greater resources than we do, including financial, product development, marketing, personnel and other resources.</w:t>
      </w:r>
    </w:p>
    <w:p>
      <w:pPr>
        <w:spacing w:after="0" w:line="112"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received FDA approval of their respective version of generic Lovaza. In March 2011, Pronova/BASF entered into an agreement with Apotex to settle its patent litigation in the United States related to Lovaza. Pursuant to the terms of the settlement agreement, we believe Pronova/BASF granted Apotex a license to enter the United States market with a generic version of Lovaza in the first quarter of 2015, or earlier depending on circumstances, the details of which are not known to us.</w:t>
      </w:r>
    </w:p>
    <w:p>
      <w:pPr>
        <w:spacing w:after="0" w:line="144" w:lineRule="exact"/>
        <w:rPr>
          <w:sz w:val="20"/>
          <w:szCs w:val="20"/>
          <w:color w:val="auto"/>
        </w:rPr>
      </w:pPr>
    </w:p>
    <w:p>
      <w:pPr>
        <w:ind w:firstLine="913"/>
        <w:spacing w:after="0" w:line="279"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We understand that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Catabasis Pharmaceuticals, or Catabasis, Resolvyx Pharmaceuticals, or Resolvyx, and Sancilio &amp; Company are also developing potential treatments for hypertriglyceridemia based on omega-3 fatty acids. To our knowledge, Catabasis initiated a Phase 2 clinical trial of its product in December 2013; Resolvyx’s compound remains in Phase 1 clinical testing; and Sancilio is preparing to commence Phase 3 clinical testing. In addition, we are aware that Matinas BioPharma, Inc. is developing an omega-3-based therapeutic for the treatment of severe hypertriglyceridemia and mixed dyslipidemia. Matinas BioPharma, Inc. has filed an Investigational New Drug Application with the FDA and to conduct a human study in the treatment of severe hypertriglyceridemia. Isis Pharmaceuticals announced favorable Phase 2 results of ISIS-APOCIII</w:t>
      </w:r>
      <w:r>
        <w:rPr>
          <w:rFonts w:ascii="Arial" w:cs="Arial" w:eastAsia="Arial" w:hAnsi="Arial"/>
          <w:sz w:val="20"/>
          <w:szCs w:val="20"/>
          <w:color w:val="auto"/>
          <w:vertAlign w:val="subscript"/>
        </w:rPr>
        <w:t>Rx</w:t>
      </w:r>
      <w:r>
        <w:rPr>
          <w:rFonts w:ascii="Arial" w:cs="Arial" w:eastAsia="Arial" w:hAnsi="Arial"/>
          <w:sz w:val="16"/>
          <w:szCs w:val="16"/>
          <w:color w:val="auto"/>
        </w:rPr>
        <w:t xml:space="preserve">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Generic company competitors are seeking approval of generic versions of Vascepa.</w:t>
      </w:r>
    </w:p>
    <w:p>
      <w:pPr>
        <w:spacing w:after="0" w:line="171"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The Food Drug and Cosmetic Act, or FDCA, as amended by the Drug Price Competition and Patent Term Restoration Act of 1984, as amended, or the Hatch-Waxman Amendments, permit the FDA to approve abbreviated new drug applications, or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1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We have received six paragraph IV notices notifying us of submitted ANDAs to Vascepa under the Hatch-Waxman Amendments. We are now engaged in costly litigation with the ANDA applicants to protect our patent rights. If an ANDA filer is ultimately successful in patent litigation against us, it meets the requirements for a generic version of Vascepa to the satisfaction of the FDA under its ANDA (after any applicable regulatory exclusivity period and the litigation-related 30-month stay period expires), and is able to supply the product in significant commercial quantities, the generic company could, with the market introduction of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18" w:lineRule="exact"/>
        <w:rPr>
          <w:sz w:val="20"/>
          <w:szCs w:val="20"/>
          <w:color w:val="auto"/>
        </w:rPr>
      </w:pPr>
    </w:p>
    <w:p>
      <w:pPr>
        <w:ind w:right="120" w:firstLine="913"/>
        <w:spacing w:after="0" w:line="287" w:lineRule="auto"/>
        <w:rPr>
          <w:sz w:val="20"/>
          <w:szCs w:val="20"/>
          <w:color w:val="auto"/>
        </w:rPr>
      </w:pPr>
      <w:r>
        <w:rPr>
          <w:rFonts w:ascii="Arial" w:cs="Arial" w:eastAsia="Arial" w:hAnsi="Arial"/>
          <w:sz w:val="16"/>
          <w:szCs w:val="16"/>
          <w:color w:val="auto"/>
        </w:rPr>
        <w:t>In addition to the six paragraph notices received to date, in February 2014, prior to the FDA’s three-year exclusivity determination for Vascepa, we received a purported paragraph IV notice from a generic drug company with respect to an ANDA to Vascepa. The FDA confirmed with us after we received the notice and before the exclusivity determination was made that the FDA had not accepted for review any ANDA to Vascepa. The FDA has repeatedly taken the position that paragraph IV notices delivered to pioneer companies such as Amarin prior to the acceptance by the FDA for review of a submitted ANDA are not effective under the Hatch-Waxman Amendments. The generic company may challenge the FDA’s position on whether the notice is valid in court in connection with patent litigation. Generic companies are thought to send such premature notices to seek to avail themselves of the 180-day generic exclusivity period for an approved product under an ANDA based on the generic’s view that it would then have first-to-file status and to seek an early end to related patent litigation with the branded drug company and the associated 30-month stay. Because we and the FDA do not believe this purported paragraph IV notice is an effective notice under the Hatch-Waxman Amendments we do not plan to initiate patent litigation against the generic company that submitted the ANDA until within the 45-day period after we receive a valid paragraph IV notice from such applicant.</w:t>
      </w:r>
    </w:p>
    <w:p>
      <w:pPr>
        <w:spacing w:after="0" w:line="42"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b w:val="1"/>
          <w:bCs w:val="1"/>
          <w:i w:val="1"/>
          <w:iCs w:val="1"/>
          <w:color w:val="auto"/>
        </w:rPr>
        <w:t>Our suit against FDA challenging its denial of five-year, NCE exclusivity to Vascepa under the Hatch-Waxman Amendments may not achieve its intended goal to delay generic competition challenges to Vascepa.</w:t>
      </w:r>
    </w:p>
    <w:p>
      <w:pPr>
        <w:spacing w:after="0" w:line="132"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The timelines and conditions under the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Such three-year exclusivity extends through July 25, 2015 and is expected to be supplemented by a 30-month stay that we believe will extend into September 2016, assuming the related Vascepa patent litigation is not resolved against us sooner.</w:t>
      </w:r>
    </w:p>
    <w:p>
      <w:pPr>
        <w:spacing w:after="0" w:line="118"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NCE marketing exclusivity, not granted to Vascepa,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 end of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4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three-year period of exclusivity granted to Vascepa under the Hatch-Waxman Amendments is for a drug product that contains an active moiety that has been previously approved when the application contains reports of new clinical investigations (other than bioavailability studies) conducted by the sponsor that were essential to approval of the application. Our MARINE clinical trial was a new clinical investigation that was essential to the approval of our new drug application. We are entitled to three-year exclusivity even though FDA determined that the EPA moiety was previously approved in Lovaza because our MARINE clinical investigation was essential for the approval of our new drug product, Vascepa.</w:t>
      </w:r>
    </w:p>
    <w:p>
      <w:pPr>
        <w:spacing w:after="0" w:line="116" w:lineRule="exact"/>
        <w:rPr>
          <w:sz w:val="20"/>
          <w:szCs w:val="20"/>
          <w:color w:val="auto"/>
        </w:rPr>
      </w:pPr>
    </w:p>
    <w:p>
      <w:pPr>
        <w:ind w:right="40" w:firstLine="913"/>
        <w:spacing w:after="0" w:line="310" w:lineRule="auto"/>
        <w:rPr>
          <w:sz w:val="20"/>
          <w:szCs w:val="20"/>
          <w:color w:val="auto"/>
        </w:rPr>
      </w:pPr>
      <w:r>
        <w:rPr>
          <w:rFonts w:ascii="Arial" w:cs="Arial" w:eastAsia="Arial" w:hAnsi="Arial"/>
          <w:sz w:val="15"/>
          <w:szCs w:val="15"/>
          <w:color w:val="auto"/>
        </w:rPr>
        <w:t>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our patents at any time. In this case, Amarin would be, and has been, afforded the benefit of a 30-month stay against the launch of such a competitive product that extends from the period that Amarin receives notice of the patent challenge (the paragraph IV notice), assuming Amarin responds to the patent challenge with 45 days, and Amarin may also be afforded a judicial extension if applicable requirements are met. Currently, Amarin believes its 30-month stay extends until September 2016. This three-year form of exclusivity may also not prevent the FDA from approving an NDA that relies only on its own data to support the change or innovation.</w:t>
      </w:r>
    </w:p>
    <w:p>
      <w:pPr>
        <w:spacing w:after="0" w:line="108"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On February 27, 2014, we commenced a lawsuit against the FDA that challenges FDA’s denial of our request for five-year NCE exclusivity for Vascepa based on our reading of the relevant statute, our view of FDA’s inconsistency with its past actions in this area and the retroactive effect of what we believe is a new policy at FDA as it relates to our situation.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w:t>
      </w:r>
    </w:p>
    <w:p>
      <w:pPr>
        <w:spacing w:after="0" w:line="144"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We may not be successful in this lawsuit against the FDA. Further, a generic company could enter this litigation, complicating the ultimate determination. Even if we are successful at the federal district court level, the FDA may appeal and we may need to win on appeal before the FDA takes, or the court imposes on the FDA, the remedies we request in suit. In addition, we may not be able to stay the continuation of currently pending ANDA-related patent litigation. The legal process can be costly and time-consuming and even if we are successful the remedies available to us diminish in value over time as we approach the natural expiration of the benefits associated with five-year exclusivity.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*Vascepa is a prescription-only omega-3 fatty acid. Omega-3 fatty acids are also marketed by other companies as non-prescription dietary supplements.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 a result, Vascepa would be subject to non-prescription competition and consumer substitution.</w:t>
      </w:r>
    </w:p>
    <w:p>
      <w:pPr>
        <w:spacing w:after="0" w:line="16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and tested safety of Vascepa as having a superior therapeutic profile to naturally occurring omega-3 fatty acids and dietary supplements. In addition, the FDA has not enforced what we view as illegal drug claims made by certain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Under FDA’s regulatory regime, we cannot make this clam.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w:t>
      </w:r>
    </w:p>
    <w:p>
      <w:pPr>
        <w:spacing w:after="0" w:line="171"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In March 2014, we entered into a co-promotion agreement with Kowa Pharmaceuticals America to co-promote Vascepa in the United States under which approximately 250 Kowa Pharmaceuticals America sales representatives devote a substantial portion of their time to promoting Vascepa with Amarin’s approximately 130 sales representatives.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171"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With respect to sales and marketing activities including direct-to-consumer advertising and promotional activities involving the internet, advertising and promotional materials must comply with FDA rules in addition to other applicable federal and local laws in the United States and in other countries.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 related systems. Our activities are also potentially subject to U.S. federal and state consumer protection and unfair competition laws. Similar requirements exist in many of these areas in other countries.</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held responsible for the non-compliance of our partners, such as Kowa Pharmaceuticals America.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 party payment and insurance programs.</w:t>
      </w:r>
    </w:p>
    <w:p>
      <w:pPr>
        <w:spacing w:after="0" w:line="3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b w:val="1"/>
          <w:bCs w:val="1"/>
          <w:i w:val="1"/>
          <w:iCs w:val="1"/>
          <w:color w:val="auto"/>
        </w:rPr>
        <w:t>The commercial value of Vascepa may be negatively affected by the advisory committee recommendation against approval of Vascepa in the ANCHOR indication, the rescission of the ANCHOR SPA agreement or any subsequent rejection of the pending FDA application with the FDA for the use of Vascepa in the ANCHOR indication.</w:t>
      </w:r>
    </w:p>
    <w:p>
      <w:pPr>
        <w:spacing w:after="0" w:line="14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Though we are restricted from promoting Vascepa under applicable regulations for any indication other than the FDA-approved MARINE indication, healthcare professionals are not restricted from prescribing Vascepa for such so-called off-labeled uses. A significant amount of the sales of Vascepa are, in fact, attributable to so-called off-labeled uses of the drug. We expect that among the off-labeled uses of Vascepa are uses that would fall into, or be closely related to, the proposed ANCHOR indication. The recent negative recommendation of the advisory committee meeting against approval of Vascepa in the ANCHOR indication, the recent rescission by the FDA of the ANCHOR SPA, and/or a subsequent decision by the FDA to not approve Vascepa in the ANCHOR indication may negatively and materially affect the perception of the utility of Vascepa for use in the ANCHOR indication or for other purposes and thus negatively and materially affect sales of Vascepa.</w:t>
      </w:r>
    </w:p>
    <w:p>
      <w:pPr>
        <w:spacing w:after="0" w:line="37" w:lineRule="exact"/>
        <w:rPr>
          <w:sz w:val="20"/>
          <w:szCs w:val="20"/>
          <w:color w:val="auto"/>
        </w:rPr>
      </w:pPr>
    </w:p>
    <w:p>
      <w:pPr>
        <w:ind w:left="460" w:right="46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Kowa Pharmaceuticals America are found to have improperly promoted off-label uses of Vascepa, we may become subject to significant fines and other liability.</w:t>
      </w:r>
    </w:p>
    <w:p>
      <w:pPr>
        <w:spacing w:after="0" w:line="140"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received FDA marketing approval for Vascepa for the MARINE indication, physicians may still prescribe Vascepa to their patients for use in the treatment of conditions that are not included as part of the indication statement in our FDA-approved Vascepa label. If we are found to have promoted such off-label uses, we may become subject to significant government fines and other related liability. We may also be held responsible for the non-compliance of our co-promotion partner, Kowa Pharmaceuticals America.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8"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63"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140"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4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Outcomes studies of certain other lipid-modifying therapies have failed to achieve the endpoints of such studies.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JAMA meta-analysis involved the use of omega-3 supplements containing a mixture of EPA and DHA, and most were evaluated at relatively lower doses. In addition, in May 2013,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published the results of an outcome study of 1 gram per day of an omega-3 acid ethyl ester composition. 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patients with severe hypertriglyceridemia at a dose of 4 grams per day and is being studied in REDUCE-IT at 4 grams per day.</w:t>
      </w:r>
    </w:p>
    <w:p>
      <w:pPr>
        <w:spacing w:after="0" w:line="120"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Also, a low dose of statins was used. It is unknown whether the positive treatment effects would have persisted if these patients had been optimally treated with statins using contemporary LDL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hospitalizations for unstable angina was a primary contributor of the overall positive result, and is considered a softer endpoint than fatal cardiovascular events.</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35"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32"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1480" w:right="300" w:hanging="446"/>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9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2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Legislative or regulatory reform of the health care system in the United States and foreign jurisdictions may affect our ability to profitably sell Vascepa.</w:t>
      </w:r>
    </w:p>
    <w:p>
      <w:pPr>
        <w:spacing w:after="0" w:line="20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w:t>
      </w:r>
    </w:p>
    <w:p>
      <w:pPr>
        <w:spacing w:after="0" w:line="113" w:lineRule="exact"/>
        <w:rPr>
          <w:rFonts w:ascii="Arial" w:cs="Arial" w:eastAsia="Arial" w:hAnsi="Arial"/>
          <w:sz w:val="16"/>
          <w:szCs w:val="16"/>
          <w:color w:val="auto"/>
        </w:rPr>
      </w:pPr>
    </w:p>
    <w:p>
      <w:pPr>
        <w:ind w:left="1480" w:right="40" w:hanging="446"/>
        <w:spacing w:after="0" w:line="268"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18"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60"/>
        <w:spacing w:after="0" w:line="370"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62"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produce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Our supply of product for commercial supply and clinical trials is dependent upon relationships with third party manufacturers and key suppliers.</w:t>
      </w:r>
    </w:p>
    <w:p>
      <w:pPr>
        <w:spacing w:after="0" w:line="206"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13"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20" w:lineRule="exact"/>
        <w:rPr>
          <w:sz w:val="20"/>
          <w:szCs w:val="20"/>
          <w:color w:val="auto"/>
        </w:rPr>
      </w:pPr>
    </w:p>
    <w:p>
      <w:pPr>
        <w:ind w:right="180" w:firstLine="913"/>
        <w:spacing w:after="0" w:line="253" w:lineRule="auto"/>
        <w:rPr>
          <w:sz w:val="20"/>
          <w:szCs w:val="20"/>
          <w:color w:val="auto"/>
        </w:rPr>
      </w:pPr>
      <w:r>
        <w:rPr>
          <w:rFonts w:ascii="Arial" w:cs="Arial" w:eastAsia="Arial" w:hAnsi="Arial"/>
          <w:sz w:val="18"/>
          <w:szCs w:val="18"/>
          <w:color w:val="auto"/>
        </w:rPr>
        <w:t>We initially purchased all of our supply of the bulk compound (ethyl-EPA), which constitutes the only active pharmaceutical ingredient, or API, of Vascepa, from a single supplier, Nisshin Pharma,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purchase and use commercial supply from Chemport in addition to Nisshin. We recently terminated our agreement with BASF due to its inability to meet the agreement requirements and may enter into a new development and supply agreement with BASF and may purchase API from BASF. Each of the API manufacturers obtains supply of the key raw material to manufacture API from other third party sources of supply.</w:t>
      </w:r>
    </w:p>
    <w:p>
      <w:pPr>
        <w:spacing w:after="0" w:line="147"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and Chemport currently supply all of our API for Vascepa. Our strategy in adding API suppliers beyond Nisshin has been to expand manufacturing capacity and to partially mitigate the risk of reliance on one supplier.</w:t>
      </w:r>
    </w:p>
    <w:p>
      <w:pPr>
        <w:spacing w:after="0" w:line="10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previously approved suppliers.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currently rely on Patheon (formerly Banner Pharmacaps) for the encapsulation of Vascepa. We have encapsulation agreements with two other commercial API encapsulators. These companies are working to qualify their processes and to prove that the Vascepa capsules they produce meet the same quality standards as the capsules produced by Patheon.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39"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13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of Vascepa. Similarly if we terminate certain of our supply agreements, such suppliers may be free to sell the active pharmaceutical ingredient of Vascepa to potential competitors of Vascepa.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39"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8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39"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14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plans to expand its capacity to supply API to us by further expanding their current facility.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20" w:lineRule="exact"/>
        <w:rPr>
          <w:sz w:val="20"/>
          <w:szCs w:val="20"/>
          <w:color w:val="auto"/>
        </w:rPr>
      </w:pPr>
    </w:p>
    <w:p>
      <w:pPr>
        <w:ind w:right="280" w:firstLine="913"/>
        <w:spacing w:after="0" w:line="298"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w:t>
      </w:r>
    </w:p>
    <w:p>
      <w:pPr>
        <w:spacing w:after="0" w:line="11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59"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32"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We are dependent on patents, proprietary rights and confidentiality to protect the commercial potential of Vascepa.</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59"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40 patent applications in the United States that have been either issued or allowed and more than 30 additional patent applications are pending in the United States. Of such 40 allowed and issued applications, we currently have:</w:t>
      </w:r>
    </w:p>
    <w:p>
      <w:pPr>
        <w:spacing w:after="0" w:line="26" w:lineRule="exact"/>
        <w:rPr>
          <w:sz w:val="20"/>
          <w:szCs w:val="20"/>
          <w:color w:val="auto"/>
        </w:rPr>
      </w:pPr>
    </w:p>
    <w:p>
      <w:pPr>
        <w:ind w:left="1480" w:right="620" w:hanging="446"/>
        <w:spacing w:after="0" w:line="268"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35 U.S. patents covering the use of Vascepa in either the MARINE or anticipated ANCHOR indication that have terms that expire in 2030,</w:t>
      </w:r>
    </w:p>
    <w:p>
      <w:pPr>
        <w:spacing w:after="0" w:line="113" w:lineRule="exact"/>
        <w:rPr>
          <w:rFonts w:ascii="Arial" w:cs="Arial" w:eastAsia="Arial" w:hAnsi="Arial"/>
          <w:sz w:val="16"/>
          <w:szCs w:val="16"/>
          <w:color w:val="auto"/>
        </w:rPr>
      </w:pPr>
    </w:p>
    <w:p>
      <w:pPr>
        <w:ind w:left="1480" w:right="80" w:hanging="446"/>
        <w:spacing w:after="0" w:line="268"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ANCHOR patient population with a term that expires in 2030, and</w:t>
      </w:r>
    </w:p>
    <w:p>
      <w:pPr>
        <w:spacing w:after="0" w:line="50" w:lineRule="exact"/>
        <w:rPr>
          <w:rFonts w:ascii="Arial" w:cs="Arial" w:eastAsia="Arial" w:hAnsi="Arial"/>
          <w:sz w:val="18"/>
          <w:szCs w:val="18"/>
          <w:color w:val="auto"/>
        </w:rPr>
      </w:pPr>
    </w:p>
    <w:p>
      <w:pPr>
        <w:ind w:left="1480" w:right="140" w:hanging="446"/>
        <w:spacing w:after="0" w:line="268"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MARINE patient population with a term that expires in 2030.</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 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4"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Our issued patents may not prevent competitors from competing with Vascepa, even if we seek to enforce our patent rights.</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plan to vigorously defend our rights under issued patents. For example, in March 2014, we filed a patent infringement suit against Omthera Pharmaceuticals, Inc., and its parent company, AstraZeneca Pharmaceuticals LP. The suit seeks injunctive relief and monetary damages for infringement of Amarin’s U.S. Patent No. 8,663,662. The complaint alleges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Amarin intends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18"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1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71"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44"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32"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four lawsuits that could result in substantial costs and divert management’s attention.</w:t>
      </w:r>
    </w:p>
    <w:p>
      <w:pPr>
        <w:spacing w:after="0" w:line="132" w:lineRule="exact"/>
        <w:rPr>
          <w:sz w:val="20"/>
          <w:szCs w:val="20"/>
          <w:color w:val="auto"/>
        </w:rPr>
      </w:pPr>
    </w:p>
    <w:p>
      <w:pPr>
        <w:ind w:right="180" w:firstLine="913"/>
        <w:spacing w:after="0" w:line="314" w:lineRule="auto"/>
        <w:rPr>
          <w:sz w:val="20"/>
          <w:szCs w:val="20"/>
          <w:color w:val="auto"/>
        </w:rPr>
      </w:pPr>
      <w:r>
        <w:rPr>
          <w:rFonts w:ascii="Arial" w:cs="Arial" w:eastAsia="Arial" w:hAnsi="Arial"/>
          <w:sz w:val="15"/>
          <w:szCs w:val="15"/>
          <w:color w:val="auto"/>
        </w:rPr>
        <w:t>The market price of our ADSs declined significantly after the October 2013 decision by the FDA Advisory Committee to recommend against approval of Vascepa in the ANCHOR indication. We, and certain of our current and former executive officers and directors, have been named as defendants in four purported class action lawsuits initiated earlier this year that generally allege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seek unspecified damages, interest, attorneys’ fees, and other costs.</w:t>
      </w:r>
    </w:p>
    <w:p>
      <w:pPr>
        <w:spacing w:after="0" w:line="10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intend to engage in a vigorous defense of the lawsuits, and we believe that we have meritorious defenses to these claims. However, we are unable to predict the outcome of these matters at this time. Moreover, any conclusion of these matters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71" w:lineRule="exact"/>
        <w:rPr>
          <w:sz w:val="20"/>
          <w:szCs w:val="20"/>
          <w:color w:val="auto"/>
        </w:rPr>
      </w:pPr>
    </w:p>
    <w:p>
      <w:pPr>
        <w:ind w:right="280" w:firstLine="913"/>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4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71"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We have received several communications on behalf of the former shareholders of Ester asserting that we are in breach of its amended agreement due to the fact that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7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Furthermore, the lessened probability that we will obtain FDA approval for the ANCHOR indication could have an adverse impact on our ability to retain and recruit qualified personnel. In addition, in October 2013, we eliminated approximately fifty percent of our staff positions worldwide as part of a restructuring following the FDA advisory committee’s recommendation against the potential Vascepa label expansion. Even though all employees were offered severance pay in exchange for signing a comprehensive release of claims, this restructuring could lead to claims by former employees related to their termination. The restructuring could also have an adverse impact on our ability to retain and recruit qualified personnel. The failure to recruit key scientific, technical and management personnel would be detrimental to our ability to implement our business plan.</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71"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A significant portion of our sales are to wholesalers in the pharmaceutical industry. Our top three customers accounted for 95% and 96% of gross product sales for the nine months ended September 30, 2014 and 2013, respectively and represented 96% and 98% of the gross accounts receivable balance as of September 30, 2014 and September 30, 2013,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7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2013, 2012, and 2011, we reported losses of approximately $166.2 million, $179.2 million, and $69.1 million, respectively, and we had an accumulated deficit at December 31, 2013 of $913.9 million. For the nine months ended September 30, 2014 and 2013, we reported losses of approximately $36.7 million and $150.8 million, respectively, and we had an accumulated deficit at September 30, 2014 of $950.6 million. Substantially all of our operating losses resulted from costs incurred in connection with our research and development programs, from 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71" w:lineRule="exact"/>
        <w:rPr>
          <w:sz w:val="20"/>
          <w:szCs w:val="20"/>
          <w:color w:val="auto"/>
        </w:rPr>
      </w:pPr>
    </w:p>
    <w:p>
      <w:pPr>
        <w:ind w:right="40" w:firstLine="913"/>
        <w:spacing w:after="0" w:line="323" w:lineRule="auto"/>
        <w:rPr>
          <w:sz w:val="20"/>
          <w:szCs w:val="20"/>
          <w:color w:val="auto"/>
        </w:rPr>
      </w:pPr>
      <w:r>
        <w:rPr>
          <w:rFonts w:ascii="Arial" w:cs="Arial" w:eastAsia="Arial" w:hAnsi="Arial"/>
          <w:sz w:val="15"/>
          <w:szCs w:val="15"/>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98"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71"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3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Due to the recent approval by the FDA of Vascepa and the lack of historical sales data, Vascepa sales will be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2" w:lineRule="exact"/>
        <w:rPr>
          <w:sz w:val="20"/>
          <w:szCs w:val="20"/>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5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sNDA application for the ANCHOR indication and the results of the REDUCE-IT study or post-approval studies for Vascepa;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outcomes of litigation and other legal proceedings, including recently initiated shareholder litigation, regulatory matters and tax matters; and</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90"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$135.4 million at September 30, 2014 will be sufficient to fund our projected operations for at least the next twelve months.</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revenue generated from the commercial sale of Vascepa in the MARINE indication and, subject to FDA approval, the ANCHOR indication;</w:t>
      </w:r>
    </w:p>
    <w:p>
      <w:pPr>
        <w:spacing w:after="0" w:line="113" w:lineRule="exact"/>
        <w:rPr>
          <w:rFonts w:ascii="Arial" w:cs="Arial" w:eastAsia="Arial" w:hAnsi="Arial"/>
          <w:sz w:val="16"/>
          <w:szCs w:val="16"/>
          <w:color w:val="auto"/>
        </w:rPr>
      </w:pPr>
    </w:p>
    <w:p>
      <w:pPr>
        <w:ind w:left="1480" w:right="20" w:hanging="446"/>
        <w:spacing w:after="0" w:line="255"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with our new co-promotion partner, Kowa Pharmaceuticals America, and the cost and timing of securing commercial supply of Vascepa and the timing of entering into any new strategic collaboration with others relating to the commercialization of Vascepa, if at all, and the terms of any such collaboration;</w:t>
      </w:r>
    </w:p>
    <w:p>
      <w:pPr>
        <w:spacing w:after="0" w:line="61"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continued cost associated with litigation and other legal proceedings, including recently initiated shareholder litigation and patent litigation;</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913"/>
        <w:spacing w:after="0" w:line="357" w:lineRule="auto"/>
        <w:rPr>
          <w:sz w:val="20"/>
          <w:szCs w:val="20"/>
          <w:color w:val="auto"/>
        </w:rPr>
      </w:pPr>
      <w:r>
        <w:rPr>
          <w:rFonts w:ascii="Arial" w:cs="Arial" w:eastAsia="Arial" w:hAnsi="Arial"/>
          <w:sz w:val="15"/>
          <w:szCs w:val="15"/>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ind w:left="460" w:right="80"/>
        <w:spacing w:after="0" w:line="259" w:lineRule="auto"/>
        <w:rPr>
          <w:sz w:val="20"/>
          <w:szCs w:val="20"/>
          <w:color w:val="auto"/>
        </w:rPr>
      </w:pPr>
      <w:r>
        <w:rPr>
          <w:rFonts w:ascii="Arial" w:cs="Arial" w:eastAsia="Arial" w:hAnsi="Arial"/>
          <w:sz w:val="18"/>
          <w:szCs w:val="18"/>
          <w:b w:val="1"/>
          <w:bCs w:val="1"/>
          <w:i w:val="1"/>
          <w:iCs w:val="1"/>
          <w:color w:val="auto"/>
        </w:rPr>
        <w:t>As a result of recent worldwide reductions in our workforce, we are in the process of reallocating certain employment responsibilities and may outsource certain corporate functions. As a result, we may be more dependent on third parties to perform these corporate functions than we have been in the past.</w:t>
      </w:r>
    </w:p>
    <w:p>
      <w:pPr>
        <w:spacing w:after="0" w:line="140" w:lineRule="exact"/>
        <w:rPr>
          <w:sz w:val="20"/>
          <w:szCs w:val="20"/>
          <w:color w:val="auto"/>
        </w:rPr>
      </w:pPr>
    </w:p>
    <w:p>
      <w:pPr>
        <w:ind w:right="200" w:firstLine="913"/>
        <w:spacing w:after="0" w:line="294" w:lineRule="auto"/>
        <w:rPr>
          <w:sz w:val="20"/>
          <w:szCs w:val="20"/>
          <w:color w:val="auto"/>
        </w:rPr>
      </w:pPr>
      <w:r>
        <w:rPr>
          <w:rFonts w:ascii="Arial" w:cs="Arial" w:eastAsia="Arial" w:hAnsi="Arial"/>
          <w:sz w:val="16"/>
          <w:szCs w:val="16"/>
          <w:color w:val="auto"/>
        </w:rPr>
        <w:t>As a result of the recent worldwide reductions in our workforce, we have been required to outsource certain corporate functions. This has made us more dependent on third-parties for the performance of these functions. Our ongoing results of operations could be adversely affected to the extent that we are unable to effectively reallocate employee responsibilities, retain key employees, maintain effective internal control over financial reporting and effective disclosure controls and procedures, establish and maintain agreements with competent third-party contractors on terms that are acceptable to us, and effectively manage the work performed by any retained third-party contractors.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effect on our ability to obtain financing on acceptable terms.</w:t>
      </w:r>
    </w:p>
    <w:p>
      <w:pPr>
        <w:spacing w:after="0" w:line="194"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94"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To the extent we are permitted under our Purchase and Sale Agreement with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43" w:lineRule="exact"/>
        <w:rPr>
          <w:sz w:val="20"/>
          <w:szCs w:val="20"/>
          <w:color w:val="auto"/>
        </w:rPr>
      </w:pPr>
    </w:p>
    <w:p>
      <w:pPr>
        <w:jc w:val="both"/>
        <w:ind w:right="80" w:firstLine="913"/>
        <w:spacing w:after="0" w:line="298" w:lineRule="auto"/>
        <w:rPr>
          <w:sz w:val="20"/>
          <w:szCs w:val="20"/>
          <w:color w:val="auto"/>
        </w:rPr>
      </w:pPr>
      <w:r>
        <w:rPr>
          <w:rFonts w:ascii="Arial" w:cs="Arial" w:eastAsia="Arial" w:hAnsi="Arial"/>
          <w:sz w:val="16"/>
          <w:szCs w:val="16"/>
          <w:color w:val="auto"/>
        </w:rPr>
        <w:t>As of September 30, 2014, there were warrants outstanding for the purchase of up to 8,087,388 ADSs each representing one of our ordinary shares, with a weighted average exercise price of $1.50 per share. We may issue additional warrants to purchase ADSs or ordinary shares in connection with any future financing we may conduct. In addition, on January 9, 2012, we issued $150 million in aggregate principal amount of 3.50% exchangeable senior notes due 2032, or the notes. In the event of physical settlement, the notes would initially be exchangeable into a total of 49,214,841 ADS.</w:t>
      </w:r>
    </w:p>
    <w:p>
      <w:pPr>
        <w:spacing w:after="0" w:line="113"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related to the commercialization of Vascepa in the United States. The consummation and performance of any such future transactions or collaborations will involve risks, such as:</w:t>
      </w:r>
    </w:p>
    <w:p>
      <w:pPr>
        <w:spacing w:after="0" w:line="62"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71"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jc w:val="both"/>
        <w:ind w:right="60" w:firstLine="913"/>
        <w:spacing w:after="0" w:line="305" w:lineRule="auto"/>
        <w:rPr>
          <w:sz w:val="20"/>
          <w:szCs w:val="20"/>
          <w:color w:val="auto"/>
        </w:rPr>
      </w:pPr>
      <w:r>
        <w:rPr>
          <w:rFonts w:ascii="Arial" w:cs="Arial" w:eastAsia="Arial" w:hAnsi="Arial"/>
          <w:sz w:val="15"/>
          <w:szCs w:val="15"/>
          <w:color w:val="auto"/>
        </w:rPr>
        <w:t>As of November 1, 2014 we had 174,610,451 common shares outstanding including 174,146,088 shares held as ADSs and 464,363 held as common shares (which are not held in the form of ADSs). In our October 2009 private placement we issued 66.4 million ADSs and warrants to purchase an additional</w:t>
      </w:r>
    </w:p>
    <w:p>
      <w:pPr>
        <w:jc w:val="both"/>
        <w:ind w:right="60"/>
        <w:spacing w:after="0" w:line="295" w:lineRule="auto"/>
        <w:rPr>
          <w:sz w:val="20"/>
          <w:szCs w:val="20"/>
          <w:color w:val="auto"/>
        </w:rPr>
      </w:pPr>
      <w:r>
        <w:rPr>
          <w:rFonts w:ascii="Arial" w:cs="Arial" w:eastAsia="Arial" w:hAnsi="Arial"/>
          <w:sz w:val="16"/>
          <w:szCs w:val="16"/>
          <w:color w:val="auto"/>
        </w:rPr>
        <w:t>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3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71"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39"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40" w:lineRule="exact"/>
        <w:rPr>
          <w:sz w:val="20"/>
          <w:szCs w:val="20"/>
          <w:color w:val="auto"/>
        </w:rPr>
      </w:pPr>
    </w:p>
    <w:p>
      <w:pPr>
        <w:ind w:right="40" w:firstLine="913"/>
        <w:spacing w:after="0" w:line="314" w:lineRule="auto"/>
        <w:rPr>
          <w:sz w:val="20"/>
          <w:szCs w:val="20"/>
          <w:color w:val="auto"/>
        </w:rPr>
      </w:pPr>
      <w:r>
        <w:rPr>
          <w:rFonts w:ascii="Arial" w:cs="Arial" w:eastAsia="Arial" w:hAnsi="Arial"/>
          <w:sz w:val="15"/>
          <w:szCs w:val="15"/>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94"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We believe it prudent to assume that we were classified as a PFIC in 2012. We do not believe that we were classified as a PFIC in 2013. Our status as a PFIC is subject to change in future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meet our obligations under our Purchase and Sale Agreement with BioPharma could adversely affect our financial results and liquidity.</w:t>
      </w:r>
    </w:p>
    <w:p>
      <w:pPr>
        <w:spacing w:after="0" w:line="206"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8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43"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stockholders.</w:t>
      </w:r>
    </w:p>
    <w:p>
      <w:pPr>
        <w:spacing w:after="0" w:line="120" w:lineRule="exact"/>
        <w:rPr>
          <w:sz w:val="20"/>
          <w:szCs w:val="20"/>
          <w:color w:val="auto"/>
        </w:rPr>
      </w:pPr>
    </w:p>
    <w:p>
      <w:pPr>
        <w:ind w:right="140" w:firstLine="913"/>
        <w:spacing w:after="0" w:line="302" w:lineRule="auto"/>
        <w:rPr>
          <w:sz w:val="20"/>
          <w:szCs w:val="20"/>
          <w:color w:val="auto"/>
        </w:rPr>
      </w:pPr>
      <w:r>
        <w:rPr>
          <w:rFonts w:ascii="Arial" w:cs="Arial" w:eastAsia="Arial" w:hAnsi="Arial"/>
          <w:sz w:val="15"/>
          <w:szCs w:val="15"/>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w:t>
      </w:r>
    </w:p>
    <w:p>
      <w:pPr>
        <w:spacing w:after="0" w:line="3" w:lineRule="exact"/>
        <w:rPr>
          <w:sz w:val="20"/>
          <w:szCs w:val="20"/>
          <w:color w:val="auto"/>
        </w:rPr>
      </w:pPr>
    </w:p>
    <w:p>
      <w:pPr>
        <w:ind w:right="80" w:firstLine="8"/>
        <w:spacing w:after="0" w:line="261" w:lineRule="auto"/>
        <w:tabs>
          <w:tab w:leader="none" w:pos="3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become subject to an event of bankruptcy, then BioPharma may attempt to collect the maximum amount payable by us under this agreement (after deducting any payments we have already made).</w:t>
      </w:r>
    </w:p>
    <w:p>
      <w:pPr>
        <w:spacing w:after="0" w:line="13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71"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Our existing indebtedness consist of $150.0 million in aggregate principal amount of 3.50% exchangeable senior notes due 2032, $31.3 million of which relates to the January 2012 notes with provisions for the notes to be put to us on or after January 19, 2017 while the balance of $118.7 million relates to the May 2014 notes with provision for the notes to be redeemed by the Company on or after January 19, 2018 or put to us by the holders on or after January 19, 2019.</w:t>
      </w:r>
    </w:p>
    <w:p>
      <w:pPr>
        <w:spacing w:after="0" w:line="88"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Our indebtedness and the related annual debt service requirements may adversely impact our business, operations and financial condition in the future. For example, they could:</w:t>
      </w:r>
    </w:p>
    <w:p>
      <w:pPr>
        <w:spacing w:after="0" w:line="51" w:lineRule="exact"/>
        <w:rPr>
          <w:sz w:val="20"/>
          <w:szCs w:val="20"/>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1480" w:right="880" w:hanging="446"/>
        <w:spacing w:after="0" w:line="268"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notes, could have a material effect on our reported financial results.</w:t>
      </w:r>
    </w:p>
    <w:p>
      <w:pPr>
        <w:spacing w:after="0" w:line="132"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18"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18"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change in control repurchase feature of the notes may delay or prevent an otherwise beneficial takeover attempt of us.</w:t>
      </w:r>
    </w:p>
    <w:p>
      <w:pPr>
        <w:spacing w:after="0" w:line="17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change in control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71"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1480" w:right="260" w:hanging="446"/>
        <w:spacing w:after="0" w:line="259"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59" w:lineRule="exact"/>
        <w:rPr>
          <w:rFonts w:ascii="Arial" w:cs="Arial" w:eastAsia="Arial" w:hAnsi="Arial"/>
          <w:sz w:val="18"/>
          <w:szCs w:val="18"/>
          <w:color w:val="auto"/>
        </w:rPr>
      </w:pPr>
    </w:p>
    <w:p>
      <w:pPr>
        <w:ind w:left="1500" w:right="300"/>
        <w:spacing w:after="0" w:line="332" w:lineRule="auto"/>
        <w:rPr>
          <w:rFonts w:ascii="Arial" w:cs="Arial" w:eastAsia="Arial" w:hAnsi="Arial"/>
          <w:sz w:val="18"/>
          <w:szCs w:val="18"/>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4" w:lineRule="exact"/>
        <w:rPr>
          <w:rFonts w:ascii="Arial" w:cs="Arial" w:eastAsia="Arial" w:hAnsi="Arial"/>
          <w:sz w:val="18"/>
          <w:szCs w:val="18"/>
          <w:color w:val="auto"/>
        </w:rPr>
      </w:pPr>
    </w:p>
    <w:p>
      <w:pPr>
        <w:ind w:left="1480" w:right="100" w:hanging="446"/>
        <w:spacing w:after="0" w:line="335" w:lineRule="auto"/>
        <w:tabs>
          <w:tab w:leader="none" w:pos="14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7" w:lineRule="exact"/>
        <w:rPr>
          <w:rFonts w:ascii="Arial" w:cs="Arial" w:eastAsia="Arial" w:hAnsi="Arial"/>
          <w:sz w:val="15"/>
          <w:szCs w:val="15"/>
          <w:color w:val="auto"/>
        </w:rPr>
      </w:pPr>
    </w:p>
    <w:p>
      <w:pPr>
        <w:ind w:left="1480" w:right="20" w:hanging="446"/>
        <w:spacing w:after="0" w:line="255"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1" w:lineRule="exact"/>
        <w:rPr>
          <w:rFonts w:ascii="Arial" w:cs="Arial" w:eastAsia="Arial" w:hAnsi="Arial"/>
          <w:sz w:val="18"/>
          <w:szCs w:val="18"/>
          <w:color w:val="auto"/>
        </w:rPr>
      </w:pPr>
    </w:p>
    <w:p>
      <w:pPr>
        <w:ind w:left="1480" w:right="20" w:hanging="446"/>
        <w:spacing w:after="0" w:line="290"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37" w:lineRule="exact"/>
        <w:rPr>
          <w:rFonts w:ascii="Arial" w:cs="Arial" w:eastAsia="Arial" w:hAnsi="Arial"/>
          <w:sz w:val="16"/>
          <w:szCs w:val="16"/>
          <w:color w:val="auto"/>
        </w:rPr>
      </w:pPr>
    </w:p>
    <w:p>
      <w:pPr>
        <w:ind w:left="1480" w:hanging="446"/>
        <w:spacing w:after="0" w:line="255"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61" w:lineRule="exact"/>
        <w:rPr>
          <w:rFonts w:ascii="Arial" w:cs="Arial" w:eastAsia="Arial" w:hAnsi="Arial"/>
          <w:sz w:val="18"/>
          <w:szCs w:val="18"/>
          <w:color w:val="auto"/>
        </w:rPr>
      </w:pPr>
    </w:p>
    <w:p>
      <w:pPr>
        <w:ind w:left="1480" w:right="20" w:hanging="446"/>
        <w:spacing w:after="0" w:line="294"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7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132"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r>
      <w:tr>
        <w:trPr>
          <w:trHeight w:val="340"/>
        </w:trPr>
        <w:tc>
          <w:tcPr>
            <w:tcW w:w="10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51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60" w:type="dxa"/>
            <w:vAlign w:val="bottom"/>
          </w:tcPr>
          <w:p>
            <w:pPr>
              <w:spacing w:after="0"/>
              <w:rPr>
                <w:sz w:val="14"/>
                <w:szCs w:val="14"/>
                <w:color w:val="auto"/>
              </w:rPr>
            </w:pPr>
          </w:p>
        </w:tc>
      </w:tr>
      <w:tr>
        <w:trPr>
          <w:trHeight w:val="316"/>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89"/>
              </w:rPr>
              <w:t>Form of Warrant Amendment (incorporated herein by reference to Exhibit 10.1 to the Company’s Current Report on Form 8-K filed October 16,</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2014, File No. 000-21392)</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Certification of Controller (Principal Financial Officer) pursuant to Section 302 of Sarbanes-Oxley Act of 2002</w:t>
            </w:r>
          </w:p>
        </w:tc>
      </w:tr>
      <w:tr>
        <w:trPr>
          <w:trHeight w:val="31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93"/>
              </w:rPr>
              <w:t>Certification of Chief Executive Officer (Principal Executive Officer) and Controller (Principal Financial Officer) pursuant to Section 906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Sarbanes-Oxley Act of 2002</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Pr>
          <w:p>
            <w:pPr>
              <w:ind w:left="4820"/>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200" w:val="left"/>
        </w:tabs>
        <w:rPr>
          <w:sz w:val="20"/>
          <w:szCs w:val="20"/>
          <w:color w:val="auto"/>
        </w:rPr>
      </w:pPr>
      <w:r>
        <w:rPr>
          <w:rFonts w:ascii="Arial" w:cs="Arial" w:eastAsia="Arial" w:hAnsi="Arial"/>
          <w:sz w:val="18"/>
          <w:szCs w:val="18"/>
          <w:color w:val="auto"/>
        </w:rPr>
        <w:t>Date: November 6, 2014</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J. Farrell, certify that:</w:t>
      </w:r>
    </w:p>
    <w:p>
      <w:pPr>
        <w:spacing w:after="0" w:line="9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060" w:val="left"/>
        </w:tabs>
        <w:rPr>
          <w:sz w:val="20"/>
          <w:szCs w:val="20"/>
          <w:color w:val="auto"/>
        </w:rPr>
      </w:pPr>
      <w:r>
        <w:rPr>
          <w:rFonts w:ascii="Arial" w:cs="Arial" w:eastAsia="Arial" w:hAnsi="Arial"/>
          <w:sz w:val="18"/>
          <w:szCs w:val="18"/>
          <w:color w:val="auto"/>
        </w:rPr>
        <w:t>Date: November 6, 2014</w:t>
      </w:r>
      <w:r>
        <w:rPr>
          <w:sz w:val="20"/>
          <w:szCs w:val="20"/>
          <w:color w:val="auto"/>
        </w:rPr>
        <w:tab/>
      </w:r>
      <w:r>
        <w:rPr>
          <w:rFonts w:ascii="Arial" w:cs="Arial" w:eastAsia="Arial" w:hAnsi="Arial"/>
          <w:sz w:val="16"/>
          <w:szCs w:val="16"/>
          <w:color w:val="auto"/>
        </w:rPr>
        <w:t>/s/ Michael J.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Michael J. Farrell</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Controller (Principal Financial Officer)</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John F. Thero, President and Chief Executive Officer (Principal Executive Officer) of Amarin Corporation plc (the “Company”) and Michael J. Farrell, Controller (Principal Financial Officer) of the Company, each hereby certifies that, to the best of his knowledge:</w:t>
      </w:r>
    </w:p>
    <w:p>
      <w:pPr>
        <w:spacing w:after="0" w:line="62" w:lineRule="exact"/>
        <w:rPr>
          <w:sz w:val="20"/>
          <w:szCs w:val="20"/>
          <w:color w:val="auto"/>
        </w:rPr>
      </w:pPr>
    </w:p>
    <w:p>
      <w:pPr>
        <w:ind w:left="460" w:right="52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September 30, 2014, to which this Certification is attached as Exhibit 32.1 (the “Quarterly Report”) fully complies with the requirements of Section 13(a) or 15(d) of the Securities Exchange Act of 1934; and</w:t>
      </w:r>
    </w:p>
    <w:p>
      <w:pPr>
        <w:spacing w:after="0" w:line="4"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November 6, 2014</w:t>
            </w:r>
          </w:p>
        </w:tc>
        <w:tc>
          <w:tcPr>
            <w:tcW w:w="524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President and Chief Executive Officer (Principal Executive Officer)</w:t>
            </w:r>
          </w:p>
        </w:tc>
      </w:tr>
      <w:tr>
        <w:trPr>
          <w:trHeight w:val="432"/>
        </w:trPr>
        <w:tc>
          <w:tcPr>
            <w:tcW w:w="61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Farrell</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November 6, 2014</w:t>
            </w:r>
          </w:p>
        </w:tc>
        <w:tc>
          <w:tcPr>
            <w:tcW w:w="5240" w:type="dxa"/>
            <w:vAlign w:val="bottom"/>
          </w:tcPr>
          <w:p>
            <w:pPr>
              <w:spacing w:after="0"/>
              <w:rPr>
                <w:sz w:val="20"/>
                <w:szCs w:val="20"/>
                <w:color w:val="auto"/>
              </w:rPr>
            </w:pPr>
            <w:r>
              <w:rPr>
                <w:rFonts w:ascii="Arial" w:cs="Arial" w:eastAsia="Arial" w:hAnsi="Arial"/>
                <w:sz w:val="18"/>
                <w:szCs w:val="18"/>
                <w:color w:val="auto"/>
              </w:rPr>
              <w:t>Michael J. Farrell</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Controller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lowerRoman"/>
      <w:start w:val="1"/>
    </w:lvl>
  </w:abstractNum>
  <w:abstractNum w:abstractNumId="5">
    <w:nsid w:val="2D1D5AE9"/>
    <w:multiLevelType w:val="hybridMultilevel"/>
    <w:lvl w:ilvl="0">
      <w:lvlJc w:val="left"/>
      <w:lvlText w:val="(%1)"/>
      <w:numFmt w:val="decimal"/>
      <w:start w:val="3"/>
    </w:lvl>
  </w:abstractNum>
  <w:abstractNum w:abstractNumId="6">
    <w:nsid w:val="6763845E"/>
    <w:multiLevelType w:val="hybridMultilevel"/>
    <w:lvl w:ilvl="0">
      <w:lvlJc w:val="left"/>
      <w:lvlText w:val="(%1)"/>
      <w:numFmt w:val="decimal"/>
      <w:start w:val="4"/>
    </w:lvl>
  </w:abstractNum>
  <w:abstractNum w:abstractNumId="7">
    <w:nsid w:val="75A2A8D4"/>
    <w:multiLevelType w:val="hybridMultilevel"/>
    <w:lvl w:ilvl="0">
      <w:lvlJc w:val="left"/>
      <w:lvlText w:val="(%1)"/>
      <w:numFmt w:val="decimal"/>
      <w:start w:val="5"/>
    </w:lvl>
  </w:abstractNum>
  <w:abstractNum w:abstractNumId="8">
    <w:nsid w:val="8EDBDAB"/>
    <w:multiLevelType w:val="hybridMultilevel"/>
    <w:lvl w:ilvl="0">
      <w:lvlJc w:val="left"/>
      <w:lvlText w:val="(%1)"/>
      <w:numFmt w:val="decimal"/>
      <w:start w:val="6"/>
    </w:lvl>
  </w:abstractNum>
  <w:abstractNum w:abstractNumId="9">
    <w:nsid w:val="79838CB2"/>
    <w:multiLevelType w:val="hybridMultilevel"/>
    <w:lvl w:ilvl="0">
      <w:lvlJc w:val="left"/>
      <w:lvlText w:val="(%1)"/>
      <w:numFmt w:val="decimal"/>
      <w:start w:val="7"/>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8"/>
    </w:lvl>
  </w:abstractNum>
  <w:abstractNum w:abstractNumId="13">
    <w:nsid w:val="54E49EB4"/>
    <w:multiLevelType w:val="hybridMultilevel"/>
    <w:lvl w:ilvl="0">
      <w:lvlJc w:val="left"/>
      <w:lvlText w:val="(%1)"/>
      <w:numFmt w:val="decimal"/>
      <w:start w:val="9"/>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2"/>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lvl w:ilvl="1">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lowerRoman"/>
      <w:start w:val="3"/>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2019-12-06T08:35:08Z</dcterms:created>
  <dcterms:modified xsi:type="dcterms:W3CDTF">2019-12-06T08:35:08Z</dcterms:modified>
</cp:coreProperties>
</file>