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6" w:space="1" w:color="000000"/>
        </w:pBdr>
        <w:bidi w:val="0"/>
        <w:jc w:val="center"/>
        <w:rPr>
          <w:rFonts w:ascii="Times New Roman" w:hAnsi="Times New Roman"/>
          <w:b/>
          <w:color w:val="000000"/>
          <w:sz w:val="36"/>
        </w:rPr>
      </w:pPr>
      <w:bookmarkStart w:id="0" w:name="amrn-20260513.htm"/>
      <w:bookmarkStart w:id="1" w:name="ksamrn20260513"/>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May 13, 2026</w:t>
      </w:r>
    </w:p>
    <w:p>
      <w:pPr>
        <w:pStyle w:val="TextBody"/>
        <w:bidi w:val="0"/>
        <w:spacing w:before="120" w:after="283"/>
        <w:jc w:val="center"/>
        <w:rPr>
          <w:rFonts w:ascii="Times New Roman" w:hAnsi="Times New Roman"/>
          <w:sz w:val="20"/>
        </w:rPr>
      </w:pPr>
      <w:r>
        <w:rPr>
          <w:rFonts w:ascii="Times New Roman" w:hAnsi="Times New Roman"/>
          <w:b/>
          <w:color w:val="000000"/>
          <w:sz w:val="48"/>
        </w:rPr>
        <w:t>Amarin Corporation plc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England and Wales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5226" w:type="dxa"/>
        <w:jc w:val="left"/>
        <w:tblInd w:w="0" w:type="dxa"/>
        <w:tblLayout w:type="fixed"/>
        <w:tblCellMar>
          <w:top w:w="28" w:type="dxa"/>
          <w:left w:w="28" w:type="dxa"/>
          <w:bottom w:w="28" w:type="dxa"/>
          <w:right w:w="28" w:type="dxa"/>
        </w:tblCellMar>
      </w:tblPr>
      <w:tblGrid>
        <w:gridCol w:w="3736"/>
        <w:gridCol w:w="109"/>
        <w:gridCol w:w="1381"/>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8th Floor, One Central Plaza, Dame Street,</w:t>
            </w:r>
          </w:p>
          <w:p>
            <w:pPr>
              <w:pStyle w:val="TableContents"/>
              <w:bidi w:val="0"/>
              <w:spacing w:before="0" w:after="20"/>
              <w:jc w:val="center"/>
              <w:rPr>
                <w:rFonts w:ascii="Times New Roman" w:hAnsi="Times New Roman"/>
                <w:sz w:val="20"/>
              </w:rPr>
            </w:pPr>
            <w:r>
              <w:rPr>
                <w:rFonts w:ascii="Times New Roman" w:hAnsi="Times New Roman"/>
                <w:b/>
                <w:color w:val="000000"/>
                <w:sz w:val="20"/>
              </w:rPr>
              <w:t>Dublin 2, Co.</w:t>
            </w:r>
            <w:r>
              <w:rPr>
                <w:rFonts w:ascii="Times New Roman" w:hAnsi="Times New Roman"/>
                <w:color w:val="000000"/>
                <w:sz w:val="20"/>
              </w:rPr>
              <w:t xml:space="preserve"> </w:t>
            </w:r>
            <w:r>
              <w:rPr>
                <w:rFonts w:ascii="Times New Roman" w:hAnsi="Times New Roman"/>
                <w:b/>
                <w:color w:val="000000"/>
                <w:sz w:val="20"/>
              </w:rPr>
              <w:t>Dublin, D02 K7K5, Ireland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+ 353</w:t>
      </w:r>
      <w:r>
        <w:rPr>
          <w:rFonts w:ascii="Times New Roman" w:hAnsi="Times New Roman"/>
          <w:color w:val="000000"/>
          <w:sz w:val="20"/>
        </w:rPr>
        <w:t xml:space="preserve"> </w:t>
      </w: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6699 020</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6" w:space="1" w:color="000000"/>
        </w:pBdr>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7505"/>
        <w:gridCol w:w="109"/>
        <w:gridCol w:w="736"/>
        <w:gridCol w:w="109"/>
        <w:gridCol w:w="1746"/>
      </w:tblGrid>
      <w:tr>
        <w:trPr/>
        <w:tc>
          <w:tcPr>
            <w:tcW w:w="7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Trading</w:t>
              <w:br/>
              <w:t>Symbol</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Name of each exchange</w:t>
              <w:br/>
              <w:t>on which registered</w:t>
            </w:r>
          </w:p>
        </w:tc>
      </w:tr>
      <w:tr>
        <w:trPr/>
        <w:tc>
          <w:tcPr>
            <w:tcW w:w="75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American Depositary Shares (ADS(s)), each ADS representing the right to receive twenty (20) Ordinary Shares of Amarin Corporation pl</w:t>
            </w:r>
            <w:r>
              <w:rPr>
                <w:rFonts w:ascii="Times New Roman" w:hAnsi="Times New Roman"/>
                <w:color w:val="000000"/>
                <w:sz w:val="20"/>
              </w:rPr>
              <w:t>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AMRN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Stock Market LLC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120" w:after="283"/>
        <w:jc w:val="left"/>
        <w:rPr>
          <w:rFonts w:ascii="Times New Roman" w:hAnsi="Times New Roman"/>
          <w:sz w:val="20"/>
        </w:rPr>
      </w:pPr>
      <w:r>
        <w:rPr>
          <w:rFonts w:ascii="Times New Roman" w:hAnsi="Times New Roman"/>
          <w:color w:val="000000"/>
          <w:sz w:val="20"/>
        </w:rPr>
        <w:t>On May 13, 2026, Amarin Corporation plc (the “</w:t>
      </w:r>
      <w:r>
        <w:rPr>
          <w:rFonts w:ascii="Times New Roman" w:hAnsi="Times New Roman"/>
          <w:b/>
          <w:i/>
          <w:color w:val="000000"/>
          <w:sz w:val="20"/>
        </w:rPr>
        <w:t>Company</w:t>
      </w:r>
      <w:r>
        <w:rPr>
          <w:rFonts w:ascii="Times New Roman" w:hAnsi="Times New Roman"/>
          <w:color w:val="000000"/>
          <w:sz w:val="20"/>
        </w:rPr>
        <w:t>”) held its Annual General Meeting of Shareholders (the “</w:t>
      </w:r>
      <w:r>
        <w:rPr>
          <w:rFonts w:ascii="Times New Roman" w:hAnsi="Times New Roman"/>
          <w:b/>
          <w:i/>
          <w:color w:val="000000"/>
          <w:sz w:val="20"/>
        </w:rPr>
        <w:t>Annual Meeting</w:t>
      </w:r>
      <w:r>
        <w:rPr>
          <w:rFonts w:ascii="Times New Roman" w:hAnsi="Times New Roman"/>
          <w:color w:val="000000"/>
          <w:sz w:val="20"/>
        </w:rPr>
        <w:t>”). On the last day of voting for holders of the Company’s American Depositary Receipts (“</w:t>
      </w:r>
      <w:r>
        <w:rPr>
          <w:rFonts w:ascii="Times New Roman" w:hAnsi="Times New Roman"/>
          <w:b/>
          <w:i/>
          <w:color w:val="000000"/>
          <w:sz w:val="20"/>
        </w:rPr>
        <w:t>ADRs</w:t>
      </w:r>
      <w:r>
        <w:rPr>
          <w:rFonts w:ascii="Times New Roman" w:hAnsi="Times New Roman"/>
          <w:color w:val="000000"/>
          <w:sz w:val="20"/>
        </w:rPr>
        <w:t>”) evidencing American Depositary Shares (“</w:t>
      </w:r>
      <w:r>
        <w:rPr>
          <w:rFonts w:ascii="Times New Roman" w:hAnsi="Times New Roman"/>
          <w:b/>
          <w:i/>
          <w:color w:val="000000"/>
          <w:sz w:val="20"/>
        </w:rPr>
        <w:t>ADSs</w:t>
      </w:r>
      <w:r>
        <w:rPr>
          <w:rFonts w:ascii="Times New Roman" w:hAnsi="Times New Roman"/>
          <w:color w:val="000000"/>
          <w:sz w:val="20"/>
        </w:rPr>
        <w:t>”), a block of votes was cast against approval of:</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reelection of Patrice Bonfiglio, Keith Horn, Odysseas Kostas, Louis Sterling, III and Diane Sullivan (the “</w:t>
      </w:r>
      <w:r>
        <w:rPr>
          <w:rFonts w:ascii="Times New Roman" w:hAnsi="Times New Roman"/>
          <w:b/>
          <w:i/>
          <w:color w:val="000000"/>
          <w:sz w:val="20"/>
        </w:rPr>
        <w:t>Select Reelection Proposals</w:t>
      </w:r>
      <w:r>
        <w:rPr>
          <w:color w:val="000000"/>
        </w:rPr>
        <w: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approval, on a non-binding, advisory basis, of the compensation of the Company’s “named executive officers” for the fiscal year ended December 31, 2025 (the “</w:t>
      </w:r>
      <w:r>
        <w:rPr>
          <w:rFonts w:ascii="Times New Roman" w:hAnsi="Times New Roman"/>
          <w:b/>
          <w:i/>
          <w:color w:val="000000"/>
          <w:sz w:val="20"/>
        </w:rPr>
        <w:t>Say-on-Pay Proposal</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renewal of the general and unconditional authorization the Board of Directors of the Company (the “</w:t>
      </w:r>
      <w:r>
        <w:rPr>
          <w:rFonts w:ascii="Times New Roman" w:hAnsi="Times New Roman"/>
          <w:b/>
          <w:i/>
          <w:color w:val="000000"/>
          <w:sz w:val="20"/>
        </w:rPr>
        <w:t>Board</w:t>
      </w:r>
      <w:r>
        <w:rPr>
          <w:color w:val="000000"/>
        </w:rPr>
        <w:t>”</w:t>
      </w:r>
      <w:r>
        <w:rPr>
          <w:rFonts w:ascii="Times New Roman" w:hAnsi="Times New Roman"/>
          <w:color w:val="000000"/>
          <w:sz w:val="20"/>
        </w:rPr>
        <w:t>) to issue shares in the Company or grant rights to subscribe for or to convert any security into shares of the Company up to an aggregate nominal amount of £37,750,000 (the “</w:t>
      </w:r>
      <w:r>
        <w:rPr>
          <w:rFonts w:ascii="Times New Roman" w:hAnsi="Times New Roman"/>
          <w:b/>
          <w:i/>
          <w:color w:val="000000"/>
          <w:sz w:val="20"/>
        </w:rPr>
        <w:t>Issuance Proposal</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adoption of the Amended and Restated 2020 Stock Incentive Plan (the “</w:t>
      </w:r>
      <w:r>
        <w:rPr>
          <w:rFonts w:ascii="Times New Roman" w:hAnsi="Times New Roman"/>
          <w:b/>
          <w:i/>
          <w:color w:val="000000"/>
          <w:sz w:val="20"/>
        </w:rPr>
        <w:t>2020</w:t>
      </w:r>
      <w:r>
        <w:rPr>
          <w:color w:val="000000"/>
        </w:rPr>
        <w:t xml:space="preserve"> </w:t>
      </w:r>
      <w:r>
        <w:rPr>
          <w:rFonts w:ascii="Times New Roman" w:hAnsi="Times New Roman"/>
          <w:b/>
          <w:i/>
          <w:color w:val="000000"/>
          <w:sz w:val="20"/>
        </w:rPr>
        <w:t>Plan Proposal</w:t>
      </w:r>
      <w:r>
        <w:rPr>
          <w:color w:val="000000"/>
        </w:rPr>
        <w:t>”</w:t>
      </w:r>
      <w:r>
        <w:rPr>
          <w:rFonts w:ascii="Times New Roman" w:hAnsi="Times New Roman"/>
          <w:color w:val="000000"/>
          <w:sz w:val="20"/>
        </w:rPr>
        <w:t>) to increase the number of shares available for issuance under the 2020 Stock Incentive Plan by 15,000,000 ordinary shares (“</w:t>
      </w:r>
      <w:r>
        <w:rPr>
          <w:rFonts w:ascii="Times New Roman" w:hAnsi="Times New Roman"/>
          <w:b/>
          <w:i/>
          <w:color w:val="000000"/>
          <w:sz w:val="20"/>
        </w:rPr>
        <w:t>Ordinary Shares</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Board’s power to issue shares without such issuances being subject to UK statutory pre-emption rights up to an aggregate nominal amount of £20,970,000 (the “</w:t>
      </w:r>
      <w:r>
        <w:rPr>
          <w:rFonts w:ascii="Times New Roman" w:hAnsi="Times New Roman"/>
          <w:b/>
          <w:i/>
          <w:color w:val="000000"/>
          <w:sz w:val="20"/>
        </w:rPr>
        <w:t>Pre-emption Proposal</w:t>
      </w:r>
      <w:r>
        <w:rPr>
          <w:color w:val="000000"/>
        </w:rPr>
        <w:t>”</w:t>
      </w:r>
      <w:r>
        <w:rPr>
          <w:rFonts w:ascii="Times New Roman" w:hAnsi="Times New Roman"/>
          <w:color w:val="000000"/>
          <w:sz w:val="20"/>
        </w:rPr>
        <w:t xml:space="preserve">);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adoption of the Amended and Restated Articles of Association of the Company to permit the Company to send electronic, rather than paper, notice to shareholders of subsequent Annual General Meetings by making the Proxy Statement and other communications available to shareholders on a website (the “</w:t>
      </w:r>
      <w:r>
        <w:rPr>
          <w:rFonts w:ascii="Times New Roman" w:hAnsi="Times New Roman"/>
          <w:b/>
          <w:i/>
          <w:color w:val="000000"/>
          <w:sz w:val="20"/>
        </w:rPr>
        <w:t>Amended and Restated Articles Proposal</w:t>
      </w:r>
      <w:r>
        <w:rPr>
          <w:color w:val="00000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the Issuance Proposal, the 2020 Plan Proposal, the Pre-emption Proposal and the Amended and Restated Articles Proposal were not passed, while the Select Reelection Proposals and the Say-on-Pay Proposal passed with a reduced rate of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failure of the Issuance Proposal, the 2020 Plan Proposal, the Pre-emption Proposal and the Amended and Restated Articles Proposal, the Board’s ability to provide incentive equity grants to Amarin employees and the executive team is highly limited. Because of this, the Board expects most, if not all, future annual incentive compensation to be cash, in lieu of equity, to compensate the Company’s employees and the non-employee members of the Board. The need for such “cash-only” compensation arrangements impact the Company’s total cash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due to the failure of the Amended and Restated Articles Proposal, the Board expects the Company to continue to incur needless printing and mailing costs associated with paper, rather than electronic, delivery of proxy materials to shareholders, including the proxy statement and the annual report.</w:t>
      </w:r>
    </w:p>
    <w:p>
      <w:pPr>
        <w:pStyle w:val="TextBody"/>
        <w:bidi w:val="0"/>
        <w:spacing w:before="120" w:after="283"/>
        <w:jc w:val="left"/>
        <w:rPr>
          <w:rFonts w:ascii="Times New Roman" w:hAnsi="Times New Roman"/>
          <w:sz w:val="20"/>
        </w:rPr>
      </w:pPr>
      <w:r>
        <w:rPr>
          <w:rFonts w:ascii="Times New Roman" w:hAnsi="Times New Roman"/>
          <w:color w:val="000000"/>
          <w:sz w:val="20"/>
        </w:rPr>
        <w:t>There were approximately 419,458,656 Ordinary Shares entitled to vote at the Annual Meeting based on the March 31, 2026 record date (the “</w:t>
      </w:r>
      <w:r>
        <w:rPr>
          <w:rFonts w:ascii="Times New Roman" w:hAnsi="Times New Roman"/>
          <w:b/>
          <w:i/>
          <w:color w:val="000000"/>
          <w:sz w:val="20"/>
        </w:rPr>
        <w:t>Record Date</w:t>
      </w:r>
      <w:r>
        <w:rPr>
          <w:rFonts w:ascii="Times New Roman" w:hAnsi="Times New Roman"/>
          <w:color w:val="000000"/>
          <w:sz w:val="20"/>
        </w:rPr>
        <w:t>”), of which approximately 410,666,987 were held in the name of JPMorgan Chase Bank, N.A., which issues Company-sponsored ADRs evidencing ADSs. As of the Record Date, each ADS represented twenty Ordinary Shares. Of the Ordinary Shares entitled to vote, 295,122,317 Ordinary Shares, or approximately 70%, were present and voting in person or by proxy at the Annual Meeting. In accordance with the Company’s Articles of Association, the presence, in person or by proxy, of a quorum for the transaction of business at the Annual Meeting was constituted by at least two shareholders who held shares as of the Record Date.</w:t>
      </w:r>
    </w:p>
    <w:p>
      <w:pPr>
        <w:pStyle w:val="TextBody"/>
        <w:bidi w:val="0"/>
        <w:spacing w:before="120" w:after="283"/>
        <w:jc w:val="both"/>
        <w:rPr>
          <w:rFonts w:ascii="Times New Roman" w:hAnsi="Times New Roman"/>
          <w:sz w:val="20"/>
        </w:rPr>
      </w:pPr>
      <w:r>
        <w:rPr>
          <w:rFonts w:ascii="Times New Roman" w:hAnsi="Times New Roman"/>
          <w:color w:val="000000"/>
          <w:sz w:val="20"/>
        </w:rPr>
        <w:t>The matters set forth below were voted on at the Annual Meeting. Detailed descriptions of these matters and voting procedures applicable to these matters at the Annual Meeting are contained in the Company’s definitive proxy statement for the Annual Meeting filed with the Securities and Exchange Commission on April 10, 2026 (the “</w:t>
      </w:r>
      <w:r>
        <w:rPr>
          <w:rFonts w:ascii="Times New Roman" w:hAnsi="Times New Roman"/>
          <w:b/>
          <w:i/>
          <w:color w:val="000000"/>
          <w:sz w:val="20"/>
        </w:rPr>
        <w:t>Proxy Statement</w:t>
      </w:r>
      <w:r>
        <w:rPr>
          <w:rFonts w:ascii="Times New Roman" w:hAnsi="Times New Roman"/>
          <w:color w:val="000000"/>
          <w:sz w:val="20"/>
        </w:rPr>
        <w:t>”). Set forth below are the voting results for each matter.</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(1) An ordinary resolution to re-elect Mr. Aaron Berg as a director:</w:t>
      </w:r>
    </w:p>
    <w:tbl>
      <w:tblPr>
        <w:tblW w:w="4816" w:type="dxa"/>
        <w:jc w:val="left"/>
        <w:tblInd w:w="0" w:type="dxa"/>
        <w:tblLayout w:type="fixed"/>
        <w:tblCellMar>
          <w:top w:w="28" w:type="dxa"/>
          <w:left w:w="28" w:type="dxa"/>
          <w:bottom w:w="28" w:type="dxa"/>
          <w:right w:w="28" w:type="dxa"/>
        </w:tblCellMar>
      </w:tblPr>
      <w:tblGrid>
        <w:gridCol w:w="1156"/>
        <w:gridCol w:w="109"/>
        <w:gridCol w:w="1111"/>
        <w:gridCol w:w="109"/>
        <w:gridCol w:w="1036"/>
        <w:gridCol w:w="109"/>
        <w:gridCol w:w="1186"/>
      </w:tblGrid>
      <w:tr>
        <w:trPr/>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121,457,877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39,657,600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24,400,120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(2) An ordinary resolution to re-elect Ms. Patrice Bonfiglio as a director:</w:t>
      </w:r>
    </w:p>
    <w:tbl>
      <w:tblPr>
        <w:tblW w:w="4711" w:type="dxa"/>
        <w:jc w:val="left"/>
        <w:tblInd w:w="0" w:type="dxa"/>
        <w:tblLayout w:type="fixed"/>
        <w:tblCellMar>
          <w:top w:w="28" w:type="dxa"/>
          <w:left w:w="28" w:type="dxa"/>
          <w:bottom w:w="28" w:type="dxa"/>
          <w:right w:w="28" w:type="dxa"/>
        </w:tblCellMar>
      </w:tblPr>
      <w:tblGrid>
        <w:gridCol w:w="1051"/>
        <w:gridCol w:w="109"/>
        <w:gridCol w:w="1111"/>
        <w:gridCol w:w="109"/>
        <w:gridCol w:w="1036"/>
        <w:gridCol w:w="109"/>
        <w:gridCol w:w="118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95,135,717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65,136,340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25,243,540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(3) An ordinary resolution to re-elect Mr. Keith L. Horn as a director:</w:t>
      </w:r>
    </w:p>
    <w:tbl>
      <w:tblPr>
        <w:tblW w:w="4711" w:type="dxa"/>
        <w:jc w:val="left"/>
        <w:tblInd w:w="0" w:type="dxa"/>
        <w:tblLayout w:type="fixed"/>
        <w:tblCellMar>
          <w:top w:w="28" w:type="dxa"/>
          <w:left w:w="28" w:type="dxa"/>
          <w:bottom w:w="28" w:type="dxa"/>
          <w:right w:w="28" w:type="dxa"/>
        </w:tblCellMar>
      </w:tblPr>
      <w:tblGrid>
        <w:gridCol w:w="1051"/>
        <w:gridCol w:w="109"/>
        <w:gridCol w:w="1111"/>
        <w:gridCol w:w="109"/>
        <w:gridCol w:w="1036"/>
        <w:gridCol w:w="109"/>
        <w:gridCol w:w="118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95,924,957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64,010,400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25,580,240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(4) An ordinary resolution to re-elect Mr. Odysseas Kostas, M.D. as a director:</w:t>
      </w:r>
    </w:p>
    <w:tbl>
      <w:tblPr>
        <w:tblW w:w="4816" w:type="dxa"/>
        <w:jc w:val="left"/>
        <w:tblInd w:w="0" w:type="dxa"/>
        <w:tblLayout w:type="fixed"/>
        <w:tblCellMar>
          <w:top w:w="28" w:type="dxa"/>
          <w:left w:w="28" w:type="dxa"/>
          <w:bottom w:w="28" w:type="dxa"/>
          <w:right w:w="28" w:type="dxa"/>
        </w:tblCellMar>
      </w:tblPr>
      <w:tblGrid>
        <w:gridCol w:w="1156"/>
        <w:gridCol w:w="109"/>
        <w:gridCol w:w="1111"/>
        <w:gridCol w:w="109"/>
        <w:gridCol w:w="1036"/>
        <w:gridCol w:w="109"/>
        <w:gridCol w:w="1186"/>
      </w:tblGrid>
      <w:tr>
        <w:trPr/>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100,423,797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59,741,280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25,350,520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(5) An ordinary resolution to re-elect Mr. Louis Sterling III as a director:</w:t>
      </w:r>
    </w:p>
    <w:tbl>
      <w:tblPr>
        <w:tblW w:w="4711" w:type="dxa"/>
        <w:jc w:val="left"/>
        <w:tblInd w:w="0" w:type="dxa"/>
        <w:tblLayout w:type="fixed"/>
        <w:tblCellMar>
          <w:top w:w="28" w:type="dxa"/>
          <w:left w:w="28" w:type="dxa"/>
          <w:bottom w:w="28" w:type="dxa"/>
          <w:right w:w="28" w:type="dxa"/>
        </w:tblCellMar>
      </w:tblPr>
      <w:tblGrid>
        <w:gridCol w:w="1051"/>
        <w:gridCol w:w="109"/>
        <w:gridCol w:w="1111"/>
        <w:gridCol w:w="109"/>
        <w:gridCol w:w="1036"/>
        <w:gridCol w:w="109"/>
        <w:gridCol w:w="118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94,836,297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64,851,040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25,828,260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(6) An ordinary resolution to re-elect Ms. Diane E. Sullivan as a director:</w:t>
      </w:r>
    </w:p>
    <w:tbl>
      <w:tblPr>
        <w:tblW w:w="4711" w:type="dxa"/>
        <w:jc w:val="left"/>
        <w:tblInd w:w="0" w:type="dxa"/>
        <w:tblLayout w:type="fixed"/>
        <w:tblCellMar>
          <w:top w:w="28" w:type="dxa"/>
          <w:left w:w="28" w:type="dxa"/>
          <w:bottom w:w="28" w:type="dxa"/>
          <w:right w:w="28" w:type="dxa"/>
        </w:tblCellMar>
      </w:tblPr>
      <w:tblGrid>
        <w:gridCol w:w="1051"/>
        <w:gridCol w:w="109"/>
        <w:gridCol w:w="1111"/>
        <w:gridCol w:w="109"/>
        <w:gridCol w:w="1036"/>
        <w:gridCol w:w="109"/>
        <w:gridCol w:w="118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96,043,937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64,051,780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25,419,880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(7) An ordinary resolution to re-elect Mr. Michael Torok as a director:</w:t>
      </w:r>
    </w:p>
    <w:tbl>
      <w:tblPr>
        <w:tblW w:w="4853" w:type="dxa"/>
        <w:jc w:val="left"/>
        <w:tblInd w:w="0" w:type="dxa"/>
        <w:tblLayout w:type="fixed"/>
        <w:tblCellMar>
          <w:top w:w="28" w:type="dxa"/>
          <w:left w:w="28" w:type="dxa"/>
          <w:bottom w:w="28" w:type="dxa"/>
          <w:right w:w="28" w:type="dxa"/>
        </w:tblCellMar>
      </w:tblPr>
      <w:tblGrid>
        <w:gridCol w:w="1156"/>
        <w:gridCol w:w="109"/>
        <w:gridCol w:w="1111"/>
        <w:gridCol w:w="146"/>
        <w:gridCol w:w="1036"/>
        <w:gridCol w:w="109"/>
        <w:gridCol w:w="1186"/>
      </w:tblGrid>
      <w:tr>
        <w:trPr/>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129,344,417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43,014,260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13,156,920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(8) A non-binding advisory vote to approve the compensation of the Company’s named executive officers:</w:t>
      </w:r>
    </w:p>
    <w:tbl>
      <w:tblPr>
        <w:tblW w:w="4748" w:type="dxa"/>
        <w:jc w:val="left"/>
        <w:tblInd w:w="0" w:type="dxa"/>
        <w:tblLayout w:type="fixed"/>
        <w:tblCellMar>
          <w:top w:w="28" w:type="dxa"/>
          <w:left w:w="28" w:type="dxa"/>
          <w:bottom w:w="28" w:type="dxa"/>
          <w:right w:w="28" w:type="dxa"/>
        </w:tblCellMar>
      </w:tblPr>
      <w:tblGrid>
        <w:gridCol w:w="1051"/>
        <w:gridCol w:w="109"/>
        <w:gridCol w:w="1111"/>
        <w:gridCol w:w="146"/>
        <w:gridCol w:w="1036"/>
        <w:gridCol w:w="109"/>
        <w:gridCol w:w="118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87,198,317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80,807,440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17,509,840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(9) An ordinary resolution to appoint Ernst &amp; Young LLP as the Company’s U.S. independent registered public accounting firm for the fiscal year ending December 31, 2026, and to hold office from the conclusion of this meeting until the conclusion of the next meeting at which the annual accounts are laid before the Company and to authorize the Audit Committee to agree the remuneration of the auditors:</w:t>
      </w:r>
    </w:p>
    <w:tbl>
      <w:tblPr>
        <w:tblW w:w="4696" w:type="dxa"/>
        <w:jc w:val="left"/>
        <w:tblInd w:w="0" w:type="dxa"/>
        <w:tblLayout w:type="fixed"/>
        <w:tblCellMar>
          <w:top w:w="28" w:type="dxa"/>
          <w:left w:w="28" w:type="dxa"/>
          <w:bottom w:w="28" w:type="dxa"/>
          <w:right w:w="28" w:type="dxa"/>
        </w:tblCellMar>
      </w:tblPr>
      <w:tblGrid>
        <w:gridCol w:w="1156"/>
        <w:gridCol w:w="109"/>
        <w:gridCol w:w="1111"/>
        <w:gridCol w:w="109"/>
        <w:gridCol w:w="1036"/>
        <w:gridCol w:w="109"/>
        <w:gridCol w:w="1066"/>
      </w:tblGrid>
      <w:tr>
        <w:trPr/>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250,940,057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24,743,200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19,439,060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(10) An ordinary resolution to generally and unconditionally authorize the Board to issue shares in the Company or grant rights to subscribe for or to convert any security into shares of the Company up to an aggregate nominal amount of £37,750,000 (which is equal to approximately 18% of the existing issued share capital):</w:t>
      </w:r>
    </w:p>
    <w:tbl>
      <w:tblPr>
        <w:tblW w:w="4711" w:type="dxa"/>
        <w:jc w:val="left"/>
        <w:tblInd w:w="0" w:type="dxa"/>
        <w:tblLayout w:type="fixed"/>
        <w:tblCellMar>
          <w:top w:w="28" w:type="dxa"/>
          <w:left w:w="28" w:type="dxa"/>
          <w:bottom w:w="28" w:type="dxa"/>
          <w:right w:w="28" w:type="dxa"/>
        </w:tblCellMar>
      </w:tblPr>
      <w:tblGrid>
        <w:gridCol w:w="1051"/>
        <w:gridCol w:w="109"/>
        <w:gridCol w:w="1111"/>
        <w:gridCol w:w="109"/>
        <w:gridCol w:w="1036"/>
        <w:gridCol w:w="109"/>
        <w:gridCol w:w="118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75,117,357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95,824,840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14,573,400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(11) An ordinary resolution to amend and restate the Company’s 2020 Stock Incentive Plan to increase the share reserve thereunder by 15,000,000 Ordinary Shares and to increase the number of Ordinary Shares that may be issued in the form of incentive stock options:</w:t>
      </w:r>
    </w:p>
    <w:tbl>
      <w:tblPr>
        <w:tblW w:w="4711" w:type="dxa"/>
        <w:jc w:val="left"/>
        <w:tblInd w:w="0" w:type="dxa"/>
        <w:tblLayout w:type="fixed"/>
        <w:tblCellMar>
          <w:top w:w="28" w:type="dxa"/>
          <w:left w:w="28" w:type="dxa"/>
          <w:bottom w:w="28" w:type="dxa"/>
          <w:right w:w="28" w:type="dxa"/>
        </w:tblCellMar>
      </w:tblPr>
      <w:tblGrid>
        <w:gridCol w:w="1051"/>
        <w:gridCol w:w="109"/>
        <w:gridCol w:w="1111"/>
        <w:gridCol w:w="109"/>
        <w:gridCol w:w="1036"/>
        <w:gridCol w:w="109"/>
        <w:gridCol w:w="118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71,294,077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95,245,880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18,975,640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(12) A special resolution to give power to the Board to issue shares without such issuances being subject to UK statutory pre-emption rights up to an aggregate nominal amount of £20,970,000 (which is equal to approximately 10% of the existing issued share capital):</w:t>
      </w:r>
    </w:p>
    <w:tbl>
      <w:tblPr>
        <w:tblW w:w="4711" w:type="dxa"/>
        <w:jc w:val="left"/>
        <w:tblInd w:w="0" w:type="dxa"/>
        <w:tblLayout w:type="fixed"/>
        <w:tblCellMar>
          <w:top w:w="28" w:type="dxa"/>
          <w:left w:w="28" w:type="dxa"/>
          <w:bottom w:w="28" w:type="dxa"/>
          <w:right w:w="28" w:type="dxa"/>
        </w:tblCellMar>
      </w:tblPr>
      <w:tblGrid>
        <w:gridCol w:w="1051"/>
        <w:gridCol w:w="109"/>
        <w:gridCol w:w="1111"/>
        <w:gridCol w:w="109"/>
        <w:gridCol w:w="1036"/>
        <w:gridCol w:w="109"/>
        <w:gridCol w:w="118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71,326,837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99,696,160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14,492,600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(13) A special resolution to permit the Company to send electronic, rather than paper, notice to shareholders of subsequent Annual General Meetings by making the Proxy Statement and other communications available to shareholders on a website:</w:t>
      </w:r>
    </w:p>
    <w:tbl>
      <w:tblPr>
        <w:tblW w:w="4816" w:type="dxa"/>
        <w:jc w:val="left"/>
        <w:tblInd w:w="0" w:type="dxa"/>
        <w:tblLayout w:type="fixed"/>
        <w:tblCellMar>
          <w:top w:w="28" w:type="dxa"/>
          <w:left w:w="28" w:type="dxa"/>
          <w:bottom w:w="28" w:type="dxa"/>
          <w:right w:w="28" w:type="dxa"/>
        </w:tblCellMar>
      </w:tblPr>
      <w:tblGrid>
        <w:gridCol w:w="1156"/>
        <w:gridCol w:w="109"/>
        <w:gridCol w:w="1111"/>
        <w:gridCol w:w="109"/>
        <w:gridCol w:w="1036"/>
        <w:gridCol w:w="109"/>
        <w:gridCol w:w="1186"/>
      </w:tblGrid>
      <w:tr>
        <w:trPr/>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Abstentions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Broker Non-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101,512,997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66,339,060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17,663,540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109,606,720</w:t>
            </w:r>
          </w:p>
        </w:tc>
      </w:tr>
    </w:tbl>
    <w:p>
      <w:pPr>
        <w:pStyle w:val="TextBody"/>
        <w:pBdr>
          <w:bottom w:val="single" w:sz="6" w:space="1" w:color="000000"/>
        </w:pBdr>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 *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831" w:type="dxa"/>
        <w:jc w:val="left"/>
        <w:tblInd w:w="0" w:type="dxa"/>
        <w:tblLayout w:type="fixed"/>
        <w:tblCellMar>
          <w:top w:w="28" w:type="dxa"/>
          <w:left w:w="28" w:type="dxa"/>
          <w:bottom w:w="28" w:type="dxa"/>
          <w:right w:w="28" w:type="dxa"/>
        </w:tblCellMar>
      </w:tblPr>
      <w:tblGrid>
        <w:gridCol w:w="1741"/>
        <w:gridCol w:w="109"/>
        <w:gridCol w:w="146"/>
        <w:gridCol w:w="109"/>
        <w:gridCol w:w="406"/>
        <w:gridCol w:w="109"/>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Amarin Corporation plc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3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Aaron Berg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Aaron Berg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1514</Words>
  <Characters>8406</Characters>
  <CharactersWithSpaces>9751</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