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w w:val="91"/>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England and Wales</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794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right="1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5"/>
              </w:rPr>
              <w:t>Incorporation or Organization)</w:t>
            </w:r>
          </w:p>
        </w:tc>
        <w:tc>
          <w:tcPr>
            <w:tcW w:w="3000" w:type="dxa"/>
            <w:vAlign w:val="bottom"/>
          </w:tcPr>
          <w:p>
            <w:pPr>
              <w:jc w:val="center"/>
              <w:ind w:right="1561"/>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right="1541"/>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7940" w:type="dxa"/>
            <w:vAlign w:val="bottom"/>
            <w:gridSpan w:val="3"/>
          </w:tcPr>
          <w:p>
            <w:pPr>
              <w:ind w:left="3500"/>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c>
          <w:tcPr>
            <w:tcW w:w="3000" w:type="dxa"/>
            <w:vAlign w:val="bottom"/>
          </w:tcPr>
          <w:p>
            <w:pPr>
              <w:spacing w:after="0"/>
              <w:rPr>
                <w:sz w:val="23"/>
                <w:szCs w:val="23"/>
                <w:color w:val="auto"/>
              </w:rPr>
            </w:pPr>
          </w:p>
        </w:tc>
      </w:tr>
      <w:tr>
        <w:trPr>
          <w:trHeight w:val="134"/>
        </w:trPr>
        <w:tc>
          <w:tcPr>
            <w:tcW w:w="458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330"/>
        </w:trPr>
        <w:tc>
          <w:tcPr>
            <w:tcW w:w="109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r>
      <w:tr>
        <w:trPr>
          <w:trHeight w:val="183"/>
        </w:trPr>
        <w:tc>
          <w:tcPr>
            <w:tcW w:w="10940" w:type="dxa"/>
            <w:vAlign w:val="bottom"/>
            <w:gridSpan w:val="4"/>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r>
      <w:tr>
        <w:trPr>
          <w:trHeight w:val="283"/>
        </w:trPr>
        <w:tc>
          <w:tcPr>
            <w:tcW w:w="79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bl>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0" w:type="dxa"/>
            <w:vAlign w:val="bottom"/>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18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jc w:val="both"/>
        <w:ind w:right="160"/>
        <w:spacing w:after="0" w:line="312" w:lineRule="auto"/>
        <w:rPr>
          <w:sz w:val="20"/>
          <w:szCs w:val="20"/>
          <w:color w:val="auto"/>
        </w:rPr>
      </w:pPr>
      <w:r>
        <w:rPr>
          <w:rFonts w:ascii="Arial" w:cs="Arial" w:eastAsia="Arial" w:hAnsi="Arial"/>
          <w:sz w:val="16"/>
          <w:szCs w:val="16"/>
          <w:color w:val="auto"/>
        </w:rPr>
        <w:t>272,291,602 shares were outstanding as of May 1, 2017, including 269,557,267 shares held as American Depositary Shares (ADSs), each representing one Ordinary Share, 50 pence par value per share and 2,734,335 Ordinary Shares. In addition, 32,818,464 ordinary share equivalents were issuable in exchange for outstanding preferred shares as of May 1, 2017, for a total of 305,110,066 ordinary shares and ordinary share equivalents outstanding as of May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300" w:type="dxa"/>
            <w:vAlign w:val="bottom"/>
            <w:gridSpan w:val="6"/>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8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2017 and December 31, 2016</w:t>
              </w:r>
            </w:hyperlink>
          </w:p>
        </w:tc>
        <w:tc>
          <w:tcPr>
            <w:tcW w:w="2740" w:type="dxa"/>
            <w:vAlign w:val="bottom"/>
            <w:gridSpan w:val="5"/>
          </w:tcPr>
          <w:p>
            <w:pPr>
              <w:spacing w:after="0"/>
              <w:rPr>
                <w:sz w:val="16"/>
                <w:szCs w:val="16"/>
                <w:color w:val="auto"/>
              </w:rPr>
            </w:pPr>
          </w:p>
        </w:tc>
        <w:tc>
          <w:tcPr>
            <w:tcW w:w="10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2017 and 2016</w:t>
              </w:r>
            </w:hyperlink>
          </w:p>
        </w:tc>
        <w:tc>
          <w:tcPr>
            <w:tcW w:w="1480" w:type="dxa"/>
            <w:vAlign w:val="bottom"/>
            <w:gridSpan w:val="3"/>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Deficit for the three months ended March 31, 2017</w:t>
              </w:r>
            </w:hyperlink>
          </w:p>
        </w:tc>
        <w:tc>
          <w:tcPr>
            <w:tcW w:w="66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2017 and 2016</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7"/>
          </w:tcPr>
          <w:p>
            <w:pPr>
              <w:spacing w:after="0"/>
              <w:rPr>
                <w:sz w:val="17"/>
                <w:szCs w:val="17"/>
                <w:color w:val="auto"/>
              </w:rPr>
            </w:pPr>
          </w:p>
        </w:tc>
        <w:tc>
          <w:tcPr>
            <w:tcW w:w="144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4720" w:type="dxa"/>
            <w:vAlign w:val="bottom"/>
            <w:gridSpan w:val="8"/>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0"/>
          </w:tcPr>
          <w:p>
            <w:pPr>
              <w:jc w:val="center"/>
              <w:ind w:right="3400"/>
              <w:spacing w:after="0"/>
              <w:rPr>
                <w:rFonts w:ascii="Arial" w:cs="Arial" w:eastAsia="Arial" w:hAnsi="Arial"/>
                <w:sz w:val="18"/>
                <w:szCs w:val="18"/>
                <w:b w:val="1"/>
                <w:bCs w:val="1"/>
                <w:color w:val="0000EE"/>
                <w:w w:val="96"/>
              </w:rPr>
            </w:pPr>
            <w:hyperlink w:anchor="page46">
              <w:r>
                <w:rPr>
                  <w:rFonts w:ascii="Arial" w:cs="Arial" w:eastAsia="Arial" w:hAnsi="Arial"/>
                  <w:sz w:val="18"/>
                  <w:szCs w:val="18"/>
                  <w:b w:val="1"/>
                  <w:bCs w:val="1"/>
                  <w:color w:val="0000EE"/>
                  <w:w w:val="96"/>
                </w:rPr>
                <w:t>PART II – Other Information</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400" w:type="dxa"/>
            <w:vAlign w:val="bottom"/>
            <w:gridSpan w:val="7"/>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8120" w:type="dxa"/>
            <w:vAlign w:val="bottom"/>
            <w:gridSpan w:val="1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r>
      <w:tr>
        <w:trPr>
          <w:trHeight w:val="318"/>
        </w:trPr>
        <w:tc>
          <w:tcPr>
            <w:tcW w:w="1360" w:type="dxa"/>
            <w:vAlign w:val="bottom"/>
            <w:gridSpan w:val="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9"/>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assets</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Intangible asset, net</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175,203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15,117</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Current portion of exchangeable senior notes, net of discount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Exchangeable senior notes, net of discount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82,405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long-term</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60"/>
              <w:spacing w:after="0"/>
              <w:rPr>
                <w:sz w:val="20"/>
                <w:szCs w:val="20"/>
                <w:color w:val="auto"/>
              </w:rPr>
            </w:pPr>
            <w:r>
              <w:rPr>
                <w:rFonts w:ascii="Arial" w:cs="Arial" w:eastAsia="Arial" w:hAnsi="Arial"/>
                <w:sz w:val="18"/>
                <w:szCs w:val="18"/>
                <w:color w:val="auto"/>
              </w:rPr>
              <w:t>Commitments and contingencies (Note 6)</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Deficit: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500"/>
              <w:spacing w:after="0"/>
              <w:rPr>
                <w:sz w:val="20"/>
                <w:szCs w:val="20"/>
                <w:color w:val="auto"/>
              </w:rPr>
            </w:pPr>
            <w:r>
              <w:rPr>
                <w:rFonts w:ascii="Arial" w:cs="Arial" w:eastAsia="Arial" w:hAnsi="Arial"/>
                <w:sz w:val="18"/>
                <w:szCs w:val="18"/>
                <w:color w:val="auto"/>
              </w:rPr>
              <w:t>Series A Convertible Preferred Stock, £0.05 par, unlimited authorized;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640"/>
              <w:spacing w:after="0"/>
              <w:rPr>
                <w:sz w:val="20"/>
                <w:szCs w:val="20"/>
                <w:color w:val="auto"/>
              </w:rPr>
            </w:pPr>
            <w:r>
              <w:rPr>
                <w:rFonts w:ascii="Arial" w:cs="Arial" w:eastAsia="Arial" w:hAnsi="Arial"/>
                <w:sz w:val="18"/>
                <w:szCs w:val="18"/>
                <w:color w:val="auto"/>
              </w:rPr>
              <w:t>328,184,640 shares issued and outstanding as of March 31, 2017 and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640"/>
              <w:spacing w:after="0"/>
              <w:rPr>
                <w:sz w:val="20"/>
                <w:szCs w:val="20"/>
                <w:color w:val="auto"/>
              </w:rPr>
            </w:pPr>
            <w:r>
              <w:rPr>
                <w:rFonts w:ascii="Arial" w:cs="Arial" w:eastAsia="Arial" w:hAnsi="Arial"/>
                <w:sz w:val="18"/>
                <w:szCs w:val="18"/>
                <w:color w:val="auto"/>
              </w:rPr>
              <w:t>December 31, 2016 (equivalent to 32,818,464 ordinary shares upon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640"/>
              <w:spacing w:after="0"/>
              <w:rPr>
                <w:sz w:val="20"/>
                <w:szCs w:val="20"/>
                <w:color w:val="auto"/>
              </w:rPr>
            </w:pPr>
            <w:r>
              <w:rPr>
                <w:rFonts w:ascii="Arial" w:cs="Arial" w:eastAsia="Arial" w:hAnsi="Arial"/>
                <w:sz w:val="18"/>
                <w:szCs w:val="18"/>
                <w:color w:val="auto"/>
              </w:rPr>
              <w:t>future consolidation and redesignation at a 10:1 ratio)</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24,364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£0.50 par, unlimited authorized; 272,261,602 issued, 270,695,420</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as of March 31, 2017; 270,183,201 issued, 269,363,696 outstanding</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as of December 31, 2016</w:t>
            </w: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208,465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967,073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964,914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stock; 1,566,182 shares as of March 31, 2017; 819,505 shares as of</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2016</w:t>
            </w: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(3,726)</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(1,224,945)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(1,204,004)</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stockholders’ deficit</w:t>
            </w:r>
          </w:p>
        </w:tc>
        <w:tc>
          <w:tcPr>
            <w:tcW w:w="7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DEFICIT</w:t>
            </w:r>
          </w:p>
        </w:tc>
        <w:tc>
          <w:tcPr>
            <w:tcW w:w="7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2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2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2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25,543</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2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6,896</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18,647</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28,020</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2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13,730</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41,750</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Operating loss</w:t>
            </w:r>
          </w:p>
        </w:tc>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(18,555)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(23,103)</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Loss on change in fair value of derivative liabilities</w:t>
            </w:r>
          </w:p>
        </w:tc>
        <w:tc>
          <w:tcPr>
            <w:tcW w:w="2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(1,250)</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Interest expense, net</w:t>
            </w:r>
          </w:p>
        </w:tc>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(5,586)</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Loss from operations before taxes</w:t>
            </w:r>
          </w:p>
        </w:tc>
        <w:tc>
          <w:tcPr>
            <w:tcW w:w="20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(30,060)</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r>
      <w:tr>
        <w:trPr>
          <w:trHeight w:val="26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6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(20,941)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(29,771)</w:t>
            </w:r>
          </w:p>
        </w:tc>
        <w:tc>
          <w:tcPr>
            <w:tcW w:w="120" w:type="dxa"/>
            <w:vAlign w:val="bottom"/>
            <w:tcBorders>
              <w:bottom w:val="single" w:sz="8" w:color="CFF0FC"/>
            </w:tcBorders>
          </w:tcPr>
          <w:p>
            <w:pPr>
              <w:spacing w:after="0"/>
              <w:rPr>
                <w:sz w:val="22"/>
                <w:szCs w:val="22"/>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2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Basic</w:t>
            </w:r>
          </w:p>
        </w:tc>
        <w:tc>
          <w:tcPr>
            <w:tcW w:w="30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02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(0.08)</w:t>
            </w: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(0.16)</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270,163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184,052</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270,163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184,052</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4"/>
                <w:szCs w:val="14"/>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Preferred</w:t>
            </w:r>
          </w:p>
        </w:tc>
        <w:tc>
          <w:tcPr>
            <w:tcW w:w="8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7"/>
              </w:rPr>
              <w:t>Treasury</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328,184,640</w:t>
            </w: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270,183,201</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(819,505)</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207,166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964,914</w:t>
            </w:r>
          </w:p>
        </w:tc>
        <w:tc>
          <w:tcPr>
            <w:tcW w:w="1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 (1,498)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(1,204,004)</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(9,058)</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172,027</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units</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1,906,374</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(746,677)</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3,162</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(20,941)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(20,941)</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b w:val="1"/>
                <w:bCs w:val="1"/>
                <w:color w:val="auto"/>
              </w:rPr>
              <w:t>March 31, 2017</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328,184,640</w:t>
            </w:r>
          </w:p>
        </w:tc>
        <w:tc>
          <w:tcPr>
            <w:tcW w:w="1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272,261,602</w:t>
            </w: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(1,566,182)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24,364</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208,465</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967,073</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(3,726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(1,224,945</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(28,769</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(20,941)</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(29,771)</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sale of fixed assets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Amortization of intangible asset</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change in fair value of derivative liabilities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(9,465)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Prepaid and other current assets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(24,905)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convertible debt</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Repurchase of exchangeable senior notes</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stock-based awards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(25,598)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106,961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4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96,076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year for:</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440" w:type="dxa"/>
            <w:vAlign w:val="bottom"/>
          </w:tcPr>
          <w:p>
            <w:pPr>
              <w:spacing w:after="0"/>
              <w:rPr>
                <w:sz w:val="23"/>
                <w:szCs w:val="23"/>
                <w:color w:val="auto"/>
              </w:rPr>
            </w:pP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4,111</w:t>
            </w:r>
          </w:p>
        </w:tc>
        <w:tc>
          <w:tcPr>
            <w:tcW w:w="160" w:type="dxa"/>
            <w:vAlign w:val="bottom"/>
          </w:tcPr>
          <w:p>
            <w:pPr>
              <w:spacing w:after="0"/>
              <w:rPr>
                <w:sz w:val="23"/>
                <w:szCs w:val="23"/>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44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29" w:lineRule="exact"/>
        <w:rPr>
          <w:sz w:val="20"/>
          <w:szCs w:val="20"/>
          <w:color w:val="auto"/>
        </w:rPr>
      </w:pPr>
    </w:p>
    <w:p>
      <w:pPr>
        <w:ind w:left="520" w:right="7460" w:hanging="512"/>
        <w:spacing w:after="0" w:line="378" w:lineRule="auto"/>
        <w:tabs>
          <w:tab w:leader="none" w:pos="5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ind w:right="8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500 mg/dL) hypertriglyceridemia. Vascepa is available in the United States by prescription only. In January 2013, the Company began selling and marketing 1-gram size Vascepa capsules in the United States, and in October 2016, introduced a smaller 0.5-gram size capsule.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7"/>
          <w:szCs w:val="17"/>
          <w:u w:val="single" w:color="auto"/>
          <w:color w:val="auto"/>
        </w:rPr>
        <w:t>&gt;</w:t>
      </w:r>
      <w:r>
        <w:rPr>
          <w:rFonts w:ascii="Arial" w:cs="Arial" w:eastAsia="Arial" w:hAnsi="Arial"/>
          <w:sz w:val="17"/>
          <w:szCs w:val="17"/>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direct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through its no less than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completed patient enrollment and randomization of 8,175 individual patients in 2016, is designed to evaluate the efficacy of Vascepa in reducing major cardiovascular events in a high-risk patient population on statin therapy.</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2016, or the 2016 Form 10-K, filed with the SEC. The balance sheet amounts at December 31, 2016 in this report were derived from the Company’s audited 2016 consolidated financial statements included in the 2016 Form 10-K.</w:t>
      </w:r>
    </w:p>
    <w:p>
      <w:pPr>
        <w:spacing w:after="0" w:line="19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2017 and 2016, respectively,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Certain prior year balances have been reclassified to conform to current year presentation due primarily to the Company’s adoption of recent accounting pronouncements related to the cash flow presentation of excess tax benefits. These reclassifications do not have a material impact on the Company’s condensed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both"/>
        <w:ind w:right="360"/>
        <w:spacing w:after="0" w:line="264"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March 31, 2017, the Company had cash and cash equivalents of $96.1 million. The Company’s condensed consolidated balance sheets also include long-term debt from royalty-bearing instrument and exchangeable senior notes. In January 2017, the Company issued $30.0 million in aggregate principal amount of January 2017 3.5% exchangeable senior notes due 2047, or the 2017 Notes. The terms of the 2017 Notes are such that they may be redeemed by the Company for cash on or after January 19, 2021 and may be put back to the Company by the holders on January 19, 2022 for cash equal to 100% of the principal amount plus any accrued and unpaid interest. The 2017 Notes are exchangeable into ADSs at the option of holders at any time after issuance and prior to maturity and are exchangeable into ADSs at the option of the Company upon satisfaction of certain equity conditions. Accordingly, the long-term debt and exchangeable senior notes do not represent a short-term claim on the liquid assets of the Company as of March 31, 2017. The terms of the Company’s January 2012 3.5% exchangeable senior notes due 2032, or the 2012 Notes, which were repaid in full during the first quarter of 2017, allowed for repurchase in cash by the Company at the option of the holders on January 19, 2017, as well as redemption by the Company for cash of all or part of the 2012 Notes on or after January 19, 2017, both at a price equal to 100% of the principal amount of the 2012 Notes to be repurchased or redeemed, plus accrued and unpaid interest to, but excluding, the repurchase or redemption date. Accordingly, $15.1 million in principal amount of 2012 Notes represents a short-term claim on the liquid assets of the Company as of December 31, 2016.</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through the results of the REDUCE-IT study, which we anticipate will be available mid-2018. Depending on the level of cash generated from operations, additional capital may be required to sustain operations, fund debt obligations or expand promotion of Vascepa as contemplated following anticipated successful results of the REDUCE-IT study. The Company anticipates that annual net cash outflows in future periods will be variable.</w:t>
      </w:r>
    </w:p>
    <w:p>
      <w:pPr>
        <w:spacing w:after="0" w:line="291" w:lineRule="exact"/>
        <w:rPr>
          <w:sz w:val="20"/>
          <w:szCs w:val="20"/>
          <w:color w:val="auto"/>
        </w:rPr>
      </w:pPr>
    </w:p>
    <w:p>
      <w:pPr>
        <w:ind w:left="520" w:right="8480" w:hanging="512"/>
        <w:spacing w:after="0" w:line="453" w:lineRule="auto"/>
        <w:tabs>
          <w:tab w:leader="none" w:pos="51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Patients are required to have a prescription in order to purchase Vascepa. In accordance with GAAP, the Company’s revenue recognition policy requires that: (i) there is persuasive evidence that an arrangement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exists between the Company and the Distributor, (ii) delivery has occurred, (iii) collectability is reasonably assured and (iv) the price is fixed or determinable.</w:t>
      </w:r>
    </w:p>
    <w:p>
      <w:pPr>
        <w:spacing w:after="0" w:line="24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The Company has contracts with its primary Distributors and delivery generally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 conclude that the price is fixed or determinable, the Company must be able to (i) calculate its gross product revenues from the sales to Distributors and (ii) reasonably estimate its net product revenues. The Company calculates gross product revenues generally based on the wholesale acquisition cost that the Company charges its Distributors for Vascepa. The Company estimates its net product revenues by deducting from its gross product revenues (a) trade allowances, such as invoice discounts for prompt payment and distributor fees,</w:t>
      </w:r>
    </w:p>
    <w:p>
      <w:pPr>
        <w:spacing w:after="0" w:line="5" w:lineRule="exact"/>
        <w:rPr>
          <w:sz w:val="20"/>
          <w:szCs w:val="20"/>
          <w:color w:val="auto"/>
        </w:rPr>
      </w:pPr>
    </w:p>
    <w:p>
      <w:pPr>
        <w:ind w:right="16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government and private payor rebates, chargebacks and discounts, such as Medicaid reimbursements, (c) reserves for expected product returns and (d) estimated costs of incentives offered to certain indirect customers, including patients.</w:t>
      </w:r>
    </w:p>
    <w:p>
      <w:pPr>
        <w:spacing w:after="0" w:line="76" w:lineRule="exact"/>
        <w:rPr>
          <w:sz w:val="20"/>
          <w:szCs w:val="20"/>
          <w:color w:val="auto"/>
        </w:rPr>
      </w:pPr>
    </w:p>
    <w:p>
      <w:pPr>
        <w:ind w:left="520" w:right="60" w:firstLine="495"/>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 fees</w:t>
      </w:r>
      <w:r>
        <w:rPr>
          <w:rFonts w:ascii="Arial" w:cs="Arial" w:eastAsia="Arial" w:hAnsi="Arial"/>
          <w:sz w:val="16"/>
          <w:szCs w:val="16"/>
          <w:i w:val="1"/>
          <w:iCs w:val="1"/>
          <w:color w:val="auto"/>
        </w:rPr>
        <w:t xml:space="preserve"> </w:t>
      </w:r>
      <w:r>
        <w:rPr>
          <w:rFonts w:ascii="Arial" w:cs="Arial" w:eastAsia="Arial" w:hAnsi="Arial"/>
          <w:sz w:val="16"/>
          <w:szCs w:val="16"/>
          <w:color w:val="auto"/>
        </w:rPr>
        <w:t>for 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520" w:firstLine="495"/>
        <w:spacing w:after="0" w:line="255"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81" w:lineRule="exact"/>
        <w:rPr>
          <w:sz w:val="20"/>
          <w:szCs w:val="20"/>
          <w:color w:val="auto"/>
        </w:rPr>
      </w:pPr>
    </w:p>
    <w:p>
      <w:pPr>
        <w:ind w:left="520" w:right="80" w:firstLine="495"/>
        <w:spacing w:after="0" w:line="270"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0" w:lineRule="exact"/>
        <w:rPr>
          <w:sz w:val="20"/>
          <w:szCs w:val="20"/>
          <w:color w:val="auto"/>
        </w:rPr>
      </w:pPr>
    </w:p>
    <w:p>
      <w:pPr>
        <w:ind w:left="520" w:right="20" w:firstLine="495"/>
        <w:spacing w:after="0" w:line="271"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the Company offers to indirect customers include co-pay mitigation rebates provided by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Trade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Incentives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(15,376)</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at March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Trade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24"/>
                <w:szCs w:val="2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24"/>
                <w:szCs w:val="2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Incentives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2015</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9,881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at March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13,255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condensed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 (2) the enhancement of the value of the delivered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t>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9—Development, Commercialization and Supply Agreements for further information regarding licensing revenue and milestones primarily related to the Company’s multiple-element arrangement with Eddingpharm (Asia) Macao Commercial Offshore Limited.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credit losses.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Trade allowances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(3,743)</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3 - 5 years</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42" w:lineRule="exact"/>
        <w:rPr>
          <w:sz w:val="20"/>
          <w:szCs w:val="20"/>
          <w:color w:val="auto"/>
        </w:rPr>
      </w:pPr>
    </w:p>
    <w:p>
      <w:pPr>
        <w:ind w:right="440" w:firstLine="518"/>
        <w:spacing w:after="0" w:line="381" w:lineRule="auto"/>
        <w:rPr>
          <w:sz w:val="20"/>
          <w:szCs w:val="20"/>
          <w:color w:val="auto"/>
        </w:rPr>
      </w:pPr>
      <w:r>
        <w:rPr>
          <w:rFonts w:ascii="Arial" w:cs="Arial" w:eastAsia="Arial" w:hAnsi="Arial"/>
          <w:sz w:val="15"/>
          <w:szCs w:val="15"/>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6—Commitments and Contingencies for further information regarding other obligations related to the acquisition of Laxdale Limited.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accrued under the agreement with Kowa Pharmaceuticals America, Inc.</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2" w:name="page13"/>
    <w:bookmarkEnd w:id="12"/>
    <w:p>
      <w:pPr>
        <w:ind w:right="320"/>
        <w:spacing w:after="0" w:line="277" w:lineRule="auto"/>
        <w:rPr>
          <w:sz w:val="20"/>
          <w:szCs w:val="20"/>
          <w:color w:val="auto"/>
        </w:rPr>
      </w:pPr>
      <w:r>
        <w:rPr>
          <w:rFonts w:ascii="Arial" w:cs="Arial" w:eastAsia="Arial" w:hAnsi="Arial"/>
          <w:sz w:val="18"/>
          <w:szCs w:val="18"/>
          <w:color w:val="auto"/>
        </w:rPr>
        <w:t>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Excess tax benefits and deficiencies that arise upon vesting or exercise of share-based payments are recognized as an income tax benefit and expense, respectively, in the condensed consolidated statement of operations. Prior to adoption of ASU No. 2016-09,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Employee Share-Based Payment Accounting </w:t>
      </w:r>
      <w:r>
        <w:rPr>
          <w:rFonts w:ascii="Arial" w:cs="Arial" w:eastAsia="Arial" w:hAnsi="Arial"/>
          <w:sz w:val="17"/>
          <w:szCs w:val="17"/>
          <w:color w:val="auto"/>
        </w:rPr>
        <w:t>in April 2016, such amounts were recognized as an increase and decrease in additional paid-in</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Excess income tax benefits and deficiencies are classified in cash flows from operating activities and cash paid to taxing authorities arising from the withholding of shares from employees are classified as cash flows from financing activities. Due to adoption of ASU No. 2016-09 and retrospective application of the aspects of the standard related to cash flow presentation, the Company reclassified $0.1 million of excess tax provision from cash flows provided by financing activities to cash flows used in operating activities in the condensed consolidated statement of cash flows for the three months ended March 31, 2016, to conform to the current year presentation.</w:t>
      </w:r>
    </w:p>
    <w:p>
      <w:pPr>
        <w:spacing w:after="0" w:line="17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 audit by the United States Internal Revenue Service (IRS) for the years 2013 to 2014.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89"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months ended March 31, 2017 and 2016 are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7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(29,771)</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270,163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184,052</w:t>
            </w:r>
          </w:p>
        </w:tc>
        <w:tc>
          <w:tcPr>
            <w:tcW w:w="80" w:type="dxa"/>
            <w:vAlign w:val="bottom"/>
          </w:tcPr>
          <w:p>
            <w:pPr>
              <w:spacing w:after="0"/>
              <w:rPr>
                <w:sz w:val="19"/>
                <w:szCs w:val="19"/>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r>
    </w:tbl>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months ended March 31, 2017 and 2016, the following potentially dilutive securities were not included in the computation of net loss per share because the effect would be anti-dilutive: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5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23,461</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20,807</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9,812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10,673</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(if converted)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59,407</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080" w:type="dxa"/>
            <w:vAlign w:val="bottom"/>
          </w:tcPr>
          <w:p>
            <w:pPr>
              <w:jc w:val="right"/>
              <w:spacing w:after="0"/>
              <w:rPr>
                <w:sz w:val="20"/>
                <w:szCs w:val="20"/>
                <w:color w:val="auto"/>
              </w:rPr>
            </w:pPr>
            <w:r>
              <w:rPr>
                <w:rFonts w:ascii="Arial" w:cs="Arial" w:eastAsia="Arial" w:hAnsi="Arial"/>
                <w:sz w:val="18"/>
                <w:szCs w:val="18"/>
                <w:color w:val="auto"/>
              </w:rPr>
              <w:t>32,818</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32,818</w:t>
            </w:r>
          </w:p>
        </w:tc>
        <w:tc>
          <w:tcPr>
            <w:tcW w:w="80" w:type="dxa"/>
            <w:vAlign w:val="bottom"/>
          </w:tcPr>
          <w:p>
            <w:pPr>
              <w:spacing w:after="0"/>
              <w:rPr>
                <w:sz w:val="20"/>
                <w:szCs w:val="20"/>
                <w:color w:val="auto"/>
              </w:rPr>
            </w:pPr>
          </w:p>
        </w:tc>
      </w:tr>
    </w:tbl>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2012 Notes could be settled in any combination of ADSs or cash, at the Company’s discretion, upon conversion and were therefore accounted for in accordance with ASC 470-20. Under ASC 470-20, the fair value of the liability component of the 2012 Notes was determined and deducted from the initial proceeds to determine the proceeds allocated to the conversion option, which was recorded in equity. The difference between the initial fair value of the liability component and the amount repayable was fully amortized over the expected term of the instrument. The conversion feature in the 2012 Notes qualified for the exception from derivative accounting in accordance with ASC 815-40. The terms of the 2012 Notes also allowed for repurchase in cash by the Company at the option of the holders as well as redemption by the Company for cash at specified times. Consequently, in January 2017, holders of the 2012 Notes exercised their option to put approximately $15.0 million in aggregate principal amount of 2012 Notes to the Company for cash and, in March 2017, the Company redeemed the entirety of the remaining $0.1 million in aggregate principal amount of 2012 Notes, such that no 2012 Notes remained outstanding as of March 31, 2017. The carrying value of the conversion option will remain in equity hereafter as a result of the repayment in full of the related debt instrument.</w:t>
      </w:r>
    </w:p>
    <w:p>
      <w:pPr>
        <w:spacing w:after="0" w:line="19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2017 Notes can only be settled in ADSs upon conversion and are therefore accounted for as part of the debt host. The terms of the 2017 Notes also allow for repurchase in cash by the Company at the option of the holders as well as redemption by the Company for cash at specified times. The conversion feature in the 2017 Notes qualifies for the exception from derivative accounting in accordance with ASC 815-40. The conversion feature in the 2017 Notes will continue to be evaluated on a quarterly basis to determine if it still receives an exception from derivative accounting in accordance with ASC 815-40. The 2017 Notes were recognized at par of $30.0 million. The Company also recognized a $1.2 million discount related to placement agent fees and offering expenses. This discount is being amortized through interest expense over the expected term of the 2017 Notes, through the first optional put date in January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5—Debt for full discussion of the 2012 Notes and 2017 Notes.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of gross product sales for each of the three months ended March 31, 2017 and 2016 and represented 97% and 95% of the gross accounts receivable balance as of March 31, 2017 and 2016, respectively. The Company has not experienced any write-offs of its accounts receivable.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 in particular three suppliers of API for Vascepa.</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in a timely fashion, if needed, could have a material adverse effect on its business, condition (financial and other), prospects or results of operations.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remain qualified to manufacture the product to its specifications or that these and any future suppliers will have the manufacturing capacity to meet anticipated demand for Vascepa.</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net in the condensed consolidated statements of operations. For transactions settled during the applicable period, gains and losses are included in other expense,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records debt issuance costs related to a recognized debt liability in the condensed consolidated balance sheet as a direct deduction from the carrying amount of that debt liability and amortizes such costs to interest expense using the effective interest method over the expected term of the related debt. Unamortized debt issuance costs related to the extinguishment of debt are expensed at the time the debt is extinguished and recorded in other expense, net in the condensed consolidated statements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March 31, 2017 and December 31, 2016 that are measured at fair value on a recurring basis and indicate the fair value hierarchy of the valuation techniques the Company utilized to determine such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March 31, 2017</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9,293</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9,293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March 31, 2017 and December 31, 2016 are as follows: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597"/>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long-term debt from royalty-bearing</w:t>
            </w:r>
          </w:p>
        </w:tc>
        <w:tc>
          <w:tcPr>
            <w:tcW w:w="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instrument, net of accrued interest</w:t>
            </w:r>
          </w:p>
        </w:tc>
        <w:tc>
          <w:tcPr>
            <w:tcW w:w="8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94,118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2012 Notes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2017 Notes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estimated fair value of the long-term debt from royalty-bearing instrument pursuant to the December 2012 financing is calculated utilizing the same Level 3 inputs utilized in valuing the related derivative liability (see Derivative Liabilities below). The estimated fair value of the 2017 Notes is calculated based on Level 1 quoted bond prices or, in the absence of quoted bond prices, is calculated using a Level 3 binomial model. The carrying value of the 2012 Notes as of December 31, 2016 does not include a debt discount, as it had been fully amortized as non-cash interest expense over the expected term of the 2012 Notes, which was calculated to be a period of twenty-four months. During the three months ended March 31, 2017, the Company repurchased $15.0 million in aggregate principal amount of 2012 Notes at the option of holders and redeemed the remaining $0.1 million in aggregate principal amount at the Company’s option, such that no 2012 Notes remained outstanding as of March 31, 2017. The carrying value of the 2017 Notes as of March 31, 2017 includes a debt discount of $1.2 million, which is being amortized as non-cash interest expense over the expected term of the 2017 Notes, through the first optional put date in January 2022. The change in the estimated fair values of these liabilities from December 31, 2016 to March 31, 2017 is largely related to financing activities and changes in the quoted bond prices.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March 31, 2017, the fair value of the derivative was determined to be nil based on current assumptions, and the debt was valued by comparing debt issues of similar companies with (i) remaining terms of between 2.1 and 4.7 years, (ii) coupon rates of between 8.1% and 11.1% and (iii) market yields of between 10.5% and 18.8%. As of December 31, 2016, the fair value of the derivative was determined to be nil based on underlying assumptions, and the debt was valued by comparing debt issues of similar companies with (i) remaining terms of between 2.4 and 5.0 years, (ii) coupon rates of between 8.1% and</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11.1% and (iii) market yields of between 11.9% and 18.4%. As such, the Company recognized no gain or loss on change in fair value of derivative liability for the three months ended March 31, 2017. As of March 31, 2016, the fair value of the derivative was determined to be $5.9 million and, as of December 31, 2015, the fair value of the derivative was determined to be $5.5 million. As such, the Company recognized a $0.4 million loss on change in fair value of derivative liability for the three months ended March 31, 2016.</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2014 Notes and 2015 Notes each contained a redemption feature whereby, upon occurrence of a change in control, the Company would have been required to repurchase the notes. The Company determined these redemption features to be embedded derivatives, requiring bifurcation in accordance with ASC 815. The derivatives were carried at fair value and were classified as Level 3 in the fair value hierarchy due to the use of significant unobservable inputs. The fair value of each embedded derivative was calculated using a probability-weighted model incorporating management estimates of the probability of a change in control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16" w:name="page17"/>
    <w:bookmarkEnd w:id="16"/>
    <w:p>
      <w:pPr>
        <w:spacing w:after="0" w:line="271" w:lineRule="auto"/>
        <w:rPr>
          <w:sz w:val="20"/>
          <w:szCs w:val="20"/>
          <w:color w:val="auto"/>
        </w:rPr>
      </w:pPr>
      <w:r>
        <w:rPr>
          <w:rFonts w:ascii="Arial" w:cs="Arial" w:eastAsia="Arial" w:hAnsi="Arial"/>
          <w:sz w:val="17"/>
          <w:szCs w:val="17"/>
          <w:color w:val="auto"/>
        </w:rPr>
        <w:t>occurring, and by determining the fair value of the debt with and without the change in control provision included. The difference between the two was determined to be the fair value of the embedded derivative. The fair value of these derivative liabilities was remeasured at each reporting period, with changes in fair value recognized in the condensed consolidated statement of operations. These derivative liabilities were derecognized in September 2016 and therefore no gain or loss on change in fair value of derivative liability was recognized for the three months ended March 31, 2017. As of March 31, 2016, the fair values of the derivatives related to the 2014 Notes and 2015 Notes were determined to be $2.8 million and $0.7 million, respectively, and, as of December 31, 2015, the fair values of the derivatives related to the 2014 Notes and 2015 Notes were determined to be $2.1 million and $0.6 million, respectively. As such, the Company recognized a $0.7 million loss and $0.1 million loss on change in fair value of derivative liability for the 2014 Notes and 2015 Notes, respectively, for the three months ended March 31, 2016.</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 The Company considered the following recent accounting pronouncements which were not yet adopted as of March 31, 2017:</w:t>
      </w:r>
    </w:p>
    <w:p>
      <w:pPr>
        <w:spacing w:after="0" w:line="181" w:lineRule="exact"/>
        <w:rPr>
          <w:sz w:val="20"/>
          <w:szCs w:val="20"/>
          <w:color w:val="auto"/>
        </w:rPr>
      </w:pPr>
    </w:p>
    <w:p>
      <w:pPr>
        <w:jc w:val="both"/>
        <w:ind w:right="160"/>
        <w:spacing w:after="0" w:line="285"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replace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 ASU No. 2014-09 requires extensive quantitative and qualitative disclosures covering the nature, amount, timing and uncertainty of revenue and cash flows arising from customer contracts, including disclosures on significant judgments made when applying the guidance.</w:t>
      </w:r>
    </w:p>
    <w:p>
      <w:pPr>
        <w:spacing w:after="0" w:line="2"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This guidance is effective for annual reporting periods beginning after December 15, 2017 and interim periods therein. Early adoption is permitted for reporting periods and interim periods therein, beginning after December 15, 2016. An entity can elect to apply the guidance under one of the following two methods: (i) retrospectively to each prior reporting period presented, referred to as the full retrospective method, or (ii) retrospectively with the cumulative effect of initially applying the standard recognized at the date of initial application in retained earnings, referred to as the modified retrospective method.</w:t>
      </w:r>
    </w:p>
    <w:p>
      <w:pPr>
        <w:spacing w:after="0" w:line="16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has substantially completed an initial impact assessment of the potential changes from adopting ASU No. 2014-09. The impact assessment consisted of a review of a representative sample of contracts, discussions with key stakeholders, and a cataloging of potential impacts on its financial statements, accounting policies, financial control, and operations. The Company anticipates that the adoption of ASU No. 2014-09 will not have a material impact on product revenue from distributors and may have an impact on contract revenues generated by its license agreements:</w:t>
      </w:r>
    </w:p>
    <w:p>
      <w:pPr>
        <w:spacing w:after="0" w:line="46" w:lineRule="exact"/>
        <w:rPr>
          <w:sz w:val="20"/>
          <w:szCs w:val="20"/>
          <w:color w:val="auto"/>
        </w:rPr>
      </w:pPr>
    </w:p>
    <w:p>
      <w:pPr>
        <w:ind w:left="1040" w:right="28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model for distinct licenses of functional intellectual property which may result in a timing difference of revenue recognition. Whereas revenue from these arrangements was previously recognized over a period of time pursuant to the multiple element arrangement guidance, revenue from these arrangements may now be recognized at a point in time under the new guidance.</w:t>
      </w:r>
    </w:p>
    <w:p>
      <w:pPr>
        <w:spacing w:after="0" w:line="57" w:lineRule="exact"/>
        <w:rPr>
          <w:rFonts w:ascii="Arial" w:cs="Arial" w:eastAsia="Arial" w:hAnsi="Arial"/>
          <w:sz w:val="17"/>
          <w:szCs w:val="17"/>
          <w:color w:val="auto"/>
        </w:rPr>
      </w:pPr>
    </w:p>
    <w:p>
      <w:pPr>
        <w:ind w:left="1040" w:right="4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Assessments of milestone payments, which are linked to events that are in the Company’s control, will result in variable consideration that may be recognized at an earlier point in time under the new guidance, when it is probable that the milestone will be achieved without a significant future reversal of cumulative revenue expected.</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has not yet completed its final review of the impact of this guidance; however, the Company anticipates applying the modified retrospective method when implementing this guidance. The Company plans to adopt the new standard effective January 1, 2018. The Company continues to monitor additional changes, modifications, clarifications or interpretations being undertaken by the FASB, which may impact its current conclusions.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Instruments—Overall (Subtopic 825-10): 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Financial Liabilities. </w:t>
      </w:r>
      <w:r>
        <w:rPr>
          <w:rFonts w:ascii="Arial" w:cs="Arial" w:eastAsia="Arial" w:hAnsi="Arial"/>
          <w:sz w:val="18"/>
          <w:szCs w:val="18"/>
          <w:color w:val="auto"/>
        </w:rPr>
        <w:t>The new guidance is intended to improve the recognition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line="287" w:lineRule="auto"/>
        <w:rPr>
          <w:sz w:val="20"/>
          <w:szCs w:val="20"/>
          <w:color w:val="auto"/>
        </w:rPr>
      </w:pPr>
      <w:r>
        <w:rPr>
          <w:rFonts w:ascii="Arial" w:cs="Arial" w:eastAsia="Arial" w:hAnsi="Arial"/>
          <w:sz w:val="16"/>
          <w:szCs w:val="16"/>
          <w:color w:val="auto"/>
        </w:rPr>
        <w:t>measurement of financial instruments by requiring separate 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which clarifies that an entity is a principal when it controls the specified good or service before that good or service is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provides clarifying guidance in certain narrow areas and adds some practical expedients. The amendments do not change the core principles of the guidance in Topic 606 and are effective for the Company’s fiscal year beginning January 1, 2018. Early application is permitted only as of annual reporting periods beginning after December 15, 2016, including interim reporting periods within that reporting period. The Company is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which is intended to reduce diversity in practice regarding how certain cash receipts and cash payments related to eight specific issues are presented and classified in the statement of cash flows. 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the statement of cash flows explain the change during the period in the total of cash, cash equivalents, and amounts generally described as restricted cash or restricted cash equivalents. For each of these ASUs, the new guidance is effective for fiscal years beginning after December 15, 2017, including interim periods within those fiscal years, with early adoption permitted. The Company has evaluated the accounting, transition and disclosure requirements of these standards and does not expect them to have a material impact on the Company’s consolidated financial statements.</w:t>
      </w:r>
    </w:p>
    <w:p>
      <w:pPr>
        <w:spacing w:after="0" w:line="16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13.3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March 31, 2017 and December 31, 2016 is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(2,852)</w:t>
            </w: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March 31, 2017 and December 31, 2016 consist of the following:</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20,507</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$150.0 million with such repayment based on a portion of revenues and receivables generated from Vascepa.</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March 31, 2017, the remaining amount to be repaid to BioPharma is $121.7 million. During the three months ended March 31, 2017, the Company made repayments under the agreement of $3.8 million to BioPharma and an additional $3.4 million is scheduled to be paid in May 2017 for the first quarter of 2017. All payments to date have been calculated based on the threshold limitation, as described below, as opposed to the contractual quarterly repayments scheduled through May 2017. Additional quarterly repayments are scheduled to be paid after May 2017, subject only to the threshold limitation. All such payments reduce the remainder of the $150.0 million in aggregate payments to BioPharma.</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w:t>
      </w:r>
    </w:p>
    <w:p>
      <w:pPr>
        <w:ind w:right="20"/>
        <w:spacing w:after="0" w:line="254" w:lineRule="auto"/>
        <w:rPr>
          <w:sz w:val="20"/>
          <w:szCs w:val="20"/>
          <w:color w:val="auto"/>
        </w:rPr>
      </w:pPr>
      <w:r>
        <w:rPr>
          <w:rFonts w:ascii="Arial" w:cs="Arial" w:eastAsia="Arial" w:hAnsi="Arial"/>
          <w:sz w:val="18"/>
          <w:szCs w:val="18"/>
          <w:color w:val="auto"/>
        </w:rPr>
        <w:t>Except upon a change of control in Amarin, the agreement does not expire until $150.0 million in aggregate has been repaid. Except in the event of the Company’s default, there is no compounding of interest and no scheduled cliff payment due under this agreement. Rather, payment will be made, subject to the threshold limitation, until $150.0 million in aggregate has been repaid, including payments made previously. The Company can prepay an amount equal to $150.0 million less any previously repaid amount.</w:t>
      </w:r>
    </w:p>
    <w:p>
      <w:pPr>
        <w:spacing w:after="0" w:line="1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right="20"/>
        <w:spacing w:after="0" w:line="290"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three months ended March 31, 2017, as compared to a loss on change in fair value of derivative liability of $0.4 million during the three months ended March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2017 and December 31, 2016, the carrying value of the BioPharma debt, net of the unamortized debt discount and issuance costs, was</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$94.1 million and $93.6 million, respectively. During the three months ended March 31, 2017, the Company recorded cash and non-cash interest expense of $1.6 million and $0.5 million, respectively, in connection with the BioPharma debt, compared to $1.7 million and $0.5 million, respectively, during the three months ended March 31, 2016. The Company will periodically evaluate the remaining term of the agreement and the effective interest rate is recalculated each period based on the Company’s most current estimate of repayment.</w:t>
      </w:r>
    </w:p>
    <w:p>
      <w:pPr>
        <w:spacing w:after="0" w:line="1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2012, May 2014, and November 2015 Exchangeable Senior Notes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2012, 2014 and 2015, the Company and its subsidiaries entered into a series of transactions pertaining to exchangeable notes. As of March 31, 2017, all debt issued in these transactions was exchanged or redeemed such that none remained outstanding.</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January 2012, the Company, through its wholly-owned subsidiary Corsicanto Designated Activity Company (formerly Corsicanto Limited) (“Corsicanto”), issued $150.0 million in principal amount of 3.5% Exchangeable Senior Notes due 2032 (the “2012 Notes”), resulting in net proceeds of $144.3 million. 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(the “2014 Notes”), following which $31.3 million in aggregate principal amount of the 2012 Notes remained outstanding with terms unchanged. In November 2015, the Company entered into a privately negotiated subscription agreement with one of its existing investors,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$16.2 million in aggregate principal amount of the 2012 Notes, following which $15.1 million in aggregate principal amount of the 2012 Notes remained outstanding with terms unchanged. The 2012 Notes, 2014 Notes, and 2015 Notes are referred to collectively as the “Notes.”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August 2016, Corsicanto gave notice to the holders of the 2014 Notes and 2015 Notes that certain equity conditions contained within the notes had been satisfied and exercised its option to mandatorily exchange $118.7 million of aggregate principal amount of 2014 Notes and $31.3 million of aggregate principal amount of 2015 Notes for equity with settlement in September 2016, such that all of the outstanding 2014 Notes and 2015 Notes were retired at that time. Consistent with the terms of the 2014 Notes and 2015 Notes, the final as-adjusted exchange rate was 402.0746 ADSs per $1,000 of principal amount, resulting in 47,739,925 ADSs and 12,571,263 ADSs being issued in exchange for the 2014 Notes and 2015 Notes, respectively. In total, the Company mandatorily exchanged $150.0 million in aggregate principal amount ($127.3 million in carrying value, net of unamortized debt discount and issuance costs) of outstanding 2014 Notes and 2015 Notes, resulting in the issuance of 60,311,188 ADSs and recognition of $40.1 million in common stock and $87.4 million in additional paid-in capital during the year ended December 31, 2016. Included within this $87.4 million is $0.8 million of accrued but unpaid interest as of the exchange date deemed satisfied and discharged in full upon delivery of the ADSs consistent with the terms of the notes and ASC 470-20, less $0.7 million of transaction costs.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terms of the 2012 Notes allowed for repurchase in cash by the Company at the option of the holders on each of January 19, 2017, January 19, 2022, and January 19, 2027, as well as redemption by the Company for cash of all or part of the 2012 Notes on or after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ind w:right="20"/>
        <w:spacing w:after="0" w:line="302" w:lineRule="auto"/>
        <w:rPr>
          <w:sz w:val="20"/>
          <w:szCs w:val="20"/>
          <w:color w:val="auto"/>
        </w:rPr>
      </w:pPr>
      <w:r>
        <w:rPr>
          <w:rFonts w:ascii="Arial" w:cs="Arial" w:eastAsia="Arial" w:hAnsi="Arial"/>
          <w:sz w:val="16"/>
          <w:szCs w:val="16"/>
          <w:color w:val="auto"/>
        </w:rPr>
        <w:t>January 19, 2017, both at a price equal to 100% of the principal amount of the 2012 Notes to be repurchased or redeemed, plus accrued and unpaid interest to, but excluding, the repurchase or redemption date. Consequently, in January 2017, holders of the 2012 Notes exercised their option to put approximately $15.0 million in aggregate principal amount of 2012 Notes to the Company for cash and, in March 2017, the Company redeemed the entirety of the remaining $0.1 million in aggregate principal amount of 2012 Notes, such that no 2012 Notes remained outstanding as of March 31, 2017.</w:t>
      </w:r>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2012 Notes were exchangeable under certain circumstances into cash, ADSs, or a combination of cash and ADSs, at the Company’s election. At the time of issuance, the Company calculated the fair value of the liability component of the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Company also recorded a debt discount to reflect the value of the underwriter’s discounts and offering costs. The debt discount from underwriter’s discounts and offering costs was allocated to the equity and liability components of the 2012 Notes in proportion to the proceeds allocated to each component. The $23.8 million equity component allocated to the conversion option was reduced by the portion of offering costs allocated to the equity component, $10.1 million upon extinguishment of the 2012 Notes as part of the 2014 Notes exchange and $1.3 million upon extinguishment of the 2012 Notes as part of the 2015 Notes issuance, such that $11.5 million remained in equity as of both March 31, 2017 and December 31, 2016. The conversion option was not remeasured each reporting period as it continued to meet the criteria for equity classification, and will remain in equity hereafter as a result of the repayment in full of the related debt instrument during the first quarter of 2017.</w:t>
      </w:r>
    </w:p>
    <w:p>
      <w:pPr>
        <w:spacing w:after="0" w:line="16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portion of the debt discount from underwriter’s discounts and offering costs allocated to the liability component as well as the discount created from allocating proceeds to the conversion option were amortized as interest expense over the estimated life of the 2012 Notes of twenty-four months. Such discounts were fully amortized prior to 2016. The carrying value of the 2012 Notes was nil and $15.1 million as of March 31, 2017 and December 31, 2016, respectively, included within current portion of exchangeable senior notes, net of discount, due to the holders’ January 19, 2017 optional put date.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2014 Notes were recorded at fair value of $90.8 million representing a $27.9 million discount to par. In addition the Company recognized a discount of $2.5 million in underwriter’s fees and offering costs. The 2015 Notes were recorded at fair value of $27.5 million representing a $3.8 million discount to par. In addition, the Company recognized a discount of $0.1 million in offering costs. These discounts were amortized as interest expense over the expected terms of the 2014 Notes and 2015 Notes, which was expected to be through the first optional put date in January 2019 for each. The carrying value of the 2014 Notes and 2015 Notes was nil as of March 31, 2017 and December 31, 2016.</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2014 Notes and 2015 Notes contained a provision that if a fundamental change (as defined in the 2014 Notes and 2015 Notes) had occurred prior to the notes being exchanged, holders may have required the Company to repurchase all or part of their notes for cash at a fundamental change repurchase price equal to 100% of the aggregate principal amount of the 2014 Notes and 2015 Notes to be repurchased, plus accrued and unpaid interest to, but not including, the fundamental change repurchase date. The Company determined that these fundamental change redemption features represented embedded derivatives requiring bifurcation from the respective debt liabilities and allocated $3.5 million of the $90.8 million fair value of the 2014 Notes and $0.5 million of the $27.5 million fair value of the 2015 Notes to derivative liabilities. The fair value of these derivative liabilities was remeasured at each reporting period, with changes in fair value recognized in the statement of operations. During the three months ended March 31, 2016, the Company recognized a $0.7 million loss and a $0.1 million loss on the change in fair value of the redemption features of the 2014 Notes and 2015 Notes, respectively.</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Notes had a stated interest rate of 3.5% per year, payable semiannually in arrears on January 15 and July 15 of each year. During the three months ended March 31, 2016, the Company recognized aggregate interest expense of $3.4 million related to the Notes, of which $2.0 million represents non-cash interest and $1.4 million represents contractual coupon interest. During the three months ended March 31, 2017, the Company recognized cash interest expense of less than $0.1 million related to the Notes. As of March 31, 2017 and December 31, 2016, the Company had total accrued interest on the Notes of nil and $0.2 million, respectively, which is included in current portion of exchangeable senior notes, net of discount. The Company made the contractual interest payments due on the Notes during the three months ended March 31, 2017 and 2016 of $0.3 million and $2.5 million, respectively.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2017 Exchangeable Senior Notes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On January 20, 2017, the Company and Corsicanto II Designated Activity Company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 Notes due 2047 (the “2017 Notes”) at an issue price of 100%. The net proceeds from the offering were $28.8 million after deducting placement agent fees and offering expenses payable by the Company.</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offering of the 2017 Notes closed on January 25, 2017. Corsicanto II has no assets, operations, revenues or cash flows other than those related to the issuance, administration and repayment of the 2017 Notes.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220"/>
        <w:spacing w:after="0" w:line="302" w:lineRule="auto"/>
        <w:rPr>
          <w:sz w:val="20"/>
          <w:szCs w:val="20"/>
          <w:color w:val="auto"/>
        </w:rPr>
      </w:pPr>
      <w:r>
        <w:rPr>
          <w:rFonts w:ascii="Arial" w:cs="Arial" w:eastAsia="Arial" w:hAnsi="Arial"/>
          <w:sz w:val="16"/>
          <w:szCs w:val="16"/>
          <w:color w:val="auto"/>
        </w:rPr>
        <w:t>The 2017 Notes were issued pursuant to an Indenture (the “Indenture”) entered into by the Company, Corsicanto II and Wilmington Trust, National Association, as trustee (the “Trustee”). The 2017 Notes are the senior unsecured obligations of Corsicanto II and are guaranteed by the Company. The 2017 Notes bear interest at a rate of 3.5% per annum from, and including, January 25, 2017, payable semi-annually in arrears on January 15 and July 15 of each year, beginning on July 15, 2017 and ending upon the 2017 Notes’ maturity date of January 15, 2047, unless earlier repurchased, redeemed or exchanged.</w:t>
      </w:r>
    </w:p>
    <w:p>
      <w:pPr>
        <w:spacing w:after="0" w:line="15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any time after the issuance of the 2017 Notes and prior to the close of business on the second business day immediately preceding January 15, 2047, holders may exchange their 2017 Notes for ADSs at their option and at the exchange rate described below. If prior to January 19, 2021, a make-whole fundamental change (as defined in the Indenture) occurs and a holder elects to exchange its 2017 Notes in connection with such make-whole fundamental change, such holder may be entitled to an increase in the exchange rate as described in the Indenture.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exchange rate is 257.2016 ADSs per $1,000 principal amount of the 2017 Notes (equivalent to an initial exchange price of approximately $3.89 per ADS (the “Exchange Price”)), subject to adjustment in certain circumstances. The initial exchange price for the 2017 Notes represents a premium of approximately 35% over the last reported sale price of $2.88 per share of the Company’s ADSs on The NASDAQ Global Market on January 19, 2017. Upon exchange, the 2017 Notes are to be settled in ADSs. The exchange rate is subject to adjustment from time to time upon the occurrence of certain events, including, but not limited to, the payment of cash dividends. In the event of physical settlement, the 2017 Notes would be exchangeable into a total of 7,716,048 ADSs. Based on the closing price of the Company’s stock at March 31, 2017, the principal amount of the 2017 Notes would exceed the value of the shares if converted on that date by $5.3 million.</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2021, Corsicanto II may not redeem the 2017 Notes at its option other than in connection with certain changes in the tax law of a relevant taxing jurisdiction that results in additional amounts (as defined in the Indenture) becoming due with respect to payments and/or deliveries on the 2017 Notes. On or after January 19, 2021, Corsicanto II may redeem for cash all or a portion of the 2017 Notes at a redemption price of 100% of the aggregate principal amount of the 2017 Notes to be redeemed, plus accrued and unpaid interest to, but not including, the redemption date. If a Fundamental Change (as defined in the Indenture) occurs, holders may require Corsicanto II to repurchase all or part of their 2017 Notes for cash at a Fundamental Change repurchase price equal to 100% of the aggregate principal amount of the 2017 Notes to be repurchased, plus accrued and unpaid interest to, but not including, the Fundamental Change repurchase date. In addition, holders of the 2017 Notes may require Corsicanto II to repurchase all or any portion of the 2017 Notes on January 19, 2022 for cash at a price equal to 100% of the aggregate principal amount of the 2017 Notes to be repurchased, plus accrued and unpaid interest to, but not including, the repurchase date.</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Corsicanto II may elect at its option to cause all or any portion of the 2017 Notes to be mandatorily exchanged in whole or in part at any time prior to the close of business on the business day preceding January 15, 2047 if the Daily VWAP (as defined in the Indenture) equals or exceeds 130% of the Exchange Price then in effect (which quotient equals approximately $5.05 on the date hereof) for at least 20 VWAP Trading Days (as defined in the Indenture) in any 30 consecutive VWAP Trading Day period. Corsicanto II may only exercise its optional exchange rights upon satisfaction of specified equity conditions, including that the ADSs issuable upon exchange of the 2017 Notes be eligible for resale without registration by non-affiliates and listed on The NASDAQ Global Market, its related exchanges or the New York Stock Exchange. If Corsicanto II elects to exercise its optional exchange rights on or prior to January 19, 2021, each holder whose 2017 Notes are exchanged may upon exchange receive a specified number of additional ADSs as set forth in the Indenture.</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Indenture contains customary terms and covenants and events of default. If an event of default (other than certain events of bankruptcy, insolvency or reorganization involving Corsicanto II) occurs and is continuing, the Trustee by notice to Corsicanto II, or the holders of at least 25% in principal amount of the outstanding 2017 Notes by notice to Corsicanto II and the Trustee, may declare 100% of the principal of and accrued and unpaid interest, if any, on all of the 2017 Notes to be due and payable. Upon such a declaration of acceleration, such principal and accrued and unpaid interest, if any, will be due and payable immediately. Upon the occurrence of certain events of bankruptcy, insolvency or reorganization involving Corsicanto II, 100% of the principal of and accrued and unpaid interest, if any, on all of the 2017 Notes will become due and payable automatically. Notwithstanding the foregoing, the Indenture will provide that, to the extent Corsicanto II elects and for up to 360 days, the sole remedy for an event of default relating to certain failures by Corsicanto II or the Company, as the case may be, to comply with certain reporting covenants in the Indenture consists exclusively of the right to receive additional interest on the 2017 Notes.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Corsicanto II has agreed to use its commercially reasonable efforts to procure the listing of the 2017 Notes on the Global Exchange Market operated under the supervision of the Irish Stock Exchange (or on another recognized stock exchange for the purposes of Section 64 of the Taxes Consolidation Act 1997 of Ireland and within the meaning of Section 1005 ITA 2007 of the United Kingdom) prior to July 15, 2017, which will be the first interest payment date for the 2017 Notes.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2017 Notes were recorded at par of $30.0 million. In addition, the Company recorded a discount of $1.2 million in placement agent fees and offering expenses. Such costs are presented as a direct deduction from the debt liability on the condensed consolidated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300"/>
        <w:spacing w:after="0" w:line="277" w:lineRule="auto"/>
        <w:rPr>
          <w:sz w:val="20"/>
          <w:szCs w:val="20"/>
          <w:color w:val="auto"/>
        </w:rPr>
      </w:pPr>
      <w:r>
        <w:rPr>
          <w:rFonts w:ascii="Arial" w:cs="Arial" w:eastAsia="Arial" w:hAnsi="Arial"/>
          <w:sz w:val="18"/>
          <w:szCs w:val="18"/>
          <w:color w:val="auto"/>
        </w:rPr>
        <w:t>balance sheet. This discount is being amortized as interest expense over the estimated life of the 2017 Notes, through the first optional put date in January 2022. As of March 31, 2017, the carrying value of the 2017 Notes, net of unamortized discount, was $28.8 million.</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Because the conversion option in the 2017 Notes receives an exception from derivative accounting and only requires gross physical settlement in shares, the embedded option does not require separate accounting and is therefore accounted for as part of the debt host at amortized cost. In addition, the Company determined that the fundamental change redemption feature is clearly and closely related to the debt host in accordance with ASC 815-15 and therefore does not require bifurcation.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March 31, 2017, the Company recognized interest expense of $0.2 million related to the 2017 Notes, of which less than $0.1 million represents non-cash interest and $0.2 million represents contractual coupon interest. As of March 31, 2017, the Company had accrued interest of $0.2 million related to the 2017 Notes, which is presented as current portion of exchangeable senior notes, net of discount, on the condensed consolidated balance sheet.</w:t>
      </w:r>
    </w:p>
    <w:p>
      <w:pPr>
        <w:spacing w:after="0" w:line="291" w:lineRule="exact"/>
        <w:rPr>
          <w:sz w:val="20"/>
          <w:szCs w:val="20"/>
          <w:color w:val="auto"/>
        </w:rPr>
      </w:pPr>
    </w:p>
    <w:p>
      <w:pPr>
        <w:ind w:left="520" w:right="8300" w:hanging="512"/>
        <w:spacing w:after="0" w:line="378" w:lineRule="auto"/>
        <w:tabs>
          <w:tab w:leader="none" w:pos="51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2016 includes a discussion of the Company’s current legal proceedings. There have been no material changes to those disclosures as of the date of this filing.</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June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Nisshin, Chemport and Novasep are currently the three manufacturers from which the Company purchases API. As of March 31, 2017, the Company has no royalty, milestone or minimum purchase commitments with Nisshin.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certain cash remedy for any shortfall in the minimum purchase obligations. The Company continues to meet its contractual purchase obligations.</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$9.4 million at March 31, 2017).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$6.2 million at March 31, 2017) for each of the two potential market approvals (i.e. £10 million maximum, or approximately $12.5 million at March 31, 2017).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at March 31, 2017.</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left="520" w:right="9780" w:hanging="512"/>
        <w:spacing w:after="0" w:line="425" w:lineRule="auto"/>
        <w:tabs>
          <w:tab w:leader="none" w:pos="51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In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as of March 31, 2017, inclusive of the shares issued in July 2015 as discussed below, subject to certain adjustments for dilutive events.</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quarter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At the time of the transaction, Dr. James Healy was a member of the Company’s Board and a managing general partner of Sofinnova Management VII, L.L.C., which is the general partner of Sofinnova. Dr. Healy resigned as Director of the Company’s Board effective December 20, 2016.</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As of March 31, 2017, there were an aggregate of 23,461,406 stock options and 9,811,802 restricted stock units (“RSUs”) outstanding, representing approximately 7% and 3%, respectively, of outstanding shares (including common and preferred shares) on a fully diluted basis.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three months ended March 31, 2017 and 2016, the Company issued 172,027 and 21,369 shares, respectively, as a result of the exercise of stock options, resulting in gross and net proceeds of $0.3 million during the three months ended March 31, 2017 and $22 thousand during the three months ended March 31, 2016.</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February 1, 2017, the Company granted a total of 1,575,000 RSUs and 2,642,500 stock options to employees under the 2011 Plan. The RSUs vest annually over a three year period and the stock options vest over a four year period. The issuance of 989,000 of these RSUs is contingent upon shareholder approval to increase the aggregate number of shares authorized for issuance under the 2011 Plan, which will be put to a vote at the Company’s Annual General Meeting of Shareholders to be held on May 15, 2017.</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11, 2016, the Company granted a total of 148,403 RSUs and 208,340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February 1, 2016, the Company granted a total of 1,607,500 RSUs and 2,442,000 stock options to employees under the 2011 Plan. The RSUs vest annually over a three-year period and the stock options vest monthly over a four-year period. During the three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ended March 31, 2017, the Company issued 494,885 common shares related to the vesting of these RSUs, of which 191,899 shares were retained as treasury shares as settlement of employee tax obligations.</w:t>
      </w:r>
    </w:p>
    <w:p>
      <w:pPr>
        <w:spacing w:after="0" w:line="27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exchange for Kowa Pharmaceuticals America, Inc.’s co-promotional services, Kowa Pharmaceuticals America, Inc. is entitled to a quarterly co-promotion fee based on aggregate Vascepa gross margin that increases during the term. The percentage of aggregate Vascepa gross margin earned by Kowa Pharmaceuticals America, Inc. was fifteen percent (15%) in 2015, nineteen percent (19%) in 2016, twenty percent (20%) in 2017, and is scheduled to increase to low twenty percent levels in 2018, subject to certain adjustments.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up to three years of co-promotion tail royalties equal to declining percentages of the co-promotion fee earned prior to such agreement expiration.</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2017 and December 31, 2016, the Company had a net accrual of $8.9 million and $2.5 million, respectively, to Kowa Pharmaceuticals America, Inc. representing co-promotion fees accrued under the agreement with Kowa Pharmaceuticals America, Inc. net of reimbursable amounts incurred for samples and other marketing expenses.</w:t>
      </w:r>
    </w:p>
    <w:p>
      <w:pPr>
        <w:spacing w:after="0" w:line="28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In March 2016, Eddingpharm submitted its clinical trial application (“CTA”) with respect to the MARINE indication for Vascepa to the Chinese regulatory authority. Following the CTA submission, the Company received a non-refundable $1.0 million milestone payment, which it will recognize as revenue over the estimated period in which the Company is required to provide on-going development support needed to support the successful approval for a new drug application, which is currently estimated to be a period of approximately four years. In March 2017, the CTA was approved by the Chinese regulatory authority, and Eddingpharm expects to initiate clinical trials by the end of 2017.</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payments based on product sales at an agreed-upon transfer price, which represents a percentage of gross selling price, subject to a minimum floor price.</w:t>
      </w:r>
    </w:p>
    <w:p>
      <w:pPr>
        <w:spacing w:after="0" w:line="16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Licensing and deferred revenues currently consist of revenue attributable to receipt of up-front, non-refundable payments and milestone payments related to the Eddingpharm and Biologix agreements. Up-front and milestone payments under such agreements are typically recognized as licensing revenue over the estimated period in which the Company is required to provide regulatory and development support and clinical and commercial supply pursuant to the agreements. During the three months ended March 31, 2017 and 2016, the Company recognized $0.3 million and $0.2 million of up-front and milestone payments as licensing revenue, respectively, and recorded $14.8 million as deferred revenue as of March 31, 2017.</w:t>
      </w:r>
    </w:p>
    <w:p>
      <w:pPr>
        <w:spacing w:after="0" w:line="27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Company has evaluated subsequent events from March 31, 2017 through the date of the issuance of these condensed consolidated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2016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6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of approximately 150 sales professionals, including sales representatives and their managers. In March 2014, we entered into a co-promotion agreement in the United States with Kowa Pharmaceuticals America, Inc. under which no less than 250 Kowa Pharmaceuticals America, Inc. sales representatives began to devote a substantial portion of their time to promoting Vascepa starting in May 2014.</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We continue to assess other partnership opportunities for licensing Vascepa to partners outside of the United States.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ind w:right="60" w:firstLine="518"/>
        <w:spacing w:after="0" w:line="253" w:lineRule="auto"/>
        <w:rPr>
          <w:sz w:val="20"/>
          <w:szCs w:val="20"/>
          <w:color w:val="auto"/>
        </w:rPr>
      </w:pPr>
      <w:r>
        <w:rPr>
          <w:rFonts w:ascii="Arial" w:cs="Arial" w:eastAsia="Arial" w:hAnsi="Arial"/>
          <w:sz w:val="18"/>
          <w:szCs w:val="18"/>
          <w:color w:val="auto"/>
        </w:rPr>
        <w:t xml:space="preserve">Triglycerides are the main constituent of body fat in humans. Hypertriglyceridemia refers to a condition in which patients have high levels of triglycerides in the bloodstream. It is estimated that over 75 million adults in the United States have elevated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150 mg/dL), approximately 40 million adults in the United States have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200 mg/dL), and approximately 4.0 million people in the United States have severely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8"/>
          <w:szCs w:val="18"/>
          <w:i w:val="1"/>
          <w:iCs w:val="1"/>
          <w:color w:val="auto"/>
        </w:rPr>
        <w:t>The American Heart Association Scientific Statement on Triglycerides and Cardiovascular Disease</w:t>
      </w:r>
      <w:r>
        <w:rPr>
          <w:rFonts w:ascii="Arial" w:cs="Arial" w:eastAsia="Arial" w:hAnsi="Arial"/>
          <w:sz w:val="18"/>
          <w:szCs w:val="18"/>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9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(4) grams per day of Vascepa will be compared to cardiovascular event rates for patients on stable statin therapy plus placebo. In 2016, we completed patient enrollment and randomization of 8,175 individual patients into the REDUCE-IT study, exceeding the 8,000 patients targeted for the trial.</w:t>
      </w:r>
    </w:p>
    <w:p>
      <w:pPr>
        <w:spacing w:after="0" w:line="18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REDUCE-IT study is designed to be completed after reaching 1,612 aggregate primary cardiovascular events. Based on projected event rates, we estimate the onset of the target aggregate number of cardiovascular events to be reached near the end of 2017 with study results then expected to be available and published in 2018. In addition, since its inception in 2011, our REDUCE-IT special protocol assessment (SPA) agreement with the FDA has provided for periodic safety reviews and an interim efficacy and safety analysis by the study’s independent data monitoring committee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 The periodic safety reviews and interim efficacy and safety analyses are conducted confidentially by the study’s DMC. We remain blinded to all data from the study. Since patient enrollment commenced in 2011, more than 28,000 patient years of study experience have been accumulated in the REDUCE-IT study. Following each periodic review of safety data to date, the DMC has communicated to us that we should continue the study as planned.</w:t>
      </w:r>
    </w:p>
    <w:p>
      <w:pPr>
        <w:spacing w:after="0" w:line="18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In March 2017, we announced that the onset of approximately 80% of the target aggregate number of primary cardiovascular events has triggered preparation for a pre-specified interim efficacy and safety analysis by the study’s independent DMC. We currently expect the independent interim analysis to be conducted before the end of the third calendar quarter of 2017.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100" w:firstLine="518"/>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8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commenced the commercial launch of 1-gram size Vascepa capsules in the United States in January 2013. We commenced sales and shipments of Vascepa at that time to our network of U.S.-based wholesalers. We currently market Vascepa in the United States through our direct sales force of approximately 150 sales professionals, including sales representatives and their managers. Commencing in May 2014, in addition to Vascepa promotion by our sales representatives, no less than 250 Kowa Pharmaceuticals America, Inc. sales representatives began devoting a substantial portion of their time to promoting Vascepa. We also employ various marketing personnel to support our commercialization of Vascepa. 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we expect that the majority of patients taking Vascepa will continue to be prescribed the 1-gram size Vascepa capsule. We also expect that the majority of new patients will be prescribed the 1-gram size Vascepa capsule.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 w:name="page31"/>
    <w:bookmarkEnd w:id="30"/>
    <w:p>
      <w:pPr>
        <w:ind w:firstLine="518"/>
        <w:spacing w:after="0" w:line="268" w:lineRule="auto"/>
        <w:rPr>
          <w:sz w:val="20"/>
          <w:szCs w:val="20"/>
          <w:color w:val="auto"/>
        </w:rPr>
      </w:pPr>
      <w:r>
        <w:rPr>
          <w:rFonts w:ascii="Arial" w:cs="Arial" w:eastAsia="Arial" w:hAnsi="Arial"/>
          <w:sz w:val="17"/>
          <w:szCs w:val="17"/>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increases during the term. The percentage of aggregate Vascepa gross margin earned by Kowa Pharmaceuticals America, Inc. was fifteen percent (15%) in 2015, nineteen percent (19%) in 2016, twenty percent (20%) in 2017, and is scheduled to increase to low twenty percent levels in 2018, subject to certain adjustments. The term of this co-promotion agreement expires on December 31, 2018, following which our agreement with Kowa Pharmaceuticals America, Inc. provides for up to three years of tail royalties equal to declining percentages of the co-promotion fee earned prior to agreement expiration.</w:t>
      </w:r>
    </w:p>
    <w:p>
      <w:pPr>
        <w:spacing w:after="0" w:line="183" w:lineRule="exact"/>
        <w:rPr>
          <w:sz w:val="20"/>
          <w:szCs w:val="20"/>
          <w:color w:val="auto"/>
        </w:rPr>
      </w:pPr>
    </w:p>
    <w:p>
      <w:pPr>
        <w:ind w:right="220" w:firstLine="518"/>
        <w:spacing w:after="0" w:line="271" w:lineRule="auto"/>
        <w:rPr>
          <w:sz w:val="20"/>
          <w:szCs w:val="20"/>
          <w:color w:val="auto"/>
        </w:rPr>
      </w:pPr>
      <w:r>
        <w:rPr>
          <w:rFonts w:ascii="Arial" w:cs="Arial" w:eastAsia="Arial" w:hAnsi="Arial"/>
          <w:sz w:val="17"/>
          <w:szCs w:val="17"/>
          <w:color w:val="auto"/>
        </w:rPr>
        <w:t>Based on monthly compilations of data provided by a third party, Symphony Health Solutions, the estimated number of normalized total Vascepa prescriptions for the three months ended March 31, 2017 and 2016 was approximately 305,000 and 201,000, respectively. According to data from another third party, IMS Health, the estimated number of normalized total Vascepa prescriptions for the three months ended March 31, 2017 and 2016 was approximately 335,000 and 212,000, respectively. Normalized total prescriptions represent the estimated total number of Vascepa prescriptions shipped to patients, calculated on a normalized basis (i.e., one month’s supply, or total capsules shipped multiplied by the number of grams per capsule divided by 120 grams). Inventory levels at wholesalers tend to fluctuate based on seasonal factors, prescription trends and other factors. During 2016, predominantly in the second quarter, wholesaler inventory levels increased based on estimated days of inventory on hand. In addition, regional stocking of Vascepa expanded at certain retail pharmacies, likely due to higher volume sales of Vascepa.</w:t>
      </w:r>
    </w:p>
    <w:p>
      <w:pPr>
        <w:spacing w:after="0" w:line="17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p>
    <w:p>
      <w:pPr>
        <w:spacing w:after="0" w:line="18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August 2015, we and our co-promotion partner began communicating promotional information beyond MARINE clinical trial data to targeted healthcare professionals. Such qualified communications are being made pursuant to the August 7,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February 2015, we announced an exclusive agreement with Eddingpharm to develop and commercialize Vascepa capsules in what we refer to as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China Territory, consisting of the territories of Mainland China, Hong Kong, Macau and Taiwan, for uses that are currently commercialized and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by us in the United States based on the MARINE, ANCHOR and ongoing REDUCE-IT clinical trials of Vascepa. Under the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Eddingpharm is responsible for development and commercialization activities in the China Territory and associated expenses. We will provide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assistance and be responsible for supplying the product. Terms of the agreement include up-front and milestone payments to us of up to $169.0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a non-refundable $15.0 million up-front payment received at closing, a non-refundable milestone payment of $1.0 million received upon successful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submission of a clinical trial application with respect to the MARINE indication for Vascepa to the Chinese regulatory authority in March 2016, and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regulatory and sales-based milestone payments of up to an additional $153.0 million. The regulatory milestone events relate to the submission and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applications to the applicable regulatory authority, such as a clinical trial application, clinical trial exemption, or import drug license application.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to be received upon achievement of the regulatory milestone events relate to the submission and approval for three indications, and range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to $15.0 million for a total of $33.0 million. The sales-based milestone events occur when annual aggregate net sales of Vascepa in the territory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equals or exceeds certain specified thresholds, and range from $5.0 million to $50.0 million for a total of $120.0 million. Eddingpharm will also pay us tiered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double-digit percentage royalties on net sales of Vascepa in the China Territory escalating to the high teens. We will supply finished product to Eddingpharm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negotiated terms.</w:t>
      </w:r>
    </w:p>
    <w:p>
      <w:pPr>
        <w:spacing w:after="0" w:line="21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we entered into an agreement with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are entitled to receive payments based on product sales at an agreed-upon transfer price, which represents a percentage of gross selling price, subject to a minimum floor price.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REDUCE-IT is not designed to demonstrate that lowering triglycerides alone in the study population is sufficient to lower the rate of major adverse cardiovascular events compared to placebo. Rather, it is designed to test the hypothesis that the clinical effects of Vascepa, including its impact on triglyceride lowering, are effective in lowering the rate of major adverse cardiovascular events compared to placebo in patients who despite statin therapy have risk factors for cardiovascular disease, including elevated triglyceride levels. Based on the results of REDUCE-IT, we may seek additional indications for Vascepa beyond the indications studied in the ANCHOR or MARINE trials.</w:t>
      </w:r>
    </w:p>
    <w:p>
      <w:pPr>
        <w:spacing w:after="0" w:line="1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 2016, we completed patient enrollment and randomization of 8,175 individual patients into the REDUCE-IT study, exceeding the 8,000 patients targeted for the trial.</w:t>
      </w:r>
    </w:p>
    <w:p>
      <w:pPr>
        <w:spacing w:after="0" w:line="170"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Completion of the REDUCE-IT study is designed to occur after reaching an aggregate number of cardiovascular events. Based on projected event rates, we estimate the onset of the target aggregate number of cardiovascular events to be reached near the end of 2017 with study results then expected to be available in 2018. In addition, since its inception in 2011, our REDUCE-IT SPA agreement with the FDA has provided for periodic safety reviews and an interim efficacy and safety analysis by the independent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firstLine="518"/>
        <w:spacing w:after="0" w:line="286" w:lineRule="auto"/>
        <w:rPr>
          <w:sz w:val="20"/>
          <w:szCs w:val="20"/>
          <w:color w:val="auto"/>
        </w:rPr>
      </w:pPr>
      <w:r>
        <w:rPr>
          <w:rFonts w:ascii="Arial" w:cs="Arial" w:eastAsia="Arial" w:hAnsi="Arial"/>
          <w:sz w:val="16"/>
          <w:szCs w:val="16"/>
          <w:color w:val="auto"/>
        </w:rPr>
        <w:t>In March 2016, we announced that the onset of approximately 60% of the target aggregate number of primary cardiovascular events had triggered preparation for the first pre-specified interim analysis of efficacy and safety results. Such analysis included the first review of unblinded efficacy data by the independent DMC. The DMC completed its review of the interim analysis in September 2016 and, consistent with previously stated expectations, recommended that the trial continue as planned without modification. In March 2017, we announced that the onset of approximately 80% of the target aggregate number of primary cardiovascular events has triggered preparation for a pre-specified interim efficacy and safety analysis by the study’s independent DMC. We currently expect the independent interim analysis to be conducted before the end of the third calendar quarter of 2017.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This is the same approach we asked the DMC to employ in connection with the REDUCE-IT study 60% interim analysis. It is our expectation that the 80% interim analysis will also result in a recommendation by the DMC to continue the trial. By design, it is most common for cardiovascular outcomes studies not to be stopped upon an interim look. We remain blinded to all data from the study. Unless overwhelming efficacy and safety is declared by the DMC at an interim look or the study is halted due to a patient safety concern, Amarin personnel will remain blinded to the efficacy and safety data from the REDUCE-IT study until the study is complete.</w:t>
      </w:r>
    </w:p>
    <w:p>
      <w:pPr>
        <w:spacing w:after="0" w:line="172"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Since patient enrollment commenced in 2011, more than 28,000 patient years of study experience have been accumulated in REDUCE-IT. The DMC has reviewed unblinded safety data on a quarterly basis since 2013 and, after each such review of unblinded safety data to date, the DMC has recommended to us that the study be continued as planned.</w:t>
      </w:r>
    </w:p>
    <w:p>
      <w:pPr>
        <w:spacing w:after="0" w:line="18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Prior to 2015, all of our active pharmaceutical ingredient, or API, that has been utilized in product sold was manufactured by two suppliers: Nisshin Pharma, Inc., or Nisshin, and Chemport, Inc., or Chemport.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believe that our cash and cash equivalents of $96.1 million as of March 31, 2017 will be sufficient to fund our projected operations through results of the REDUCE-IT study, which we anticipate will be available mid-2018.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All of our product revenue is derived from product sales of 1-gram and 0.5-gram size capsules of Vascepa, net of allowances,</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size capsule in October 2016. In accordance with U.S. Generally Accepted Accounting Principles, or GAAP, during 2013, before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accrued under the agreement with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consists primarily of fees paid to professional service providers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as well as costs of product supply received from suppliers when such receipt by us is prior to regulatory approval of the supplier. We expense research and development costs as incurred.</w:t>
      </w:r>
    </w:p>
    <w:p>
      <w:pPr>
        <w:spacing w:after="0" w:line="16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Loss on Change in Fair Value of Derivative Liabilities</w:t>
      </w:r>
      <w:r>
        <w:rPr>
          <w:rFonts w:ascii="Arial" w:cs="Arial" w:eastAsia="Arial" w:hAnsi="Arial"/>
          <w:sz w:val="18"/>
          <w:szCs w:val="18"/>
          <w:color w:val="auto"/>
        </w:rPr>
        <w:t>. Loss on change in fair value of derivative liabilities is comprised of: (i) the change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derivative liability related to the change in control provision associated with the December 2012 financing with BioPharma Secured Debt Fund II Holdings Cayman LP, or BioPharma, and (ii) the change in fair value of the derivative liabilities related to the change in control provisions associated with the May 2014 and November 2015 exchangeable senior notes.</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i w:val="1"/>
          <w:iCs w:val="1"/>
          <w:color w:val="auto"/>
        </w:rPr>
        <w:t>Interest and Other Expense, Net</w:t>
      </w:r>
      <w:r>
        <w:rPr>
          <w:rFonts w:ascii="Arial" w:cs="Arial" w:eastAsia="Arial" w:hAnsi="Arial"/>
          <w:sz w:val="17"/>
          <w:szCs w:val="17"/>
          <w:color w:val="auto"/>
        </w:rPr>
        <w:t>. Interest expense consists of interest incurred under lease obligations, interest incurred under our December 2012</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arrangement with BioPharma and interest incurred under our 3.5% exchangeable notes. Interest expense under our BioPharma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expense, net, consists primarily of foreign exchange losses and gains.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consolidated financial statements.</w:t>
      </w:r>
    </w:p>
    <w:p>
      <w:pPr>
        <w:spacing w:after="0" w:line="18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began recognizing revenue from the sale of Vascepa following our commercial launch in the United States in January 2013. Prior to 2013, we recognized no revenue from Vascepa sales. We sell Vascepa to Distributors. In accordance with GAAP, during 2013, before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 Consequently, we recognized net product revenue of $34.3 million and $25.3 million based on sales to Distributors during the three months ended March 31, 2017 and 2016, respectively.</w:t>
      </w:r>
    </w:p>
    <w:p>
      <w:pPr>
        <w:spacing w:after="0" w:line="17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Solutions and IMS Health in estimating the level of inventory held in the distribution channel. A hypothetical 5% change in estimated aggregate bottles of channel inventory would result in a change of less than 1% in net product revenues reported during each of the three months ended March 31, 2017 and 2016.</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89"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5" w:name="page36"/>
    <w:bookmarkEnd w:id="35"/>
    <w:p>
      <w:pPr>
        <w:ind w:firstLine="518"/>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w:t>
      </w:r>
      <w:r>
        <w:rPr>
          <w:rFonts w:ascii="Arial" w:cs="Arial" w:eastAsia="Arial" w:hAnsi="Arial"/>
          <w:sz w:val="16"/>
          <w:szCs w:val="16"/>
          <w:i w:val="1"/>
          <w:iCs w:val="1"/>
          <w:color w:val="auto"/>
        </w:rPr>
        <w:t xml:space="preserve"> </w:t>
      </w:r>
      <w:r>
        <w:rPr>
          <w:rFonts w:ascii="Arial" w:cs="Arial" w:eastAsia="Arial" w:hAnsi="Arial"/>
          <w:sz w:val="16"/>
          <w:szCs w:val="16"/>
          <w:color w:val="auto"/>
        </w:rPr>
        <w:t>and 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which include our projections for future estimated revenues, management estimates of the probability of a change in control occurring, and the terms of debt issues of similar companies.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the change in control provision associated with our December 2012 royalty-bearing debt financing and the change in control provisions associated with our May 2014 and November 2015 exchangeable senior notes (both derecognized upon exchange of the debt hosts into equity during the third quarter of 2016).</w:t>
      </w:r>
    </w:p>
    <w:p>
      <w:pPr>
        <w:spacing w:after="0" w:line="17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—We capitalize purchases of saleable inventory of Vascepa from suppliers that have been qualified by the FDA. During the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the API purchased for Vascepa was sourced from three API suppliers. If we add a new API supplier, all Vascepa API purchased from such supplier is included as a component of research and development expense until the new API supplier is approved. Upon sNDA approval of each additional supplier, we capitalize subsequent Vascepa API purchases from such supplier as inventory. We state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quantities in excess of expected demand, changes in price levels or other causes, then we will reduce the carrying value of such inventory to net realizable value and recognize the difference as a component of cost of goods sold in the period in which it occurs.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73"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 tax</w:t>
      </w:r>
      <w:r>
        <w:rPr>
          <w:rFonts w:ascii="Arial" w:cs="Arial" w:eastAsia="Arial" w:hAnsi="Arial"/>
          <w:sz w:val="17"/>
          <w:szCs w:val="17"/>
          <w:i w:val="1"/>
          <w:iCs w:val="1"/>
          <w:color w:val="auto"/>
        </w:rPr>
        <w:t xml:space="preserve"> </w:t>
      </w:r>
      <w:r>
        <w:rPr>
          <w:rFonts w:ascii="Arial" w:cs="Arial" w:eastAsia="Arial" w:hAnsi="Arial"/>
          <w:sz w:val="17"/>
          <w:szCs w:val="17"/>
          <w:color w:val="auto"/>
        </w:rPr>
        <w:t>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historically generated annual positive taxable income in the United States. When making our assessment about the realization of our U.S. deferred tax assets at March 31, 2017, we considered all available evidence, placing particular weight on evidence that could be objectively verified. The evidence considered included the (i) historical profitability of our U.S. operations,</w:t>
      </w:r>
    </w:p>
    <w:p>
      <w:pPr>
        <w:spacing w:after="0" w:line="2" w:lineRule="exact"/>
        <w:rPr>
          <w:sz w:val="20"/>
          <w:szCs w:val="20"/>
          <w:color w:val="auto"/>
        </w:rPr>
      </w:pPr>
    </w:p>
    <w:p>
      <w:pPr>
        <w:ind w:right="60" w:firstLine="8"/>
        <w:spacing w:after="0" w:line="269"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sources of future taxable income, giving weight to sources according to the extent to which they can be objectively verified, and (iii) the risks to our business related to the commercialization and development of Vascepa. Based on our assessment, we concluded that the recorded net U.S. deferred tax assets of $11.1 million are more likely than not to be realizable as of March 31, 2017.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Excess tax benefits and deficiencies that arise upon vesting or exercise of share-based payments are recognized as an income tax benefit and expense, respectively, in the condensed consolidated statement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early adopted by us or adopted as of the specified effective date. We considered the following recent accounting pronouncements which were not yet adopted as of March 31, 2017:</w:t>
      </w:r>
    </w:p>
    <w:p>
      <w:pPr>
        <w:spacing w:after="0" w:line="124"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which will replace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 ASU No. 2014-09 requires extensive quantitative and qualitative disclosures covering the nature, amount, timing and uncertainty of revenue and cash flows arising from customer contracts, including disclosures on significant judgments made when applying the guidance. This guidance is effective for annual reporting periods beginning after December 15, 2017 and interim periods therein. Early adoption is permitted for reporting periods and interim periods therein, beginning after December 15, 2016. An entity can elect to apply the guidance under one of the following two methods: (i) retrospectively to each prior reporting period presented, referred to as the full retrospective method, or (ii) retrospectively with the cumulative effect of initially applying the standard recognized at the date of initial application in retained earnings, referred to as the modified retrospective method.</w:t>
      </w:r>
    </w:p>
    <w:p>
      <w:pPr>
        <w:spacing w:after="0" w:line="195"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color w:val="auto"/>
        </w:rPr>
        <w:t>We have substantially completed an initial impact assessment of the potential changes from adopting ASU No. 2014-09. The impact assessment consisted of a review of a representative sample of contracts, discussions with key stakeholders, and a cataloging of potential impacts on its financial statements, accounting policies, financial control, and operations. We anticipate that the adoption of ASU No. 2014-09 will not have a material impact on product revenue from distributors and may have an impact on contract revenues generated by our license agreements:</w:t>
      </w:r>
    </w:p>
    <w:p>
      <w:pPr>
        <w:spacing w:after="0" w:line="63" w:lineRule="exact"/>
        <w:rPr>
          <w:sz w:val="20"/>
          <w:szCs w:val="20"/>
          <w:color w:val="auto"/>
        </w:rPr>
      </w:pPr>
    </w:p>
    <w:p>
      <w:pPr>
        <w:ind w:left="1040" w:right="260" w:hanging="519"/>
        <w:spacing w:after="0" w:line="28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model for distinct licenses of functional intellectual property which may result in a timing difference of revenue recognition. Whereas revenue from these arrangements was previously recognized over a period of time pursuant to the multiple element arrangement guidance, revenue from these arrangements may now be recognized at a point in time under the new guidance.</w:t>
      </w:r>
    </w:p>
    <w:p>
      <w:pPr>
        <w:spacing w:after="0" w:line="57" w:lineRule="exact"/>
        <w:rPr>
          <w:rFonts w:ascii="Arial" w:cs="Arial" w:eastAsia="Arial" w:hAnsi="Arial"/>
          <w:sz w:val="17"/>
          <w:szCs w:val="17"/>
          <w:color w:val="auto"/>
        </w:rPr>
      </w:pPr>
    </w:p>
    <w:p>
      <w:pPr>
        <w:ind w:left="1040" w:right="40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Assessments of milestone payments, which are linked to events that are in our control, will result in variable consideration that may be recognized at an earlier point in time under the new guidance, when it is probable that the milestone will be achieved without a significant future reversal of cumulative revenue expected.</w:t>
      </w:r>
    </w:p>
    <w:p>
      <w:pPr>
        <w:spacing w:after="0" w:line="18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have not yet completed our final review of the impact of this guidance; however, we anticipate applying the modified retrospective method when implementing this guidance. We plan to adopt the new standard effective January 1, 2018. We continue to monitor additional changes, modifications, clarifications or interpretations being undertaken by the FASB, which may impact our current conclusions.</w:t>
      </w:r>
    </w:p>
    <w:p>
      <w:pPr>
        <w:spacing w:after="0" w:line="1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The new guidance is intended to improve the recognition and measurement of financial instruments by requiring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We are currently evaluating the accounting, transition and disclosure requirements of the standard and cannot currently estimate the financial statement impact of adoption.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7" w:name="page38"/>
    <w:bookmarkEnd w:id="37"/>
    <w:p>
      <w:pPr>
        <w:ind w:firstLine="518"/>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We are currently evaluating the accounting, transition and disclosure requirements of the standard and cannot currently estimate the financial statement impact of adoption.</w:t>
      </w:r>
    </w:p>
    <w:p>
      <w:pPr>
        <w:spacing w:after="0" w:line="166"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clarifies that an entity is a principal when it controls the specified good or service before that good or service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provides clarifying guidance in certain narrow areas and adds some practical expedients. The amendments do not change the core principles of the guidance in Topic 606 and are effective for our fiscal year beginning January 1, 2018. Early application is permitted only as of annual reporting periods beginning after December 15, 2016, including interim reporting periods within that reporting period. We are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ind w:right="360" w:firstLine="518"/>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is intended to reduce diversity in practice regarding how certain cash receipts and cash payments related to eight specific issues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presented and classified in the statement of cash flows. In November 2016, the FASB issued ASU No. 2016-18,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Restricted Cash</w:t>
      </w:r>
      <w:r>
        <w:rPr>
          <w:rFonts w:ascii="Arial" w:cs="Arial" w:eastAsia="Arial" w:hAnsi="Arial"/>
          <w:sz w:val="16"/>
          <w:szCs w:val="16"/>
          <w:color w:val="auto"/>
        </w:rPr>
        <w:t>, which requires that the statement of cash flows explain the change during the period in the total of cash, cash equivalents, and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described as restricted cash or restricted cash equivalents. For each of these ASUs, the new guidance is effective for fiscal years beginning after December 15, 2017, including interim periods within those fiscal years, with early adoption permitted. We have evaluated the accounting, transition and disclosure requirements of these standards and do not expect them to have a material impact on our consolidated financial statements.</w:t>
      </w:r>
    </w:p>
    <w:p>
      <w:pPr>
        <w:spacing w:after="0" w:line="16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our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Three Months Ended March 31, 2017 and March 31, 2016</w:t>
      </w:r>
    </w:p>
    <w:p>
      <w:pPr>
        <w:spacing w:after="0" w:line="11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of $34.3 million and $25.3 million during the three months ended March 31, 2017 and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$9.0 million, or 36%. This increase in revenue was driven primarily by an increase in estimated normalized total Vascepa prescriptions. Based on data provided by Symphony Health Solutions and IMS Health, estimated normalized total Vascepa prescriptions increased by approximately 104,000 and 123,000, respectively, over the three months ended March 31, 2016, representing growth of 52% and 58%, respectively. During the first quarter of 2017, overall wholesaler inventory levels decreased from year-end 2016 levels calculated based on estimated days of Vascepa sales on hand. Consequently, we estimate that this decrease in wholesaler inventory levels adversely impacted net product revenue by approximately $2.8 million to $3.1 million for the first quarter of 2017. During the first quarter of 2016, a decrease in wholesaler inventory levels adversely impacted net product revenue by approximately $1.2 million to $1.5 million calculated based on estimated days of Vascepa sales on hand. We believe that changes in channel inventory at these independent wholesalers and retail pharmacies are common and are impacted by numerous factors, including holiday timing and recent order trends. We also believe, based on information available to us, that channel inventory levels at the end of the first quarters of 2017 and 2016 are within ordinary ranges.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firstLine="518"/>
        <w:spacing w:after="0" w:line="255" w:lineRule="auto"/>
        <w:rPr>
          <w:sz w:val="20"/>
          <w:szCs w:val="20"/>
          <w:color w:val="auto"/>
        </w:rPr>
      </w:pPr>
      <w:r>
        <w:rPr>
          <w:rFonts w:ascii="Arial" w:cs="Arial" w:eastAsia="Arial" w:hAnsi="Arial"/>
          <w:sz w:val="18"/>
          <w:szCs w:val="18"/>
          <w:color w:val="auto"/>
        </w:rPr>
        <w:t>All of our product revenue in the three months ended March 31, 2017 and 2016 was derived from product sales of Vascepa, net of allowances, discounts, incentives, rebates, chargebacks and returns. Included in 2017 net product revenue are sales of 0.5-gram size Vascepa capsules, which were introduced in October 2016, for the subset of patients who prefer a smaller capsule. Sales of Vascepa 0.5-gram size capsules have not been significant to date. The FDA-approved dosing for Vascepa continues to be 4 grams per day and we expect that the majority of patients taking Vascepa will continue to be prescribed the 1-gram size Vascepa capsules. We also expect that the majority of new patients will be prescribed the 1-gram size Vascepa capsule. Timing of shipments to wholesalers, as used for revenue recognition, and timing of prescriptions as estimated by third-party sources such as Symphony Health Solutions and IMS Health may differ from period to period.</w:t>
      </w:r>
    </w:p>
    <w:p>
      <w:pPr>
        <w:spacing w:after="0" w:line="189"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During the quarters ended March 31, 2017 and 2016,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March 31, 2017 and 2016 was up to $70 per 30-day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6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Licensing Revenue</w:t>
      </w:r>
      <w:r>
        <w:rPr>
          <w:rFonts w:ascii="Arial" w:cs="Arial" w:eastAsia="Arial" w:hAnsi="Arial"/>
          <w:sz w:val="16"/>
          <w:szCs w:val="16"/>
          <w:color w:val="auto"/>
        </w:rPr>
        <w:t>. Licensing revenue during the three months ended March 31, 2017 and 2016 was $0.3 million and $0.2 million, respectively,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of $0.1 million, or 24%. Licensing revenue relates to the amortization of a $15.0 million up-front payment received in February 2015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 million milestone payment achieved in March 2016, both associated with a Vascepa licensing agreement for the China Territory. The up-front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are being recognized over the estimated period in which we are required to provide regulatory and development support and clinical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supply under the agreement. The amount of licensing revenue recorded may be variable from period to period based on changes in estimates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level of support required. We do not anticipate significant revenues related to the Biologix agreement in 2017.</w:t>
      </w:r>
    </w:p>
    <w:p>
      <w:pPr>
        <w:spacing w:after="0" w:line="211"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March 31, 2017 and 2016 was $8.2 million and $6.9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$1.3 million, or 19%.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API included in the calculation of the average cost of goods sold during the quarters ended March 31, 2017 and 2016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 The average cost may be variable from period to period depending upon the timing and quantity of API purchased from each supplier.</w:t>
      </w:r>
    </w:p>
    <w:p>
      <w:pPr>
        <w:spacing w:after="0" w:line="18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Our gross margin on product sales for the three months ended March 31, 2017 and 2016 was 76% and 73%, respectively. This improvement was primarily driven by lower unit cost API purchases.</w:t>
      </w:r>
    </w:p>
    <w:p>
      <w:pPr>
        <w:spacing w:after="0" w:line="170"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March 31, 2017 and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$34.2 million and $28.0 million, respectively, an increase of $6.2 million, or 22%. Selling, general and administrative expenses for the three months ended March 31, 2017 and 2016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236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220" w:hanging="512"/>
        <w:spacing w:after="0" w:line="271"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co-promotion fees and non-cash compensation charges for stock compensation and warrants, for the three months ended March 31, 2017 and 2016 was $26.1 million and $21.6 million, respectively, an increase of $4.5 million, or 21%. The increase is due primarily to increased promotional activities and increased legal costs, which are subject to quarterly variability.</w:t>
      </w:r>
    </w:p>
    <w:p>
      <w:pPr>
        <w:ind w:left="520" w:right="2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Co-promotion fees accrued under our agreement with Kowa Pharmaceuticals America, Inc. for the three months ended March 31, 2017 and 2016 were $5.2 million and $3.5 million, respectively, an increase of $1.7 million, or 50%. The increase 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left="520" w:right="460"/>
        <w:spacing w:after="0" w:line="291" w:lineRule="auto"/>
        <w:rPr>
          <w:sz w:val="20"/>
          <w:szCs w:val="20"/>
          <w:color w:val="auto"/>
        </w:rPr>
      </w:pPr>
      <w:r>
        <w:rPr>
          <w:rFonts w:ascii="Arial" w:cs="Arial" w:eastAsia="Arial" w:hAnsi="Arial"/>
          <w:sz w:val="16"/>
          <w:szCs w:val="16"/>
          <w:color w:val="auto"/>
        </w:rPr>
        <w:t>due primarily to an increase in gross margin on product sales for the first quarter of 2017 compared to the same period in 2016, coupled with an increase in the percentage of aggregate Vascepa gross margin earned by Kowa Pharmaceuticals America, Inc. from 19% in 2016 to 20% in 2017.</w:t>
      </w:r>
    </w:p>
    <w:p>
      <w:pPr>
        <w:ind w:left="520" w:right="18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March 31, 2017 and 2016 was $2.8 million and $2.9 million, respectively, a decrease of $0.1 million, or 1.9%.</w:t>
      </w:r>
    </w:p>
    <w:p>
      <w:pPr>
        <w:spacing w:after="0" w:line="184"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March 31, 2017 and 2016 was $10.8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$13.7 million, respectively, a decrease of $2.9 million, or 21%. Research and development expenses for the three months ended March 31, 2017 and 2016 are summarized in the table below:</w:t>
      </w:r>
    </w:p>
    <w:p>
      <w:pPr>
        <w:spacing w:after="0" w:line="254"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7,683</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10,300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8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10,823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decrease in research and development expenses for the quarter ended March 31, 2017, as compared to the prior year period, is primarily due to quarterly variability in costs related to the REDUCE-IT study.</w:t>
      </w:r>
    </w:p>
    <w:p>
      <w:pPr>
        <w:spacing w:after="0" w:line="62" w:lineRule="exact"/>
        <w:rPr>
          <w:sz w:val="20"/>
          <w:szCs w:val="20"/>
          <w:color w:val="auto"/>
        </w:rPr>
      </w:pPr>
    </w:p>
    <w:p>
      <w:pPr>
        <w:ind w:left="520" w:right="40" w:hanging="512"/>
        <w:spacing w:after="0" w:line="266"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March 31, 2017 and 2016, we incurred expenses through our CRO in connection with this trial of approximately $6.7 million and $7.6 million, respectively. Inclusive of CTM costs, the combined CRO and CTM costs during the three months ended March 31, 2017 and 2016 for REDUCE-IT were approximately $7.7 million and $9.4 million, respectively. The decrease in expenses in 2017 as compared to 2016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primary cardiovascular events. Based on projected event rates, we estimate the onset of the target aggregate number of cardiovascular events to be reached near the end of 2017 with study results then expected to be available and published in 2018.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7"/>
          <w:szCs w:val="17"/>
          <w:color w:val="auto"/>
        </w:rPr>
      </w:pPr>
    </w:p>
    <w:p>
      <w:pPr>
        <w:jc w:val="both"/>
        <w:ind w:left="52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March 31, 2017 and 2016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Loss on Change in Fair Value of Derivative Liabilities</w:t>
      </w:r>
      <w:r>
        <w:rPr>
          <w:rFonts w:ascii="Arial" w:cs="Arial" w:eastAsia="Arial" w:hAnsi="Arial"/>
          <w:sz w:val="18"/>
          <w:szCs w:val="18"/>
          <w:color w:val="auto"/>
        </w:rPr>
        <w:t>. Loss on change in fair value of derivative liabilities for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nil versus a loss of $1.3 million in the prior year period. Loss on change in fair value of derivative liabilities for the three months ended March 31, 2017 and 2016 is comprised of (i) the change in fair value of the derivative liability related to the change in control provision associated with the December 2012 BioPharma financing, and (ii) the change in fair value of the derivative liabilities related to the change in control provisions associated with the May 2014 and November 2015 exchangeable senior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right="60" w:firstLine="518"/>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repay $150.0 million, less any previously repaid amount, which net remaining unpaid amount as of March 31, 2017 was $121.7 million. Unless this early redemption feature is triggered, the remaining amount, without additional interest accumulation, is anticipated to be paid based on the royalty provisions of the agreement.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No gain or loss on change in fair value of derivative liability was recognized for the three months ended March 31, 2017 as the fair value of the derivative was determined to be nil based on underlying assumptions as of both December 31, 2016 and March 31, 2017. As of December 31, 2015, the fair value of the derivative was determined to be $5.5 million, and as of March 31, 2016, the fair value of the derivative was determined to be $5.9 million. As such, we recognized a $0.4 million loss on change in fair value of derivative liability for the three months ended March 31, 2016.</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3.5% May 2014 Exchangeable Senior Notes due 2032, or 2014 Notes,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ADSs (see Note 5—Debt). As such, the related derivative liability was derecognized at that time and therefore no gain or loss on change in fair value of derivative liability was recognized for the three months ended March 31, 2017. As of December 31, 2015, the fair value of the derivative was determined to be $2.1 million, and as of March 31, 2016, the fair value of the derivative was determined to be $2.8 million. As such, we recognized a $0.7 million loss on change in fair value of derivative liability for the three months ended March 31, 2016.</w:t>
      </w:r>
    </w:p>
    <w:p>
      <w:pPr>
        <w:spacing w:after="0" w:line="18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3.5% November 2015 Exchangeable Senior Notes due 2032, or 2015 Notes,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5—Debt). As such, the related derivative liability was derecognized at that time and therefore no gain or loss on change in fair value of derivative liability was recognized for the three months ended March 31, 2017. As of December 31, 2015, the fair value of the derivative was determined to be $0.6 million and as of March 31, 2016, the fair value of the derivative was determined to be $0.7 million. As such, we recognized a $0.1 million loss on change in fair value of derivative liability for the three months ended March 31, 2016.</w:t>
      </w:r>
    </w:p>
    <w:p>
      <w:pPr>
        <w:spacing w:after="0" w:line="189"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was largely related to changes in quoted bond prices. Any changes in the assumptions used to value the derivative liabilities could result in a material change to the carrying value of such liabilities.</w:t>
      </w:r>
    </w:p>
    <w:p>
      <w:pPr>
        <w:spacing w:after="0" w:line="171"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three months ended March 31, 2017 and 2016 was $2.4 million and $5.6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$3.2 million, or 57%. Net interest expense for the three months ended March 31, 2017 and 2016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gridSpan w:val="3"/>
            <w:vMerge w:val="restart"/>
          </w:tcPr>
          <w:p>
            <w:pPr>
              <w:ind w:left="106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4"/>
                <w:szCs w:val="14"/>
                <w:color w:val="auto"/>
              </w:rPr>
            </w:pPr>
          </w:p>
        </w:tc>
        <w:tc>
          <w:tcPr>
            <w:tcW w:w="2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gridSpan w:val="3"/>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6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6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gridSpan w:val="3"/>
          </w:tcPr>
          <w:p>
            <w:pPr>
              <w:ind w:left="1060"/>
              <w:spacing w:after="0"/>
              <w:rPr>
                <w:sz w:val="20"/>
                <w:szCs w:val="20"/>
                <w:color w:val="auto"/>
              </w:rPr>
            </w:pPr>
            <w:r>
              <w:rPr>
                <w:rFonts w:ascii="Arial" w:cs="Arial" w:eastAsia="Arial" w:hAnsi="Arial"/>
                <w:sz w:val="18"/>
                <w:szCs w:val="18"/>
                <w:color w:val="auto"/>
              </w:rPr>
              <w:t>Total exchangeable senior notes 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3,414</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6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gridSpan w:val="3"/>
          </w:tcPr>
          <w:p>
            <w:pPr>
              <w:ind w:left="1060"/>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gridSpan w:val="3"/>
          </w:tcPr>
          <w:p>
            <w:pPr>
              <w:ind w:left="1060"/>
              <w:spacing w:after="0"/>
              <w:rPr>
                <w:sz w:val="20"/>
                <w:szCs w:val="20"/>
                <w:color w:val="auto"/>
              </w:rPr>
            </w:pPr>
            <w:r>
              <w:rPr>
                <w:rFonts w:ascii="Arial" w:cs="Arial" w:eastAsia="Arial" w:hAnsi="Arial"/>
                <w:sz w:val="18"/>
                <w:szCs w:val="18"/>
                <w:color w:val="auto"/>
              </w:rPr>
              <w:t>Total 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gridSpan w:val="3"/>
          </w:tcPr>
          <w:p>
            <w:pPr>
              <w:ind w:left="1060"/>
              <w:spacing w:after="0"/>
              <w:rPr>
                <w:sz w:val="20"/>
                <w:szCs w:val="20"/>
                <w:color w:val="auto"/>
              </w:rPr>
            </w:pPr>
            <w:r>
              <w:rPr>
                <w:rFonts w:ascii="Arial" w:cs="Arial" w:eastAsia="Arial" w:hAnsi="Arial"/>
                <w:sz w:val="18"/>
                <w:szCs w:val="18"/>
                <w:color w:val="auto"/>
              </w:rPr>
              <w:t>Total interest expense,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gridSpan w:val="2"/>
          </w:tcPr>
          <w:p>
            <w:pPr>
              <w:spacing w:after="0"/>
              <w:rPr>
                <w:sz w:val="10"/>
                <w:szCs w:val="10"/>
                <w:color w:val="auto"/>
              </w:rPr>
            </w:pPr>
          </w:p>
        </w:tc>
        <w:tc>
          <w:tcPr>
            <w:tcW w:w="5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7460" w:type="dxa"/>
            <w:vAlign w:val="bottom"/>
            <w:gridSpan w:val="3"/>
          </w:tcPr>
          <w:p>
            <w:pPr>
              <w:jc w:val="right"/>
              <w:ind w:right="16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1" w:name="page42"/>
    <w:bookmarkEnd w:id="41"/>
    <w:p>
      <w:pPr>
        <w:jc w:val="both"/>
        <w:ind w:left="520" w:right="300" w:hanging="512"/>
        <w:spacing w:after="0" w:line="288"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and non-cash interest expense related to the exchangeable senior notes for the three months ended March 31, 2017 and 2016 was $0.3 million and $3.4 million, respectively. The decrease in cash and non-cash interest expense is the result of the decrease in principal amount of exchangeable senior notes from $165.1 million outstanding as of March 31, 2016 to $30.0 million outstanding as of March 31, 2017.</w:t>
      </w:r>
    </w:p>
    <w:p>
      <w:pPr>
        <w:ind w:left="520" w:right="320" w:hanging="512"/>
        <w:spacing w:after="0" w:line="281"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royalty-bearing instrument for the three months ended March 31, 2017 and 2016 was $2.2 million in each period.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32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for the three months ended March 31, 2017 and 2016 was $0.03 million and $0.02 million, respectively. Interest income represents income earned on cash balances.</w:t>
      </w:r>
    </w:p>
    <w:p>
      <w:pPr>
        <w:spacing w:after="0" w:line="184"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three months ended March 31, 2017 and 2016 was $5 thousand and $0.1 million, respectively.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primarily consists of losses and gains on foreign exchange transactions.</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Benefit from income taxes for the three months ended March 31, 2017 and 2016 was nil and $0.3 million,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applying the estimated annual effective tax rate approach prescribed under ASC 740-270 and based on present evidence and conclusions around the realizability of deferred tax assets, we determined that any tax benefit related to the pretax losses generated during the first quarter of 2017 is neither more likely than not to be realized in the current year nor realizable as a deferred tax asset at the end of the year. Therefore, the appropriate amount of income tax benefit to recognize during the three months ended March 31, 2017 is zero. The benefit recognized during the three months ended March 31, 2016 related entirely to the U.S. subsidiary operations. We are profitable in the United States as a result of intercompany transactions between our U.S. subsidiary and our other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40" w:firstLine="518"/>
        <w:spacing w:after="0" w:line="259" w:lineRule="auto"/>
        <w:rPr>
          <w:sz w:val="20"/>
          <w:szCs w:val="20"/>
          <w:color w:val="auto"/>
        </w:rPr>
      </w:pPr>
      <w:r>
        <w:rPr>
          <w:rFonts w:ascii="Arial" w:cs="Arial" w:eastAsia="Arial" w:hAnsi="Arial"/>
          <w:sz w:val="18"/>
          <w:szCs w:val="18"/>
          <w:color w:val="auto"/>
        </w:rPr>
        <w:t>Our sources of liquidity as of March 31, 2017 include cash and cash equivalents of $96.1 million. Our projected uses of cash include commercialization of Vascepa, the continued funding of the REDUCE-IT cardiovascular outcomes study, working capital and other general corporate activities. Our cash flows from operating, investing and financing activities, as reflected in the condensed consolidated statements of cash flows, are summarized in the following table:</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vMerge w:val="continue"/>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Operating activities (1)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Financing activities (1)</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Decrease in cash and cash equivalents</w:t>
            </w:r>
          </w:p>
        </w:tc>
        <w:tc>
          <w:tcPr>
            <w:tcW w:w="13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line="312"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Due to the adoption of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and retrospective application of the aspects of the standard that affect cash flow presentation, $0.1 million of excess tax provision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from cash flows provided by financing activities to cash flows used in operating activities for the three months ended March 31, 2016.</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2017 compared to the same period in 2016 decreased primarily as a result of increased collections due to higher revenues, which resulted in decreased net loss. Increased sales and marketing spending in the first quarter of 2017 in support of expanded Vascepa promotion was more than offset by higher collections from product sales.</w:t>
      </w:r>
    </w:p>
    <w:p>
      <w:pPr>
        <w:spacing w:after="0" w:line="18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We have agreed to repay BioPharma up to $150.0 million of future revenue and receivables. As of March 31, 2017, the net remaining amount to be repaid to BioPharma is $121.7 million. To date, our revenues have been below the contractual threshold amount such that each payment made has reflected the calculated optional reduction amount as opposed to the contractual threshold payments for each quarterly period. For example, based on our Vascepa net product revenue for the three months ended March 31, 2017 of $34.3 million, the amount to be repaid to BioPharma is $3.4 million compared to the maximum contractual threshold for the first quarter of 2017 of $13.0 million. The maximum amount payable under the contractual threshold for the first half of 2017 is $7.2 million, after which the maximum amount payable is subject to the calculated threshold limitation based on quarterly Vascepa revenues. In accordance with the agreement with BioPharma, quarterly differences between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160"/>
        <w:spacing w:after="0" w:line="279" w:lineRule="auto"/>
        <w:rPr>
          <w:sz w:val="20"/>
          <w:szCs w:val="20"/>
          <w:color w:val="auto"/>
        </w:rPr>
      </w:pPr>
      <w:r>
        <w:rPr>
          <w:rFonts w:ascii="Arial" w:cs="Arial" w:eastAsia="Arial" w:hAnsi="Arial"/>
          <w:sz w:val="17"/>
          <w:szCs w:val="17"/>
          <w:color w:val="auto"/>
        </w:rPr>
        <w:t>calculated optional reduction amounts and the repayment schedule amounts are rescheduled for payment beginning in 2017 and any such deferred payments will remain subject to continued application of the quarterly ceiling in amounts due established by the calculated threshold for royalty based on quarterly Vascepa revenues. No additional interest expense or liability is incurred as a result of such deferred repayments. The agreement does not expire until $150.0 million in aggregate has been repaid. We can prepay an amount equal to $150.0 million less any previously repaid amount.</w:t>
      </w:r>
    </w:p>
    <w:p>
      <w:pPr>
        <w:spacing w:after="0" w:line="17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January 2012, we, through our wholly-owned subsidiary Corsicanto Designated Activity Company (formerly Corsicanto Limited), or Corsicanto, completed a private placement of $150.0 million in aggregate principal amount of 3.5% exchangeable senior notes due 2032, or the 2012 Notes. The proceeds we received from the January 2012 debt offering were approximately $144.3 million, net of fees and transaction costs.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In November 2015, we issued $31.3 million in aggregate principal amount of 3.5% exchangeable senior notes due 2032, or the 2015 Notes, and used $16.2 million of the proceeds to repay a portion of the 2012 Notes, such that $15.1 million of 2012 Notes remained outstanding with terms unchanged. In September 2016, we exercised our optional exchange rights upon satisfaction of specified equity conditions set forth in the 2014 Notes and 2015 Notes and mandatorily exchanged the entirety of the 2014 Notes and 2015 Notes into ADSs. In January 2017, approximately $15.0 million of the 2012 Notes were put to us and in March 2017, we redeemed the entirety of the remaining $0.1 million of outstanding principal amount of 2012 Notes plus accrued but unpaid interest. As of March 31, 2017, no 2012 Notes, 2014 Notes or 2015 Notes remained outstanding.</w:t>
      </w:r>
    </w:p>
    <w:p>
      <w:pPr>
        <w:spacing w:after="0" w:line="173"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January 2017, we, through our wholly-owned subsidiary Corsicanto II Designated Activity Company, or Corsicanto II, a private designated activity company incorporated under the laws of Ireland, entered into separate, privately negotiated purchase agreements with certain investors pursuant to which we issued and sold $30.0 million in aggregate principal amount of 3.5% exchangeable senior notes due 2047, or the 2017 Notes. The net proceeds we received from the January 2017 offering were approximately $28.8 million, after deducting placement agent fees and estimated offering expenses.</w:t>
      </w:r>
    </w:p>
    <w:p>
      <w:pPr>
        <w:spacing w:after="0" w:line="15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2017 Notes were issued pursuant to an indenture dated as of January 25, 2017, by and among Corsicanto II, us as guarantor, and Wilmington Trust, National Association, as trustee. The 2017 Notes are the senior unsecured obligations of the Issuer and are guaranteed by us. The 2017 Notes bear interest at a rate of 3.5% per annum from, and including, January 25, 2017, payable semi-annually in arrears on January 15 and July 15 of each year, beginning on July 15, 2017. The 2017 Notes will mature on January 15, 2047, unless earlier repurchased, redeemed or exchanged. On or after January 19, 2021, we may redeem for cash all or a portion of the 2017 Notes at a redemption price of 100% of the aggregate principal amount of the 2017 Notes to be redeemed, plus accrued and unpaid interest. On January 19, 2022, holders of the 2017 Notes may require that we repurchase in cash all or any portion of the 2017 Notes at a price equal to 100% of the aggregate principal amount of the 2017 Notes to be repurchased, plus accrued and unpaid interest. At any time prior to January 15, 2047, the holders may exchange their 2017 Notes for ADSs at their option, and we may mandatorily exchange the 2017 Notes if the price of our shares trades above 130% of the exchange price then in effect for 20 VWAP trading days in any 30 consecutive VWAP trading day period (as defined in the indenture). The initial exchange rate for such conversion is 257.2016 ADSs per $1,000 principal amount of the 2017 Notes (equivalent to an initial exchange price of approximately $3.89 per ADS), subject to adjustment upon the occurrence of certain events, including the payment of cash dividends. Upon exchange, the 2017 Notes are to be settled in ADSs.</w:t>
      </w:r>
    </w:p>
    <w:p>
      <w:pPr>
        <w:spacing w:after="0" w:line="180" w:lineRule="exact"/>
        <w:rPr>
          <w:sz w:val="20"/>
          <w:szCs w:val="20"/>
          <w:color w:val="auto"/>
        </w:rPr>
      </w:pPr>
    </w:p>
    <w:p>
      <w:pPr>
        <w:ind w:right="140" w:firstLine="518"/>
        <w:spacing w:after="0" w:line="253" w:lineRule="auto"/>
        <w:rPr>
          <w:sz w:val="20"/>
          <w:szCs w:val="20"/>
          <w:color w:val="auto"/>
        </w:rPr>
      </w:pPr>
      <w:r>
        <w:rPr>
          <w:rFonts w:ascii="Arial" w:cs="Arial" w:eastAsia="Arial" w:hAnsi="Arial"/>
          <w:sz w:val="18"/>
          <w:szCs w:val="18"/>
          <w:color w:val="auto"/>
        </w:rPr>
        <w:t>As of March 31, 2017, we had cash and cash equivalents of $96.1 million, a decrease of $2.2 million from December 31, 2016. The decrease is primarily due to net cash used in operating activities in support of the commercialization of Vascepa and funding of REDUCE-IT, substantially offset by accounts receivable collections and the net effect of financing activities related to the repayment of the 2012 Notes and issuance of the 2017 Notes. We have incurred annual operating losses since our inception and, as a result, we had an accumulated deficit of $1.2 billion as of March 31, 2017. We believe that our net cash flow from operations in 2017, excluding interest, royalties and R&amp;D costs, the majority of which are associated with REDUCE-IT, will be positive for 2017. We anticipate that quarterly net cash outflows in future periods will be variable as a result of the timing of certain items, including our intention in early 2017 to increase purchases of API. In addition, certain customers have negotiated extended payment terms with us, which will result in slower collections of receivables. We believe that our cash and cash equivalents will be sufficient to fund our projected operations through the results of the REDUCE-IT study, which we anticipate will be available mid-2018. Depending on the level of cash generated from operations, additional capital may be required to sustain operations, fund debt obligations or expand promotion of Vascepa as contemplated based on anticipated successful results of the REDUCE-IT study.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Catalent Pharma Solutions, and Capsugel Plöermel SAS, LLC, or Capsugel. Our agreements with Chemport, Novasep, and Capsugel contain minimum annual purchase levels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to enable us to maintain certain supply exclusivity and also contain a provision that any shortfall in the minimum purchase commitments is payable in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Each supplier is required to meet certain performance obligations and the agreements may be terminated by us in the event of non-performance.</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operating lease costs consisting of leases for facilities in Dublin, Ireland and Bedminster, NJ, offset by sublease rental income.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terms of the agreement with BioPharma, we agreed to repay up to $150.0 million of future revenue and receivables. As of March 31,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net remaining amount to be repaid to BioPharma is $121.7 million. To date, our revenues have been below the contractual threshold amount such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payment made has reflected the calculated optional reduction amount as opposed to the contractual threshold payments for each quarterly period.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amount payable under the contractual threshold for the first half of 2017 is $7.2 million, after which the maximum amount payable is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threshold limitation based on quarterly Vascepa revenues. For example, based on our Vascepa net product revenue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2017 of $34.3 million, the amount to be repaid to BioPharma is $3.4 million compared to the maximum contractual threshold for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2017 of $13.0 million. The maximum amount payable under the contractual threshold for the first half of 2017 is $7.2 million, after which the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payable is subject to the calculated threshold limitation based on quarterly Vascepa revenues. In accordance with the agreement with BioPharma,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quarterly differences between the calculated optional reduction amounts and the repayment schedule amounts are rescheduled for payment beginning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2017 and any such deferred payments will remain subject to continued application of the quarterly ceiling in amounts due established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threshold based on quarterly Vascepa revenues. No additional interest expense or liability is incurred as a result of such deferred repayments and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cliff payment of the remaining balance is due except in the event of Company default or Company change of control. The agreement does not expire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million in aggregate has been repaid. We can prepay an amount equal to $150.0 million less any previously repaid amount. We currently estimate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Vascepa revenue levels will not be high enough in each quarter to support repayment to BioPharma in accordance with threshold amounts in the repayment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and that such payments will remain subject to the continued application of the calculated threshold for royalty based on quarterly Vascepa revenues.</w:t>
      </w:r>
    </w:p>
    <w:p>
      <w:pPr>
        <w:spacing w:after="0" w:line="23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have scheduled interest payments due under the terms of the 2017 Notes, assuming that they remain outstanding through January 19, 2022 and have not been exchanged for ADSs.</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$0.2 million in each of the three months ended March 31, 2017 and 2016.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$9.4 million as of March 31, 2017).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$6.2 million as of March 31, 2017) for each of the two potential market approvals (i.e. £10 million maximum, or approximately $12.5 million as of March 31, 2017).</w:t>
      </w:r>
    </w:p>
    <w:p>
      <w:pPr>
        <w:spacing w:after="0" w:line="169"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March 31, 2017,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March 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As of March 31, 2017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March 31, 2017,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quarter ended March 31, 2017,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2016 includes a discussion of our current legal proceedings. There have been no material changes to those disclosures as of the date of this filing.</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for the year ended December 31, 2016 filed with the SEC on March 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301"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62"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6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 xml:space="preserve">In August 2015, based on a federal court order, we also began communicating promotional information beyond the MARINE indication to healthcare professionals in the United States for the treatment of patients with high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&lt;500 mg/dL) triglyceride levels who are also on statin therapy for elevated low-density lipoprotein cholesterol, or LDL-C, levels, based on results from the ANCHOR study of Vascepa. It is estimated that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6" w:name="page47"/>
    <w:bookmarkEnd w:id="46"/>
    <w:p>
      <w:pPr>
        <w:ind w:right="940"/>
        <w:spacing w:after="0" w:line="277" w:lineRule="auto"/>
        <w:rPr>
          <w:sz w:val="20"/>
          <w:szCs w:val="20"/>
          <w:color w:val="auto"/>
        </w:rPr>
      </w:pPr>
      <w:r>
        <w:rPr>
          <w:rFonts w:ascii="Arial" w:cs="Arial" w:eastAsia="Arial" w:hAnsi="Arial"/>
          <w:sz w:val="18"/>
          <w:szCs w:val="18"/>
          <w:color w:val="auto"/>
        </w:rPr>
        <w:t>both triglyceride reduction and the active pharmaceutical ingredient, or API, in Vascepa, EPA, as each relate to the potential of Vascepa to reduce cardiovascular risk.</w:t>
      </w:r>
    </w:p>
    <w:p>
      <w:pPr>
        <w:spacing w:after="0" w:line="170"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any future approved indications will depend on a number of factors, including:</w:t>
      </w:r>
    </w:p>
    <w:p>
      <w:pPr>
        <w:spacing w:after="0" w:line="79"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and</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Since late 2013, our sales team has consisted of approximately 150 sales professionals, including sales representatives and their managers. This sales team promotes Vascepa to a limited group of physicians and other healthcare professionals in select geographies in the United States. This sales team is not large enough to call upon all physicians. In January 2013, when we initially began selling Vascepa in the United States through our own then newly established sales and marketing teams and through a newly established third-party commercial distribution infrastructure, our sales team was larger. In October 2013, following an FDA advisory committee recommendation against approval for the ANCHOR indication, we implemented a plan to reduce our workforce and our team of sales professionals by half.</w:t>
      </w:r>
    </w:p>
    <w:p>
      <w:pPr>
        <w:spacing w:after="0" w:line="19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May 2014 we began co-promoting Vascepa in the United States with Kowa Pharmaceuticals America, Inc. under a co-promotion agreement we entered into in March 2014. Under the agreement, no less than 250 Kowa Pharmaceuticals America, Inc. sales representatives devote a substantial portion of their time to promoting Vascepa with our approximately 150 sales professionals, including sales representatives and their managers, based on a plan designed to focus on select sales territories that we believe have demonstrated the greatest potential for Vascepa sales growth and increase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 In addition, if the results of the REDUCE-IT outcomes study are successful, we plan to expand our promotion of Vascepa, including increasing the size of our team. We will need to overcome challenges associated with rapidly hiring and training personnel and managing larger teams of people. Furthermore, our agreement with Kowa Pharmaceuticals America, Inc. is designed such that their co-promotion of Vascepa ceases after 2018. If we do not extend this co-promotion agreement, enter into a co-promotion agreement with an equally capable company or hire equally capable sales representatives, our sales may be negatively impacted by the end of co-promotion under this agreement.</w:t>
      </w:r>
    </w:p>
    <w:p>
      <w:pPr>
        <w:spacing w:after="0" w:line="183"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Outside of the United States, we have expanded our commercialization activities through partnering arrangements in certain territories. In February 2015, we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DCS Agreement, Eddingpharm is solely responsible for development and commercialization activities in the China Territory and associated expenses. Additionally, Eddingpharm is required to conduct clinical trials in the China Territory to secure regulatory approval.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right="20" w:firstLine="518"/>
        <w:spacing w:after="0" w:line="255" w:lineRule="auto"/>
        <w:rPr>
          <w:sz w:val="20"/>
          <w:szCs w:val="20"/>
          <w:color w:val="auto"/>
        </w:rPr>
      </w:pPr>
      <w:r>
        <w:rPr>
          <w:rFonts w:ascii="Arial" w:cs="Arial" w:eastAsia="Arial" w:hAnsi="Arial"/>
          <w:sz w:val="18"/>
          <w:szCs w:val="18"/>
          <w:color w:val="auto"/>
        </w:rPr>
        <w:t>We have limited experience working with partners outside the United States, such as Eddingpharm, to develop and market our products in non-U.S. jurisdictions. In order for Eddingpharm, or us,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Eddingpharm to obtain approval for Vascepa in non-U.S. jurisdictions in a timely manner may limit the commercial success of Vascepa and our ability to grow our revenues.</w:t>
      </w:r>
    </w:p>
    <w:p>
      <w:pPr>
        <w:spacing w:after="0" w:line="193"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In March 2016, we entered into an agreement with Biologix FZCo (“Biologix”), a company incorporated under the laws of United Arab Emirates,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region, as in China, is several years away in most jurisdictions and subject to similar risks. We continue to assess other partnership opportunities for licensing Vascepa to partners outside of the United States.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40"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jc w:val="both"/>
        <w:ind w:left="1040" w:right="480" w:hanging="519"/>
        <w:spacing w:after="0" w:line="286"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April 2015, we received a Complete Response Letter, or CRL, from the FDA on our supplemental new drug application, or sNDA, that sought approval for the use of Vascepa in patients with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were insufficient data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8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August 2015, based on a federal court order, we began communicating promotional information beyond the MARINE indication to healthcare professionals in the United States through use of a set of qualified statements that reflect the state of research related to the use of Vascepa in the ANCHOR population and the supportive but not conclusive research on the use of Vascepa to reduce cardiovascular risk in this population.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220"/>
        <w:spacing w:after="0" w:line="302" w:lineRule="auto"/>
        <w:rPr>
          <w:sz w:val="20"/>
          <w:szCs w:val="20"/>
          <w:color w:val="auto"/>
        </w:rPr>
      </w:pPr>
      <w:r>
        <w:rPr>
          <w:rFonts w:ascii="Arial" w:cs="Arial" w:eastAsia="Arial" w:hAnsi="Arial"/>
          <w:sz w:val="16"/>
          <w:szCs w:val="16"/>
          <w:color w:val="auto"/>
        </w:rPr>
        <w:t>make to healthcare professionals were truthful and non-misleading. An FDA-approved indication for this patient population has not been granted. If new clinical information is demonstrated which changes what we understand today to be truthful and non-misleading, our promotion of Vascepa will need to be modified to ensure that our promotion remains truthful and non-misleading. Our ability to reach full potential in the commercialization of Vascepa in the United States is dependent upon marketing claims associated with Vascepa that are granted with the approval of an indication statement by the FDA.</w:t>
      </w:r>
    </w:p>
    <w:p>
      <w:pPr>
        <w:spacing w:after="0" w:line="154"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all or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11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The Federal Food, Drug, and Cosmetic Act, or FDCA, has been interpreted by the FDA to make it illegal for pharmaceutical companies to promote their FDA approved products for uses that have not been approved by the FDA. Companies that market drugs for off-label uses or indications have been subject to related costly litigation, criminal penalties and civil liability under the FDCA and the False Claims Act.</w:t>
      </w:r>
    </w:p>
    <w:p>
      <w:pPr>
        <w:spacing w:after="0" w:line="16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an off-label use is considered by the FDA to be illegal under the FDCA. The lawsuit, captioned </w:t>
      </w:r>
      <w:r>
        <w:rPr>
          <w:rFonts w:ascii="Arial" w:cs="Arial" w:eastAsia="Arial" w:hAnsi="Arial"/>
          <w:sz w:val="17"/>
          <w:szCs w:val="17"/>
          <w:i w:val="1"/>
          <w:iCs w:val="1"/>
          <w:color w:val="auto"/>
        </w:rPr>
        <w:t>Amarin Pharma, Inc., et al. v. Food &amp; Drug Administration, et al.</w:t>
      </w:r>
      <w:r>
        <w:rPr>
          <w:rFonts w:ascii="Arial" w:cs="Arial" w:eastAsia="Arial" w:hAnsi="Arial"/>
          <w:sz w:val="17"/>
          <w:szCs w:val="17"/>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8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78"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communications with the FDA, we expect that final positive results from the REDUCE-IT outcomes study will be required for label expansion for Vascepa.</w:t>
      </w:r>
    </w:p>
    <w:p>
      <w:pPr>
        <w:spacing w:after="0" w:line="24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trials that we believe show supportive but not conclusive research on the potential connection between the effects of EPA, the active ingredient in Vascepa, and cardiovascular risk reduction (e.g., the JELIS trial of a highly-pure EPA product in Japan and the ongoing REDUCE-IT study of Vascepa). We, the FDA and other interested parties may not agree on the truthfulness and non-misleading nature of our promotional materials with respect to the outcome of these trials. Federal and state governments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80"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Currently, seven manufacturers have launched generic versions of Lovaza. In April 2014, Teva Pharmaceuticals USA Inc., or Teva, launched a generic version of Lovaza after winning its patent litigation against Pronova BioPharma Norge AS, now owned by BASF, which owns such patent rights. In June 2014 and September 2014, Par Pharmaceutical Inc., or Par, and Apotex Inc., or Apotex, respectively, received FDA approval of their respective versions of generic Lovaza. Par launched a generic version of Lovaza in July 2014.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AvKARE, Inc., or AvKARE, launched its version in May 2015. AvKARE supplies government agencies and does not participate in the commercial marketplace. Amneal Pharmaceuticals launched a generic version of Lovaza in January 2016. In December 2016, Golden State Medical Supply launched a generic version of Lovaza. Like AvKARE, Golden State Medical Supply only supplies products to government agencies and does not participate in the commercial marketplace.</w:t>
      </w:r>
    </w:p>
    <w:p>
      <w:pPr>
        <w:spacing w:after="0" w:line="16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5"/>
          <w:szCs w:val="15"/>
          <w:color w:val="auto"/>
        </w:rPr>
        <w:t>®</w:t>
      </w:r>
      <w:r>
        <w:rPr>
          <w:rFonts w:ascii="Arial" w:cs="Arial" w:eastAsia="Arial" w:hAnsi="Arial"/>
          <w:sz w:val="18"/>
          <w:szCs w:val="18"/>
          <w:color w:val="auto"/>
        </w:rPr>
        <w:t>,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intends to complete long-term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line="276" w:lineRule="auto"/>
        <w:rPr>
          <w:sz w:val="20"/>
          <w:szCs w:val="20"/>
          <w:color w:val="auto"/>
        </w:rPr>
      </w:pPr>
      <w:r>
        <w:rPr>
          <w:rFonts w:ascii="Arial" w:cs="Arial" w:eastAsia="Arial" w:hAnsi="Arial"/>
          <w:sz w:val="17"/>
          <w:szCs w:val="17"/>
          <w:color w:val="auto"/>
        </w:rPr>
        <w:t>toxicity studies in the next 6-9 months and follow these with a Phase 3 clinical program to assess the safety and efficacy of CaPre in patients with very high (³500 mg/dL) triglycerides.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 Sancilio completed two pharmacokinetic studies and Phase 2 bioavailability studies (FASTR I&amp;II), with one comparing SC401 to Lovaza. We expect the company to initiate a pivotal clinical Phase 3 study as the next step in development.</w:t>
      </w:r>
    </w:p>
    <w:p>
      <w:pPr>
        <w:spacing w:after="0" w:line="173"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color w:val="auto"/>
        </w:rPr>
        <w:t>In addition, we are aware that Matinas BioPharma, Inc. is developing an omega-3-based therapeutic for the treatment of severe hypertriglyceridemia and mixed dyslipidemia. Matinas BioPharma, Inc. has filed an IND with the FDA to conduct a human study in the treatment of severe hypertriglyceridemia. Akcea Therapeutics/Ionis Pharmaceuticals (formerly Isis Pharmaceuticals), or Akcea/Ionis, announced favorable Phase 3 results of volanesorsen (formerly ISIS-APOCIII</w:t>
      </w:r>
      <w:r>
        <w:rPr>
          <w:rFonts w:ascii="Arial" w:cs="Arial" w:eastAsia="Arial" w:hAnsi="Arial"/>
          <w:sz w:val="13"/>
          <w:szCs w:val="13"/>
          <w:color w:val="auto"/>
        </w:rPr>
        <w:t>Rx</w:t>
      </w:r>
      <w:r>
        <w:rPr>
          <w:rFonts w:ascii="Arial" w:cs="Arial" w:eastAsia="Arial" w:hAnsi="Arial"/>
          <w:sz w:val="16"/>
          <w:szCs w:val="16"/>
          <w:color w:val="auto"/>
        </w:rPr>
        <w:t>), a drug candidate administered through weekly subcutaneous injections, in patients with severe hypertriglyceridemia (COMPASS trial). Phase 2 trials are currently ongoing studying volanesorsen in patients with familial chylomicronemia syndrome (FCS) and familial partial lipodystrophy (FPL) with data expected in 2017 and 2019. In January 2017, Akcea/Ionis announced a strategic collaboration and option agreement with Novartis whereby Novartis will help develop (including funding cardiovascular outcomes studies) and commercialize products emerging from this collaboration, including volanesorsen. Madrigal Pharmaceuticals has completed Phase 1 clinical testing of MGL-3196 for the treatment of high triglycerides and various lipid parameters in patients. Finally, Gemfire Therapeutics announced favorable results from a Phase 2 trial to evaluate the safety and efficacy of gemcabene, an oral, once-daily pill, in the treatment of patients with homozygous familial hypercholesterolemia (HoFH) on stable lipid-lowering therapy. The novel mechanism of action of gemcabene may support multiple indications including a potential severe triglyceride reduction. Three Phase 2b trials of gemcabene are ongoing in patients with HoFH on stable lipid-lowering therapy, in patients with severe hypertriglyceridemia, and in patients with hypercholesterolemia on a high-intensity stable statin therapy with or without ezetimibe.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Generic company competitors are seeking FDA approval of generic versions of Vascepa and we are now engaged in related patent litigation.</w:t>
      </w:r>
    </w:p>
    <w:p>
      <w:pPr>
        <w:spacing w:after="0" w:line="14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8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Vascepa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10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4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exclusivity status.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filed patent infringement lawsuits against three of these four ANDA applicants. In October 2016, Amarin filed a lawsuit against Roxane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Laboratories, Inc. and related parties (collectively, “Roxane”) in the U.S. District Court for the District of Nevada. The case against Roxane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captioned </w:t>
      </w:r>
      <w:r>
        <w:rPr>
          <w:rFonts w:ascii="Arial" w:cs="Arial" w:eastAsia="Arial" w:hAnsi="Arial"/>
          <w:sz w:val="17"/>
          <w:szCs w:val="17"/>
          <w:i w:val="1"/>
          <w:iCs w:val="1"/>
          <w:color w:val="auto"/>
        </w:rPr>
        <w:t>Amarin Pharma, Inc. et al. v. Roxane Laboratories, Inc. et al.</w:t>
      </w:r>
      <w:r>
        <w:rPr>
          <w:rFonts w:ascii="Arial" w:cs="Arial" w:eastAsia="Arial" w:hAnsi="Arial"/>
          <w:sz w:val="17"/>
          <w:szCs w:val="17"/>
          <w:color w:val="auto"/>
        </w:rPr>
        <w:t>, Civ. A. No. 2:16-cv-02525 (D. Nev.). In November 2016, Amarin filed a lawsuit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against Dr. Reddy’s Laboratories, Inc. and Dr. Reddy’s Laboratories, Ltd. (collectively, “DRL”) in the U.S. District Court for the District of Nevada. The case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against DRL is captioned </w:t>
      </w:r>
      <w:r>
        <w:rPr>
          <w:rFonts w:ascii="Arial" w:cs="Arial" w:eastAsia="Arial" w:hAnsi="Arial"/>
          <w:sz w:val="17"/>
          <w:szCs w:val="17"/>
          <w:i w:val="1"/>
          <w:iCs w:val="1"/>
          <w:color w:val="auto"/>
        </w:rPr>
        <w:t>Amarin Pharma, Inc. et al. v. Dr. Reddy’s Laboratories, Inc. et al</w:t>
      </w:r>
      <w:r>
        <w:rPr>
          <w:rFonts w:ascii="Arial" w:cs="Arial" w:eastAsia="Arial" w:hAnsi="Arial"/>
          <w:sz w:val="17"/>
          <w:szCs w:val="17"/>
          <w:color w:val="auto"/>
        </w:rPr>
        <w:t>., Civ. A. No. 2:16-cv-02562 (D. Nev.). In November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Amarin filed a lawsuit against Teva Pharmaceuticals USA, Inc. and Teva Pharmaceuticals Industries Limited (collectively, “Teva”) in the U.S. District Court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the District of Nevada. The case against Teva is captioned </w:t>
      </w:r>
      <w:r>
        <w:rPr>
          <w:rFonts w:ascii="Arial" w:cs="Arial" w:eastAsia="Arial" w:hAnsi="Arial"/>
          <w:sz w:val="17"/>
          <w:szCs w:val="17"/>
          <w:i w:val="1"/>
          <w:iCs w:val="1"/>
          <w:color w:val="auto"/>
        </w:rPr>
        <w:t>Amarin Pharma, Inc. et al. v. Teva Pharmaceuticals USA, Inc. et al</w:t>
      </w:r>
      <w:r>
        <w:rPr>
          <w:rFonts w:ascii="Arial" w:cs="Arial" w:eastAsia="Arial" w:hAnsi="Arial"/>
          <w:sz w:val="17"/>
          <w:szCs w:val="17"/>
          <w:color w:val="auto"/>
        </w:rPr>
        <w:t>., Civ. A. No. 2:16-cv-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02658. In all three lawsuits, we are seeking, among other remedies, an order enjoining each defendant from marketing generic versions of Vascepa before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last to expire of the asserted patents in 2030. The three lawsuits have been consolidated for pretrial proceedings, and are in their early stages.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statutory stay associated with the filing of these lawsuits under the Hatch-Waxman Act, the FDA cannot grant final approval to Roxane, DRL, or Teva’s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 ANDA before January 2020, unless there is an earlier court decision holding that the subject patents are not infringed and/or are invalid.</w:t>
      </w:r>
    </w:p>
    <w:p>
      <w:pPr>
        <w:spacing w:after="0" w:line="22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fourth ANDA applicant referenced above is Apotex Inc.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65"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w:t>
      </w:r>
      <w:r>
        <w:rPr>
          <w:rFonts w:ascii="Arial" w:cs="Arial" w:eastAsia="Arial" w:hAnsi="Arial"/>
          <w:sz w:val="18"/>
          <w:szCs w:val="18"/>
          <w:i w:val="1"/>
          <w:iCs w:val="1"/>
          <w:color w:val="auto"/>
        </w:rPr>
        <w:t>Roxane, DRL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Teva </w:t>
      </w:r>
      <w:r>
        <w:rPr>
          <w:rFonts w:ascii="Arial" w:cs="Arial" w:eastAsia="Arial" w:hAnsi="Arial"/>
          <w:sz w:val="18"/>
          <w:szCs w:val="18"/>
          <w:color w:val="auto"/>
        </w:rPr>
        <w:t>lawsuits or any subsequently filed lawsuits.</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the applicable regulatory exclusivity period and the litigation-related 30-month stay period ends),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left="260" w:right="600"/>
        <w:spacing w:after="0" w:line="277" w:lineRule="auto"/>
        <w:rPr>
          <w:sz w:val="20"/>
          <w:szCs w:val="20"/>
          <w:color w:val="auto"/>
        </w:rPr>
      </w:pPr>
      <w:r>
        <w:rPr>
          <w:rFonts w:ascii="Arial" w:cs="Arial" w:eastAsia="Arial" w:hAnsi="Arial"/>
          <w:sz w:val="18"/>
          <w:szCs w:val="18"/>
          <w:b w:val="1"/>
          <w:bCs w:val="1"/>
          <w:i w:val="1"/>
          <w:iCs w:val="1"/>
          <w:color w:val="auto"/>
        </w:rPr>
        <w:t>Vascepa’s five-year, new chemical entity, or NCE, regulatory exclusivity from the FDA and related 30-month stay that is scheduled to expire in January 2020 could be challenged by companies seeking to make generic versions of Vascepa.</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timelines and conditions under the abbreviated new drug application, or ANDA, process that permit the start of patent litigation and allow the FDA to approve generic versions of brand name drugs like Vascepa differ based on whether a drug receives three-year, or five-year, new chemical entity, or NCE, marketing exclusivity. In May 2016, after significant litigation, FDA determined that Vascepa is eligible for NCE marketing exclusivity. Accordingly, a related 30-month stay is currently in place and is scheduled to continue until January 26, 2020, seven-and-a-half years from FDA approval of Vascepa, unless related patent litigation is resolved against us sooner.</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also help protect Vascepa against generic competition.</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Amarin, as a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7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right="60" w:firstLine="518"/>
        <w:spacing w:after="0" w:line="264" w:lineRule="auto"/>
        <w:rPr>
          <w:sz w:val="20"/>
          <w:szCs w:val="20"/>
          <w:color w:val="auto"/>
        </w:rPr>
      </w:pPr>
      <w:r>
        <w:rPr>
          <w:rFonts w:ascii="Arial" w:cs="Arial" w:eastAsia="Arial" w:hAnsi="Arial"/>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NCE exclusivity status.</w:t>
      </w:r>
    </w:p>
    <w:p>
      <w:pPr>
        <w:spacing w:after="0" w:line="289" w:lineRule="exact"/>
        <w:rPr>
          <w:sz w:val="20"/>
          <w:szCs w:val="20"/>
          <w:color w:val="auto"/>
        </w:rPr>
      </w:pPr>
    </w:p>
    <w:p>
      <w:pPr>
        <w:ind w:left="300" w:right="40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color w:val="auto"/>
        </w:rPr>
        <w:t>Our only product, Vascepa, is a prescription-only omega-3 fatty acid in ethyl ester form. Mixtures of omega-3 fatty acids in triglyceride form are naturally occurring substances contained in various foods, including fatty fish. Omega-3 fatty acids are also marketed by others as non-prescription dietary supplements. We cannot be sure physicians will view the pharmaceutical grade purity and tested efficacy and safety of Vascepa as having a superior therapeutic profile to untested and largely unregulated omega-3 fatty acid dietary supplements. In addition, the FDA has not yet enforced what we view as illegal drug claims made by certain omega-3 fatty acid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While Vascepa is highly price-competitive for patients generally, and in particular when covered by insurance—cheaper in many cases—either of these outcomes may adversely impact our results of operations by limiting how we price our product and limiting the revenue we receive from the sale of Vascepa due to reduced market acceptance.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March 2014, we entered into a co-promotion agreement with Kowa Pharmaceuticals America, Inc. to co-promote Vascepa in the United States under which no less than 250 Kowa Pharmaceuticals America, Inc. sales representatives devote a substantial portion of their time to promoting Vascepa with our approximately 150 sales professionals, including sales representatives and their managers.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left="260" w:right="4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Thus, even though we have received regulatory approval of Vascepa for the MARINE indication under a SPA agreement, our ANCHOR SPA agreement was rescinded. There is no assurance that the FDA will not rescind our REDUCE-IT SPA agreement.</w:t>
      </w:r>
    </w:p>
    <w:p>
      <w:pPr>
        <w:spacing w:after="0" w:line="170"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 In September 2016, we announced that the DMC completed its review of the first pre-specified interim efficacy analysis and, consistent with previously stated expectations, recommended that the trial continue as planned without modification.</w:t>
      </w:r>
    </w:p>
    <w:p>
      <w:pPr>
        <w:spacing w:after="0" w:line="17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289"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completed patient enrollment and randomization of 8,175 individual patients in 2016, is designed to evaluate the efficacy of Vascepa in reducing major cardiovascular events in an at-risk patient population with high triglyceride levels despite being on statin therapy.</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Outcomes studies of certain other lipid-modifying therapies have failed to achieve the endpoints of such studies, even though they reduced triglyceride levels and showed other favorable effects on parameters relevant to cardiovascular health in studied patients.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firstLine="518"/>
        <w:spacing w:after="0" w:line="269" w:lineRule="auto"/>
        <w:rPr>
          <w:sz w:val="20"/>
          <w:szCs w:val="20"/>
          <w:color w:val="auto"/>
        </w:rPr>
      </w:pPr>
      <w:r>
        <w:rPr>
          <w:rFonts w:ascii="Arial" w:cs="Arial" w:eastAsia="Arial" w:hAnsi="Arial"/>
          <w:sz w:val="17"/>
          <w:szCs w:val="17"/>
          <w:color w:val="auto"/>
        </w:rPr>
        <w:t>Outcomes studies of certain other lipid-modifying therapies included results which, after review of information not fully available to the sponsors during the conduct of the trials, modified initial reports of the trial results. Two examples are the AIM-HIGH trial and the IMPROVE-IT trial. When the AIM-HIGH trial was stopped, there were initial reports of certain safety concerns which, upon further and more detailed subsequent review, were concluded to not be associated with the study therapy. After the IMPROVE-IT trial was completed, initial reports on the effect of adding ezetimibe to statin therapy in subjects with acute coronary syndrome suggested greater benefit on cardiovascular outcomes than was considered to be the case after later reassessment and further evaluation of study data. In 2015, the results of the IMPROVE-IT trial were published. Based on the published results, the addition of ezetimibe showed incremental lowering of LDL-C levels and improved cardiovascular outcomes. This result was statistically significant but less than ten percent. Further evaluation of the IMPROVE-IT results suggested that the outcomes benefit may have been lower after factoring in and making certain assumptions regarding complicating factors such as a high number of patients who discontinued the study drug, withdrew consent, or were lost to follow-up. FDA approval of a new indication for ezetimibe based on the IMPROVE-IT results was denied after a negative FDA advisory committee recommendation that followed examination of the study results.</w:t>
      </w:r>
    </w:p>
    <w:p>
      <w:pPr>
        <w:spacing w:after="0" w:line="18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 xml:space="preserve">In addition, in September 2012, researchers published in the </w:t>
      </w:r>
      <w:r>
        <w:rPr>
          <w:rFonts w:ascii="Arial" w:cs="Arial" w:eastAsia="Arial" w:hAnsi="Arial"/>
          <w:sz w:val="18"/>
          <w:szCs w:val="18"/>
          <w:i w:val="1"/>
          <w:iCs w:val="1"/>
          <w:color w:val="auto"/>
        </w:rPr>
        <w:t>Journal of the American Medical Association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JAMA</w:t>
      </w:r>
      <w:r>
        <w:rPr>
          <w:rFonts w:ascii="Arial" w:cs="Arial" w:eastAsia="Arial" w:hAnsi="Arial"/>
          <w:sz w:val="18"/>
          <w:szCs w:val="18"/>
          <w:color w:val="auto"/>
        </w:rPr>
        <w:t>,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These facts illustrate categories of challenges faced in demonstrating favorable results in complex clinical studies like REDUCE-IT and in seeking to apply those results in support of regulatory approvals.</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Data from clinical trials are invariably complex. It is also not typically possible to reliably extrapolate results from one trial to predict results from another as many factors differ between trials. For instance, unlike REDUCE-IT,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Of the twenty studies included in the </w:t>
      </w:r>
      <w:r>
        <w:rPr>
          <w:rFonts w:ascii="Arial" w:cs="Arial" w:eastAsia="Arial" w:hAnsi="Arial"/>
          <w:sz w:val="17"/>
          <w:szCs w:val="17"/>
          <w:i w:val="1"/>
          <w:iCs w:val="1"/>
          <w:color w:val="auto"/>
        </w:rPr>
        <w:t>JAMA</w:t>
      </w:r>
      <w:r>
        <w:rPr>
          <w:rFonts w:ascii="Arial" w:cs="Arial" w:eastAsia="Arial" w:hAnsi="Arial"/>
          <w:sz w:val="17"/>
          <w:szCs w:val="17"/>
          <w:color w:val="auto"/>
        </w:rPr>
        <w:t xml:space="preserve"> meta-analysis, nineteen involved the use of omega-3 supplements containing a mixture of EPA and DHA, and most were evaluated at relatively lower doses. In addition, in May 2013,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published the results of an outcomes study of 1 gram per day of an omega-3 acid ethyl ester composition containing both EPA and DHA.</w:t>
      </w:r>
      <w:r>
        <w:rPr>
          <w:rFonts w:ascii="Arial" w:cs="Arial" w:eastAsia="Arial" w:hAnsi="Arial"/>
          <w:sz w:val="17"/>
          <w:szCs w:val="17"/>
          <w:i w:val="1"/>
          <w:iCs w:val="1"/>
          <w:color w:val="auto"/>
        </w:rPr>
        <w:t xml:space="preserve"> </w:t>
      </w:r>
      <w:r>
        <w:rPr>
          <w:rFonts w:ascii="Arial" w:cs="Arial" w:eastAsia="Arial" w:hAnsi="Arial"/>
          <w:sz w:val="17"/>
          <w:szCs w:val="17"/>
          <w:color w:val="auto"/>
        </w:rPr>
        <w:t>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comparing the JELIS study to REDUCE-IT. First, the patient population was exclusively Japanese, the majority of the participants were women, and at baseline patients had much higher LDL-C levels, limiting its generalizability to the intended target population. Also, a low dose of statins was used. It is unknown whether the positive treatment effects would have persisted if these patients had been optimally treated with statins using contemporary LDL-C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82"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(≥150 mg/dL) and low HDL-C (</w:t>
      </w:r>
      <w:r>
        <w:rPr>
          <w:rFonts w:ascii="Arial" w:cs="Arial" w:eastAsia="Arial" w:hAnsi="Arial"/>
          <w:sz w:val="16"/>
          <w:szCs w:val="16"/>
          <w:u w:val="single" w:color="auto"/>
          <w:color w:val="auto"/>
        </w:rPr>
        <w:t>&lt;</w:t>
      </w:r>
      <w:r>
        <w:rPr>
          <w:rFonts w:ascii="Arial" w:cs="Arial" w:eastAsia="Arial" w:hAnsi="Arial"/>
          <w:sz w:val="16"/>
          <w:szCs w:val="16"/>
          <w:color w:val="auto"/>
        </w:rPr>
        <w:t>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80" w:firstLine="518"/>
        <w:spacing w:after="0" w:line="255" w:lineRule="auto"/>
        <w:rPr>
          <w:sz w:val="20"/>
          <w:szCs w:val="20"/>
          <w:color w:val="auto"/>
        </w:rPr>
      </w:pPr>
      <w:r>
        <w:rPr>
          <w:rFonts w:ascii="Arial" w:cs="Arial" w:eastAsia="Arial" w:hAnsi="Arial"/>
          <w:sz w:val="18"/>
          <w:szCs w:val="18"/>
          <w:color w:val="auto"/>
        </w:rPr>
        <w:t>There can be no assurance that the REDUCE-IT study will be completed successfully, that the endpoints of the REDUCE-IT cardiovascular outcomes study will be achieved, that, like the IMPROVE-IT trial, patients who discontinue the study drug, withdrew consent, or were lost to follow-up will not negatively affect REDUCE-IT results, that the results will support regulatory approvals, or that the lipid-modifying effects of Vascepa in REDUCE-IT or any other study of Vascepa will not be subject to variation beyond twelve weeks. If the REDUCE-IT trial is not successful or if the results of this long-term study are not consistent with the 12-week clinical results, it could prevent us from expanding the labeled approval of Vascepa or even call into question the currently understood efficacy and safety profile of Vascepa. In any such case, the market potential for Vascepa would suffer and our business would be materially affected.</w:t>
      </w:r>
    </w:p>
    <w:p>
      <w:pPr>
        <w:spacing w:after="0" w:line="297"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such as under the DCS Agreement with Eddingpharm, may be smaller than we anticipate.</w:t>
      </w:r>
    </w:p>
    <w:p>
      <w:pPr>
        <w:spacing w:after="0" w:line="6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There can be no assurance as to the adequacy for commercial success of Vascepa outside the United States. For example,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also are subject to the new federal transparency requirements under the Patient Protection and Affordable Care Act, as amended by the Health Care and Education Reconciliation Act, or collectively the PPACA, enacted in March 2010,which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60" w:firstLine="518"/>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within the China Territory under the DCS agreement with Eddingpharm and in other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5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63"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expect further federal and state proposals and healthcare reforms to continue to be proposed by legislators, which could limit the prices that can be charged for the products we develop and may limit our commercial opportunity. It appears likely that the Affordable Care Act will continue the pressure on pharmaceutical pricing, especially under the Medicare and Medicaid programs, and may also increase our regulatory burdens and operating costs. Legislative changes to the Affordable Care Act remain possible, and appear likely in the 115th United States Congress and under the Trump Administration.</w:t>
      </w:r>
    </w:p>
    <w:p>
      <w:pPr>
        <w:spacing w:after="0" w:line="15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continuing efforts of government and other third-party payors to further contain or reduce the costs of healthcare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both"/>
        <w:ind w:left="260" w:right="140"/>
        <w:spacing w:after="0" w:line="340" w:lineRule="auto"/>
        <w:rPr>
          <w:sz w:val="20"/>
          <w:szCs w:val="20"/>
          <w:color w:val="auto"/>
        </w:rPr>
      </w:pPr>
      <w:r>
        <w:rPr>
          <w:rFonts w:ascii="Arial" w:cs="Arial" w:eastAsia="Arial" w:hAnsi="Arial"/>
          <w:sz w:val="15"/>
          <w:szCs w:val="15"/>
          <w:b w:val="1"/>
          <w:bCs w:val="1"/>
          <w:i w:val="1"/>
          <w:iCs w:val="1"/>
          <w:color w:val="auto"/>
        </w:rPr>
        <w:t>The FDA and other regulatory agencies strictly regulate the promotional claims that may be made about prescription products. If we or our partners are found to have improperly promoted uses of Vascepa, we may become subject to significant fines and other liability. The government may seek to find means to prevent our promotion of truthful and non-misleading information beyond the current court ruling and litigation settlement.</w:t>
      </w:r>
    </w:p>
    <w:p>
      <w:pPr>
        <w:spacing w:after="0" w:line="2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co-promotion partner, Kowa Pharmaceuticals America, Inc., or our commercialization partner outside the United States,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9" w:lineRule="exact"/>
        <w:rPr>
          <w:sz w:val="20"/>
          <w:szCs w:val="20"/>
          <w:color w:val="auto"/>
        </w:rPr>
      </w:pPr>
    </w:p>
    <w:p>
      <w:pPr>
        <w:ind w:left="260" w:right="40"/>
        <w:spacing w:after="0" w:line="279" w:lineRule="auto"/>
        <w:rPr>
          <w:sz w:val="20"/>
          <w:szCs w:val="20"/>
          <w:color w:val="auto"/>
        </w:rPr>
      </w:pPr>
      <w:r>
        <w:rPr>
          <w:rFonts w:ascii="Arial" w:cs="Arial" w:eastAsia="Arial" w:hAnsi="Arial"/>
          <w:sz w:val="17"/>
          <w:szCs w:val="17"/>
          <w:b w:val="1"/>
          <w:bCs w:val="1"/>
          <w:i w:val="1"/>
          <w:iCs w:val="1"/>
          <w:color w:val="auto"/>
        </w:rPr>
        <w:t>The prospective 80% interim efficacy and safety analysis of the REDUCE-IT cardiovascular outcomes trial may not be completed in the contemplated timeframe and may not demonstrate to the independent committee monitoring the study a sufficient benefit risk result to warrant the independent committee recommending stopping the study early for overwhelming efficacy. The independent monitoring committee may, at its discretion, also recommend that the study be stopped for safety or related concerns.</w:t>
      </w:r>
    </w:p>
    <w:p>
      <w:pPr>
        <w:spacing w:after="0" w:line="6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September 2016, we announced that the DMC completed its review of the first pre-specified interim efficacy analysis upon reaching approximately 60% of the target aggregate number of cardiovascular events in accordance with the SPA agreement for our REDUCE-IT cardiovascular outcomes trial and, consistent with previously stated expectations, recommended that the trial continue as planned without modification. In March 2017, we announced that the onset of approximately 80% of the target aggregate number of primary cardiovascular events has triggered preparation for a pre-specified interim efficacy and safety analysis by the study’s independent DMC. We currently expect the independent interim analysis to be conducted before the end of the third calendar quarter of 2017. It may actually take longer than anticipated for the DMC assessment of data for the interim analysis.</w:t>
      </w:r>
    </w:p>
    <w:p>
      <w:pPr>
        <w:spacing w:after="0" w:line="165"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near the end of 2017. We do not expect the study to be stopped due to overwhelming efficacy at the next interim look. We have requested the DMC to not recommend stopping the study early based only upon the achievement of statistical significance for the primary endpoint, but to ensure that supportive trends of benefit are also consistently observed in certain secondary endpoints and subpopulations before recommending that the study be stopped early for overwhelming efficacy.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due to low likelihood of obtaining a favorable result at completion. Despite no formal futility analysis or boundary being pre-specified in the protocol, it is within the purview of the DMC to weigh all available information and recommend study stoppage or continuation.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ind w:right="80" w:firstLine="518"/>
        <w:spacing w:after="0" w:line="255" w:lineRule="auto"/>
        <w:rPr>
          <w:sz w:val="20"/>
          <w:szCs w:val="20"/>
          <w:color w:val="auto"/>
        </w:rPr>
      </w:pPr>
      <w:r>
        <w:rPr>
          <w:rFonts w:ascii="Arial" w:cs="Arial" w:eastAsia="Arial" w:hAnsi="Arial"/>
          <w:sz w:val="18"/>
          <w:szCs w:val="18"/>
          <w:color w:val="auto"/>
        </w:rPr>
        <w:t>Moreover, it is the DMC that will make the formal recommendation as to whether to stop the study early or to continue as planned. We are blinded to the interim analysis results and are informed by the DMC of the recommendation to stop the study or to continue as planned. The DMC may consider factors outside the pre-specified statistical analysis plan when assessing whether to recommend continuing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it believes that waiting for more robust results outweighs the potential medical benefit of stopping and unblinding the study early.</w:t>
      </w:r>
    </w:p>
    <w:p>
      <w:pPr>
        <w:spacing w:after="0" w:line="193"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255"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84"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6"/>
          <w:szCs w:val="16"/>
          <w:color w:val="auto"/>
        </w:rPr>
        <w:t>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to date, the DMC has recommended to continue the REDUCE-IT study as planned. Each of these DMC recommendations has been shared with FDA. Amarin and FDA remain blinded to such study data. Despite the currently positive disposition of this matter, it illustrates that concerns such as this may arise in the future that could affect our product development, regulatory review or the public perception of our products and our future prospects.</w:t>
      </w:r>
    </w:p>
    <w:p>
      <w:pPr>
        <w:spacing w:after="0" w:line="166"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past or proposed future approvals of a product and/or restrictions on that product or manufacturer, including withdrawal of an indication or the product from the market, which would have a negative impact on our potential revenue stream.</w:t>
      </w:r>
    </w:p>
    <w:p>
      <w:pPr>
        <w:spacing w:after="0" w:line="287" w:lineRule="exact"/>
        <w:rPr>
          <w:sz w:val="20"/>
          <w:szCs w:val="20"/>
          <w:color w:val="auto"/>
        </w:rPr>
      </w:pPr>
    </w:p>
    <w:p>
      <w:pPr>
        <w:ind w:left="260"/>
        <w:spacing w:after="0" w:line="342"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process of establishing a commercial infrastructure is difficult, expensive and time-consuming. We have a relatively small sales organization consisting of approximately 150 sales professionals, including sales representatives and their managers.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key suppliers.</w:t>
      </w:r>
    </w:p>
    <w:p>
      <w:pPr>
        <w:spacing w:after="0" w:line="152" w:lineRule="exact"/>
        <w:rPr>
          <w:sz w:val="20"/>
          <w:szCs w:val="20"/>
          <w:color w:val="auto"/>
        </w:rPr>
      </w:pPr>
    </w:p>
    <w:p>
      <w:pPr>
        <w:jc w:val="both"/>
        <w:ind w:right="20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ind w:right="160" w:firstLine="518"/>
        <w:spacing w:after="0" w:line="291" w:lineRule="auto"/>
        <w:rPr>
          <w:sz w:val="20"/>
          <w:szCs w:val="20"/>
          <w:color w:val="auto"/>
        </w:rPr>
      </w:pPr>
      <w:r>
        <w:rPr>
          <w:rFonts w:ascii="Arial" w:cs="Arial" w:eastAsia="Arial" w:hAnsi="Arial"/>
          <w:sz w:val="16"/>
          <w:szCs w:val="16"/>
          <w:color w:val="auto"/>
        </w:rPr>
        <w:t>We initially purchased all of our supply of the bulk compound (ethyl-EPA), or Vascepa API, from a single supplier, Nisshin Pharma, Inc., or Nisshin, located in Japan. Nisshin was approved by the FDA as a Vascepa API supplier as part of our FDA NDA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qualified third-parties.</w:t>
      </w:r>
    </w:p>
    <w:p>
      <w:pPr>
        <w:spacing w:after="0" w:line="167"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While we have contractual freedom to source the API for Vascepa and have entered into supply agreements with multiple suppliers who also rely on other third-party suppliers to manufacture the API for Vascepa, Novasep, Nisshin and Chemport currently supply all of our API for Vascepa. Our strategy in adding API suppliers beyond Nisshin has been to expand manufacturing capacity, maintain competitive advantages, and mitigate the risk of reliance on any single supplier.</w:t>
      </w:r>
    </w:p>
    <w:p>
      <w:pPr>
        <w:spacing w:after="0" w:line="18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currently have encapsulation agreements with three commercial API encapsulators for the encapsulation of Vascepa: Patheon, Inc. (formerly Banner Pharmacaps), Catalent Pharma Solutions, and Capsugel Plöermel SAS. These companies have qualified and validated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w:t>
      </w:r>
    </w:p>
    <w:p>
      <w:pPr>
        <w:spacing w:after="0" w:line="296"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96"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8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54"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9"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7" w:lineRule="exact"/>
        <w:rPr>
          <w:sz w:val="20"/>
          <w:szCs w:val="20"/>
          <w:color w:val="auto"/>
        </w:rPr>
      </w:pPr>
    </w:p>
    <w:p>
      <w:pPr>
        <w:ind w:left="260" w:right="40"/>
        <w:spacing w:after="0" w:line="286" w:lineRule="auto"/>
        <w:rPr>
          <w:sz w:val="20"/>
          <w:szCs w:val="20"/>
          <w:color w:val="auto"/>
        </w:rPr>
      </w:pPr>
      <w:r>
        <w:rPr>
          <w:rFonts w:ascii="Arial" w:cs="Arial" w:eastAsia="Arial" w:hAnsi="Arial"/>
          <w:sz w:val="17"/>
          <w:szCs w:val="17"/>
          <w:b w:val="1"/>
          <w:bCs w:val="1"/>
          <w:i w:val="1"/>
          <w:iCs w:val="1"/>
          <w:color w:val="auto"/>
        </w:rPr>
        <w:t>We are dependent upon our collaboration with Eddingpharm and others to commercialize Vascepa in certain regions outside of the United States, and if such third parties fail to successfully fulfill their obligations, or are ineffective in their commercialization of Vascepa, or if our collaborations are terminated, our plans to commercialize Vascepa outside of the United States may be adversely affected.</w:t>
      </w:r>
    </w:p>
    <w:p>
      <w:pPr>
        <w:spacing w:after="0" w:line="5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which may require conducting clinical trials in the China Territory to secure regulatory approval, as well as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18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also have an agreement with Biologix, entered into in March 2016, to register and commercialize Vascepa in countries within the Middle East and North Africa. Commercialization across the region, as in China, is subject to similar third party risk.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53 patent applications in the United States that have been either issued or allowed and more than 30 additional patent applications are pending in the United States. Such 53 allowed and issued applications include the following:</w:t>
      </w:r>
    </w:p>
    <w:p>
      <w:pPr>
        <w:spacing w:after="0" w:line="39" w:lineRule="exact"/>
        <w:rPr>
          <w:sz w:val="20"/>
          <w:szCs w:val="20"/>
          <w:color w:val="auto"/>
        </w:rPr>
      </w:pPr>
    </w:p>
    <w:p>
      <w:pPr>
        <w:ind w:left="1040" w:right="8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40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 additional patent covering a pharmaceutical composition comprised of EPA and a hydroxyl compound with a term that expires in 2034,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additional patent covering a new combination therapy comprised of EPA and another drug.</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4" w:name="page65"/>
    <w:bookmarkEnd w:id="64"/>
    <w:p>
      <w:pPr>
        <w:ind w:right="4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65"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right="160"/>
        <w:spacing w:after="0" w:line="342" w:lineRule="auto"/>
        <w:rPr>
          <w:sz w:val="20"/>
          <w:szCs w:val="20"/>
          <w:color w:val="auto"/>
        </w:rPr>
      </w:pPr>
      <w:r>
        <w:rPr>
          <w:rFonts w:ascii="Arial" w:cs="Arial" w:eastAsia="Arial" w:hAnsi="Arial"/>
          <w:sz w:val="16"/>
          <w:szCs w:val="16"/>
          <w:color w:val="auto"/>
        </w:rPr>
        <w:t>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32" w:lineRule="exact"/>
        <w:rPr>
          <w:sz w:val="20"/>
          <w:szCs w:val="20"/>
          <w:color w:val="auto"/>
        </w:rPr>
      </w:pPr>
    </w:p>
    <w:p>
      <w:pPr>
        <w:ind w:left="260" w:right="5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January 2017, we issued financial and business guidance, including expected fiscal year 2017 total net revenue and expectations regarding improved cash flow from commercial operations and timing of the REDUCE-IT outcomes trial.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2017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301"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were named as defendants in a class action lawsuit that could result in substantial costs and divert management’s attention.</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market price of our American Depositary Shares, or ADSs, declined significantly after the October 2013 decision by the FDA Advisory Committee to recommend against approval of Vascepa in the ANCHOR indication. We and certain of our current and former executive officers and directors were named as defendants in a class action lawsuit that generally alleged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sought unspecified damages, interest, attorneys’ fees, and other costs.</w:t>
      </w:r>
    </w:p>
    <w:p>
      <w:pPr>
        <w:spacing w:after="0" w:line="16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engaged in a vigorous defense of this lawsuit. On June 29, 2015, the court granted our first motion to dismiss the class action litigation without prejudice. The court held that the plaintiffs failed to state a claim upon which relief could be granted and plaintiffs were given 30 days to refile an amended complaint.</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On July 29, 2015, the plaintiffs filed an amended complaint and we again moved to dismiss. On April 26, 2016, the court granted a second motion to dismiss, again without prejudice, with leave for plaintiffs to file an amended complaint. On May 24, 2016, plaintiffs notified the court they would not file another amended complaint and on September 21, 2016, filed a brief in support of their appeal of the most recent dismissal to the Third Circuit Court of Appeals. We plan to continue with our vigorous defense in connection with this appeal.</w:t>
      </w:r>
    </w:p>
    <w:p>
      <w:pPr>
        <w:spacing w:after="0" w:line="18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unable to predict the ultimate outcome of this matter at this time.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 audit by the United States Internal Revenue Service (IRS) for the years 2012 to 2013.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7" w:name="page68"/>
    <w:bookmarkEnd w:id="67"/>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95% of gross product sales for each of the three months ended March 31, 2017 and 2016 and represented 97% and 95% of the gross accounts receivable balance as of March 31, 2017 and 2016,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yet reached profitability. For the fiscal years ended December 31, 2016, 2015, and 2014, we reported losses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$86.4 million, $149.1 million, and $56.4 million, respectively, and we had an accumulated deficit as of December 31, 2016 of $1.2 billion. For the three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2017 and 2016, we reported losses of approximately $20.9 million and $29.8 million, respectively, and we had an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deficit as of March 31, 2017 of $1.2 billion. Substantially all of our operating losses resulted from costs incurred in connection with our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programs, from general and administrative costs associated with our operations, and costs related to the commercialization of Vascepa.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as a result of our significant expenses relating to research and development and to commercialization, we expect to continue to incur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for an indefinite period. Because of the numerous risks and uncertainties associated with developing and commercializing pharmaceutical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we are unable to predict the magnitude of these future losses. Our historic losses, combined with expected future losses, have had and will continue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have an adverse effect on our cash resources, shareholders’ deficit and working capital.</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8" w:name="page69"/>
    <w:bookmarkEnd w:id="68"/>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62" w:lineRule="exact"/>
        <w:rPr>
          <w:rFonts w:ascii="Arial" w:cs="Arial" w:eastAsia="Arial" w:hAnsi="Arial"/>
          <w:sz w:val="18"/>
          <w:szCs w:val="18"/>
          <w:color w:val="auto"/>
        </w:rPr>
      </w:pPr>
    </w:p>
    <w:p>
      <w:pPr>
        <w:jc w:val="both"/>
        <w:ind w:left="1040" w:right="36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ability of commercialization partners outside the United States, such as Eddingpharm and Biologix, to develop, register and commercialize Vascepa in the China Territory, several Middle Eastern and North African countries, and other territories outside the United States, including obtaining necessary regulatory approvals and establishing marketing channels;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nature of results of the REDUCE-IT study or post-approval studies for Vascepa;</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including our pending FDA determination on regulatory exclusivity, shareholder litigation, regulatory matters and tax matters;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333"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$96.1 million as of March 31, 2017 will be sufficient to fund our projected operations through the results of the REDUCE-IT study, which we anticipate will be available mid-2018.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40" w:hanging="519"/>
        <w:spacing w:after="0" w:line="30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costs associated with commercializing Vascepa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46" w:lineRule="exact"/>
        <w:rPr>
          <w:rFonts w:ascii="Arial" w:cs="Arial" w:eastAsia="Arial" w:hAnsi="Arial"/>
          <w:sz w:val="16"/>
          <w:szCs w:val="16"/>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9" w:name="page70"/>
    <w:bookmarkEnd w:id="69"/>
    <w:p>
      <w:pPr>
        <w:ind w:left="260" w:right="180"/>
        <w:spacing w:after="0" w:line="375" w:lineRule="auto"/>
        <w:rPr>
          <w:sz w:val="20"/>
          <w:szCs w:val="20"/>
          <w:color w:val="auto"/>
        </w:rPr>
      </w:pPr>
      <w:r>
        <w:rPr>
          <w:rFonts w:ascii="Arial" w:cs="Arial" w:eastAsia="Arial" w:hAnsi="Arial"/>
          <w:sz w:val="15"/>
          <w:szCs w:val="15"/>
          <w:b w:val="1"/>
          <w:bCs w:val="1"/>
          <w:i w:val="1"/>
          <w:iCs w:val="1"/>
          <w:color w:val="auto"/>
        </w:rPr>
        <w:t>We have substantial net operating loss carryforwards for tax purposes, the majority of which are from operations in Ireland. The potential future benefit of such net operating loss carryforwards could be lost if tax regulations change or if we are deemed to not have active operations in Ireland.</w:t>
      </w:r>
    </w:p>
    <w:p>
      <w:pPr>
        <w:spacing w:after="0" w:line="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Amarin developed Vascepa, known during development as AMR101, in and from Ireland. In recent years, particularly since 2013 when commercial sale of Vascepa commenced in the United States, the majority of Amarin’s consolidated operations have been in the United States. Ownership to Vascepa continues to reside with Amarin’s wholly-owned Ireland-based subsidiary, Amarin Pharmaceuticals Ireland Ltd., and oversight and operations of that entity are structured to be maintained in Ireland. In order to effectively utilize Amarin’s accumulated net operating loss carryforwards for tax purposes in Ireland, Amarin operations, particularly for this subsidiary, need to be active in Ireland. In addition, utilization of these accumulated net operating loss carryforwards assume that tax treaties between Ireland and other countries, particularly the United States, do not change in a manner which limit Amarin’s future ability to offset earnings with these operating loss carryforwards for tax purposes.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January 2012, Corsicanto Designated Activity Company (formerly Corsicanto Limited), or Corsicanto, issued $150.0 million in aggregate principal amount of 3.5% exchangeable senior notes due 2032, or the 2012 Notes.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In November 2015, we issued $31.3 million in aggregate principal amount of 3.5% exchangeable senior notes due 2032, or the 2015 Notes, and used $16.2 million of the proceeds to repay a portion of the 2012 Notes, such that $15.1 million of 2012 Notes remained outstanding. In September 2016, we mandatorily exchanged the entirety of the 2014 Notes and 2015 Notes, in accordance with their respective terms, into 60,311,188 ADSs. In January 2017, approximately $15.0 million of the 2012 Notes were put to us and in March 2017, we redeemed the entirety of the remaining $0.1 million of outstanding principal amount of 2012 Notes plus accrued but unpaid interest.</w:t>
      </w:r>
    </w:p>
    <w:p>
      <w:pPr>
        <w:spacing w:after="0" w:line="18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January 2017, Corsicanto II Designated Activity Company, or Corsicanto II, issued $30.0 million in aggregate principal amount of 3.5% exchangeable senior notes due 2047, or the 2017 Notes. In the event of physical settlement, the 2017 Notes would be exchangeable into a total of 7,716,048 ADSs.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79"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70" w:name="page71"/>
    <w:bookmarkEnd w:id="70"/>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As of May 1, 2017 we had 272,291,602 common shares outstanding including 269,557,267 shares held as ADSs and 2,734,335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260"/>
        <w:spacing w:after="0" w:line="327"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3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both"/>
        <w:ind w:right="20"/>
        <w:spacing w:after="0" w:line="264" w:lineRule="auto"/>
        <w:rPr>
          <w:sz w:val="20"/>
          <w:szCs w:val="20"/>
          <w:color w:val="auto"/>
        </w:rPr>
      </w:pPr>
      <w:r>
        <w:rPr>
          <w:rFonts w:ascii="Arial" w:cs="Arial" w:eastAsia="Arial" w:hAnsi="Arial"/>
          <w:sz w:val="18"/>
          <w:szCs w:val="18"/>
          <w:color w:val="auto"/>
        </w:rPr>
        <w:t>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89" w:lineRule="exact"/>
        <w:rPr>
          <w:sz w:val="20"/>
          <w:szCs w:val="20"/>
          <w:color w:val="auto"/>
        </w:rPr>
      </w:pPr>
    </w:p>
    <w:p>
      <w:pPr>
        <w:ind w:left="260" w:right="2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73" w:lineRule="exact"/>
        <w:rPr>
          <w:sz w:val="20"/>
          <w:szCs w:val="20"/>
          <w:color w:val="auto"/>
        </w:rPr>
      </w:pPr>
    </w:p>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40"/>
        <w:spacing w:after="0" w:line="277" w:lineRule="auto"/>
        <w:rPr>
          <w:sz w:val="20"/>
          <w:szCs w:val="20"/>
          <w:color w:val="auto"/>
        </w:rPr>
      </w:pPr>
      <w:r>
        <w:rPr>
          <w:rFonts w:ascii="Arial" w:cs="Arial" w:eastAsia="Arial" w:hAnsi="Arial"/>
          <w:sz w:val="18"/>
          <w:szCs w:val="18"/>
          <w:color w:val="auto"/>
        </w:rPr>
        <w:t>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through 2016. Our status as a PFIC is subject to change in 2017 and future years.</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40"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indebtedness consists of $30.0 million in aggregate principal amount of 3.5% exchangeable senior notes due 2047, or the 2017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2017 Notes contain a provision for such notes to be put to us by the holders for repayment in cash on January 19,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indebtedness and the related annual debt service requirements may adversely impact our business, operations and financial condition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could:</w:t>
      </w:r>
    </w:p>
    <w:p>
      <w:pPr>
        <w:spacing w:after="0" w:line="103" w:lineRule="exact"/>
        <w:rPr>
          <w:sz w:val="20"/>
          <w:szCs w:val="20"/>
          <w:color w:val="auto"/>
        </w:rPr>
      </w:pPr>
    </w:p>
    <w:p>
      <w:pPr>
        <w:ind w:left="5620" w:right="4620" w:hanging="5099"/>
        <w:spacing w:after="0" w:line="528" w:lineRule="auto"/>
        <w:tabs>
          <w:tab w:leader="none" w:pos="10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3" w:name="page74"/>
    <w:bookmarkEnd w:id="73"/>
    <w:p>
      <w:pPr>
        <w:ind w:left="1040" w:right="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260" w:right="56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2017 Notes, could have a material effect on our reported financial results.</w:t>
      </w:r>
    </w:p>
    <w:p>
      <w:pPr>
        <w:spacing w:after="0" w:line="62"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3" w:lineRule="exact"/>
        <w:rPr>
          <w:sz w:val="20"/>
          <w:szCs w:val="20"/>
          <w:color w:val="auto"/>
        </w:rPr>
      </w:pPr>
    </w:p>
    <w:p>
      <w:pPr>
        <w:ind w:left="1040" w:right="100" w:hanging="519"/>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40" w:right="500" w:hanging="519"/>
        <w:spacing w:after="0" w:line="342"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40" w:right="6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ind w:left="1040"/>
        <w:spacing w:after="0" w:line="277" w:lineRule="auto"/>
        <w:rPr>
          <w:sz w:val="20"/>
          <w:szCs w:val="20"/>
          <w:color w:val="auto"/>
        </w:rPr>
      </w:pPr>
      <w:r>
        <w:rPr>
          <w:rFonts w:ascii="Arial" w:cs="Arial" w:eastAsia="Arial" w:hAnsi="Arial"/>
          <w:sz w:val="18"/>
          <w:szCs w:val="18"/>
          <w:color w:val="auto"/>
        </w:rPr>
        <w:t>into, ordinary shares for cash. Under U.S. law, shareholders generally do not have preemptive rights unless specifically granted in the certificate of incorporation or otherwise.</w:t>
      </w:r>
    </w:p>
    <w:p>
      <w:pPr>
        <w:spacing w:after="0" w:line="62" w:lineRule="exact"/>
        <w:rPr>
          <w:sz w:val="20"/>
          <w:szCs w:val="20"/>
          <w:color w:val="auto"/>
        </w:rPr>
      </w:pPr>
    </w:p>
    <w:p>
      <w:pPr>
        <w:ind w:left="1040" w:right="100" w:hanging="519"/>
        <w:spacing w:after="0" w:line="25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0" w:lineRule="exact"/>
        <w:rPr>
          <w:rFonts w:ascii="Arial" w:cs="Arial" w:eastAsia="Arial" w:hAnsi="Arial"/>
          <w:sz w:val="18"/>
          <w:szCs w:val="18"/>
          <w:color w:val="auto"/>
        </w:rPr>
      </w:pPr>
    </w:p>
    <w:p>
      <w:pPr>
        <w:ind w:left="1040" w:right="40" w:hanging="519"/>
        <w:spacing w:after="0" w:line="291"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9" w:lineRule="exact"/>
        <w:rPr>
          <w:rFonts w:ascii="Arial" w:cs="Arial" w:eastAsia="Arial" w:hAnsi="Arial"/>
          <w:sz w:val="16"/>
          <w:szCs w:val="16"/>
          <w:color w:val="auto"/>
        </w:rPr>
      </w:pPr>
    </w:p>
    <w:p>
      <w:pPr>
        <w:ind w:left="1040" w:right="40" w:hanging="519"/>
        <w:spacing w:after="0" w:line="30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6" w:lineRule="exact"/>
        <w:rPr>
          <w:rFonts w:ascii="Arial" w:cs="Arial" w:eastAsia="Arial" w:hAnsi="Arial"/>
          <w:sz w:val="16"/>
          <w:szCs w:val="16"/>
          <w:color w:val="auto"/>
        </w:rPr>
      </w:pPr>
    </w:p>
    <w:p>
      <w:pPr>
        <w:ind w:left="1040" w:right="20" w:hanging="519"/>
        <w:spacing w:after="0" w:line="27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160" w:type="dxa"/>
            <w:vAlign w:val="bottom"/>
            <w:gridSpan w:val="3"/>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04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04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first quarter of 2017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Average Price</w:t>
            </w:r>
          </w:p>
        </w:tc>
      </w:tr>
      <w:tr>
        <w:trPr>
          <w:trHeight w:val="171"/>
        </w:trPr>
        <w:tc>
          <w:tcPr>
            <w:tcW w:w="880" w:type="dxa"/>
            <w:vAlign w:val="bottom"/>
          </w:tcPr>
          <w:p>
            <w:pPr>
              <w:spacing w:after="0"/>
              <w:rPr>
                <w:sz w:val="14"/>
                <w:szCs w:val="14"/>
                <w:color w:val="auto"/>
              </w:rPr>
            </w:pPr>
          </w:p>
        </w:tc>
        <w:tc>
          <w:tcPr>
            <w:tcW w:w="6160" w:type="dxa"/>
            <w:vAlign w:val="bottom"/>
            <w:gridSpan w:val="3"/>
          </w:tcPr>
          <w:p>
            <w:pPr>
              <w:ind w:left="840"/>
              <w:spacing w:after="0"/>
              <w:rPr>
                <w:sz w:val="20"/>
                <w:szCs w:val="20"/>
                <w:color w:val="auto"/>
              </w:rPr>
            </w:pPr>
            <w:r>
              <w:rPr>
                <w:rFonts w:ascii="Arial" w:cs="Arial" w:eastAsia="Arial" w:hAnsi="Arial"/>
                <w:sz w:val="14"/>
                <w:szCs w:val="14"/>
                <w:b w:val="1"/>
                <w:bCs w:val="1"/>
                <w:i w:val="1"/>
                <w:iCs w:val="1"/>
                <w:color w:val="auto"/>
              </w:rPr>
              <w:t>Period</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12"/>
                <w:szCs w:val="12"/>
                <w:b w:val="1"/>
                <w:bCs w:val="1"/>
                <w:color w:val="auto"/>
                <w:w w:val="89"/>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Paid per Share</w:t>
            </w:r>
          </w:p>
        </w:tc>
      </w:tr>
      <w:tr>
        <w:trPr>
          <w:trHeight w:val="223"/>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 31, 2017</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703,964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February 1 – 28, 2017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 31, 2017</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6160" w:type="dxa"/>
            <w:vAlign w:val="bottom"/>
            <w:gridSpan w:val="3"/>
          </w:tcPr>
          <w:p>
            <w:pPr>
              <w:ind w:left="8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746,677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38"/>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20" w:type="dxa"/>
            <w:vAlign w:val="bottom"/>
            <w:gridSpan w:val="3"/>
          </w:tcPr>
          <w:p>
            <w:pPr>
              <w:ind w:left="5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Certification of President and Chief Executive Officer (Principal Executive Officer) pursuant to Section 302 of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Certification of Senior Vice President and Chief Financial Officer (Principal Financial Officer and Principal Accounting Officer) pursuant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302 of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Certification of President and Chief Executive Officer (Principal Executive Officer) and Senior Vice President and Chief Financial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 pursuant to Section 906 of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7" w:name="page78"/>
    <w:bookmarkEnd w:id="77"/>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John F. Thero</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121"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May 3, 2017</w:t>
            </w:r>
          </w:p>
        </w:tc>
        <w:tc>
          <w:tcPr>
            <w:tcW w:w="56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May 3, 2017</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20" w:right="48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2017,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Date: May 3, 2017</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Arial" w:cs="Arial" w:eastAsia="Arial" w:hAnsi="Arial"/>
                <w:sz w:val="18"/>
                <w:szCs w:val="18"/>
                <w:color w:val="auto"/>
              </w:rPr>
              <w:t>Date: May 3, 2017</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lowerLetter"/>
      <w:start w:val="2"/>
    </w:lvl>
  </w:abstractNum>
  <w:abstractNum w:abstractNumId="5">
    <w:nsid w:val="6763845E"/>
    <w:multiLevelType w:val="hybridMultilevel"/>
    <w:lvl w:ilvl="0">
      <w:lvlJc w:val="left"/>
      <w:lvlText w:val="(%1)"/>
      <w:numFmt w:val="lowerRoman"/>
      <w:start w:val="1"/>
    </w:lvl>
  </w:abstractNum>
  <w:abstractNum w:abstractNumId="6">
    <w:nsid w:val="75A2A8D4"/>
    <w:multiLevelType w:val="hybridMultilevel"/>
    <w:lvl w:ilvl="0">
      <w:lvlJc w:val="left"/>
      <w:lvlText w:val="(%1)"/>
      <w:numFmt w:val="decimal"/>
      <w:start w:val="3"/>
    </w:lvl>
  </w:abstractNum>
  <w:abstractNum w:abstractNumId="7">
    <w:nsid w:val="8EDBDAB"/>
    <w:multiLevelType w:val="hybridMultilevel"/>
    <w:lvl w:ilvl="0">
      <w:lvlJc w:val="left"/>
      <w:lvlText w:val="(%1)"/>
      <w:numFmt w:val="decimal"/>
      <w:start w:val="4"/>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9"/>
    </w:lvl>
  </w:abstractNum>
  <w:abstractNum w:abstractNumId="14">
    <w:nsid w:val="2CA88611"/>
    <w:multiLevelType w:val="hybridMultilevel"/>
    <w:lvl w:ilvl="0">
      <w:lvlJc w:val="left"/>
      <w:lvlText w:val="(%1)"/>
      <w:numFmt w:val="decimal"/>
      <w:start w:val="10"/>
    </w:lvl>
  </w:abstractNum>
  <w:abstractNum w:abstractNumId="15">
    <w:nsid w:val="836C40E"/>
    <w:multiLevelType w:val="hybridMultilevel"/>
    <w:lvl w:ilvl="0">
      <w:lvlJc w:val="left"/>
      <w:lvlText w:val="(%1)"/>
      <w:numFmt w:val="lowerRoman"/>
      <w:start w:val="2"/>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3"/>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2019-12-29T06:47:13Z</dcterms:created>
  <dcterms:modified xsi:type="dcterms:W3CDTF">2019-12-29T06:47:13Z</dcterms:modified>
</cp:coreProperties>
</file>