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174,133,288 shares held as American Depository Shares (ADS), each representing one Ordinary Share, 50 pence par value per share, and 465,163 ordinary shares, were outstanding as of August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spacing w:after="0"/>
              <w:rPr>
                <w:sz w:val="14"/>
                <w:szCs w:val="14"/>
                <w:color w:val="auto"/>
              </w:rPr>
            </w:pPr>
          </w:p>
        </w:tc>
        <w:tc>
          <w:tcPr>
            <w:tcW w:w="6580" w:type="dxa"/>
            <w:vAlign w:val="bottom"/>
            <w:gridSpan w:val="12"/>
            <w:vMerge w:val="restart"/>
          </w:tcPr>
          <w:p>
            <w:pPr>
              <w:jc w:val="center"/>
              <w:ind w:right="416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658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00" w:type="dxa"/>
            <w:vAlign w:val="bottom"/>
            <w:tcBorders>
              <w:top w:val="single" w:sz="8" w:color="0000EE"/>
            </w:tcBorders>
            <w:gridSpan w:val="7"/>
          </w:tcPr>
          <w:p>
            <w:pPr>
              <w:spacing w:after="0"/>
              <w:rPr>
                <w:sz w:val="19"/>
                <w:szCs w:val="19"/>
                <w:color w:val="auto"/>
              </w:rPr>
            </w:pPr>
          </w:p>
        </w:tc>
        <w:tc>
          <w:tcPr>
            <w:tcW w:w="4180" w:type="dxa"/>
            <w:vAlign w:val="bottom"/>
            <w:gridSpan w:val="5"/>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160" w:type="dxa"/>
            <w:vAlign w:val="bottom"/>
            <w:gridSpan w:val="18"/>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2014 and December 31, 2013</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months ended June 30, 2014 and 2013</w:t>
              </w:r>
            </w:hyperlink>
          </w:p>
        </w:tc>
        <w:tc>
          <w:tcPr>
            <w:tcW w:w="29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six months ended June 30, 2014 and 2013</w:t>
              </w:r>
            </w:hyperlink>
          </w:p>
        </w:tc>
        <w:tc>
          <w:tcPr>
            <w:tcW w:w="30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Deficit at June 30, 2014</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2014 and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8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59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5"/>
          </w:tcPr>
          <w:p>
            <w:pPr>
              <w:jc w:val="center"/>
              <w:spacing w:after="0" w:line="196" w:lineRule="exact"/>
              <w:rPr>
                <w:rFonts w:ascii="Arial" w:cs="Arial" w:eastAsia="Arial" w:hAnsi="Arial"/>
                <w:sz w:val="18"/>
                <w:szCs w:val="18"/>
                <w:b w:val="1"/>
                <w:bCs w:val="1"/>
                <w:color w:val="0000EE"/>
                <w:w w:val="94"/>
              </w:rPr>
            </w:pPr>
            <w:hyperlink w:anchor="page47">
              <w:r>
                <w:rPr>
                  <w:rFonts w:ascii="Arial" w:cs="Arial" w:eastAsia="Arial" w:hAnsi="Arial"/>
                  <w:sz w:val="18"/>
                  <w:szCs w:val="18"/>
                  <w:b w:val="1"/>
                  <w:bCs w:val="1"/>
                  <w:color w:val="0000EE"/>
                  <w:w w:val="94"/>
                </w:rPr>
                <w:t>PART II – Other Information</w:t>
              </w:r>
            </w:hyperlink>
          </w:p>
        </w:tc>
        <w:tc>
          <w:tcPr>
            <w:tcW w:w="42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88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17"/>
                <w:szCs w:val="17"/>
                <w:color w:val="auto"/>
              </w:rPr>
            </w:pPr>
          </w:p>
        </w:tc>
        <w:tc>
          <w:tcPr>
            <w:tcW w:w="9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104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840" w:type="dxa"/>
            <w:vAlign w:val="bottom"/>
          </w:tcPr>
          <w:p>
            <w:pPr>
              <w:spacing w:after="0"/>
              <w:rPr>
                <w:sz w:val="14"/>
                <w:szCs w:val="14"/>
                <w:color w:val="auto"/>
              </w:rPr>
            </w:pPr>
          </w:p>
        </w:tc>
        <w:tc>
          <w:tcPr>
            <w:tcW w:w="124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40" w:type="dxa"/>
            <w:vAlign w:val="bottom"/>
            <w:tcBorders>
              <w:top w:val="single" w:sz="8" w:color="CCEEFF"/>
            </w:tcBorders>
            <w:shd w:val="clear" w:color="auto" w:fill="CCEEFF"/>
          </w:tcPr>
          <w:p>
            <w:pPr>
              <w:ind w:left="4200"/>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$ 150,528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191,514</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Inventory, current</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115"/>
        </w:trPr>
        <w:tc>
          <w:tcPr>
            <w:tcW w:w="8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177,981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219,402</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4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7"/>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long-term</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Intangible asset, net</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10,386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115"/>
        </w:trPr>
        <w:tc>
          <w:tcPr>
            <w:tcW w:w="8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205,839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LIABILITIES AND STOCKHOLDERS’ DEFICIT</w:t>
            </w: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14,669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Warrant derivative liability</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115"/>
        </w:trPr>
        <w:tc>
          <w:tcPr>
            <w:tcW w:w="8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37,930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37,540</w:t>
            </w:r>
          </w:p>
        </w:tc>
        <w:tc>
          <w:tcPr>
            <w:tcW w:w="0" w:type="dxa"/>
            <w:vAlign w:val="bottom"/>
          </w:tcPr>
          <w:p>
            <w:pPr>
              <w:spacing w:after="0"/>
              <w:rPr>
                <w:sz w:val="1"/>
                <w:szCs w:val="1"/>
                <w:color w:val="auto"/>
              </w:rPr>
            </w:pPr>
          </w:p>
        </w:tc>
      </w:tr>
      <w:tr>
        <w:trPr>
          <w:trHeight w:val="330"/>
        </w:trPr>
        <w:tc>
          <w:tcPr>
            <w:tcW w:w="8840" w:type="dxa"/>
            <w:vAlign w:val="bottom"/>
          </w:tcPr>
          <w:p>
            <w:pPr>
              <w:spacing w:after="0"/>
              <w:rPr>
                <w:sz w:val="20"/>
                <w:szCs w:val="20"/>
                <w:color w:val="auto"/>
              </w:rPr>
            </w:pPr>
            <w:r>
              <w:rPr>
                <w:rFonts w:ascii="Arial" w:cs="Arial" w:eastAsia="Arial" w:hAnsi="Arial"/>
                <w:sz w:val="18"/>
                <w:szCs w:val="18"/>
                <w:color w:val="auto"/>
              </w:rPr>
              <w:t>Long-Term Liabilities:</w:t>
            </w:r>
          </w:p>
        </w:tc>
        <w:tc>
          <w:tcPr>
            <w:tcW w:w="5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Exchangeable senior notes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119,167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149,317</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88,700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87,717</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derivative liabilities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15"/>
        </w:trPr>
        <w:tc>
          <w:tcPr>
            <w:tcW w:w="8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255,816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286,332</w:t>
            </w:r>
          </w:p>
        </w:tc>
        <w:tc>
          <w:tcPr>
            <w:tcW w:w="0" w:type="dxa"/>
            <w:vAlign w:val="bottom"/>
          </w:tcPr>
          <w:p>
            <w:pPr>
              <w:spacing w:after="0"/>
              <w:rPr>
                <w:sz w:val="1"/>
                <w:szCs w:val="1"/>
                <w:color w:val="auto"/>
              </w:rPr>
            </w:pPr>
          </w:p>
        </w:tc>
      </w:tr>
      <w:tr>
        <w:trPr>
          <w:trHeight w:val="329"/>
        </w:trPr>
        <w:tc>
          <w:tcPr>
            <w:tcW w:w="88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5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40" w:type="dxa"/>
            <w:vAlign w:val="bottom"/>
          </w:tcPr>
          <w:p>
            <w:pPr>
              <w:ind w:left="440"/>
              <w:spacing w:after="0"/>
              <w:rPr>
                <w:sz w:val="20"/>
                <w:szCs w:val="20"/>
                <w:color w:val="auto"/>
              </w:rPr>
            </w:pPr>
            <w:r>
              <w:rPr>
                <w:rFonts w:ascii="Arial" w:cs="Arial" w:eastAsia="Arial" w:hAnsi="Arial"/>
                <w:sz w:val="18"/>
                <w:szCs w:val="18"/>
                <w:color w:val="auto"/>
                <w:w w:val="93"/>
              </w:rPr>
              <w:t>Common stock, £0.50 par, unlimited authorized; 172,906,063 issued, 172,885,984 outstanding at June 30, 2014;</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660"/>
              <w:spacing w:after="0"/>
              <w:rPr>
                <w:sz w:val="20"/>
                <w:szCs w:val="20"/>
                <w:color w:val="auto"/>
              </w:rPr>
            </w:pPr>
            <w:r>
              <w:rPr>
                <w:rFonts w:ascii="Arial" w:cs="Arial" w:eastAsia="Arial" w:hAnsi="Arial"/>
                <w:sz w:val="18"/>
                <w:szCs w:val="18"/>
                <w:color w:val="auto"/>
              </w:rPr>
              <w:t>172,691,063 issued, 172,670,984 outstanding at December 31, 2013</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141,654</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141,477</w:t>
            </w:r>
          </w:p>
        </w:tc>
        <w:tc>
          <w:tcPr>
            <w:tcW w:w="0" w:type="dxa"/>
            <w:vAlign w:val="bottom"/>
          </w:tcPr>
          <w:p>
            <w:pPr>
              <w:spacing w:after="0"/>
              <w:rPr>
                <w:sz w:val="1"/>
                <w:szCs w:val="1"/>
                <w:color w:val="auto"/>
              </w:rPr>
            </w:pPr>
          </w:p>
        </w:tc>
      </w:tr>
      <w:tr>
        <w:trPr>
          <w:trHeight w:val="217"/>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733,113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738,754</w:t>
            </w:r>
          </w:p>
        </w:tc>
        <w:tc>
          <w:tcPr>
            <w:tcW w:w="0" w:type="dxa"/>
            <w:vAlign w:val="bottom"/>
          </w:tcPr>
          <w:p>
            <w:pPr>
              <w:spacing w:after="0"/>
              <w:rPr>
                <w:sz w:val="1"/>
                <w:szCs w:val="1"/>
                <w:color w:val="auto"/>
              </w:rPr>
            </w:pP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Treasury stock; 20,079 shares at June 30, 2014 and December 31, 2013</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(924,527)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(913,870)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40" w:type="dxa"/>
            <w:vAlign w:val="bottom"/>
          </w:tcPr>
          <w:p>
            <w:pPr>
              <w:ind w:left="1300"/>
              <w:spacing w:after="0"/>
              <w:rPr>
                <w:sz w:val="20"/>
                <w:szCs w:val="20"/>
                <w:color w:val="auto"/>
              </w:rPr>
            </w:pPr>
            <w:r>
              <w:rPr>
                <w:rFonts w:ascii="Arial" w:cs="Arial" w:eastAsia="Arial" w:hAnsi="Arial"/>
                <w:sz w:val="18"/>
                <w:szCs w:val="18"/>
                <w:color w:val="auto"/>
              </w:rPr>
              <w:t>Total stockholders’ deficit</w:t>
            </w:r>
          </w:p>
        </w:tc>
        <w:tc>
          <w:tcPr>
            <w:tcW w:w="52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(49,977)</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116"/>
        </w:trPr>
        <w:tc>
          <w:tcPr>
            <w:tcW w:w="8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$ 205,839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9"/>
              </w:rPr>
              <w:t>Three months ended June 30,</w:t>
            </w:r>
          </w:p>
        </w:tc>
        <w:tc>
          <w:tcPr>
            <w:tcW w:w="80" w:type="dxa"/>
            <w:vAlign w:val="bottom"/>
          </w:tcPr>
          <w:p>
            <w:pPr>
              <w:spacing w:after="0"/>
              <w:rPr>
                <w:sz w:val="14"/>
                <w:szCs w:val="14"/>
                <w:color w:val="auto"/>
              </w:rPr>
            </w:pP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4"/>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2,844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330"/>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17,489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112,555</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(25,240)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(48,794)</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(50,811)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(108,844)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18,841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taxes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(39,709)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(105,124)</w:t>
            </w:r>
          </w:p>
        </w:tc>
        <w:tc>
          <w:tcPr>
            <w:tcW w:w="0" w:type="dxa"/>
            <w:vAlign w:val="bottom"/>
          </w:tcPr>
          <w:p>
            <w:pPr>
              <w:spacing w:after="0"/>
              <w:rPr>
                <w:sz w:val="1"/>
                <w:szCs w:val="1"/>
                <w:color w:val="auto"/>
              </w:rPr>
            </w:pPr>
          </w:p>
        </w:tc>
      </w:tr>
      <w:tr>
        <w:trPr>
          <w:trHeight w:val="323"/>
        </w:trPr>
        <w:tc>
          <w:tcPr>
            <w:tcW w:w="552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(39,774)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(101,932)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172,886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150,694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207,674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157,043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157,067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Paid-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Common Stock</w:t>
            </w: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 Capital</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172,691,063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141,477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$738,754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6"/>
              </w:rPr>
              <w:t>(217)</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(913,870)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(33,856)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215,000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79"/>
              </w:rPr>
              <w:t>177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Reacquisition of conversion option in convertible notes</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for the period</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(10,657)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172,906,063</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$ 733,113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(217)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 (924,527)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 xml:space="preserve"> (49,977)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(10,657)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changes in fair value of derivative liabilities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Gain on extinguishment of debt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Shares issued for services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2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(38,807)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(112,416)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Purchases of equipment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191,514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260,242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149,426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Interest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items:</w:t>
            </w: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00" w:type="dxa"/>
            <w:vAlign w:val="bottom"/>
            <w:gridSpan w:val="2"/>
            <w:vMerge w:val="continue"/>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0" w:type="dxa"/>
            <w:vAlign w:val="bottom"/>
            <w:gridSpan w:val="2"/>
          </w:tcPr>
          <w:p>
            <w:pPr>
              <w:spacing w:after="0"/>
              <w:rPr>
                <w:sz w:val="20"/>
                <w:szCs w:val="20"/>
                <w:color w:val="auto"/>
              </w:rPr>
            </w:pPr>
            <w:r>
              <w:rPr>
                <w:rFonts w:ascii="Arial" w:cs="Arial" w:eastAsia="Arial" w:hAnsi="Arial"/>
                <w:sz w:val="18"/>
                <w:szCs w:val="18"/>
                <w:color w:val="auto"/>
              </w:rPr>
              <w:t>Reacquisition of conversion option in convertible notes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The Company also recently entered into a co-promotion agreement with Kowa Pharmaceuticals America, Inc. (Kowa Pharmaceuticals America) under which approximately 250 Kowa Pharmaceuticals America sales representatives began to devote a substantial portion of their time to promoting Vascepa starting in May 2014. The Company operates in one business segment.</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 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on Triglycerides and Cardiovascular Disease </w:t>
      </w:r>
      <w:r>
        <w:rPr>
          <w:rFonts w:ascii="Arial" w:cs="Arial" w:eastAsia="Arial" w:hAnsi="Arial"/>
          <w:sz w:val="16"/>
          <w:szCs w:val="16"/>
          <w:color w:val="auto"/>
        </w:rPr>
        <w:t>(2011), triglycerides also provide important information as a marker associated with the risk for heart</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w:t>
      </w:r>
    </w:p>
    <w:p>
      <w:pPr>
        <w:spacing w:after="0"/>
        <w:rPr>
          <w:sz w:val="20"/>
          <w:szCs w:val="20"/>
          <w:color w:val="auto"/>
        </w:rPr>
      </w:pPr>
      <w:r>
        <w:rPr>
          <w:rFonts w:ascii="Arial" w:cs="Arial" w:eastAsia="Arial" w:hAnsi="Arial"/>
          <w:sz w:val="18"/>
          <w:szCs w:val="18"/>
          <w:color w:val="auto"/>
        </w:rPr>
        <w:t>(2.3% for Vascepa vs. 1.0% for placebo).</w:t>
      </w:r>
    </w:p>
    <w:p>
      <w:pPr>
        <w:spacing w:after="0" w:line="16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is also developing Vascepa for the treatment of patients with high (TG ³ 200 mg/dL and &lt;500 mg/dL) triglyceride levels who are also on statin therapy for elevated low-density lipoprotein cholesterol, or LDL-C, levels which the Company refers to as mixed dyslipidemia. The Company refers to this second proposed indication for Vascepa as the ANCHOR indication. The FDA has stated that it views the proposed ANCHOR indication as ostensibly and impliedly an indication to reduce cardiovascular risk. In addition, in December 2011, Amarin announced commencement of patient dosing in a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pending supplemental new drug application, or sNDA, with the FDA that seeks marketing approval of Vascepa for use in the ANCHOR indication. On October 16, 2013, the FDA convened an advisory committee to review the sNDA. This advisory committee was not asked by the FDA to evaluate whether Vascepa is effective in lowering triglycerides in the studied population, the ANCHOR indication as specified in the sNDA. Rather, the advisory committee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information presented at the meeting. The FDA considers the recommendation of the advisory committee, but final decisions on the approval of new drug applications are made by the FDA. On October 22, 2013, in an effort to reduce operating expenses following the recommendation of the advisory committee, the Company implemented a worldwide reduction in force of approximately 50% of its staff positions, including sales positions.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the Company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the Company submitted to the FDA a request for reconsideration of its decision to rescind the ANCHOR SPA agreement. On January 17, 2014, the Company was notified by the FDA that it does not intend to reinstate the ANCHOR SPA agreement. The Company appealed to the next level within the FDA and was informed in late April 2014 that that level determined to uphold the rescission determination. The Company subsequently appealed the rescission decision to the next level within the FDA in accordance with FDA dispute resolution guidance and is currently awaiting their response.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 December 20, 2013. Instead, the FDA notified the Company on December 19, 2013 that it would first consider the appeal of the ANCHOR SPA agreement rescission. No new PDUFA goal date for the ANCHOR sNDA was established. Based on information available, the Company does not expect a determination on the ANCHOR sNDA while the Company’s appeal of the January 17, 2014 FDA decision to uphold the ANCHOR SPA rescission is pending. The Company is also continuing its efforts toward a positive determination on the pending ANCHOR sNDA. There can be no assurance that the FDA will not communicate the results of its review of the ANCHOR sNDA prior to the timing expected.</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Based on the Company’s communications with the FDA, the Company currently expects that final positive results from the REDUCE-IT outcomes study will be required for label expansion for Vascepa. There can be no assurance that the Company will be successful in its efforts to reinstate the ANCHOR SPA agreement or obtain a label expansion reflecting the ANCHOR clinical trial. Such label expansion could include FDA approval of the addition of an ANCHOR indication statement and/or the addition of the ANCHOR clinical trial data to the currently approved labeling. If the FDA does not approve the ANCHOR indication, it could have a material impact on the Company’s future results of operations and financial condition.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2013, filed with the SEC (the “2013 Form 10-K”). The balance sheet amounts at December 31, 2013 in this report were derived from the Company’s audited 2013 consolidated financial statements included in the 2013 Form 10-K.</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and six months ended June 30, 2014 and June 30, 2013, respectively, are not necessarily indicative of the results for the entire fiscal year or any future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Company’s business operations are focused on the commercialization and development of Vascepa, which received approval from the FDA in 2012 and for which the Company commenced marketing and sales in 2013. The consolidated financial statements include the accounts of the Company and its wholly-owned subsidiaries. All intercompany accounts and transactions have been eliminated in consolidation.</w:t>
      </w:r>
    </w:p>
    <w:p>
      <w:pPr>
        <w:spacing w:after="0" w:line="1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At June 30, 2014, the Company had cash and cash equivalents of $150.5 million. The Company’s consolidated balance sheets also includes derivative liabilities (see Note 5—Warrants and Warrant Derivative Liability) as well as long term debt and exchangeable senior notes (see Note 6—Debt). The warrant derivative liability reflects the fair value of outstanding warrants to purchase shares of the Company’s common stock. The outstanding January 2012 exchangeable senior notes (the “2012 Notes”) and May 2014 exchangeable senior notes (the “2014 Notes”) may be redeemed on or after January 19, 2017 and January 19, 2019, respectively, at the option of the holders and it is not puttable by the holders prior to these dates except upon the occurrence of certain contingent events. The 2012 Notes are exchangeable under certain circumstances into cash, American Depository Shares, or ADSs, or a combination of cash and ADSs, at the Company’s election. The 2014 Notes are exchangeable under certain circumstances into ADSs. Accordingly, the warrant derivative liability, long term debt and Exchangeable Senior Notes do not present a short term claim on the liquid assets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287" w:lineRule="exact"/>
        <w:rPr>
          <w:sz w:val="20"/>
          <w:szCs w:val="20"/>
          <w:color w:val="auto"/>
        </w:rPr>
      </w:pPr>
    </w:p>
    <w:p>
      <w:pPr>
        <w:ind w:left="240" w:right="8620" w:hanging="232"/>
        <w:spacing w:after="0" w:line="347" w:lineRule="auto"/>
        <w:tabs>
          <w:tab w:leader="none" w:pos="4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u w:val="single" w:color="auto"/>
          <w:color w:val="auto"/>
        </w:rPr>
        <w:t>Use of Estimates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At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 payment terms for sales to Distributors generally include a 2% discount for payment within 30 days.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62"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June 30, 2014,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2"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was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December 31, 2013.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described above for the six months ended June 30, 2014 and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Rebates,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Trade</w:t>
            </w:r>
          </w:p>
        </w:tc>
        <w:tc>
          <w:tcPr>
            <w:tcW w:w="180" w:type="dxa"/>
            <w:vAlign w:val="bottom"/>
          </w:tcPr>
          <w:p>
            <w:pPr>
              <w:spacing w:after="0"/>
              <w:rPr>
                <w:sz w:val="12"/>
                <w:szCs w:val="12"/>
                <w:color w:val="auto"/>
              </w:rPr>
            </w:pPr>
          </w:p>
        </w:tc>
        <w:tc>
          <w:tcPr>
            <w:tcW w:w="104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Chargebacks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3"/>
              </w:rPr>
              <w:t>Product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Allowances</w:t>
            </w:r>
          </w:p>
        </w:tc>
        <w:tc>
          <w:tcPr>
            <w:tcW w:w="1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Returns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Incentives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2,469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Provision related to current period sales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3,325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4,978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2,254</w:t>
            </w:r>
          </w:p>
        </w:tc>
        <w:tc>
          <w:tcPr>
            <w:tcW w:w="46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related to prior period sales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Credits/payments made for current period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(2,218)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prior period sales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(1,836)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247</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225</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5"/>
          </w:tcPr>
          <w:p>
            <w:pPr>
              <w:ind w:left="180"/>
              <w:spacing w:after="0"/>
              <w:rPr>
                <w:sz w:val="20"/>
                <w:szCs w:val="20"/>
                <w:color w:val="auto"/>
              </w:rPr>
            </w:pPr>
            <w:r>
              <w:rPr>
                <w:rFonts w:ascii="Arial" w:cs="Arial" w:eastAsia="Arial" w:hAnsi="Arial"/>
                <w:sz w:val="14"/>
                <w:szCs w:val="14"/>
                <w:b w:val="1"/>
                <w:bCs w:val="1"/>
                <w:color w:val="auto"/>
              </w:rPr>
              <w:t>Rebates,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Trade</w:t>
            </w:r>
          </w:p>
        </w:tc>
        <w:tc>
          <w:tcPr>
            <w:tcW w:w="12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140" w:type="dxa"/>
            <w:vAlign w:val="bottom"/>
          </w:tcPr>
          <w:p>
            <w:pPr>
              <w:spacing w:after="0"/>
              <w:rPr>
                <w:sz w:val="12"/>
                <w:szCs w:val="12"/>
                <w:color w:val="auto"/>
              </w:rPr>
            </w:pPr>
          </w:p>
        </w:tc>
        <w:tc>
          <w:tcPr>
            <w:tcW w:w="58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Product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Allowances</w:t>
            </w: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3"/>
              </w:rPr>
              <w:t>Returns</w:t>
            </w:r>
          </w:p>
        </w:tc>
        <w:tc>
          <w:tcPr>
            <w:tcW w:w="4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Incentives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Provision related to current period and deferred sales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1,654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current period and deferred sales</w:t>
            </w:r>
          </w:p>
        </w:tc>
        <w:tc>
          <w:tcPr>
            <w:tcW w:w="9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5"/>
              </w:rPr>
              <w:t>(869)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(2,382)</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2013</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center"/>
              <w:ind w:left="94"/>
              <w:spacing w:after="0"/>
              <w:rPr>
                <w:sz w:val="20"/>
                <w:szCs w:val="20"/>
                <w:color w:val="auto"/>
              </w:rPr>
            </w:pPr>
            <w:r>
              <w:rPr>
                <w:rFonts w:ascii="Arial" w:cs="Arial" w:eastAsia="Arial" w:hAnsi="Arial"/>
                <w:sz w:val="18"/>
                <w:szCs w:val="18"/>
                <w:b w:val="1"/>
                <w:bCs w:val="1"/>
                <w:color w:val="auto"/>
                <w:w w:val="93"/>
              </w:rPr>
              <w:t>226</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product revenue recognized and deferred during the six months ended June 30, 2014 and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1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June 30, 2013</w:t>
            </w: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six months ended June 30,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480" w:type="dxa"/>
            <w:vAlign w:val="bottom"/>
            <w:gridSpan w:val="3"/>
          </w:tcPr>
          <w:p>
            <w:pPr>
              <w:ind w:left="1680"/>
              <w:spacing w:after="0"/>
              <w:rPr>
                <w:sz w:val="20"/>
                <w:szCs w:val="20"/>
                <w:color w:val="auto"/>
              </w:rPr>
            </w:pPr>
            <w:r>
              <w:rPr>
                <w:rFonts w:ascii="Arial" w:cs="Arial" w:eastAsia="Arial" w:hAnsi="Arial"/>
                <w:sz w:val="14"/>
                <w:szCs w:val="14"/>
                <w:b w:val="1"/>
                <w:bCs w:val="1"/>
                <w:color w:val="auto"/>
                <w:w w:val="85"/>
              </w:rPr>
              <w:t>June 30, 2014</w:t>
            </w:r>
          </w:p>
        </w:tc>
        <w:tc>
          <w:tcPr>
            <w:tcW w:w="1680" w:type="dxa"/>
            <w:vAlign w:val="bottom"/>
            <w:gridSpan w:val="4"/>
          </w:tcPr>
          <w:p>
            <w:pPr>
              <w:ind w:left="780"/>
              <w:spacing w:after="0"/>
              <w:rPr>
                <w:sz w:val="20"/>
                <w:szCs w:val="20"/>
                <w:color w:val="auto"/>
              </w:rPr>
            </w:pPr>
            <w:r>
              <w:rPr>
                <w:rFonts w:ascii="Arial" w:cs="Arial" w:eastAsia="Arial" w:hAnsi="Arial"/>
                <w:sz w:val="14"/>
                <w:szCs w:val="14"/>
                <w:b w:val="1"/>
                <w:bCs w:val="1"/>
                <w:color w:val="auto"/>
                <w:w w:val="96"/>
              </w:rPr>
              <w:t>June 30, 2013</w:t>
            </w: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Cash and cash equivalents consist of cash, deposits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90"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Accounts receivable, comprised of trade receivables, are generally due within 30 days and are stated at amounts due from customers. The Company does not currently maintain an allowance for doubtful accounts and has not historically experienced any credit losses.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the Company’s suppliers.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states property, plant and equipment at cost and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4"/>
              </w:rPr>
              <w:t>Useful Lives</w:t>
            </w:r>
          </w:p>
        </w:tc>
      </w:tr>
      <w:tr>
        <w:trPr>
          <w:trHeight w:val="203"/>
        </w:trPr>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Lesser of useful life or lease term</w:t>
            </w: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over the estimated useful life and no degradation of the cash flows over time is currently anticipated.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Deferred revenue represents product shipments to Distributors for which the Company has invoiced the Distributors but not recognized as revenue because the product was not reported to the Company as having been resold for the purpose of filling prescriptions. Commencing on January 1, 2014, the Company recognizes revenue based on product shipments to its Distributors and as a result, no deferred revenue was recorded as of June 30,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the commercial launch of Vascepa in the United States for the MARINE indication. Included as part of selling, general and administrative costs is warrant related expense (income) from non-cash changes in the fair value of a derivative liability associated with warrants issued in October 2009 to former officers of Amarin which is recorded as compensation expense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Earnings or Loss per Share</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Basic net earnings (or loss) per share is determined by dividing net income (or loss) by the weighted average shares of common stock outstanding during the period. Diluted net earnings (or loss) per share is determined by dividing net income (or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a derivative liability, for diluted earnings per share purposes, the impact of such gains is reversed and the treasury stock method is used to determine diluted earnings per share.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calculation of net income (or loss) and the number of shares used to compute basic and diluted earnings per share for the three months ended June 30, 2014 and 2013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9"/>
              </w:rPr>
              <w:t>June 30,</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June 30,</w:t>
            </w:r>
          </w:p>
        </w:tc>
      </w:t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90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(loss)—basic</w:t>
            </w:r>
          </w:p>
        </w:tc>
        <w:tc>
          <w:tcPr>
            <w:tcW w:w="1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$ 15,323</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(39,774)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(10,657)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$(101,932)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2300" w:type="dxa"/>
            <w:vAlign w:val="bottom"/>
            <w:gridSpan w:val="3"/>
          </w:tcPr>
          <w:p>
            <w:pPr>
              <w:jc w:val="right"/>
              <w:ind w:right="340"/>
              <w:spacing w:after="0"/>
              <w:rPr>
                <w:sz w:val="20"/>
                <w:szCs w:val="20"/>
                <w:color w:val="auto"/>
              </w:rPr>
            </w:pPr>
            <w:r>
              <w:rPr>
                <w:rFonts w:ascii="Arial" w:cs="Arial" w:eastAsia="Arial" w:hAnsi="Arial"/>
                <w:sz w:val="18"/>
                <w:szCs w:val="18"/>
                <w:color w:val="auto"/>
              </w:rPr>
              <w:t>(1,416)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(12,983)</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(2,381)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(18,826)</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exchangeable senior notes derivative liability</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Exchangeable senior notes interest</w:t>
            </w:r>
          </w:p>
        </w:tc>
        <w:tc>
          <w:tcPr>
            <w:tcW w:w="1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(52,757)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(13,038)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(120,758)</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earnings (loss) per share—basic</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4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(0.06)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(0.68)</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172,886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172,879</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150,562</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dilutive warrants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6,505</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dilutive restricted stock</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exchangeable senior notes if converted</w:t>
            </w:r>
          </w:p>
        </w:tc>
        <w:tc>
          <w:tcPr>
            <w:tcW w:w="1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31,526</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Weighted average shares outstanding—diluted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207,674</w:t>
            </w:r>
          </w:p>
        </w:tc>
        <w:tc>
          <w:tcPr>
            <w:tcW w:w="4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157,043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173,876</w:t>
            </w:r>
          </w:p>
        </w:tc>
        <w:tc>
          <w:tcPr>
            <w:tcW w:w="2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157,067</w:t>
            </w: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(or loss) per share—diluted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r>
    </w:tbl>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three and six months ended June 30, 2014 and 2013, the following potentially dilutive securities were not included in the computation of net income (or loss) per share because the effect would be anti-dilutive: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49"/>
        </w:trPr>
        <w:tc>
          <w:tcPr>
            <w:tcW w:w="736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r>
      <w:tr>
        <w:trPr>
          <w:trHeight w:val="161"/>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10,644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11,864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2,305</w:t>
            </w:r>
          </w:p>
        </w:tc>
        <w:tc>
          <w:tcPr>
            <w:tcW w:w="5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17,021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49,215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17,021</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American Depository Shares (ADSs) or cash upon conversion and have been accounted for in accordance with ASC 470-20. Under ASC 470-20, the fair value of the liability component of the 2012 debt instrument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 in the 2014 Notes may only be settled in ADSs upon conversion and has been accounted for as part of the debt host.</w:t>
      </w:r>
    </w:p>
    <w:p>
      <w:pPr>
        <w:spacing w:after="0" w:line="120"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w:t>
      </w:r>
    </w:p>
    <w:p>
      <w:pPr>
        <w:spacing w:after="0" w:line="261" w:lineRule="auto"/>
        <w:rPr>
          <w:sz w:val="20"/>
          <w:szCs w:val="20"/>
          <w:color w:val="auto"/>
        </w:rPr>
      </w:pPr>
      <w:r>
        <w:rPr>
          <w:rFonts w:ascii="Arial" w:cs="Arial" w:eastAsia="Arial" w:hAnsi="Arial"/>
          <w:sz w:val="18"/>
          <w:szCs w:val="18"/>
          <w:color w:val="auto"/>
        </w:rPr>
        <w:t>2012 Notes (see further discussion in Note 6). As a result, the debt was initially recognized at a discount of $27.9 million. This discount will be amortized through interest expense over the expected term of the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 Equity awards granted for which the grant date fair value is not determinable are marked to fair value each reporting period over the requisite service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and 96% of gross product sales for the six months ending June 30, 2014 and 2013, respectively and represented 96% and 98% of the gross accounts receivable balance as of June 30, 2014 and June 30,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The Company periodically uses foreign exchange forward contracts to hedge against changes in exchange rates for inventory purchases denominated in foreign currency. As of June 30, 2014 and December 31, 2013, there were no outstanding foreign exchange contracts.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Debt issuance costs are initially capitalized as a deferred cost within other non-current assets and amortized to interest expense using the effective interest method over the expected term of the related debt. Unamortized debt issuance costs related to extinguishment of debt are expensed at the time the debt is extinguished and recorded in other income (expense), net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June 30, 2014 and December 31, 2013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June 30, 2014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84"/>
              </w:rPr>
              <w:t>Level 1</w:t>
            </w:r>
          </w:p>
        </w:tc>
        <w:tc>
          <w:tcPr>
            <w:tcW w:w="90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84"/>
              </w:rPr>
              <w:t>Level 2</w:t>
            </w:r>
          </w:p>
        </w:tc>
        <w:tc>
          <w:tcPr>
            <w:tcW w:w="92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73.5</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w w:val="79"/>
              </w:rPr>
              <w:t>$ 73.5</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60" w:type="dxa"/>
            <w:vAlign w:val="bottom"/>
            <w:vMerge w:val="restart"/>
          </w:tcPr>
          <w:p>
            <w:pPr>
              <w:jc w:val="right"/>
              <w:ind w:right="47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Level 1</w:t>
            </w:r>
          </w:p>
        </w:tc>
        <w:tc>
          <w:tcPr>
            <w:tcW w:w="86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w w:val="88"/>
              </w:rPr>
              <w:t>Level 2</w:t>
            </w:r>
          </w:p>
        </w:tc>
        <w:tc>
          <w:tcPr>
            <w:tcW w:w="80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estimated fair value of debt is based on the Level 1 quoted prices for the exchangeable senior notes and based on Level 3 inputs for the remainder of the Company’s long-term debt. The carrying amounts and the estimated fair values of debt instruments as of June 30, 2014 and December 31, 2013,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 2014</w:t>
            </w: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 2013</w:t>
            </w:r>
          </w:p>
        </w:tc>
      </w:tr>
      <w:tr>
        <w:trPr>
          <w:trHeight w:val="149"/>
        </w:trPr>
        <w:tc>
          <w:tcPr>
            <w:tcW w:w="4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Carrying</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Carrying</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4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Value</w:t>
            </w: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debt—December 2012 financing</w:t>
            </w:r>
          </w:p>
        </w:tc>
        <w:tc>
          <w:tcPr>
            <w:tcW w:w="1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$88,700</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$ 87,800</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$ 87,717</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2012 Notes</w:t>
            </w:r>
          </w:p>
        </w:tc>
        <w:tc>
          <w:tcPr>
            <w:tcW w:w="2720" w:type="dxa"/>
            <w:vAlign w:val="bottom"/>
            <w:gridSpan w:val="3"/>
          </w:tcPr>
          <w:p>
            <w:pPr>
              <w:jc w:val="right"/>
              <w:ind w:right="480"/>
              <w:spacing w:after="0"/>
              <w:rPr>
                <w:sz w:val="20"/>
                <w:szCs w:val="20"/>
                <w:color w:val="auto"/>
              </w:rPr>
            </w:pPr>
            <w:r>
              <w:rPr>
                <w:rFonts w:ascii="Arial" w:cs="Arial" w:eastAsia="Arial" w:hAnsi="Arial"/>
                <w:sz w:val="18"/>
                <w:szCs w:val="18"/>
                <w:color w:val="auto"/>
              </w:rPr>
              <w:t>31,266</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22,900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149,317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106,600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87,901</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93,600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carrying value of the 2012 Notes at June 30, 2014 and December 31, 2013 includes a debt discount of zero and $0.7 million, respectively, which is being amortized as non-cash interest expense over the expected term of the 2012 Notes. The carrying value of the 2014 Notes at June 30, 2014 includes a debt discount of $30.8 million which is being amortized as non-cash interest expense over the expected term of the 2014 Notes. The change in the estimated fair values of these liabilities from December 31, 2013 to June 30, 2014 is largely related to the issuance of the 2014 Notes and the quoted bond prices.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At June 30, 2014, the fair value of the warrant derivative liability was determined to be $4.5 million using the Black-Scholes option valuation model applying the following assumptions: (i) risk-free rate of 0.04%, (ii) remaining term of 0.3 years, (iii) no dividend yield, (iv) volatility of 120% and (v) the stock price on the date of measurement. As of December 31, 2013, the fair value of the warrant derivative liability was determined to be $6.9 million using the Black-Scholes option valuation applying the following assumptions: (i) risk-free rate of 0.12%, (ii) remaining term of 0.8 years, (iii) no dividend yield (iv) volatility of 99%, and</w:t>
      </w:r>
    </w:p>
    <w:p>
      <w:pPr>
        <w:spacing w:after="0" w:line="3" w:lineRule="exact"/>
        <w:rPr>
          <w:sz w:val="20"/>
          <w:szCs w:val="20"/>
          <w:color w:val="auto"/>
        </w:rPr>
      </w:pPr>
    </w:p>
    <w:p>
      <w:pPr>
        <w:ind w:firstLine="8"/>
        <w:spacing w:after="0" w:line="287"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stock price on the date of measurement. The $2.4 million decrease in the fair value of the warrant liability during the six months ended June 30, 2014 was recognized as: (i) a $2.2 million gain on change in fair value of the remaining derivative liability and (ii) $0.2 million in compensation income for change in fair value of warrants issued to former employees. Both amounts are included in the consolidated statement of operations for the six months ended June 30, 2014. The fair value of this warrant liability is determined using the Black-Scholes option valuation model and is therefore sensitive to changes in the market price and volatility of the Company’s common stock among other factors. In the event of a hypothetical 10% increase in the market price of the Company’s common shares ($1.94 based on the $1.76 market price of the stock at June 30, 2014) on which the June 30, 2014 valuation was based, the value of the derivative liability would have increased by $1.1 million. Such increase would have been reflected as additional loss on change in fair value of derivative liabilities within the statement of operations. Significant increases (decreases) in this input in isolation would result in a significantly higher (lower) fair value asset measurement.</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Derivative Liabilities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December 2012 financing agreement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was determined to be the fair value of the embedded derivative. At June 30, 2014, the fair value of the derivative was determined to be $6.1 million, and the debt was valued by comparing debt issues of similar companies with (i) remaining terms of between 2.8 and 4.1 years, (ii) coupon rates of between 9.9% and 12.5% and (iii) market yields of between 10.1% and 15.2%. The Company recognized a $5.0 million gain on change in fair value of derivative liability for the six months ended June 30, 2014. At December 31, 2013, the fair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value of the derivative was determined to be $11.1 million, and the debt was valued by comparing debt issues of similar companies with (i) remaining terms of between 3.3 and 6.6 years, (ii) coupon rates of between 9.9% and 12.5% and (iii) market yields of between 9.0% and 29.4%. The Company recognized a $6.0 million gain on change in fair value of derivative liability for the six months ended June 30, 2013.</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June 30, 2014, the fair value of the derivative was determined to be $3.3 million, and the debt was valued by using (i) the remaining term of the notes, (ii) a bond yield of 23.8%, (iii) a risk-free interest rate of 3.3% and (iv) volatility of 76%. The Company recognized a $0.2 million gain on change in fair value of derivative liability for the six months ended June 30, 2014.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is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October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Warrants</w:t>
            </w:r>
          </w:p>
        </w:tc>
        <w:tc>
          <w:tcPr>
            <w:tcW w:w="1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Liabilities</w:t>
            </w:r>
          </w:p>
        </w:tc>
        <w:tc>
          <w:tcPr>
            <w:tcW w:w="2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11,100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Record initial fair value of derivative liability on senior notes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1"/>
              </w:rPr>
              <w:t>Compensation income for change in fair value of warrants issued to</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former employees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9,400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$ 13,913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5"/>
              </w:rPr>
              <w:t>October</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Long-Term Debt</w:t>
            </w:r>
          </w:p>
        </w:tc>
        <w:tc>
          <w:tcPr>
            <w:tcW w:w="140" w:type="dxa"/>
            <w:vAlign w:val="bottom"/>
          </w:tcPr>
          <w:p>
            <w:pPr>
              <w:spacing w:after="0"/>
              <w:rPr>
                <w:sz w:val="11"/>
                <w:szCs w:val="11"/>
                <w:color w:val="auto"/>
              </w:rPr>
            </w:pPr>
          </w:p>
        </w:tc>
        <w:tc>
          <w:tcPr>
            <w:tcW w:w="1160" w:type="dxa"/>
            <w:vAlign w:val="bottom"/>
            <w:gridSpan w:val="2"/>
          </w:tcPr>
          <w:p>
            <w:pPr>
              <w:jc w:val="center"/>
              <w:ind w:right="460"/>
              <w:spacing w:after="0" w:line="136" w:lineRule="exact"/>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20" w:type="dxa"/>
            <w:vAlign w:val="bottom"/>
            <w:gridSpan w:val="3"/>
          </w:tcPr>
          <w:p>
            <w:pPr>
              <w:jc w:val="center"/>
              <w:ind w:left="277"/>
              <w:spacing w:after="0" w:line="149"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Exchange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Warrants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Contracts</w:t>
            </w:r>
          </w:p>
        </w:tc>
        <w:tc>
          <w:tcPr>
            <w:tcW w:w="2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3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$ 54,854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$ 69,431</w:t>
            </w:r>
          </w:p>
        </w:tc>
        <w:tc>
          <w:tcPr>
            <w:tcW w:w="0" w:type="dxa"/>
            <w:vAlign w:val="bottom"/>
          </w:tcPr>
          <w:p>
            <w:pPr>
              <w:spacing w:after="0"/>
              <w:rPr>
                <w:sz w:val="1"/>
                <w:szCs w:val="1"/>
                <w:color w:val="auto"/>
              </w:rPr>
            </w:pPr>
          </w:p>
        </w:tc>
      </w:tr>
      <w:tr>
        <w:trPr>
          <w:trHeight w:val="322"/>
        </w:trPr>
        <w:tc>
          <w:tcPr>
            <w:tcW w:w="496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(17,371)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887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(22,461)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1"/>
              </w:rPr>
              <w:t>Compensation income for change in fair value of warrants issued to</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employees</w:t>
            </w:r>
          </w:p>
        </w:tc>
        <w:tc>
          <w:tcPr>
            <w:tcW w:w="380" w:type="dxa"/>
            <w:vAlign w:val="bottom"/>
            <w:gridSpan w:val="2"/>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2013</w:t>
            </w:r>
          </w:p>
        </w:tc>
        <w:tc>
          <w:tcPr>
            <w:tcW w:w="360" w:type="dxa"/>
            <w:vAlign w:val="bottom"/>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$ 36,028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8,600</w:t>
            </w:r>
          </w:p>
        </w:tc>
        <w:tc>
          <w:tcPr>
            <w:tcW w:w="60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$ 45,515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20" w:type="dxa"/>
            <w:vAlign w:val="bottom"/>
            <w:gridSpan w:val="3"/>
          </w:tcPr>
          <w:p>
            <w:pPr>
              <w:jc w:val="right"/>
              <w:ind w:right="566"/>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 maker, who is the Chief Executive Officer, comprehensively manages the business. Accordingly, the Company does not have separately reportable segments.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June 30, 2014:</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the Company’s fiscal year beginning January 1, 2017. Early adoption is not permitted. The Company is currently evaluating the accounting, transition and disclosure requirements of the standard and cannot currently estimate the financial statement impact of adoption.</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will not have an impact on the Company’s condensed consolidated financial statements.</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technology rights for Vascepa and have an estimated remaining useful life of 16.1 years. The carrying value as of June 30,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is as follows (in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40" w:type="dxa"/>
            <w:vAlign w:val="bottom"/>
            <w:gridSpan w:val="4"/>
          </w:tcPr>
          <w:p>
            <w:pPr>
              <w:ind w:left="1960"/>
              <w:spacing w:after="0"/>
              <w:rPr>
                <w:sz w:val="20"/>
                <w:szCs w:val="20"/>
                <w:color w:val="auto"/>
              </w:rPr>
            </w:pPr>
            <w:r>
              <w:rPr>
                <w:rFonts w:ascii="Arial" w:cs="Arial" w:eastAsia="Arial" w:hAnsi="Arial"/>
                <w:sz w:val="14"/>
                <w:szCs w:val="14"/>
                <w:b w:val="1"/>
                <w:bCs w:val="1"/>
                <w:color w:val="auto"/>
              </w:rPr>
              <w:t>June 30, 2014</w:t>
            </w:r>
          </w:p>
        </w:tc>
        <w:tc>
          <w:tcPr>
            <w:tcW w:w="1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(1,238)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r>
      <w:tr>
        <w:trPr>
          <w:trHeight w:val="27"/>
        </w:trPr>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2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020" w:type="dxa"/>
            <w:vAlign w:val="bottom"/>
            <w:gridSpan w:val="4"/>
          </w:tcPr>
          <w:p>
            <w:pPr>
              <w:ind w:left="82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current</w:t>
            </w:r>
          </w:p>
        </w:tc>
        <w:tc>
          <w:tcPr>
            <w:tcW w:w="2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Work in process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12,432</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 current</w:t>
            </w:r>
          </w:p>
        </w:tc>
        <w:tc>
          <w:tcPr>
            <w:tcW w:w="2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Raw materials, long-term</w:t>
            </w: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vMerge w:val="restart"/>
          </w:tcPr>
          <w:p>
            <w:pPr>
              <w:jc w:val="right"/>
              <w:ind w:right="1359"/>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had 9,772,276 warrants to purchase common shares outstanding at June 30, 2014 at a weighted-average exercise price of $1.41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auto"/>
              </w:rPr>
              <w:t>Issue Date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80" w:type="dxa"/>
            <w:vAlign w:val="bottom"/>
            <w:gridSpan w:val="4"/>
          </w:tcPr>
          <w:p>
            <w:pPr>
              <w:ind w:left="20"/>
              <w:spacing w:after="0"/>
              <w:rPr>
                <w:sz w:val="20"/>
                <w:szCs w:val="20"/>
                <w:color w:val="auto"/>
              </w:rPr>
            </w:pPr>
            <w:r>
              <w:rPr>
                <w:rFonts w:ascii="Arial" w:cs="Arial" w:eastAsia="Arial" w:hAnsi="Arial"/>
                <w:sz w:val="14"/>
                <w:szCs w:val="14"/>
                <w:b w:val="1"/>
                <w:bCs w:val="1"/>
                <w:color w:val="auto"/>
              </w:rPr>
              <w:t>Exercise Price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Expiration Date</w:t>
            </w:r>
          </w:p>
        </w:tc>
      </w:tr>
      <w:tr>
        <w:trPr>
          <w:trHeight w:val="210"/>
        </w:trPr>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20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1,684,888</w:t>
            </w:r>
          </w:p>
        </w:tc>
        <w:tc>
          <w:tcPr>
            <w:tcW w:w="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0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7/30/14</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10/16/09</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7,487,388</w:t>
            </w:r>
          </w:p>
        </w:tc>
        <w:tc>
          <w:tcPr>
            <w:tcW w:w="2920" w:type="dxa"/>
            <w:vAlign w:val="bottom"/>
            <w:gridSpan w:val="5"/>
          </w:tcPr>
          <w:p>
            <w:pPr>
              <w:jc w:val="right"/>
              <w:ind w:right="220"/>
              <w:spacing w:after="0"/>
              <w:rPr>
                <w:sz w:val="20"/>
                <w:szCs w:val="20"/>
                <w:color w:val="auto"/>
              </w:rPr>
            </w:pPr>
            <w:r>
              <w:rPr>
                <w:rFonts w:ascii="Arial" w:cs="Arial" w:eastAsia="Arial" w:hAnsi="Arial"/>
                <w:sz w:val="18"/>
                <w:szCs w:val="18"/>
                <w:color w:val="auto"/>
              </w:rPr>
              <w:t>1.50</w:t>
            </w:r>
          </w:p>
        </w:tc>
        <w:tc>
          <w:tcPr>
            <w:tcW w:w="2020" w:type="dxa"/>
            <w:vAlign w:val="bottom"/>
          </w:tcPr>
          <w:p>
            <w:pPr>
              <w:spacing w:after="0"/>
              <w:rPr>
                <w:sz w:val="18"/>
                <w:szCs w:val="18"/>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10/15/14</w:t>
            </w: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10/16/09</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2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0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10/15/14</w:t>
            </w:r>
          </w:p>
        </w:tc>
      </w:tr>
      <w:tr>
        <w:trPr>
          <w:trHeight w:val="223"/>
        </w:trPr>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9,772,276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1.41</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an exercise price of $1.50 per ADS. The total number of warrants issued in conjunction with the financing was 35.2 million of which 7.5 million are outstanding at June 30, 2014.</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June 30, 2014.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 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issued several warrants in July 2009. As of June 30, 2014 and December 31, 2013 these warrants have been classified as equity instruments and have been included in the Company’s consolidated balance sheet within additional paid-in-capital. During the six months ended June 30, 2013, 70,000 of the July 2009 warrants were exercised, resulting in proceeds to the Company of $0.1 million. No warrants were exercised during the six months ended June 30, 2014.</w:t>
      </w:r>
    </w:p>
    <w:p>
      <w:pPr>
        <w:spacing w:after="0" w:line="20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 As of June 30, 2014, the net remaining amount to be repaid to BioPharma is $147.1 million. During the three and six months ended June 30, 2014, the Company made repayments under the agreement of $1.1 million and $2.1 million to BioPharma, respectively and an additional $1.3 million is scheduled to be paid in August 2014. These payments were calculated based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the threshold limitation, as described below, as opposed to the scheduled quarterly repayments. Additional quarterly repayments, subject to the threshold limitation, are scheduled to be paid thereafter in accordance with the following schedule: $8.0 million in the fourth quarter of 2014 and in the next quarter thereafter, $10.0 million per quarter in each of the next four quarters, $15.0 million per quarter in each of the next four quarters and a final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the Company would have been required to pay $140 million, less any previously repaid amount, if a change of control occurred on or before December 31, 2013, and is required to repay $150 million, less any previously repaid amount, if a change of control event occurs after December 31, 2013. The Company can prepay an amount equal to $150 million less any previously repaid amount.</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threshold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The payment of $1.3 million for the second quarter of 2014 is due in August 2014.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The Company recognized a gain on change in fair value of derivative liability of $5.0 million and $6.0 million during the six months ended June 30, 2014 and 2013, respectively.</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six months ended June 30, 2014, the Company recorded $3.8 million and $1.0 million of cash and non-cash interest expense, respectively, on the BioPharma debt. During the six months ended June 30, 2013, the Company recorded $7.0 million and $1.5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we have already made).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(the “2012 Notes”),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date. The 2012 Notes are exchangeable under certain circumstances into cash, ADSs, or a combination of cash and ADSs, at the Company’s election, with an initial exchange rate of 113.4752 ADSs per $1,000 principal amount of 2012 Notes. If the Company elected physical settlement, the net remaining outstanding portion of the 2012 Notes would be exchangeable into 3,547,916 ADSs after the May 2014 exchange of a portion of the 2012 Notes (see below for further discussion of the May 2014 exchange).</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is being amortized to interest expense using the effective interest method over the 2012 Notes’ estimated remaining life, which was calculated to be a period of twenty-four months. As of June 30, 2014, the discount created from the allocation of the proceeds to the conversion option was fully amortized. The conversion option will not be subsequently remeasured as long as it continues to meet the criteria for equity classification.</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June 30, 2014, the debt discount was fully amortized and the carrying value of the 2012 Notes was $31.3 million after an exchange of a portion of the 2012 Notes (see below for further discussion of the May 2014 exchange).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3.50% May 2014 Exchangeable Senior Notes due 2032 (the “2014 Notes”), following which $31.3 million in aggregate principal amount of the 2012 Notes remained outstanding with terms unchanged (the 2012 Notes and 2014 Notes are referred to collectively as the “Notes”).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 increase in the exchange rate as described in the Indenture. In the event of physical settlement, the 2014 Notes would be exchangeable into 45,666,925 ADSs. The exchange rate will initially be 384.6154 ADSs per $1,000 principal amount of the 2014 Notes (equivalent to an initial exchange price of approximately $2.60 per ADS (the “Exchange Price”)), subject to adjustment in certain circumstances. The exchange rate is subject to adjustment from time to time upon the occurrence of certain events, including, but not limited to, the payment of cash dividends.</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w:t>
      </w:r>
    </w:p>
    <w:p>
      <w:pPr>
        <w:spacing w:after="0" w:line="12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2014. If the Notes are not freely tradable, as a result of restrictions pursuant to U.S. securities law or the terms of the Indenture or the Notes, the Company shall pay additional interest on the Notes at the rate of</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0.50% per annum of the principal amount of Notes outstanding for each day during such period for which the Company’s failure to file has occurred and is continuing or for which the Notes are not freely tradable.</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$2.4 million in underwriter’s fees and offering costs and recognized those costs as deferred assets. The Company further allocated $3.5 million of the $90.8 million fair value of the 2014 Notes to the derivative liability related to the fundamental change redemption feature (as described above), which will be subsequently measured at fair value on an ongoing basis.</w:t>
      </w:r>
    </w:p>
    <w:p>
      <w:pPr>
        <w:spacing w:after="0" w:line="12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debt discount is being amortized as interest expense over the estimated life of the 2014 Notes and recognized in the statement of operations as interest expense. As of June 30, 2014, the carrying value of the 2014 Notes was $87.9 million.</w:t>
      </w:r>
    </w:p>
    <w:p>
      <w:pPr>
        <w:spacing w:after="0" w:line="13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During the three months ended June 30, 2014, the Company recognized interest expense of $2.0 million related to the Notes, of which $0.7 million represents amortization of the debt discount and $1.3 million represents contractual coupon interest. At June 30, 2014 and December 31, 2013, the Company had accrued interest of $2.4 million, which is included in other current liabilities. The Company made the contractual interest payments due on the Notes in the six months ended June 30, 2014 and 2013 of $2.6 million.</w:t>
      </w:r>
    </w:p>
    <w:p>
      <w:pPr>
        <w:spacing w:after="0" w:line="259" w:lineRule="exact"/>
        <w:rPr>
          <w:sz w:val="20"/>
          <w:szCs w:val="20"/>
          <w:color w:val="auto"/>
        </w:rPr>
      </w:pPr>
    </w:p>
    <w:p>
      <w:pPr>
        <w:ind w:left="240" w:right="8440" w:hanging="232"/>
        <w:spacing w:after="0" w:line="347" w:lineRule="auto"/>
        <w:tabs>
          <w:tab w:leader="none" w:pos="45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On November 1, 2013, a purported investor of Amarin filed a putative class action lawsuit captioned </w:t>
      </w:r>
      <w:r>
        <w:rPr>
          <w:rFonts w:ascii="Arial" w:cs="Arial" w:eastAsia="Arial" w:hAnsi="Arial"/>
          <w:sz w:val="18"/>
          <w:szCs w:val="18"/>
          <w:i w:val="1"/>
          <w:iCs w:val="1"/>
          <w:color w:val="auto"/>
        </w:rPr>
        <w:t>Steven Sklar v. Amarin Corporation plc et al.</w:t>
      </w:r>
      <w:r>
        <w:rPr>
          <w:rFonts w:ascii="Arial" w:cs="Arial" w:eastAsia="Arial" w:hAnsi="Arial"/>
          <w:sz w:val="18"/>
          <w:szCs w:val="18"/>
          <w:color w:val="auto"/>
        </w:rPr>
        <w:t xml:space="preserve">, No. 13-cv-6954 (D.N.J. Nov. 1, 2013) in the U.S. District Court for the District of New Jersey. Substantially similar lawsuits, captioned </w:t>
      </w:r>
      <w:r>
        <w:rPr>
          <w:rFonts w:ascii="Arial" w:cs="Arial" w:eastAsia="Arial" w:hAnsi="Arial"/>
          <w:sz w:val="18"/>
          <w:szCs w:val="18"/>
          <w:i w:val="1"/>
          <w:iCs w:val="1"/>
          <w:color w:val="auto"/>
        </w:rPr>
        <w:t>Bove v. Amarin Corporation plc</w:t>
      </w:r>
      <w:r>
        <w:rPr>
          <w:rFonts w:ascii="Arial" w:cs="Arial" w:eastAsia="Arial" w:hAnsi="Arial"/>
          <w:sz w:val="18"/>
          <w:szCs w:val="18"/>
          <w:color w:val="auto"/>
        </w:rPr>
        <w:t xml:space="preserve">, Civ. No. 13-07882 (AT) (S.D.N.Y. Nov. 5, 2013), </w:t>
      </w:r>
      <w:r>
        <w:rPr>
          <w:rFonts w:ascii="Arial" w:cs="Arial" w:eastAsia="Arial" w:hAnsi="Arial"/>
          <w:sz w:val="18"/>
          <w:szCs w:val="18"/>
          <w:i w:val="1"/>
          <w:iCs w:val="1"/>
          <w:color w:val="auto"/>
        </w:rPr>
        <w:t>Bentley v. Amarin Corporation plc</w:t>
      </w:r>
      <w:r>
        <w:rPr>
          <w:rFonts w:ascii="Arial" w:cs="Arial" w:eastAsia="Arial" w:hAnsi="Arial"/>
          <w:sz w:val="18"/>
          <w:szCs w:val="18"/>
          <w:color w:val="auto"/>
        </w:rPr>
        <w:t xml:space="preserve">, Civ. No. 13-08283 (AT) (S.D.N.Y. Nov. 20, 2013) and </w:t>
      </w:r>
      <w:r>
        <w:rPr>
          <w:rFonts w:ascii="Arial" w:cs="Arial" w:eastAsia="Arial" w:hAnsi="Arial"/>
          <w:sz w:val="18"/>
          <w:szCs w:val="18"/>
          <w:i w:val="1"/>
          <w:iCs w:val="1"/>
          <w:color w:val="auto"/>
        </w:rPr>
        <w:t>Siegel v. Amarin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plc</w:t>
      </w:r>
      <w:r>
        <w:rPr>
          <w:rFonts w:ascii="Arial" w:cs="Arial" w:eastAsia="Arial" w:hAnsi="Arial"/>
          <w:sz w:val="18"/>
          <w:szCs w:val="18"/>
          <w:color w:val="auto"/>
        </w:rPr>
        <w:t>, No. 3:13-cv-07210 (D.N.J. Nov. 27, 2013), were subsequently filed in the U.S. District Court for the District of New Jersey and U.S.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Court for the Southern District of New York. On December 9, 2013 the cases filed in the Southern District of New York were transferred to the District of New Jersey, with all cases then before the same judge.</w:t>
      </w:r>
    </w:p>
    <w:p>
      <w:pPr>
        <w:spacing w:after="0" w:line="14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complaints assert claims under the Securities Exchange Act of 1934 and allege that Amarin and certain of its current and former officers and directors made misstatements and omissions regarding the FDA’s willingness to approve Vascepa’s ANCHOR indication and the potential relevance of data from the ongoing REDUCE-IT trial to that approval. The putative class periods alleged in the complaints vary from the July 9, 2009-October 15, 2013 period alleged in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and </w:t>
      </w:r>
      <w:r>
        <w:rPr>
          <w:rFonts w:ascii="Arial" w:cs="Arial" w:eastAsia="Arial" w:hAnsi="Arial"/>
          <w:sz w:val="16"/>
          <w:szCs w:val="16"/>
          <w:i w:val="1"/>
          <w:iCs w:val="1"/>
          <w:color w:val="auto"/>
        </w:rPr>
        <w:t>Siegel</w:t>
      </w:r>
      <w:r>
        <w:rPr>
          <w:rFonts w:ascii="Arial" w:cs="Arial" w:eastAsia="Arial" w:hAnsi="Arial"/>
          <w:sz w:val="16"/>
          <w:szCs w:val="16"/>
          <w:color w:val="auto"/>
        </w:rPr>
        <w:t xml:space="preserve"> complaints, the July 9, 2009-October 16, 2013 period alleged in the </w:t>
      </w:r>
      <w:r>
        <w:rPr>
          <w:rFonts w:ascii="Arial" w:cs="Arial" w:eastAsia="Arial" w:hAnsi="Arial"/>
          <w:sz w:val="16"/>
          <w:szCs w:val="16"/>
          <w:i w:val="1"/>
          <w:iCs w:val="1"/>
          <w:color w:val="auto"/>
        </w:rPr>
        <w:t>Bentley</w:t>
      </w:r>
      <w:r>
        <w:rPr>
          <w:rFonts w:ascii="Arial" w:cs="Arial" w:eastAsia="Arial" w:hAnsi="Arial"/>
          <w:sz w:val="16"/>
          <w:szCs w:val="16"/>
          <w:color w:val="auto"/>
        </w:rPr>
        <w:t xml:space="preserve"> complaint, and August 8, 2012-October 16, 2013 period alleged in the </w:t>
      </w:r>
      <w:r>
        <w:rPr>
          <w:rFonts w:ascii="Arial" w:cs="Arial" w:eastAsia="Arial" w:hAnsi="Arial"/>
          <w:sz w:val="16"/>
          <w:szCs w:val="16"/>
          <w:i w:val="1"/>
          <w:iCs w:val="1"/>
          <w:color w:val="auto"/>
        </w:rPr>
        <w:t xml:space="preserve">Bove </w:t>
      </w:r>
      <w:r>
        <w:rPr>
          <w:rFonts w:ascii="Arial" w:cs="Arial" w:eastAsia="Arial" w:hAnsi="Arial"/>
          <w:sz w:val="16"/>
          <w:szCs w:val="16"/>
          <w:color w:val="auto"/>
        </w:rPr>
        <w:t>complaint. The lawsuits seek unspecified monetary damages and attorneys’ fees and costs.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24, 2014, the court consolidated the cases, appointed lead counsel for the class and selected James Reiss to serve as lead plaintiff. The Company believes that it has valid defenses and will vigorously defend against this class action suit, but cannot predict the outcome. The Company is unable to reasonably estimate the loss exposure, if any, associated with the claims. The Company has insurance coverage that is anticipated to cover any significant loss exposure that may arise from this action after payment by the Company of the associated deducible obligation under such insurance coverage.</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27, 2014, the Company commenced a lawsuit against the FDA that challenges FDA’s denial of the Company’s request for five-year NCE exclusivity for Vascepa based on its reading of the relevant statute, the Company’s view of FDA’s inconsistency with past actions in this area and the retroactive effect of what the Company believes is a new policy at FDA as it relates to Vascepa situation. The Company’s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the Company contends are—due to the denial of five-year exclusivity to Vascepa—prematurely accepted pending ANDA applications.</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March 4, 2014, the Company filed a lawsuit for patent infringement of U.S. Patent No. 8,663,662 in the U.S. District Court for the District of Delaware against AstraZeneca Pharmaceuticals LP and its subsidiary, Omthera Pharmaceuticals, Inc., captioned </w:t>
      </w:r>
      <w:r>
        <w:rPr>
          <w:rFonts w:ascii="Arial" w:cs="Arial" w:eastAsia="Arial" w:hAnsi="Arial"/>
          <w:sz w:val="16"/>
          <w:szCs w:val="16"/>
          <w:i w:val="1"/>
          <w:iCs w:val="1"/>
          <w:color w:val="auto"/>
        </w:rPr>
        <w:t>Amarin Pharmaceuticals Ireland Limited v. Omthera</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Civ. A. No. 1:14-cv-00279 (D.Del). On June 23, a second complaint was filed against AstraZeneca and Omthera, captioned</w:t>
      </w:r>
      <w:r>
        <w:rPr>
          <w:rFonts w:ascii="Arial" w:cs="Arial" w:eastAsia="Arial" w:hAnsi="Arial"/>
          <w:sz w:val="16"/>
          <w:szCs w:val="16"/>
          <w:i w:val="1"/>
          <w:iCs w:val="1"/>
          <w:color w:val="auto"/>
        </w:rPr>
        <w:t xml:space="preserve"> Amarin Pharmaceuticals Ireland Limited v. Omthera Pharmaceuticals, Inc. et al.</w:t>
      </w:r>
      <w:r>
        <w:rPr>
          <w:rFonts w:ascii="Arial" w:cs="Arial" w:eastAsia="Arial" w:hAnsi="Arial"/>
          <w:sz w:val="16"/>
          <w:szCs w:val="16"/>
          <w:color w:val="auto"/>
        </w:rPr>
        <w:t>, Civ. A. No. 1:14-cv-00791 (D.Del). That second complaint replaced the first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voluntarily dismissed on June 27, and was filed in order to expedite the progress of this litigation on the merits. The focus of the lawsuit is the commercial marketing of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in the United States. Epanova was approved by the FDA in May 2014 with substantially the same indication as Vascepa and is expected to compete with Vascepa. The Company is seeking damages and injunctive relief in the litigation. The Company intends to litigate the case vigorously, but cannot predict the outcome of this lawsuit.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In March, April, and May 2014, the Company received paragraph IV certification notices from six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has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April 2014, Amarin also filed lawsuits against Roxane Laboratories, Inc.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Dr. Reddy’s Laboratories, Inc. et al.</w:t>
      </w:r>
      <w:r>
        <w:rPr>
          <w:rFonts w:ascii="Arial" w:cs="Arial" w:eastAsia="Arial" w:hAnsi="Arial"/>
          <w:sz w:val="16"/>
          <w:szCs w:val="16"/>
          <w:color w:val="auto"/>
        </w:rPr>
        <w:t>, Civ. A. No. 14-2760 (D.N.J.). In May 2014, Amarin also filed a lawsuit against Watson Laboratories, Inc. and Actavis plc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(“Watson”) in the U.S. District Court for the District of New Jersey. One of the Company’s directors, Patrick J. O’Sullivan, is also a director of Actavis plc. The case against 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The Company intends to vigorously enforce its intellectual property rights relating to Vascepa, but cannot predict the outcome of these lawsuits.</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to the above, in the ordinary course of business, the Company is from time to time involved in lawsuits, claims, investigations, proceedings, and threats of litigation relating to intellectual property, commercial arrangements and other matters. While the outcome of these proceedings and claims cannot be predicted with certainty, as of June 30, 2014, the Company was not party to any legal or arbitration proceedings that may have, or have had in the recent past, significant effects on the Company’s financial position or profitability. No governmental proceedings are pending or, to its knowledge, contemplated against the Company. The Company is not a party to any material proceedings in which any director, member of senior management or affiliate is either a party adverse to the Company or its subsidiaries or has a material interest adverse to the Company or its subsidiaries.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40" w:hanging="325"/>
        <w:spacing w:after="0" w:line="28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2011, the Company entered into agreements with two additional suppliers, Chemport, Inc. (“Chemport”) and BASF (formerly Equateq Limited) for the supply of API materials for Vascepa. In 2012, the Company agreed to terms with a fourth API supplier, a consortium of companies led by Slanmhor Pharmaceutical, Inc. These agreements include requirements for the suppliers to qualify their materials and facilities with applicable regulatory authorities including the FDA. The Company will incur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certain exclusivity with each respective supplier. Chemport and BASF were approved by the FDA to manufacture API for commercial sale in April 2013. On December 30, 2013, the Company issued a notice of termination of its API agreement to BASF as a result of BASF’s non-compliance with the terms of such agreement. BASF did not remedy within a contractual 60-day cure period and as a result, this agreement terminated on February 28, 2014. On April 30, 2014, the Company reached a settlement agreement with BASF under which it received a refund for material purchases of $3.0 million, included as other income in the statement of operations. As part of the settlement agreement, both companies agreed to negotiate in good faith a development and supply agreement under which (a) BASF would use reasonable commercial efforts to validate the Manufacturing Process for API that meets the API Specifications, and (b) the terms of commercial supply of such API would be regulated (the “Development and Supply Agreement”) for a period of one hundred eighty (180) days from the effective date of the agreement.</w:t>
      </w:r>
    </w:p>
    <w:p>
      <w:pPr>
        <w:spacing w:after="0" w:line="4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Company has begun to purchase commercial supply from Chemport. The agreement with Chemport contains a provision requiring the Company to pay Chemport in cash for any shortfall in the minimum purchase obligations. The minimum purchase commitment was achieved in 2013. The agreement with the Slanmhor consortium contains a provision, whereby under certain conditions the Company is required to pay the consortium in cash for any shortfall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87" w:lineRule="auto"/>
        <w:rPr>
          <w:sz w:val="20"/>
          <w:szCs w:val="20"/>
          <w:color w:val="auto"/>
        </w:rPr>
      </w:pPr>
      <w:r>
        <w:rPr>
          <w:rFonts w:ascii="Arial" w:cs="Arial" w:eastAsia="Arial" w:hAnsi="Arial"/>
          <w:sz w:val="16"/>
          <w:szCs w:val="16"/>
          <w:color w:val="auto"/>
        </w:rPr>
        <w:t>minimum purchase obligations. The 2011 supply agreements with Chemport and BASF, the latter of which is now terminated, include commitments for the Company to fund (i) certain development fees (ii) material purchases for initial raw materials, which amount will be credited against future API purchases and (iii) a raw material purchase commitment. The Company made payments of $3.1 million related to these commitments through June 30, 2014. Under these agreements, during the six months ended June 30, 2014, the Company made payments of $1.3 million to Chemport and made no payments to BASF. The agreement with the Slanmhor consortium provides for certain development fees and other commitments, which will be credited against future API material purchases. The Company made payments of $6.2 million related to these commitments through June 30, 2014. Certain of these commitments are contingent upon the mutually agreed upon expansion of the Slanmhor consortium’s API manufacturing capacity. To date, the parties have not agreed upon such additional expansion. Under this agreement, during the six months ended June 30, 2014, the Company made payments of $0.4 million to the Slanmhor consortium related to stability and technical batches and advances on future API purchases.</w:t>
      </w:r>
    </w:p>
    <w:p>
      <w:pPr>
        <w:spacing w:after="0" w:line="42" w:lineRule="exact"/>
        <w:rPr>
          <w:sz w:val="20"/>
          <w:szCs w:val="20"/>
          <w:color w:val="auto"/>
        </w:rPr>
      </w:pPr>
    </w:p>
    <w:p>
      <w:pPr>
        <w:ind w:left="900" w:right="2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Concurrent with its entry into one of the two agreements entered into in 2011 for the supply of API materials for Vascepa, the Company agreed to make a non-controlling minority share equity investment in the supplier of up to $3.3 million. The Company invested $1.7 million under this agreement in July 2011 and the remaining $1.6 million during 2012. In September 2013, the Company entered into an equity sale and purchase agreement between this supplier and a third party in which the Company agreed to sell approximately $1.3 million of its investment in the supplier to the third party at cost. This transaction closed in the first quarter of 2014. The carrying amount of the investment of $2.0 million and $3.3 million as of June 30, 2014 and December 31, 2013, respectively, is included in other long term assets and is accounted for under the cost method.</w:t>
      </w:r>
    </w:p>
    <w:p>
      <w:pPr>
        <w:spacing w:after="0" w:line="39"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$12.8 million at June 30, 2014).</w:t>
      </w:r>
    </w:p>
    <w:p>
      <w:pPr>
        <w:spacing w:after="0" w:line="62"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$8.5 million at June 30, 2014) for each of the two potential market approvals (i.e. £10 million maximum, or approximately $17.0 million at June 30, 2014).</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June 30, 2014.</w:t>
      </w:r>
    </w:p>
    <w:p>
      <w:pPr>
        <w:spacing w:after="0" w:line="287" w:lineRule="exact"/>
        <w:rPr>
          <w:sz w:val="20"/>
          <w:szCs w:val="20"/>
          <w:color w:val="auto"/>
        </w:rPr>
      </w:pPr>
    </w:p>
    <w:p>
      <w:pPr>
        <w:ind w:left="240" w:right="10120" w:hanging="232"/>
        <w:spacing w:after="0" w:line="417" w:lineRule="auto"/>
        <w:tabs>
          <w:tab w:leader="none" w:pos="458"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six months ended June 30, 2014 and 2013, the Company issued 215,000 and 319,750 shares, respectively, as a result of the exercise of stock options, resulting in gross and net proceeds of $0.3 million and $0.5 million, respectively for each period. In addition, during the six months ended June 30, 2013, the Company issued 70,000 shares as a result of the exercise of warrants, resulting in gross and net proceeds of $0.1 million.</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11, 2014, the Company granted a total of 173,348 restricted stock units (RSUs) and 205,890 stock options to members of the Company’s Board of Directors under the Amarin Corporation plc 2011 Stock Incentive Plan (the 2011 Plan). The RSUs vest in equal installments over a three year period commencing with each installment vesting each year upon the earlier of the anniversary of the grant date or the Company’s annual general meeting of shareholders in such anniversary year. The RSUs will become fully vested upon a change of control of the Company. Upon termination of service to the Company, each Director shall be entitled to a payment equal to the fair market value of one share of Amarin common stock, which is required to be made in shares. The stock options vest in full upon the earlier of the anniversary of the grant date or the Company’s annual general meeting of shareholders in such anniversary year. The stock options will become fully vested upon a change of control of the Company.</w:t>
      </w:r>
    </w:p>
    <w:p>
      <w:pPr>
        <w:spacing w:after="0" w:line="118"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On January 8, 2014, the Company granted a total of 2,082,000 RSUs and 2,605,500 stock options to employees under the 2011 Plan. The RSU’s vest annually over a three year period and the stock options vest monthly over a four year period, with both becoming fully vested upon a change of control of the Company.</w:t>
      </w:r>
    </w:p>
    <w:p>
      <w:pPr>
        <w:spacing w:after="0" w:line="6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January 2013, the Company granted 454,875 RSUs to several employees under the 2011 Plan. These RSUs vest upon the achievement of certain operational milestones. In the year ended December 31, 2013, as a result of the operational milestones not being achieved, all of these RSU’s were forfeited and no shares were issued as a result of vesting.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As part of a program to reduce costs and increase operational efficiencies, in October 2013, the Company announced a plan to streamline operations to better align its cost structure with current market conditions by reducing its global workforce by approximately 50%. In connection with this program, the Company recorded $2.8 million in charges for severance and related benefits during the quarter ended December 31, 2013. The Company does not expect to incur any additional charges related to this program subsequent to 2013 and all remaining payments were made in the second quarter of 2014.</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restructuring charges, which are included in accrued expenses and other current liabilities in the accompanying consolidated balance sheet as of June 30, 2014 and December 31, 2013, are summarized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2"/>
              </w:rPr>
              <w:t>Employee Severance</w:t>
            </w: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Benefits</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135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Balance as of June 30, 2014</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Co-Promotion Agreement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March 31, 2014, the Company entered into a Co-Promotion Agreement (the Agreement) with Kowa Pharmaceuticals America related to the commercialization of Vascepa</w:t>
      </w:r>
      <w:r>
        <w:rPr>
          <w:rFonts w:ascii="Arial" w:cs="Arial" w:eastAsia="Arial" w:hAnsi="Arial"/>
          <w:sz w:val="10"/>
          <w:szCs w:val="10"/>
          <w:color w:val="auto"/>
        </w:rPr>
        <w:t>®</w:t>
      </w:r>
      <w:r>
        <w:rPr>
          <w:rFonts w:ascii="Arial" w:cs="Arial" w:eastAsia="Arial" w:hAnsi="Arial"/>
          <w:sz w:val="16"/>
          <w:szCs w:val="16"/>
          <w:color w:val="auto"/>
        </w:rPr>
        <w:t xml:space="preserve"> in the United States. Under the terms of the Agreement, Amarin granted to Kowa Pharmaceuticals America the right to be the sole co-promoter, together with the Company, of Vascepa in the United States during the term. The initial term of the Agreement extends through 2018.</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term, Kowa Pharmaceuticals America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sales representatives. Kowa Pharmaceuticals America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Amarin will continue to recognize all revenue from sales of Vascepa under the Agreement. In exchange for Kowa Pharmaceuticals America’s co-promotional services, Kowa Pharmaceuticals America is entitled to a quarterly co-promotion fee based on a percentage of Vascepa gross margins that increases during the Agreement’s term, from the high single digits in 2014 to the low twenty percent levels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the event of a change of control (as defined) or termination of the agreement, the Company would be required to make certain tail payments based on a specified percentage of revenues.</w:t>
      </w:r>
    </w:p>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June 30, 2014 through the date of the issuance of these condensed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2013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We also recently entered into a co-promotion agreement with Kowa Pharmaceuticals America, Inc. (Kowa Pharmaceuticals America) under which approximately 250 Kowa Pharmaceuticals America sales representatives commenced promoting Vascepa starting in May 2014. We operate in one business segment.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w:t>
      </w:r>
    </w:p>
    <w:p>
      <w:pPr>
        <w:spacing w:after="0"/>
        <w:rPr>
          <w:sz w:val="20"/>
          <w:szCs w:val="20"/>
          <w:color w:val="auto"/>
        </w:rPr>
      </w:pPr>
      <w:r>
        <w:rPr>
          <w:rFonts w:ascii="Arial" w:cs="Arial" w:eastAsia="Arial" w:hAnsi="Arial"/>
          <w:sz w:val="18"/>
          <w:szCs w:val="18"/>
          <w:color w:val="auto"/>
        </w:rPr>
        <w:t>(2.3% for Vascepa vs. 1.0% for placebo).</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alone as sufficient to establish the effectiveness of a drug intended to reduce cardiovascular risk in subjects with serum triglyceride levels below 500 mg/dL. In November 2013, we submitted to the FDA a request for reconsideration of its decision to rescind the ANCHOR SPA agreement. On January 17, 2014, we were notified by the review division within FDA that it does not intend to reinstate the ANCHOR SPA agreement. We appealed to the next level within the FDA and were informed in late April 2014 that that level determined to uphold the rescission determination. We subsequently appealed the rescission decision to the next level within the FDA in accordance with FDA dispute resolution guidance and we are currently awaiting their response.</w:t>
      </w:r>
    </w:p>
    <w:p>
      <w:pPr>
        <w:spacing w:after="0" w:line="12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 December 20, 2013. Instead, the FDA notified us on December 19, 2013 that it would first consider our appeal of the ANCHOR SPA agreement rescission. No new PDUFA goal date for the ANCHOR sNDA was established. Based on information available to us, we do not expect a determination on the ANCHOR sNDA while our appeal is in process to the next level within FDA. We are also continuing our efforts toward a positive determination on the pending ANCHOR sNDA. There also can be no assurance that the FDA will not communicate the results of its review of the ANCHOR sNDA prior to the timing expected.</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April 2014, we commenced patent litigation against multiple abbreviated new drug applications, or ANDAs, seeking approval for generic versions of Vascepa. Our filing of such patent litigation triggered a 30-month stay of approval of such applications from notice to Amarin of the ANDAs in March 2014.</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label expansion for Vascepa. There can be no assurance that we will be successful in our effort to reinstate the ANCHOR SPA agreement or obtain a label expansion reflecting the ANCHOR clinical trial. Such label expansion could include FDA approval of the addition of an ANCHOR indication statement and/or the addition of the ANCHOR clinical trial data to our currently approved labeling.</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were made in the first half of 2014. As part of the reduction in force, we retained approximately 130 sales representatives, excluding sales management, in the United States in sales territories that we believe have demonstrated the greatest potential for Vascepa sales growth. This team covers the target base of physicians responsible for the majority of Vascepa prescription volume and growth since its launch in early 2013. With these changes and the resulting target base coverage, as well as the addition of the promotional efforts of 250 sales representatives from Kowa Pharmaceuticals America that began in May 2014, we anticipate continued Vascepa revenue growth over time. We also anticipate that such sales growth may be inconsistent from period to period.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over 7,000 patients enrolled in the REDUCE-IT study. We currently estimate that we will complete patient enrollment in this study in the first half of 2015. The REDUCE-IT study is designed to be completed after reaching an aggregate number of cardiovascular events. Based on event rates in other outcomes studies, we estimate the REDUCE-IT study can be completed in or about 2017 with results then expected to be available in 2018. Based on the results of REDUCE-IT, we may seek additional indications for Vascepa beyond the indications studied in the ANCHOR or MARINE trials.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sales representatives began promoting Vascepa. We also employ various marketing and medical affairs personnel to support our commercialization of Vascepa. Our clinical and commercial supply is provided to us under agreements with various third-party suppliers. As of August 1, 2014, over 20,000 clinicians had written prescriptions for Vascepa.</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Under the co-promotion agreement with Kowa Pharmaceuticals America,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and the use of a negotiated number of minimum sales representatives from each party, including no less than 250 Kowa Pharmaceuticals America sales representatives. Kowa Pharmaceuticals America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America’s co-promotional services, Kowa Pharmaceuticals America is entitled to a quarterly co-promotion fee based on a percentage of Vascepa gross margins that increases during the term, from the high single digits in 2014 to the low twenty percent levels in 2018, subject to certain adjustments.</w:t>
      </w:r>
    </w:p>
    <w:p>
      <w:pPr>
        <w:spacing w:after="0" w:line="120" w:lineRule="exact"/>
        <w:rPr>
          <w:sz w:val="20"/>
          <w:szCs w:val="20"/>
          <w:color w:val="auto"/>
        </w:rPr>
      </w:pPr>
    </w:p>
    <w:p>
      <w:pPr>
        <w:ind w:right="360" w:firstLine="456"/>
        <w:spacing w:after="0" w:line="303" w:lineRule="auto"/>
        <w:rPr>
          <w:sz w:val="20"/>
          <w:szCs w:val="20"/>
          <w:color w:val="auto"/>
        </w:rPr>
      </w:pPr>
      <w:r>
        <w:rPr>
          <w:rFonts w:ascii="Arial" w:cs="Arial" w:eastAsia="Arial" w:hAnsi="Arial"/>
          <w:sz w:val="15"/>
          <w:szCs w:val="15"/>
          <w:color w:val="auto"/>
        </w:rPr>
        <w:t>Based on monthly compilations of data provided by a third party, Symphony Health Solutions, the estimated number of normalized total Vascepa prescriptions for the three months ended June 30, 2014 was approximately 110,000 as compared to 93,000 prescriptions in the three months ended March 31, 2014. According to data from another third party, IMS Health, the estimated number of normalized total Vascepa prescriptions for the three months ended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June 30, 2014 was approximately 93,000 as compared to 78,000 prescriptions in the three months ended March 31, 2014.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we had limited selling history during the year ended December 31,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changes in the size of our sales force, our co-promotion agreement, and uncertainty regarding resolution of the ANCHOR sNDA with the FDA, we do not believe that we can provide a reasonably accurate forecast of Vascepa revenues.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secured managed care coverage for over 200 million lives, including as of August 1, 2014 over 100 million lives covered on Tier 2. This level of Tier 2 coverage exceeds 66% of the maximum level of Tier 2 coverage which has been achieved over multiple years by comparable therapies.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During 2013 and the six months ended June 30, 2014, all of our active pharmaceutical ingredient, or API, was acquired through two suppliers, Nisshin and Chemport. In April 2013, the FDA approved our sNDAs covering Chemport, Inc. and BASF (formerly Equateq Limited) as additional Vascepa API suppliers. On December 30, 2013, we issued a notice of termination of our API agreement to BASF as a result of BASF’s non-compliance with the terms of such agreement.</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BASF did not remedy within a contractual 60-day cure period and as a result, this agreement terminated on February 28, 2014. On April 30, 2014, the Company reached a settlement agreement with BASF under which the Company received a refund for previous material purchases of $3.0 million, included as other income in the statement of operations. As part of the settlement agreement, for a period of one hundred eighty (180) days from the effective date of the agreement, both companies agreed to negotiate in good faith a development and supply agreement under which BASF would use reasonable commercial efforts to validate the Manufacturing Process for API that meets the API Specifications, and the terms of commercial supply of such API would be regulated. We are also working with a consortium of companies led by Slanmhor Pharmaceuticals, Inc. to potentially source additional API. Until an API supplier is approved, all Vascepa API purchased from such supplier is included as a component of research and development expense.</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amount of supply purchases in 2014 and beyond will depend on the level of growth of Vascepa revenues, which will be significantly impacted by the outcome of the FDA’s decision on approval of the ANCHOR indication, and, with certain suppliers, will depend on the timing of their qualification to consistently produce Vascepa to our specification and to minimum purchase commitments. We anticipate that our gross margin from Vascepa sales will be lower in 2014 than in subsequent years due to multiple factors, including API supply pricing with our earliest approved supplier, Nisshin. This is the case particularly as it relates to our earliest volume of purchases from Nisshin being higher than supply pricing later agreed with other suppliers, tiered supply pricing at certain suppliers such that cost per kilogram of supply purchases are scheduled to decline as volume of purchases increase, geographic location of our suppliers, and rebate cards offered to consumers filling prescriptions for Vascepa to reduce the size of the consumer’s co-payment requirements while we work with payors to migrate Vascepa coverage from “tier-3” to “tier-2” in these payors’ drug pricing systems.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cash and cash equivalents balance of $150.5 million at June 30, 2014 is sufficient to fund our projected operations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a limited number of major wholesalers, as well as selected regional wholesalers and specialty pharmacy providers, or collectively, our Distributors, who resell the product to retail pharmacies for purposes of their reselling the product to fill patient prescriptions. The Company commenced its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$23.6 million based on sales to Distributors during the six months ended June 30, 2014. Through June 30, 2014, product returns were de minimis.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encapsulation, packaging, shipment, supply management, insurance and quality assurance. The cost of the API included in cost of goods sold reflects the average cost method of inventory valuation and relief. This average cost reflects the actual purchase price of Vascepa API, the majority of which through June 30, 2014 was from Nisshin, our first approved API supplier.</w:t>
      </w:r>
    </w:p>
    <w:p>
      <w:pPr>
        <w:spacing w:after="0" w:line="14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consists primarily of fees paid to professional service providers in conjunction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received from suppliers when such receipt by the Company is prior to regulatory approval of the supplier.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incurred under our 3.5%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interest incurred under our December 2012 financing arrangement with BioPharma Secured Debt Fund II Holdings Cayman LP, or BioPharma. Interest expense under our exchangeable notes includes the amortization of the conversion option related to our exchangeable debt, the amortization of the related debt discount and debt obligation coupon interest. Interest income consists of interest earned on our cash and cash equivalents. Other income (expense), net, consists primarily of foreign exchange losses and gains.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We believe the following critical accounting policies affect our more significant judgments and estimates used in the preparation of our consolidated financial statements.</w:t>
      </w:r>
    </w:p>
    <w:p>
      <w:pPr>
        <w:spacing w:after="0" w:line="11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 resell it</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$23.6 million based on sales to Distributors during the six months ended June 30, 2014. Through June 30, 2014, product returns were de minimis.</w:t>
      </w:r>
    </w:p>
    <w:p>
      <w:pPr>
        <w:spacing w:after="0" w:line="12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the change in control provision associated with our December 2012 debt financing and the change in control provision associated with our May 2014 exchangeable senior notes. During 2013, we recorded a derivative liability related to our forward foreign exchange contracts, which was extinguished prior to December 31, 2013. The fair value of these derivatives could fluctuate based on changes in the assumptions used in the valuation models.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—Prior to July 26, 2012, when we received approval from the FDA to market and sell Vascepa in the United States for the MARINE indication,</w:t>
      </w:r>
      <w:r>
        <w:rPr>
          <w:rFonts w:ascii="Arial" w:cs="Arial" w:eastAsia="Arial" w:hAnsi="Arial"/>
          <w:sz w:val="15"/>
          <w:szCs w:val="15"/>
          <w:i w:val="1"/>
          <w:iCs w:val="1"/>
          <w:color w:val="auto"/>
        </w:rPr>
        <w:t xml:space="preserve"> </w:t>
      </w:r>
      <w:r>
        <w:rPr>
          <w:rFonts w:ascii="Arial" w:cs="Arial" w:eastAsia="Arial" w:hAnsi="Arial"/>
          <w:sz w:val="15"/>
          <w:szCs w:val="15"/>
          <w:color w:val="auto"/>
        </w:rPr>
        <w:t>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as additional Vascepa API suppliers. All supply from Chemport and BASF prior to FDA approval of these API suppliers was not capitalized and instead charged as a component of research and development expense in the period received. Subsequent to the approval of these suppliers, we capitalize API purchases from them. We are working with other companies which may over time become qualified and approved to manufacture Vascepa API.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our suppliers. Additionally, the determination of the classification of our inventory requires the use of estimates in order to determine the portion of inventories anticipated to be utilized within twelve months of the balance sheet date.</w:t>
      </w:r>
    </w:p>
    <w:p>
      <w:pPr>
        <w:spacing w:after="0" w:line="32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—Deferred tax assets and liabilities are recognized for the future tax consequences of differences between the carrying amounts and tax bases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We assess the realizability of deferred tax assets at each reporting period. The realization of deferred tax assets depends on generating future taxable income during the periods in which the tax benefits are deductible or creditable. The Company has been historically profitable in the U.S. When making its assessment about the realization of its U.S. deferred tax assets at June 30, 2014, the Company considered all available evidence, placing particular weight on evidence that could be objectively verified. The evidence considered included the (i) historical profitability of the Company’s U.S. operations, (ii) sources of future taxable income, giving weight to sources according to the extent to which they can be objectively verified, and (iii) the risks to our business related to the commercialization and development of Vascepa. Based on its assessment, the Company concluded that the U.S. deferred tax assets are more likely than not to be realizable as of June 30, 2014.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The Company considered the following recent accounting pronouncements which were not yet adopted as of June 30, 2014:</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our fiscal year beginning January 1, 2017. Early adoption is not permitted. We are currently evaluating the accounting, transition and disclosure requirements of the standard and cannot currently estimate the financial statement impact of adoption.</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will not have an impact on our condensed consolidated financial statements.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discussed, we believe that the impact of other recently issued accounting pronouncements will not have a material impact on consolidated financial position, results of operations, and cash flows, or do not apply to our operations.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2014 and June 30, 2013</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$12.6 million and $5.5 million during the three months ended June 30, 2014 and 2013, respectively, an increase of $7.1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129%. We commenced our full commercial launch of Vascepa in the United States for use in the MARINE indication in January, 2013. All of our revenue in the three months ended June 30, 2014 and 2013 was derived from product sales of Vascepa, net of allowances, discounts, incentives, rebates, chargebacks and returns.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$12.6 million based on sales to Distributors during the three months ended June 30, 2014. Through June 30, 2014, product returns were de minimis.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quarters ended June 30, 2014 and 2013, our net product revenues included an adjustment for co-pay mitigation rebates provided by us to commercially insured patients. Such rebates are intended to offset the cost differential for patients of Vascepa not covered by commercial insurers at the time of launch on tier 2, resulting in higher co-pay amounts for such patients. Our cost for these co-payment mitigation rebates was up to $75 per prescription filled prior to February 20, 2014 and is up to $70 per prescription filled after February 20, 2014. Commencing in March 2013, certain third-party payors added Vascepa to their tier 2 coverage, which results in lower co-payments for patients covered by these third-party payors. The number of lives covered by these payors increased throughout 2013 and continued to increase in 2014. As of August 1, 2014, over 100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is typical in the pharmaceutical industry, the majority of Vascepa sales are to major commercial wholesalers which then resell Vascepa to retail pharmacies. As of August 1, 2014, over 20,000 clinicians had written prescriptions for Vascepa. As of August 1, 2014, we are not aware of any clinician who is responsible for 10% or more of the aggregate prescriptions written for Vascepa.</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including a reduction of approximately 50%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the resulting target base coverage and the addition of the promotional efforts of 250 sales representatives from Kowa Pharmaceuticals America which commenced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2014 and 2013 was $5.0 million and $2.8 million, respectively, an increase of</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$2.2 million or 79%, which was driven by the increase in revenues and partially offset by lower supply costs. These amounts include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majority of API included in the calculation of the average cost of goods sold during the three months ended June 30, 2014 and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We began purchasing lower unit cost API from Chemport, which was approved by the FDA in April 2013 to produce Vascepa, in the second quarter of 2013. During the three months ended June 30, 2014 and 2013, the cost basis of product sold that had a carrying value of zero was zero and $2.4 million, respectively. Had such inventories been valued at acquisition cost, it would have resulted in a corresponding increase in cost of goods sold and a decrease in gross margin during such periods. We expect current inventories with a carrying value of zero to be utilized in 2014. As of June 30, 2014, we maintained inventory with a carrying value of zero and an acquisition cost of approximately $0.6 million, which has an estimated net realizable value of $2.6 million based on our average net selling price for the quarter ended June 30, 2014.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gross margin for the three months ended June 30, 2014 and 2013 was 60% and 48%, respectively. This improvement was primarily driven by lower unit cost API purchases. In addition, over time we expect continued lower average unit cost purchases of API. We also expect that API costs will be lower in the future due to tiered supply pricing at certain suppliers such that cost per kilogram of supply purchases are scheduled to decline as volume of purchases increase and potential advantages derived from the geographical mix of our suppliers. The average cost may be variable from period to period depending upon the timing and quantity of API purchased from each supplier.</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June 30, 2014 and 2013 was $21.1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$34.0 million, respectively, a decrease of $12.9 million, or 38%. Selling, general and administrative expenses for the three months ended June 30, 2014 and 2013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6880" w:type="dxa"/>
            <w:vAlign w:val="bottom"/>
          </w:tcPr>
          <w:p>
            <w:pPr>
              <w:spacing w:after="0"/>
              <w:rPr>
                <w:sz w:val="15"/>
                <w:szCs w:val="15"/>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4"/>
              </w:rPr>
              <w:t>June 30</w:t>
            </w:r>
          </w:p>
        </w:tc>
        <w:tc>
          <w:tcPr>
            <w:tcW w:w="6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$19,486</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$30,672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Non-cash stock-based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4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(3)</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21,094</w:t>
            </w:r>
          </w:p>
        </w:tc>
        <w:tc>
          <w:tcPr>
            <w:tcW w:w="4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June 30, 2014 and 2013 was $19.5 million and $30.7 million, respectively, a decrease of $11.2 million, or 36%. The decrease was due primarily to cost decreases in 2014 for sales force staffing, marketing program spending and costs for other general and administrative support incurred in connection with the commercialization of Vascepa. The three months ended June 30, 2013 was the second quarter in which we were selling Vascepa and costs during this period included certain launch-related costs.</w:t>
      </w:r>
    </w:p>
    <w:p>
      <w:pPr>
        <w:ind w:left="460" w:right="1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expense for the three months ended June 30, 2014 and 2013 was $1.7 million and $4.3 million, respectively, a decrease of $2.6 million, or 60%,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Warrant-related compensation income for the three months ended June 30, 2014 and 2013 was $0.1 million and $1.0 million, respectively. Warrant related compensation income for the periods ended June 30, 2014 and 2013 reflects a non-cash change in fair value of the warrant derivative liability associated with warrants issued in October 2009 to three of our former employees, net of warrants exercised. The decrease in the fair value of the warrants is due primarily to a decrease in our stock price during each period.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We anticipate a reduction in the level of selling, general and administrative costs in 2014 as compared to 2013 as a result of the reduction in force announced in October 2013 and expected reductions in certain marketing program spend and other overhead costs. Such cost reductions will be partially offset by the incremental selling costs associated with the Kowa Pharmaceuticals America co-promotion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for the three months ended June 30, 2014 and 2013 was $11.7 million and</w:t>
      </w:r>
    </w:p>
    <w:p>
      <w:pPr>
        <w:spacing w:after="0" w:line="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$17.5 million, respectively, a decrease of $5.8 million, or 33%. Research and development expenses for the three months ended June 30, 2014 and 2013 are summarized in the table below (in thousands):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decrease in research and development expenses for the quarter ended June 30,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59" w:lineRule="exact"/>
        <w:rPr>
          <w:sz w:val="20"/>
          <w:szCs w:val="20"/>
          <w:color w:val="auto"/>
        </w:rPr>
      </w:pPr>
    </w:p>
    <w:p>
      <w:pPr>
        <w:ind w:left="460" w:right="40" w:hanging="452"/>
        <w:spacing w:after="0" w:line="28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7,000 patients enrolled in REDUCE-IT. We estimate that we will complete patient enrollment in this study in the first half of 2015. The REDUCE-IT study is designed to be completed after reaching an aggregate number of cardiovascular events. Based on event rates in other outcomes studies, we estimate the REDUCE-IT study can be completed in or about 2017 with results then expected to be available in 2018. For the three months ended June 30, 2014 and 2013, we incurred expenses through our CRO in connection with this trial of approximately $7.8 million and $10.5 million, respectively. Inclusive of CTM costs, the combined CRO and CTM costs in the three months ended June 30, 2014 and 2013 for REDUCE-IT were approximately $9.2 million and $11.0 million, respectively. We expense costs for CTM upon receipt. The aggregate cost of this outcomes study will depend on the rate of clinical events in the study. We currently estimate that costs incurred for this study in 2014 will continue at approximately the same levels as we have incurred in 2013 but may vary from quarter to quarter.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potential additional API suppliers prior to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regulatory filing fees in each of the three months ended June 30, 2014 and 2013 included annual FDA fees for maintaining manufacturing sites.</w:t>
      </w:r>
    </w:p>
    <w:p>
      <w:pPr>
        <w:spacing w:after="0" w:line="32"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Other research and development costs also include costs related to testing of the relative bioavailability of AMR102 capsules, Vascepa capsules with a selected statin taken concomitantly. We have suspended additional development of AMR102 pending resolution of the ANCHOR sNDA with the FDA.</w:t>
      </w:r>
    </w:p>
    <w:p>
      <w:pPr>
        <w:spacing w:after="0" w:line="4" w:lineRule="exact"/>
        <w:rPr>
          <w:rFonts w:ascii="Arial" w:cs="Arial" w:eastAsia="Arial" w:hAnsi="Arial"/>
          <w:sz w:val="16"/>
          <w:szCs w:val="16"/>
          <w:color w:val="auto"/>
        </w:rPr>
      </w:pPr>
    </w:p>
    <w:p>
      <w:pPr>
        <w:ind w:left="460" w:right="6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Gain on Change in Fair Value of Derivative Liabilities</w:t>
      </w:r>
      <w:r>
        <w:rPr>
          <w:rFonts w:ascii="Arial" w:cs="Arial" w:eastAsia="Arial" w:hAnsi="Arial"/>
          <w:sz w:val="16"/>
          <w:szCs w:val="16"/>
          <w:color w:val="auto"/>
        </w:rPr>
        <w:t>. Gain on change in fair value of derivative liabilities for the three months ended June 30, 2014 and 2013</w:t>
      </w:r>
      <w:r>
        <w:rPr>
          <w:rFonts w:ascii="Arial" w:cs="Arial" w:eastAsia="Arial" w:hAnsi="Arial"/>
          <w:sz w:val="16"/>
          <w:szCs w:val="16"/>
          <w:i w:val="1"/>
          <w:iCs w:val="1"/>
          <w:color w:val="auto"/>
        </w:rPr>
        <w:t xml:space="preserve"> </w:t>
      </w:r>
      <w:r>
        <w:rPr>
          <w:rFonts w:ascii="Arial" w:cs="Arial" w:eastAsia="Arial" w:hAnsi="Arial"/>
          <w:sz w:val="16"/>
          <w:szCs w:val="16"/>
          <w:color w:val="auto"/>
        </w:rPr>
        <w:t>was $3.0 million and $18.8 million, respectively. Gain on change in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liability related to the change in control provision associated with the May 2014 exchangeable senior notes, and (iv) an unrealized loss on foreign exchange contracts for the three months ended June 30, 2013.</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March 31, 2014 was $5.9 million and we recognized a $1.3 million gain on change in fair value of derivative liability for the quarter ended June 30, 2014 for these warrants. The fair value of the warrant derivative liability at March 31, 2013 was $49.0 million and we recognized a $12.0 million gain on change in fair value of derivative liability for the quarter ended June 30, 2013 for these warrants. The decrease or increase in the fair value of the warrant derivative liability is due primarily to the decrease or increase in the price of our common stock on the date of valuation.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December 2012 financing agreement contains a redemption feature whereby, upon a change of control, we would be required to pay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$140 million, less any previously repaid amount, if the change of control occurs on or before December 31, 2013, or required to repay $150 million, less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repaid amount, if the change of control event occurs after December 31, 2013. The fair value of the derivative liability is recalculated at each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using a probability-weighted model incorporating management estimates for potential change in control, and by determining the fair value of the debt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without the change in control provision included. The difference between the two fair values of the debt was determined to be the fair value of the embedded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At March 31, 2014, the fair value of the derivative was determined to be $7.6 million, and at June 30, 2014, the fair value of the derivative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to be $6.1 million. We recognized a $1.5 million gain on change in fair value of derivative liability for the three months ended June 30, 2014.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2013, the fair value of the derivative was determined to be $15.6 million, and at June 30, 2013, the fair value of the derivative was determined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$8.6 million. We recognized a $7.0 million gain on change in fair value of derivative liability for the three months ended June 30, 2013.</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May 2014 exchangeable senior notes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June 30, 2014, the fair value of the derivative was determined to be $3.3 million. We recognized a $0.2 million gain on change in fair value of derivative liability for the three months ended June 30, 2014.</w:t>
      </w:r>
    </w:p>
    <w:p>
      <w:pPr>
        <w:spacing w:after="0" w:line="11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We periodically use foreign exchange forward contracts to hedge against changes in exchange rates for inventory purchases denominated in foreign currency. As of June 30, 2014, there were no such outstanding contracts. As of June 30, 2013 we held foreign exchange forward contracts with notional amounts totaling $9.0 million. For the three months ended June 30, 2013, we recognized expense of $0.1 million for a foreign exchange forward contract derivative liability, which was included as a component of change in fair value of derivative liabilities and in other current liabilities at June 30, 2013.</w:t>
      </w:r>
    </w:p>
    <w:p>
      <w:pPr>
        <w:spacing w:after="0" w:line="1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 our exchangeable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three months ended June 30,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three months ended June 30, 2014 and 2013 was $4.3 million and $9.3 million, respectively, a decrease of $5.0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54%. Net interest expense for the three months ended June 30, 2014 and 2013 is summarized in the table below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3"/>
              </w:rPr>
              <w:t>2014</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Amortization of debt discounts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647</w:t>
            </w:r>
          </w:p>
        </w:tc>
        <w:tc>
          <w:tcPr>
            <w:tcW w:w="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$ 3,723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1,960</w:t>
            </w: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Cash interest—current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interest—deferred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Non-cash 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2,378</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6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4,338</w:t>
            </w:r>
          </w:p>
        </w:tc>
        <w:tc>
          <w:tcPr>
            <w:tcW w:w="5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96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4,296</w:t>
            </w:r>
          </w:p>
        </w:tc>
        <w:tc>
          <w:tcPr>
            <w:tcW w:w="5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$ 9,345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June 30, 2014 and 2013 was $2.0 million and $5.0 million, respectively.</w:t>
      </w:r>
    </w:p>
    <w:p>
      <w:pPr>
        <w:ind w:left="460" w:right="10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financing for three months ended June 30, 2014 and 2013 was $2.4 million and $4.4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2014 and 2013 was $0.04 million and $0.1 million, respectively. Interest income represents income earned on cash balances.</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three months ended June 30, 2014 and 2013 was $4.2 million and $(0.4)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income (expense), net in the three months ended June 30, 2014 primarily consists of $4.1 million received in the second quarter of 2014 with respect to settlement agreements with one of our suppliers and one of our encapsulators that provided for the reimbursement of certain amounts previously paid by us. Other income (expense), net for the three months ended June 30, 2013 primarily consisted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for the three months ended June 30, 2014 and 2013 was a $0.4 million and $0.1 million,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provision relates entirely to the United States subsidiary operations. We are profitable in the United States as a result of intercompany transactions between our United States subsidiary and our other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2014 and June 30, 2013</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$23.6 million and $7.8 million during the six months ended June 30, 2014 and 2013, respectively, an increase of $15.8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203%. We commenced our full commercial launch of Vascepa in the United States for use in the MARINE indication in January, 2013. All of our revenue in the six months ended June 30, 2014 and 2013 was derived from product sales of Vascepa, net of allowances, discounts, incentives, rebates, chargebacks and returns.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$23.6 million based on sales to Distributors during the six months ended June 30, 2014. Through June 30, 2014, product returns were de minimis.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six months ended June 30, 2014 and 2013, our net product revenues included an adjustment for co-pay mitigation rebates provided by us to commercially insured patients. Such rebates are intended to offset the cost differential for patients of Vascepa not covered by commercial insurers at the time of launch on tier 2, resulting in higher co-pay amounts for such patients. Our cost for these co-payment mitigation rebates was up to $75 per prescription filled prior to February 20, 2014 and is up to $70 per prescription filled after February 20, 2014. Commencing in March 2013, certain third-party payors added Vascepa to their tier 2 coverage, which results in lower co-payments for patients covered by these third-party payors. The number of lives covered by these payors increased throughout 2013 and continued to increase in 2014. As of August 1, 2014, over 100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is typical in the pharmaceutical industry, the majority of Vascepa sales are to major commercial wholesalers which then resell Vascepa to retail pharmacies. As of August 1, 2014, over 20,000 clinicians had written prescriptions for Vascepa. As of August 1, 2014, we are not aware of any clinician who is responsible for 10% or more of the aggregate prescriptions written for Vascepa.</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including a reduction of approximately 50%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the resulting target base coverage and the addition of the promotional efforts of 250 sales representatives from Kowa Pharmaceuticals America which commenced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2014 and 2013 was $9.3 million and $4.1 million, respectively, an increase of $5.2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127%, which was driven by the increase in revenues and partially offset by lower supply costs. These amounts include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API included in the calculation of the average cost of goods sold during 2013 and the six months ended June 30, 2014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We began purchasing lower unit cost API from Chemport, which was approved by the FDA in April 2013 to produce Vascepa, in the second quarter of 2013. During the six months ended June 30, 2014 and 2013, the cost basis of product sold that had a carrying value of zero was zero and $4.0 million, respectively. Had such inventories been valued at acquisition cost, it would have resulted in a corresponding increase in cost of goods sold and a decrease in gross margin during such periods. We expect current inventories with a carrying value of zero to be utilized in 2014. As of June 30, 2014, we maintained inventory with a carrying value of zero and an acquisition cost of approximately $0.6 million, which has an estimated net realizable value of $2.6 million based on our average net selling price for the quarter ended June 30, 2014.</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gross margin for the six months ended June 30, 2014 and 2013 was 61% and 47%, respectively. This improvement was primarily driven by lower unit cost API purchases. In addition, over time we expect continued lower average unit cost purchases of API. We also expect that API costs will be lower in the future due to tiered supply pricing at certain suppliers such that cost per kilogram of supply purchases are scheduled to decline as volume of purchases increase and potential advantages derived from the geographical mix of our suppliers. The average cost may be variable from period to period depending upon the timing and quantity of API purchased from each supplier.</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six months ended June 30, 2014 and 2013 was $41.7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$73.2 million, respectively, a decrease of $31.5 million, or 43%. Selling, general and administrative expenses for the six months ended June 30, 2014 and 2013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Six months Ended</w:t>
            </w:r>
          </w:p>
        </w:tc>
      </w:tr>
      <w:tr>
        <w:trPr>
          <w:trHeight w:val="162"/>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7220" w:type="dxa"/>
            <w:vAlign w:val="bottom"/>
          </w:tcPr>
          <w:p>
            <w:pPr>
              <w:spacing w:after="0"/>
              <w:rPr>
                <w:sz w:val="14"/>
                <w:szCs w:val="14"/>
                <w:color w:val="auto"/>
              </w:rPr>
            </w:pPr>
          </w:p>
        </w:tc>
        <w:tc>
          <w:tcPr>
            <w:tcW w:w="5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$38,824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$66,331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Non-cash stock-based compensation expense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(3)</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(1,455)</w:t>
            </w: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7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41,679</w:t>
            </w: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73,228</w:t>
            </w:r>
          </w:p>
        </w:tc>
        <w:tc>
          <w:tcPr>
            <w:tcW w:w="120" w:type="dxa"/>
            <w:vAlign w:val="bottom"/>
          </w:tcPr>
          <w:p>
            <w:pPr>
              <w:spacing w:after="0"/>
              <w:rPr>
                <w:sz w:val="24"/>
                <w:szCs w:val="24"/>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six months ended June 30, 2014 and 2013 was $38.8 million and $66.3 million, respectively, a decrease of $27.5 million, or 41%. The decrease was due primarily to cost decreases in 2014 for sales force staffing, marketing program spending and costs for other general and administrative support incurred in connection with the commercialization of Vascepa. The six months ended June 30, 2013 was the period in which we were commenced selling Vascepa and costs during this period included certain launch-related costs.</w:t>
      </w:r>
    </w:p>
    <w:p>
      <w:pPr>
        <w:ind w:left="460" w:right="2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expense for the six months ended June 30, 2014 and 2013 was $3.0 million and $8.4 million, respectively, a decrease of $5.4 million, or 64%,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80" w:hanging="452"/>
        <w:spacing w:after="0" w:line="28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Warrant-related compensation income for the six months ended June 30, 2014 and 2013 was $0.2 million and $1.5 million, respectively. Warrant related compensation income for the periods ended June 30, 2014 and 2013 reflects a non-cash change in fair value of the warrant derivative liability associated with warrants issued in October 2009 to three of our former employees, net of warrants exercised. The decrease in the fair value of the warrants is due primarily to a decrease in our stock price during each period.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We anticipate a reduction in the level of selling, general and administrative costs in 2014 as compared to 2013 as a result of the reduction in force announced in October 2013 and expected reductions in certain marketing program spend and other overhead costs. Such cost reductions will be partially offset by the incremental selling costs associated with the Kowa Pharmaceuticals America co-promotion agreement.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2014 and 2013 was $23.4 million and $39.3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 decrease of $15.9 million, or 40%. Research and development expenses for the six months ended June 30, 2014 and 2013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$16,656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decrease in research and development expenses for the six months ended June 30,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59" w:lineRule="exact"/>
        <w:rPr>
          <w:sz w:val="20"/>
          <w:szCs w:val="20"/>
          <w:color w:val="auto"/>
        </w:rPr>
      </w:pPr>
    </w:p>
    <w:p>
      <w:pPr>
        <w:ind w:left="460" w:right="1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7,000 patients enrolled in REDUCE-IT. We estimate that we will complete patient enrollment in this study in the first half of 2015. The REDUCE-IT study is designed to be completed after reaching an aggregate number of cardiovascular events. Based on event rates in other outcomes studies, we estimate the REDUCE-IT study can be completed in or about 2017 with results then expected to be available in 2018. For the six months ended June 30, 2014 and 2013, we incurred expenses through our CRO in connection with this trial of approximately $12.9 million and $19.7 million, respectively. Inclusive of CTM costs, the combined CRO and CTM costs in the six months ended June 30, 2014 and 2013 for REDUCE-IT were approximately $16.7 million and $22.0 million, respectively. We expense costs for CTM upon receipt. The aggregate cost of this outcomes study will depend on the rate of clinical events in the study. We currently estimate that costs incurred for this study in 2014 will continue at approximately the same levels as we have incurred in 2013 but may vary from quarter to quarter.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w:t>
      </w:r>
    </w:p>
    <w:p>
      <w:pPr>
        <w:spacing w:after="0" w:line="5" w:lineRule="exact"/>
        <w:rPr>
          <w:sz w:val="20"/>
          <w:szCs w:val="20"/>
          <w:color w:val="auto"/>
        </w:rPr>
      </w:pPr>
    </w:p>
    <w:p>
      <w:pPr>
        <w:ind w:left="460" w:right="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other potential API suppliers to their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right="500" w:hanging="452"/>
        <w:spacing w:after="0" w:line="300"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regulatory filing fees in each of the six months ended June 30, 2014 and 2013 included annual FDA fees for maintaining manufacturing sites. In addition, during the six months ended June 30, 2013, these fees included regulatory filings associated with the sNDA for the ANCHOR indication.</w:t>
      </w:r>
    </w:p>
    <w:p>
      <w:pPr>
        <w:ind w:left="460" w:right="2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Other research and development costs also include costs related to testing of the relative bioavailability of AMR102 capsules, Vascepa capsules with a selected statin taken concomitantly. We have suspended additional development of AMR102 pending resolution of the ANCHOR sNDA with the FDA.</w:t>
      </w:r>
    </w:p>
    <w:p>
      <w:pPr>
        <w:spacing w:after="0" w:line="4" w:lineRule="exact"/>
        <w:rPr>
          <w:rFonts w:ascii="Arial" w:cs="Arial" w:eastAsia="Arial" w:hAnsi="Arial"/>
          <w:sz w:val="16"/>
          <w:szCs w:val="16"/>
          <w:color w:val="auto"/>
        </w:rPr>
      </w:pPr>
    </w:p>
    <w:p>
      <w:pPr>
        <w:ind w:left="460" w:right="6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Gain on Change in Fair Value of Derivative Liabilities</w:t>
      </w:r>
      <w:r>
        <w:rPr>
          <w:rFonts w:ascii="Arial" w:cs="Arial" w:eastAsia="Arial" w:hAnsi="Arial"/>
          <w:sz w:val="16"/>
          <w:szCs w:val="16"/>
          <w:color w:val="auto"/>
        </w:rPr>
        <w:t>. Gain on change in fair value of derivative liabilities for the six months ended June 30, 2014 and 2013 was</w:t>
      </w:r>
      <w:r>
        <w:rPr>
          <w:rFonts w:ascii="Arial" w:cs="Arial" w:eastAsia="Arial" w:hAnsi="Arial"/>
          <w:sz w:val="16"/>
          <w:szCs w:val="16"/>
          <w:i w:val="1"/>
          <w:iCs w:val="1"/>
          <w:color w:val="auto"/>
        </w:rPr>
        <w:t xml:space="preserve"> </w:t>
      </w:r>
      <w:r>
        <w:rPr>
          <w:rFonts w:ascii="Arial" w:cs="Arial" w:eastAsia="Arial" w:hAnsi="Arial"/>
          <w:sz w:val="16"/>
          <w:szCs w:val="16"/>
          <w:color w:val="auto"/>
        </w:rPr>
        <w:t>$7.4 million and $22.5 million, respectively. Gain on change in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 (iii) the change in fair value of the derivative liability related to the change in control provision associated with the May 2014 exchangeable senior notes, and (iv) an unrealized loss on foreign exchange contracts for the six months ended June 30, 2013.</w:t>
      </w:r>
    </w:p>
    <w:p>
      <w:pPr>
        <w:spacing w:after="0" w:line="116"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2013 was $6.9 million and we recognized a $2.2 million gain on change in fair value of derivative liability for the period ended June 30, 2014 for these warrants. The fair value of the warrant derivative liability at December 31, 2012 was $54.9 million and we recognized a $17.4 million gain on change in fair value of derivative liability for the six months ended June 30, 2013 for these warrants. The decrease or increase in the fair value of the warrant derivative liability is due primarily to the decrease or increase in the price of our common stock on the date of valuation.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December 2012 financing agreement contains a redemption feature whereby, upon a change of control, we would be required to pay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$140 million, less any previously repaid amount, if the change of control occurs on or before December 31, 2013, or required to repay $150 million, less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repaid amount, if the change of control event occurs after December 31, 2013.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2013, the fair value of the derivative was determined to be $11.1 million, and at June 30, 2014, the fair value of the derivative was determined to be $6.1 million. We recognized a $5.0 million gain on change in fair value of derivative liability for the six months ended June 30, 2014. At December 31, 2012, the fair value of the derivative was determined to be $14.6 million, and at June 30, 2013, the fair value of the derivative was determined to be $8.6 million. We recognized a $6.0 million gain on change in fair value of derivative liability for the six months ended June 30, 2013.</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Our May 2014 exchangeable senior notes contain a redemption feature whereby, upon occurrence of a change in control (as defined),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June 30, 2014, the fair value of the derivative was determined to be $3.3 million. We recognized a $0.2 million gain on change in fair value of derivative liability for the six months ended June 30, 2014</w:t>
      </w:r>
    </w:p>
    <w:p>
      <w:pPr>
        <w:spacing w:after="0" w:line="11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We periodically use foreign exchange forward contracts to hedge against changes in exchange rates for inventory purchases denominated in foreign currency. As of June 30, 2014, there were no such outstanding contracts. As of June 30, 2013 we held foreign exchange forward contracts with notional amounts totaling $9.0 million. For the period ended June 30, 2013, we recognized expense of $0.9 million for a foreign exchange forward contract derivative liability, which was included as a component of change in fair value of derivative liabilities and in other current liabilities at June 30, 2013.</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 our exchangeable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subsequently recorded a gain on extinguishment of the original notes of $38.0 million in the six months ended June 30, 2014.</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six months ended June 30, 2014 and 2013 was $8.7 million and $18.2 million, respectively, a decrease of $9.5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52%. Net interest expense for the six months ended June 30, 2014 and 2013 is summarized in the table below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28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June 30,</w:t>
            </w: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Amortization of debt discounts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$1,330</w:t>
            </w:r>
          </w:p>
        </w:tc>
        <w:tc>
          <w:tcPr>
            <w:tcW w:w="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17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3,955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Cash interest—current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2,357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interest—deferred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Non-cash interest</w:t>
            </w:r>
          </w:p>
        </w:tc>
        <w:tc>
          <w:tcPr>
            <w:tcW w:w="1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20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7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income (3)</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8,689</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4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six months ended June 30, 2014 and 2013 was $4.0 million and $9.8 million, respectively.</w:t>
      </w:r>
    </w:p>
    <w:p>
      <w:pPr>
        <w:ind w:left="4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non-cash interest expense related to the BioPharma financing for six months ended June 30, 2014 and 2013 was $4.8 million and $8.6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such that each payment reflects the calculated optional reduction amount as opposed to the contractual threshold payments for each quarterly period.</w:t>
      </w:r>
    </w:p>
    <w:p>
      <w:pPr>
        <w:spacing w:after="0" w:line="2"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2014 and 2013 was $0.05 million and $0.2 million, respectively. Interest income represents income earned on cash balances.</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six months ended June 30, 2014 and 2013 was $4.2 million and $(0.5)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income (expense), net in the six months ended June 30, 2014 primarily consists of $4.1 million received in the second quarter of 2014 with respect to settlement agreements with one of our suppliers and one of our encapsulators that provided for the reimbursement of certain amounts previously paid by us. Other income (expense), net for the six months ended June 30, 2013 primarily consisted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for the six months ended June 30, 2014 and 2013 was a provision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a benefit of $3.2 million, respectively. The current provision relates entirely to the United States subsidiary operations. We are profitable in the United States as a result of intercompany transactions between our United States subsidiary and our other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Our sources of liquidity as of June 30, 2014 include cash and cash equivalents of $150.5 million. Our projected uses of cash include commercialization of Vascepa for the MARINE indication, preparations for commercialization of Vascepa for the ANCHOR indication, if approved,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June 30, 2014, the net remaining amount to be repaid to BioPharma is $147.1 million. To date, our revenues have been below the contractual threshold amount such that each payment made has reflected the calculated optional reduction amount as opposed to the contractual threshold payments for each quarterly period. The quarterly repayments through the third quarter of September 2014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3.50% May 2014 Exchangeable Senior Notes due 2032 (the “2014 Notes”), following which $31.3 million in aggregate principal amount of the 2012 Notes remain outstanding with terms unchanged.</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exchange rate as described in the Indenture. The exchange rate will initially be 384.6154 ADSs per $1,000 principal amount of the 2014 Notes (equivalent to an initial exchange price of approximately $2.60 per ADS (the “Exchange Price”)), subject to adjustment in certain circumstances. The exchange rate is subject to adjustment from time to time upon the occurrence of certain events, including, but not limited to, the payment of cash dividends.</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June 30, 2014, we had cash and cash equivalents of $150.5 million, a decrease of $41.0 million from December 31, 2013. The decrease is primarily due to net cash used in operating activities in support of the continued commercialization of Vascepa less accounts receivable collections. We have incurred annual operating losses since our inception and, as a result, we had an accumulated deficit of $924.5 million as of June 30, 2014. We believe that our cash and cash equivalents balance of $150.5 million at June 30, 2014 will be sufficient to fund our projected operations for at least the next twelve months. We anticipate that net cash outflows in 2014 will be significantly lower than net cash outflows in 2013 as a result of a reduction in expenses associated with the commercialization of Vascepa, lower headcount and lower supply purchases.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29, 2014, the universal shelf registration statement on Form S-3 (Registration No. 333-173132) that we had filed with the SEC on March 29, 2011, expired. On August 7, 2014, we filed with the SEC a new universal shelf registration statement on Form S-3, which provides for the offer, from time to time, of up to $300,000,000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The addition of any newly issued equity securities into the market may be dilutive to existing stockholders and new issuances by us could have an adverse effect on the price of our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our contractual obligations at June 30, 2014 and the effects such obligations are expected to have on our liquidity and cash flows in future periods (in millions):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2016</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2018</w:t>
            </w:r>
          </w:p>
        </w:tc>
        <w:tc>
          <w:tcPr>
            <w:tcW w:w="4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After 2018</w:t>
            </w:r>
          </w:p>
        </w:tc>
      </w:tr>
      <w:tr>
        <w:trPr>
          <w:trHeight w:val="210"/>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 (1)</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$57.7</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$ 27.3</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$ 17.8</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Obligations (2)</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 Obligations—Exchangeable Debt (3)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84.2</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11.8</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$ 39.0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$ 27.5</w:t>
            </w:r>
          </w:p>
        </w:tc>
        <w:tc>
          <w:tcPr>
            <w:tcW w:w="62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agreements with API suppliers which include minimum purchase levels to enable us to maintain certain exclusivity with each respective supplier. The amounts in the table above reflect amounts potentially payable to our suppliers based on our minimum purchase obligations. These amounts reflect the assumption that at least one of the potential additional companies with which we have contracted to potentially become API supplier for Vascepa is approved and that construction and validation of its manufacturing facility is successfully completed.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scheduled interest payments due under the terms of the 2012 Notes and 2014 Notes, assuming that the 2012 Notes remain outstanding through January 19, 2017 and that the 2014 Notes remain outstanding through January 19, 2019 and they have not been exchanged for ADRs. The above table does not reflect the repayment of the $150.0 million notes as they may be exchanged for ADRs.</w:t>
      </w:r>
    </w:p>
    <w:p>
      <w:pPr>
        <w:spacing w:after="0" w:line="144"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 As of June 30, 2014, the net remaining amount to be repaid to BioPharma is $147.1 million. To date, each payment made has reflected the calculated optional reduction amount as opposed to the contractual threshold payments for each quarterly period.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do not enter into financial instruments for trading or speculative purposes. At June 30, 2014, we had no outstanding forward exchange contracts. At June 30, 2013, we held forward exchange contracts with notional amounts totaling $9.0 million to hedge payments made in foreign currency for API supply and we recorded an unrealized loss of $0.9 million under these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April 2013, we announced the approval by the FDA of the sNDAs covering two of our API suppliers, Chemport, Inc. and BASF (formerly Equateq Limited). On December 30, 2013, we issued a notice of termination of our API agreement to BASF as a result of BASF’s non-compliance with the terms of such agreement. BASF did not remedy within a contractual 60-day cure period and as a result, this agreement terminated on February 28, 2014 and as such, no future purchase obligations for BASF are reflected in the table above. On April 30, 2014, we reached a settlement agreement with BASF under which we received a refund for material purchases of $3.0 million and further agreed to negotiate in good faith, a development and supply agreement over a period of one hundred eighty (180) days from the effective date of the agreement. The Chemport supply agreement provides access to additional API supply that is incremental to supply from Nisshin, our other existing FDA-approved API supplier. The Chemport agreement includes minimum annual purchase levels enabling us to maintain certain supply exclusivity with each respective supplier. The Chemport agreement also includes a provision that any shortfall in the minimum purchase commitments is payable in cash, and the maximum amounts payable pursuant to this provision are reflected in the table above. The Slanmhor consortium, our intended incremental API supplier, has not yet completed validation of their facility for the manufacture of Vascepa API, however, the minimum purchase commitments that could result in a future cash obligation have been included in the above table.</w:t>
      </w:r>
    </w:p>
    <w:p>
      <w:pPr>
        <w:spacing w:after="0" w:line="127"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The two supply agreements entered into in 2011 with BASF, which has since terminated, and Chemport also include commitments for: (i) certain development fees, (ii) material purchase commitments million for initial raw materials, which will be credited against future API purchases, and is refundable to us if a supplier does not successfully develop and qualify the API by a certain date, and (iii) raw material purchase commitments. We have paid $3.1 million related to these commitments through June 30, 2014. The agreement with the Slanmhor consortium, when all contingencies are eliminated by the supplier, provides for certain development fees and other commitments of which will be credited against future API material purchases. We have paid $6.2 million related to these commitments through June 30, 2014. Certain of these commitment fees are contingent upon the mutually agreed upon expansion of the Slanmhor consortium’s API manufacturing capacity beyond the facility which has already been constructed and is in the process of being qualified by the consortium. To date, the parties have not agreed upon such additional expansion. Under this agreement, during the six months ended June 30, 2014 and 2013, we made payments of $0.4 million and $5.3 million, respectively, to the Slanmhor consortium related to stability and technical batches and advances on future API purchases.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The carrying amount of $2.0 million and $3.3 million as of June 30, 2014 and December 31, 2013, respectively, is included in other long term assets and is accounted for under the cost method.</w:t>
      </w:r>
    </w:p>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$0.2 million for the six months ended June 30, 2014 and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£7.5 million (approximately $12.8 million at June 30, 2014). Additionally,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$8.5 million at June 30, 2014) for each of the two potential market approvals (i.e. £10 million maximum, or approximately $17.0 million at June 30, 2014).</w:t>
      </w:r>
    </w:p>
    <w:p>
      <w:pPr>
        <w:spacing w:after="0" w:line="14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$0.6 million for uncertain tax positions that have been recorded in long-term liabilities at June 30, 2014.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2014.</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60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June 30, 2014,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2014,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June 30, 2014,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are in the process of appealing the October 2013 rescission of the Special Protocol Assessment, or SPA, agreement related to our ANCHOR clinical trial within the FDA in accordance with FDA dispute resolution guidance. A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related, public October 16, 2013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2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On November 7, 2013, we submitted to the FDA a formal appeal of its decision to rescind the SPA agreement including documents outlining why we believe the SPA was wrongfully rescinded. On November 21, 2013, we received notification from the dispute resolution group of the Office of New Drugs at the FDA that it had not accepted for review, on procedural grounds, our appeal regarding the rescission of the SPA. We were also notified by the FDA that our request for a meeting at a high level within the FDA regarding the appeal was not granted and that we would first need to address the matter at the division level within the FDA. On December 19, 2013, the FDA notified us it did not expect to take action on our underlying sNDA on December 20, 2013 because our request to re-instate the ANCHOR SPA agreement remained under consideration with the FDA. The FDA also communicated to us that, as of December 19, 2013, it viewed our appeal of the ANCHOR SPA agreement rescission and the ANCHOR sNDA as separate administrative decisions worthy of separate consideration and that the FDA planned to complete its review of our request to re-instate the ANCHOR SPA agreement. The FDA provided no additional information on when it expects to complete its review of the ANCHOR sNDA.</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January 17, 2014, the Division of Metabolism and Endocrinology Products, or DMEP, within the FDA notified Amarin in connection with Amarin’s request for reconsideration of the October 2013 decision to rescind the ANCHOR SPA agreement that the DMEP “does not plan to re-instate the ANCHOR SPA agreement.” We appealed the DMEP decision to the next level within the FDA, the Office of Drug Evaluation II, or ODE II, and were informed in late April 2014, that ODE II determined to uphold the DMEP rescission determination. We appealed the ODE II decision to the next level within the FDA, the Director of the Office of New Drugs, Dr. John Jenkins, in accordance with FDA dispute resolution guidance and are currently waiting for a determination. There can be no assurance that we will be successful in the reinstatement of the ANCHOR SPA agreement or in approval of the ANCHOR indication sNDA.</w:t>
      </w:r>
    </w:p>
    <w:p>
      <w:pPr>
        <w:spacing w:after="0" w:line="12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Civ. No. 13-07882 (AT) (S.D.N.Y. Nov. 5, 2013),</w:t>
      </w:r>
      <w:r>
        <w:rPr>
          <w:rFonts w:ascii="Arial" w:cs="Arial" w:eastAsia="Arial" w:hAnsi="Arial"/>
          <w:sz w:val="16"/>
          <w:szCs w:val="16"/>
          <w:i w:val="1"/>
          <w:iCs w:val="1"/>
          <w:color w:val="auto"/>
        </w:rPr>
        <w:t xml:space="preserve"> Bentley v. Amarin Corporation plc</w:t>
      </w:r>
      <w:r>
        <w:rPr>
          <w:rFonts w:ascii="Arial" w:cs="Arial" w:eastAsia="Arial" w:hAnsi="Arial"/>
          <w:sz w:val="16"/>
          <w:szCs w:val="16"/>
          <w:color w:val="auto"/>
        </w:rPr>
        <w:t>, Civ. No. 13-08283 (AT) (S.D.N.Y. Nov. 20, 2013) and</w:t>
      </w:r>
      <w:r>
        <w:rPr>
          <w:rFonts w:ascii="Arial" w:cs="Arial" w:eastAsia="Arial" w:hAnsi="Arial"/>
          <w:sz w:val="16"/>
          <w:szCs w:val="16"/>
          <w:i w:val="1"/>
          <w:iCs w:val="1"/>
          <w:color w:val="auto"/>
        </w:rPr>
        <w:t xml:space="preserve"> Siegel v. Amarin Corporation plc</w:t>
      </w:r>
      <w:r>
        <w:rPr>
          <w:rFonts w:ascii="Arial" w:cs="Arial" w:eastAsia="Arial" w:hAnsi="Arial"/>
          <w:sz w:val="16"/>
          <w:szCs w:val="16"/>
          <w:color w:val="auto"/>
        </w:rPr>
        <w:t>, No. 3:13-cv-07210 (D.N.J. Nov. 27, 2013), were subsequently filed in the U.S. District Court for the District of New Jersey and</w:t>
      </w:r>
      <w:r>
        <w:rPr>
          <w:rFonts w:ascii="Arial" w:cs="Arial" w:eastAsia="Arial" w:hAnsi="Arial"/>
          <w:sz w:val="16"/>
          <w:szCs w:val="16"/>
          <w:i w:val="1"/>
          <w:iCs w:val="1"/>
          <w:color w:val="auto"/>
        </w:rPr>
        <w:t xml:space="preserve"> </w:t>
      </w:r>
      <w:r>
        <w:rPr>
          <w:rFonts w:ascii="Arial" w:cs="Arial" w:eastAsia="Arial" w:hAnsi="Arial"/>
          <w:sz w:val="16"/>
          <w:szCs w:val="16"/>
          <w:color w:val="auto"/>
        </w:rPr>
        <w:t>U.S. District Court for the Southern District of New York. On December 9, 2013 the cases filed in the Southern District of New York were transferred to the District of New Jersey, with all cases then before the same judge.</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The complaints assert claims under the Securities Exchange Act of 1934 and allege that Amarin and certain of its current and former officers and directors made misstatements and omissions regarding the FDA’s willingness to approve Vascepa’s ANCHOR indication and the potential relevance of data from the ongoing REDUCE-IT trial to that approval. The putative class periods alleged in the complaints vary from the July 9, 2009-October 15, 2013 period alleged in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and </w:t>
      </w:r>
      <w:r>
        <w:rPr>
          <w:rFonts w:ascii="Arial" w:cs="Arial" w:eastAsia="Arial" w:hAnsi="Arial"/>
          <w:sz w:val="16"/>
          <w:szCs w:val="16"/>
          <w:i w:val="1"/>
          <w:iCs w:val="1"/>
          <w:color w:val="auto"/>
        </w:rPr>
        <w:t>Siegel</w:t>
      </w:r>
      <w:r>
        <w:rPr>
          <w:rFonts w:ascii="Arial" w:cs="Arial" w:eastAsia="Arial" w:hAnsi="Arial"/>
          <w:sz w:val="16"/>
          <w:szCs w:val="16"/>
          <w:color w:val="auto"/>
        </w:rPr>
        <w:t xml:space="preserve"> complaints, the July 9, 2009-October 16, 2013 period alleged in the </w:t>
      </w:r>
      <w:r>
        <w:rPr>
          <w:rFonts w:ascii="Arial" w:cs="Arial" w:eastAsia="Arial" w:hAnsi="Arial"/>
          <w:sz w:val="16"/>
          <w:szCs w:val="16"/>
          <w:i w:val="1"/>
          <w:iCs w:val="1"/>
          <w:color w:val="auto"/>
        </w:rPr>
        <w:t>Bentley</w:t>
      </w:r>
      <w:r>
        <w:rPr>
          <w:rFonts w:ascii="Arial" w:cs="Arial" w:eastAsia="Arial" w:hAnsi="Arial"/>
          <w:sz w:val="16"/>
          <w:szCs w:val="16"/>
          <w:color w:val="auto"/>
        </w:rPr>
        <w:t xml:space="preserve"> complaint, and August 8, 2012-October 16, 2013 period alleged in the </w:t>
      </w:r>
      <w:r>
        <w:rPr>
          <w:rFonts w:ascii="Arial" w:cs="Arial" w:eastAsia="Arial" w:hAnsi="Arial"/>
          <w:sz w:val="16"/>
          <w:szCs w:val="16"/>
          <w:i w:val="1"/>
          <w:iCs w:val="1"/>
          <w:color w:val="auto"/>
        </w:rPr>
        <w:t>Bove</w:t>
      </w:r>
      <w:r>
        <w:rPr>
          <w:rFonts w:ascii="Arial" w:cs="Arial" w:eastAsia="Arial" w:hAnsi="Arial"/>
          <w:sz w:val="16"/>
          <w:szCs w:val="16"/>
          <w:color w:val="auto"/>
        </w:rPr>
        <w:t xml:space="preserve"> complaint. The lawsuits seek unspecified monetary damages and attorneys’ fees and costs.</w:t>
      </w:r>
    </w:p>
    <w:p>
      <w:pPr>
        <w:spacing w:after="0" w:line="11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On July 24, 2014, the court consolidated the cases, appointed lead counsel for the class and selected James Reiss to serve as lead plaintiff. We believe that we have valid defenses and we will vigorously defend against this class action suit, but cannot predict the outcome. We are unable to reasonably estimate the loss exposure, if any, associated with the claims. We have insurance coverage that is anticipated to cover any significant loss exposure that may arise from this action after payment by us of the associated deducible obligation under such insurance coverage.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We believe that we have valid defenses and we will vigorously defend against the claims, but cannot predict the outcome. We are unable to reasonably estimate the loss exposure, if any, associated with these claims. We have insurance coverage that is anticipated to cover any significant loss exposure that may arise from this action after payment by us of the associated deducible obligation under such insurance coverage.</w:t>
      </w:r>
    </w:p>
    <w:p>
      <w:pPr>
        <w:spacing w:after="0" w:line="10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On February 27, 2014, we commenced a lawsuit against the FDA in the U.S. District Court for the District of Columbia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Ireland Ltd. v. Food &amp; Drug Administration, et al.</w:t>
      </w:r>
      <w:r>
        <w:rPr>
          <w:rFonts w:ascii="Arial" w:cs="Arial" w:eastAsia="Arial" w:hAnsi="Arial"/>
          <w:sz w:val="16"/>
          <w:szCs w:val="16"/>
          <w:color w:val="auto"/>
        </w:rPr>
        <w:t>, Civ. A. No. 14-0324 (D.D.C.) that challenges FDA’s denial of our request for five-year NCE</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 We intend to litigate the case vigorously, but we cannot predict the outcome of this lawsuit.</w:t>
      </w:r>
    </w:p>
    <w:p>
      <w:pPr>
        <w:spacing w:after="0" w:line="11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On March 4, 2014, we filed a lawsuit for patent infringement of U.S. Patent No. 8,663,662 in the U.S. District Court for the District of Delaware against AstraZeneca Pharmaceuticals LP and its subsidiary, Omthera Pharmaceuticals, Inc., captioned </w:t>
      </w:r>
      <w:r>
        <w:rPr>
          <w:rFonts w:ascii="Arial" w:cs="Arial" w:eastAsia="Arial" w:hAnsi="Arial"/>
          <w:sz w:val="16"/>
          <w:szCs w:val="16"/>
          <w:i w:val="1"/>
          <w:iCs w:val="1"/>
          <w:color w:val="auto"/>
        </w:rPr>
        <w:t>Amarin Pharmaceuticals Ireland Limited v. Omthera</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Civ. A. No. 1:14-cv-00279 (D.Del). On June 23, a second complaint was filed against AstraZeneca and Omthera, captioned</w:t>
      </w:r>
      <w:r>
        <w:rPr>
          <w:rFonts w:ascii="Arial" w:cs="Arial" w:eastAsia="Arial" w:hAnsi="Arial"/>
          <w:sz w:val="16"/>
          <w:szCs w:val="16"/>
          <w:i w:val="1"/>
          <w:iCs w:val="1"/>
          <w:color w:val="auto"/>
        </w:rPr>
        <w:t xml:space="preserve"> Amarin Pharmaceuticals Ireland Limited v. Omthera Pharmaceuticals, Inc. et al.</w:t>
      </w:r>
      <w:r>
        <w:rPr>
          <w:rFonts w:ascii="Arial" w:cs="Arial" w:eastAsia="Arial" w:hAnsi="Arial"/>
          <w:sz w:val="16"/>
          <w:szCs w:val="16"/>
          <w:color w:val="auto"/>
        </w:rPr>
        <w:t>, Civ. A. No. 1:14-cv-00791 (D.Del). That second complaint replaced the first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voluntarily dismissed on June 27, and was filed in order to expedite the progress of this litigation on the merits. The focus of the lawsuit is the commercial marketing of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in the United States. Epanova was approved by the FDA in May 2014 with substantially the same indication as Vascepa and is expected to compete with Vascepa. We are seeking damages and injunctive relief in the litigation. We intend to litigate the case vigorously, but we cannot predict the outcome of this lawsuit.</w:t>
      </w:r>
    </w:p>
    <w:p>
      <w:pPr>
        <w:spacing w:after="0" w:line="118" w:lineRule="exact"/>
        <w:rPr>
          <w:sz w:val="20"/>
          <w:szCs w:val="20"/>
          <w:color w:val="auto"/>
        </w:rPr>
      </w:pPr>
    </w:p>
    <w:p>
      <w:pPr>
        <w:ind w:right="20" w:firstLine="913"/>
        <w:spacing w:after="0" w:line="282" w:lineRule="auto"/>
        <w:rPr>
          <w:sz w:val="20"/>
          <w:szCs w:val="20"/>
          <w:color w:val="auto"/>
        </w:rPr>
      </w:pPr>
      <w:r>
        <w:rPr>
          <w:rFonts w:ascii="Arial" w:cs="Arial" w:eastAsia="Arial" w:hAnsi="Arial"/>
          <w:sz w:val="16"/>
          <w:szCs w:val="16"/>
          <w:color w:val="auto"/>
        </w:rPr>
        <w:t xml:space="preserve">In March, April, and May 2014, we received paragraph IV certification notices from six companies contending to varying degrees that certain of our patents are invalid, unenforceable and/or will not be infringed by the manufacture, use, sale or offer for sale of a generic form of Vascepa as described in those companies’ abbreviated new drug applications, or ANDAs. We have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April 2014, Amarin also filed lawsuits against Roxane Laboratories, Inc.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Dr. Reddy’s Laboratories, Inc. et al.</w:t>
      </w:r>
      <w:r>
        <w:rPr>
          <w:rFonts w:ascii="Arial" w:cs="Arial" w:eastAsia="Arial" w:hAnsi="Arial"/>
          <w:sz w:val="16"/>
          <w:szCs w:val="16"/>
          <w:color w:val="auto"/>
        </w:rPr>
        <w:t>, Civ. A. No. 14-2760 (D.N.J.). In May 2014, Amarin also filed a lawsuit against Watson Laboratories, Inc. and Actavis plc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(“Watson”) in the U.S. District Court for the District of New Jersey. One of our directors, Patrick J. O’Sullivan, is also a director of Actavis plc. The case against 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We intend to vigorously enforce our intellectual property rights relating to Vascepa, but we cannot predict the outcome of these lawsuits.</w:t>
      </w:r>
    </w:p>
    <w:p>
      <w:pPr>
        <w:spacing w:after="0" w:line="12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Quarterly Report on 10-Q filed with the SEC on May 9,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460" w:firstLine="4"/>
        <w:spacing w:after="0" w:line="323" w:lineRule="auto"/>
        <w:tabs>
          <w:tab w:leader="none" w:pos="592"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Our ability to generate increased revenue over the next few years depends, in part, on FDA approval for the use of Vascepa in the ANCHOR indication in the United States and we may be delayed in obtaining, or never obtain, such approval. In October 2013 an advisory committee convened by the FDA voted 9 to 2 against recommending approval of Vascepa in the ANCHOR indication and the FDA has rescinded our ANCHOR clinical trial Special Protocol Assessment Agreement, as a result of which there is a significant risk that FDA will not approve Vascepa for this indication.</w:t>
      </w:r>
    </w:p>
    <w:p>
      <w:pPr>
        <w:spacing w:after="0" w:line="1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which we refer to as the ANCHOR indication. The FDA originally assigned the sNDA a Prescription Drug User Fee Act, or PDUFA, date of December 20, 2013 for the completion of its review. The PDUFA date is the goal date for the FDA to complete its review of the sNDA. On December 19, 2013, the FDA notified us it did not expect to take action on our sNDA on December 20, 2013 because our request to re-instate the ANCHOR special protocol assessment, or SPA, agreement remained under consideration with the FDA. Our request to reinstate the ANCHOR SPA was denied twice and we are in the process of appealing that decision within the FDA. No new PDUFA date has been established.</w:t>
      </w:r>
    </w:p>
    <w:p>
      <w:pPr>
        <w:spacing w:after="0" w:line="120"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On October 16, 2013 the FDA convened an advisory committee meeting to review the sNDA for the ANCHOR indication. At the meeting, the advisory committee voted 9 to 2 against recommending approval of Vascepa, based on the following question:</w:t>
      </w:r>
    </w:p>
    <w:p>
      <w:pPr>
        <w:spacing w:after="0" w:line="51" w:lineRule="exact"/>
        <w:rPr>
          <w:sz w:val="20"/>
          <w:szCs w:val="20"/>
          <w:color w:val="auto"/>
        </w:rPr>
      </w:pPr>
    </w:p>
    <w:p>
      <w:pPr>
        <w:ind w:left="1500" w:right="280"/>
        <w:spacing w:after="0" w:line="259" w:lineRule="auto"/>
        <w:rPr>
          <w:sz w:val="20"/>
          <w:szCs w:val="20"/>
          <w:color w:val="auto"/>
        </w:rPr>
      </w:pPr>
      <w:r>
        <w:rPr>
          <w:rFonts w:ascii="Arial" w:cs="Arial" w:eastAsia="Arial" w:hAnsi="Arial"/>
          <w:sz w:val="18"/>
          <w:szCs w:val="18"/>
          <w:color w:val="auto"/>
        </w:rPr>
        <w:t>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2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However, there was also extensive discussion during the advisory committee meeting regarding the expected clinical benefit of a reduction in TGs in this patient population. That is, whether the clinical data derived from the ANCHOR trial was a sufficient basis for approval. In particular, the advisory committee and 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 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committee, but it generally follows such recommendations.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 On November 7, 2013, we submitted to the FDA a formal appeal of its decision to rescind the SPA including documents outlining why we believe the SPA was wrongfully rescinded.</w:t>
      </w:r>
    </w:p>
    <w:p>
      <w:pPr>
        <w:spacing w:after="0" w:line="12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On November 21, 2013, we received notification from the dispute resolution group of the Office of New Drugs at the FDA that it had not accepted for review, on procedural grounds, our appeal regarding the rescission of the SPA. We were also notified by the FDA that our request for a meeting at a high level within the FDA regarding the appeal was not granted and that we would first need to address the matter at the division level within the FDA. On December 19, 2013, the FDA notified us it did not expect to take action on our sNDA on December 20, 2013 because our request to re-instate the ANCHOR SPA agreement remained under consideration with the FDA. The FDA also communicated to us that, as of December 19, 2013, it viewed our appeal of the ANCHOR SPA agreement rescission and the ANCHOR sNDA as separate administrative decisions worthy of separate consideration and that the FDA planned to complete its review of our request to re-instate the ANCHOR SPA agreement. The FDA provided no additional information on when it expects to complete its review of the ANCHOR sNDA. On January 17, 2014, the Division of Metabolism and Endocrinology Products, or DMEP, within the FDA notified Amarin in connection with Amarin’s request for reconsideration of the October 2013 decision to rescind the ANCHOR SPA agreement that the DMEP “does not plan to re-instate the ANCHOR SPA agreement.” We appealed the DMEP decision to the next level within the FDA, the Office of Drug Evaluation II, or ODE II, and were informed in late April 2014, that ODE II determined to uphold the DMEP rescission determination. We have appealed the ODE II decision to the next level within the FDA in accordance with FDA dispute resolution guidance and are currently waiting for that determination. There can be no assurance that we will be successful in the reinstatement of the ANCHOR SPA agreement or in approval of the ANCHOR indication sNDA.</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Based on our communications with the FDA, we currently expect that final positive results from the REDUCE-IT outcomes study will be required for FDA approval of label expansion for Vascepa.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best to continue or discontinue the study. We anticipate that in any such re-evaluation we will seek further feedback from the FDA. The aggregate cost to complete REDUCE-IT, excluding amounts previously expensed, is estimated to exceed $100 million, which is a significant financial burden given our current financial position. To the extent the FDA conditions approval of Vascepa for the ANCHOR indication on its review of the data from the REDUCE-IT trial, Vascepa may never be approved for this indication. Any delay in obtaining, or an inability to obtain, marketing approval in this indication could prevent us from growing revenue significantly and could have a material adverse effect on our operations and financial condition, including our ability to reach profitability.</w:t>
      </w:r>
    </w:p>
    <w:p>
      <w:pPr>
        <w:spacing w:after="0" w:line="12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Our SPA agreement for ANCHOR has been rescinded and our SPA agreement for REDUCE-IT is not a guarantee of FDA approval of Vascepa for the proposed REDUCE-IT indication.</w:t>
      </w:r>
    </w:p>
    <w:p>
      <w:pPr>
        <w:spacing w:after="0" w:line="132" w:lineRule="exact"/>
        <w:rPr>
          <w:sz w:val="20"/>
          <w:szCs w:val="20"/>
          <w:color w:val="auto"/>
        </w:rPr>
      </w:pPr>
    </w:p>
    <w:p>
      <w:pPr>
        <w:ind w:right="280" w:firstLine="913"/>
        <w:spacing w:after="0" w:line="253"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drugs failed to support the hypothesis that a triglyceride-lowering drug significantly reduces the risk for cardiovascular events among the population studied in the ANCHOR trial. In response to our appeal of the decision to rescind the ANCHOR SPA agreement, on January 17, 2014, the DMEP within the FDA notified Amarin in connection with Amarin’s request for reconsideration of the October 2013 decision to rescind the ANCHOR SPA agreement that the DMEP “does not plan to re-instate the ANCHOR SPA agreement.” The DMEP also stated that it no longer considers a change in serum triglyceride levels as sufficient to establish the effectiveness of a drug intended to reduce cardiovascular risk in subjects with serum triglyceride levels below 500 mg/dL. We appealed this decision within FDA, were denied twice, and are currently waiting for the determination on the third level of our appeal.</w:t>
      </w:r>
    </w:p>
    <w:p>
      <w:pPr>
        <w:spacing w:after="0" w:line="12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significantly, and it has had, and could continue to have, a material adverse effect on our operations and financial condition, including our ability to reach profitability.</w:t>
      </w:r>
    </w:p>
    <w:p>
      <w:pPr>
        <w:spacing w:after="0" w:line="32"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b w:val="1"/>
          <w:bCs w:val="1"/>
          <w:i w:val="1"/>
          <w:iCs w:val="1"/>
          <w:color w:val="auto"/>
        </w:rPr>
        <w:t>If we do not obtain FDA approval of the ANCHOR indication, we may choose to discontinue our ongoing REDUCE-IT outcome study of Vascepa, which is designed to determine whether Vascepa is effective in reducing major cardiovascular events in a high risk patient population on statin therapy and our development of AMR102, a fixed dose combination of Vascepa and a leading statin product.</w:t>
      </w:r>
    </w:p>
    <w:p>
      <w:pPr>
        <w:spacing w:after="0" w:line="107"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Our ongoing REDUCE-IT cardiovascular outcome study was designed to determine whether Vascepa, when added to statin therapy, would reduce the risk of major cardiovascular events in an at-risk patient population. We expect the ongoing incremental cost of the REDUCE-IT study to us over the next several years will exceed $100 million as the study currently involves over 450 clinical trial sites in eleven countries. The timing of completion of the REDUCE-IT study is based on the rate of cardiovascular events for patients in the study. If it takes longer for such events to accrue than we expect, the trial could take longer to complete and cost more than we currently expect. AMR102, a fixed dose combination of Vascepa and a leading statin product, is in early stage development with relatively minimal current expenses associated with ongoing development, but significant expense associated with development over the next several years. We have not been profitable in any of the last five fiscal years. Our cash and cash equivalents at June 30, 2014 were $150.5 million. For the fiscal year ended December 31, 2013, we reported a loss of approximately $166.2 million. For the six months ended June 30, 2014, we reported a loss of approximately $10.7 million and we had an accumulated deficit at June 30, 2014 of $924.5 million. For the six months ended June 30, 2014, net revenue from the sale of Vascepa based on the MARINE indication was $23.6 million. Given the substantial ongoing cost of the REDUCE-IT cardiovascular outcome study, our current capital resources and the current sales of Vascepa resulting from FDA approval of Vascepa for use in the MARINE indication, we may not be able to continue the study with our current financial resources and anticipated revenues from Vascepa without the additional revenues that may be available to us from the sale of Vascepa following an FDA approval of the ANCHOR indication.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 If we do not receive FDA approval of the ANCHOR indication and do not continue the ongoing REDUCE-IT trial or our development of AMR102, our ability to generate revenue now and over the next several years will be substantially dependent on sales of Vascepa resulting from FDA approval of Vascepa for use in the MARINE indication. Accordingly, our prospects for substantially increasing future revenue from sales of Vascepa beyond what might be expected from the MARINE indication labeling alone will be substantially diminished.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9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In May 2014 we began co-promoting Vascepa in the United States with Kowa Pharmaceuticals America, Inc., or Kowa Pharmaceuticals America, under a co-promotion agreement we entered into in March 2014. Under the agreement, approximately 250 Kowa Pharmaceuticals America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84"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1480" w:right="280" w:hanging="446"/>
        <w:spacing w:after="0" w:line="259"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59" w:lineRule="exact"/>
        <w:rPr>
          <w:rFonts w:ascii="Arial" w:cs="Arial" w:eastAsia="Arial" w:hAnsi="Arial"/>
          <w:sz w:val="18"/>
          <w:szCs w:val="18"/>
          <w:color w:val="auto"/>
        </w:rPr>
      </w:pPr>
    </w:p>
    <w:p>
      <w:pPr>
        <w:ind w:left="1480" w:right="60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our recent reduction in force and regulatory events on our ability to contact potential purchasers of Vascepa in an efficient manner;</w:t>
      </w:r>
    </w:p>
    <w:p>
      <w:pPr>
        <w:spacing w:after="0" w:line="5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ind w:right="180" w:firstLine="913"/>
        <w:spacing w:after="0" w:line="290" w:lineRule="auto"/>
        <w:rPr>
          <w:sz w:val="20"/>
          <w:szCs w:val="20"/>
          <w:color w:val="auto"/>
        </w:rPr>
      </w:pPr>
      <w:r>
        <w:rPr>
          <w:rFonts w:ascii="Arial" w:cs="Arial" w:eastAsia="Arial" w:hAnsi="Arial"/>
          <w:sz w:val="16"/>
          <w:szCs w:val="16"/>
          <w:color w:val="auto"/>
        </w:rPr>
        <w:t>In addition, we believe that investors should view with caution both the results for the twelve months ended December 31, 2013 and the results for quarterly periods for the foreseeable future, as data for this limited period may not be representative of a trend consistent with the results presented or otherwise predictive of future results, especially in light of competitive developments in the market in which we operate, our interactions with FDA on potential label expansions with Vascepa, the October 2013 approximately 50% reduction in our sales force, and the March 2014 co-promotion Agreement with Kowa Pharmaceuticals America. We commenced our commercial launch of Vascepa on January 28, 2013. Accordingly, there is a very limited amount of information available at this time to determine the actual number of total prescriptions for Vascepa. We believe investors should consider our results for the twelve months ended December 31, 2013 together with results over several future quarters, or longer, before making an assessment about potential future performance.</w:t>
      </w:r>
    </w:p>
    <w:p>
      <w:pPr>
        <w:spacing w:after="0" w:line="118"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In addition to the factors identified above, seasonal fluctuations in pharmaceutical sales, for example, may affect future prescription trends of Vascepa. Prior to 2013, we recognized no revenue from Vascepa sales. In accordance with GAAP, until we had the ability to reliably estimate returns of Vascepa from its Distributors, revenue was recognized based on the resale of Vascepa for the purposes of filling patient prescriptions, and not based on sales from us to such Distributors. During the six months ended June 30, 2014, we concluded that we had developed sufficient history such that we can reliably estimate returns and as a result, began to recognize revenue based on sales to our Distributors. The change in revenue recognition methodology resulted in the recognition of previously deferred revenue. At December 31, 2013, we had deferred approximately $1.7 million in amounts billed to Distributors that was not recognized as revenue. This change in revenue recognition methodology resulted in the recognition of such deferred revenues during the six months ended June 30, 2014. We cannot assure that our revenue recognition process will consistently result in accurate financial results or that future adjustments, possibly material in scope or amount, will not occur.</w:t>
      </w:r>
    </w:p>
    <w:p>
      <w:pPr>
        <w:spacing w:after="0" w:line="12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indications and any future approved indications;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We may not be able to compete effectively against our competitors’ pharmaceutical products.</w:t>
      </w:r>
    </w:p>
    <w:p>
      <w:pPr>
        <w:spacing w:after="0" w:line="171"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right="60" w:firstLine="913"/>
        <w:spacing w:after="0" w:line="307" w:lineRule="auto"/>
        <w:rPr>
          <w:sz w:val="20"/>
          <w:szCs w:val="20"/>
          <w:color w:val="auto"/>
        </w:rPr>
      </w:pPr>
      <w:r>
        <w:rPr>
          <w:rFonts w:ascii="Arial" w:cs="Arial" w:eastAsia="Arial" w:hAnsi="Arial"/>
          <w:sz w:val="15"/>
          <w:szCs w:val="15"/>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0"/>
          <w:szCs w:val="10"/>
          <w:color w:val="auto"/>
        </w:rPr>
        <w:t>®</w:t>
      </w:r>
      <w:r>
        <w:rPr>
          <w:rFonts w:ascii="Arial" w:cs="Arial" w:eastAsia="Arial" w:hAnsi="Arial"/>
          <w:sz w:val="15"/>
          <w:szCs w:val="15"/>
          <w:color w:val="auto"/>
        </w:rPr>
        <w:t>, a prescription-only omega-3 fatty acid indicated for patients with severe hypertriglyceridemia has been on the market since 2004. As described below, generic versions of Lovaza are now available in the United States. Other large companies with competitive products include AbbVie, Inc., which currently markets Tricor</w:t>
      </w:r>
      <w:r>
        <w:rPr>
          <w:rFonts w:ascii="Arial" w:cs="Arial" w:eastAsia="Arial" w:hAnsi="Arial"/>
          <w:sz w:val="10"/>
          <w:szCs w:val="10"/>
          <w:color w:val="auto"/>
        </w:rPr>
        <w:t>®</w:t>
      </w:r>
      <w:r>
        <w:rPr>
          <w:rFonts w:ascii="Arial" w:cs="Arial" w:eastAsia="Arial" w:hAnsi="Arial"/>
          <w:sz w:val="15"/>
          <w:szCs w:val="15"/>
          <w:color w:val="auto"/>
        </w:rPr>
        <w:t xml:space="preserve"> and Trilipix</w:t>
      </w:r>
      <w:r>
        <w:rPr>
          <w:rFonts w:ascii="Arial" w:cs="Arial" w:eastAsia="Arial" w:hAnsi="Arial"/>
          <w:sz w:val="10"/>
          <w:szCs w:val="10"/>
          <w:color w:val="auto"/>
        </w:rPr>
        <w:t>®</w:t>
      </w:r>
      <w:r>
        <w:rPr>
          <w:rFonts w:ascii="Arial" w:cs="Arial" w:eastAsia="Arial" w:hAnsi="Arial"/>
          <w:sz w:val="15"/>
          <w:szCs w:val="15"/>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5"/>
          <w:szCs w:val="15"/>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0"/>
          <w:szCs w:val="10"/>
          <w:color w:val="auto"/>
        </w:rPr>
        <w:t>®</w:t>
      </w:r>
      <w:r>
        <w:rPr>
          <w:rFonts w:ascii="Arial" w:cs="Arial" w:eastAsia="Arial" w:hAnsi="Arial"/>
          <w:sz w:val="15"/>
          <w:szCs w:val="15"/>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1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In April 2014, Teva Pharmaceuticals USA Inc., or Teva, launched a generic version of Lovaza after winning its patent litigation against Pronova BioPharma Norge AS, now owned by BASF, which owns such patents rights. In June 2014, Par Pharmaceutical Inc., or Par, received FDA approval of its version of generic Lovaza. Pronova/BASF has appealed to the U.S. Supreme Court to challenge its loss in the Lovaza patent litigation against Teva and Par, which, if Pronova/BASF wins, could lead to an injunction against Teva and Par from selling generic versions of Lovaza in the United States. In addition, in March 2011, Pronova/BASF entered into an agreement with Apotex Corp. and Apotex Inc., or Apotex, to settle its patent litigation in the United States related to Lovaza. Pursuant to the terms of the settlement agreement, Pronova/BASF granted Apotex a license to enter the United States market with a generic version of Lovaza in the first quarter of 2015, or earlier depending on circumstances. Apotex must obtain FDA approval of a generic version of Lovaza before it is permitted to sell such product in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79"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reported that it is preparing to file an Investigational New Drug Application with the FDA and to conduct a human study in the first half of 2014.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171"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2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have received six paragraph IV notices notifying us of submitted ANDAs to Vascepa under the Hatch-Waxman Amendments. We are now engaged in costly litigation with the ANDA applicants to protect our patent rights. 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with the market introduction of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18"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 addition to the six paragraph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we do not plan to initiate patent litigation against the generic company that submitted the ANDA until within the 45-day period after we receive a valid paragraph IV notice from such applicant.</w:t>
      </w:r>
    </w:p>
    <w:p>
      <w:pPr>
        <w:spacing w:after="0" w:line="32"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132"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18"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NCE marketing exclusivity, not granted to Vascepa,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16"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 45 days, and Amarin may also be afforded a judicial extension if applicable requirements are met. Currently, Amarin believes its 30-month stay extends until September 2016. This three-year form of exclusivity may also not prevent the FDA from approving an NDA that relies only on its own data to support the change or innovation.</w:t>
      </w:r>
    </w:p>
    <w:p>
      <w:pPr>
        <w:spacing w:after="0" w:line="108"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44"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stay the continuation of currently pending ANDA-related patent litigation. The legal process can be costly and time-consuming and even if we are successful the remedies available to us diminish in value over time as we approach the natural expiration of the benefits associated with five-year exclusivity.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Vascepa is a prescription-only omega-3 fatty acid. Omega-3 fatty acids are also marketed by other companies as non-prescription dietary supplements.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 a result, Vascepa would be subject to non-prescription competition and consumer substitution.</w:t>
      </w:r>
    </w:p>
    <w:p>
      <w:pPr>
        <w:spacing w:after="0" w:line="165"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w:t>
      </w:r>
    </w:p>
    <w:p>
      <w:pPr>
        <w:spacing w:after="0" w:line="17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In March 2014, we entered into a co-promotion agreement with Kowa Pharmaceuticals America to co-promote Vascepa in the United States under which approximately 250 Kowa Pharmaceuticals America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71"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07"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w:t>
      </w:r>
    </w:p>
    <w:p>
      <w:pPr>
        <w:spacing w:after="0" w:line="6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advisory committee recommendation against approval of Vascepa in the ANCHOR indication, the rescission of the ANCHOR SPA agreement or any subsequent rejection of the pending FDA application with the FDA for the use of Vascepa in the ANCHOR indication.</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may, in fact, be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 indication may negatively and materially affect the perception of the utility of Vascepa for use in the ANCHOR indication or for other purposes and thus negatively and materially affect sales of Vascepa.</w:t>
      </w:r>
    </w:p>
    <w:p>
      <w:pPr>
        <w:spacing w:after="0" w:line="37"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are found to have improperly promoted off-label uses of Vascepa, we may become subject to significant fines and other liability.</w:t>
      </w:r>
    </w:p>
    <w:p>
      <w:pPr>
        <w:spacing w:after="0" w:line="140"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63"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4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published the results of an outcome study of 1 gram per day of an omega-3 acid ethyl ester composition. In that study, the composition failed to show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 and is being studied in REDUCE-IT at 4 grams per day.</w:t>
      </w:r>
    </w:p>
    <w:p>
      <w:pPr>
        <w:spacing w:after="0" w:line="124"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Second, a low dose of statins was used. It is unknown whether the positive treatment effects would have persisted if these patients had been optimally treated with statins using contemporary LDL targets in the United States. Third,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35"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1480" w:right="30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113" w:lineRule="exact"/>
        <w:rPr>
          <w:rFonts w:ascii="Arial" w:cs="Arial" w:eastAsia="Arial" w:hAnsi="Arial"/>
          <w:sz w:val="16"/>
          <w:szCs w:val="16"/>
          <w:color w:val="auto"/>
        </w:rPr>
      </w:pPr>
    </w:p>
    <w:p>
      <w:pPr>
        <w:ind w:left="1480" w:right="4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35" w:lineRule="exact"/>
        <w:rPr>
          <w:sz w:val="20"/>
          <w:szCs w:val="20"/>
          <w:color w:val="auto"/>
        </w:rPr>
      </w:pPr>
    </w:p>
    <w:p>
      <w:pPr>
        <w:ind w:left="460" w:right="640"/>
        <w:spacing w:after="0" w:line="370"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6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b w:val="1"/>
          <w:bCs w:val="1"/>
          <w:i w:val="1"/>
          <w:iCs w:val="1"/>
          <w:color w:val="auto"/>
        </w:rPr>
        <w:t>If we do not realize the expected benefits from our October 2013 worldwide reduction in our workforce and from future cost savings initiatives that we may implement, the value of our company and our assets and the market price of our ADSs could materially decline.</w:t>
      </w:r>
    </w:p>
    <w:p>
      <w:pPr>
        <w:spacing w:after="0" w:line="85"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In October 2013, we implemented a plan that reduced our worldwide workforce by approximately 50%. We cannot guarantee that we will be able to realize the cost savings and other anticipated benefits from this worldwide reduction in force. If we experience excessive unanticipated inefficiencies or incremental costs in connection with restructuring activities, such as unanticipated inefficiencies caused by reducing headcount, we may be unable to meaningfully realize cost savings and we may incur expenses in excess of what we anticipate. Either of these outcomes could prevent us from meeting our strategic objectives and could adversely affect our results of operations and financial condition.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Our supply of product for commercial supply and clinical trials is dependent upon relationships with third party manufacturers and key suppliers.</w:t>
      </w:r>
    </w:p>
    <w:p>
      <w:pPr>
        <w:spacing w:after="0" w:line="20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and use commercial supply from Chemport in addition to Nisshin. We recently terminated our agreement with BASF due to its inability to meet the agreement requirements and may enter into a new development and supply agreement with BASF and may purchase API from BASF. Each of the API manufacturers obtains supply of the key raw material to manufacture API from other third party sources of supply.</w:t>
      </w:r>
    </w:p>
    <w:p>
      <w:pPr>
        <w:spacing w:after="0" w:line="14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07"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Also, in December 2012 we announced the addition of an exclusive consortium of companies led by Slanmhor Pharmaceutical, Inc. to our planned API global supply chain for Vascepa, but we do not currently source supply from the Slanmhor consortium. Slanmhor Pharmaceutical, Inc. was spun-out from Ocean Nutrition Canada, or ONC, prior to the May 2012 acquisition of ONC by Royal DSM N.V., a global leader in life sciences and materials sciences.</w:t>
      </w:r>
    </w:p>
    <w:p>
      <w:pPr>
        <w:spacing w:after="0" w:line="8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currently rely on Patheon (formerly Banner Pharmacaps) for the encapsulation of Vascepa. We have encapsulation agreements with two other commercial API encapsulators. These companies are working to qualify their processes and to prove that the Vascepa capsules they produce meet the same quality standards as the capsules produced by Patheon.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39"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of Vascepa.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39"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8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20"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1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59"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We are dependent on patents, proprietary rights and confidentiality to protect the commercial potential of Vascepa.</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1480" w:right="64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35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1480" w:right="10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3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Our issued patents may not prevent competitors from competing with Vascepa, even if we seek to enforce our patent rights.</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plan to vigorously defend our rights under issued patents. For example, in March 2014, we filed a patent infringement suit against Omthera Pharmaceuticals, Inc., and its parent company, AstraZeneca Pharmaceuticals LP. The suit seeks injunctive relief and monetary damages for infringement of Amarin’s U.S. Patent No. 8,663,662. The complaint alleges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Amarin intends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4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132" w:lineRule="exact"/>
        <w:rPr>
          <w:sz w:val="20"/>
          <w:szCs w:val="20"/>
          <w:color w:val="auto"/>
        </w:rPr>
      </w:pPr>
    </w:p>
    <w:p>
      <w:pPr>
        <w:ind w:right="180" w:firstLine="913"/>
        <w:spacing w:after="0" w:line="314" w:lineRule="auto"/>
        <w:rPr>
          <w:sz w:val="20"/>
          <w:szCs w:val="20"/>
          <w:color w:val="auto"/>
        </w:rPr>
      </w:pPr>
      <w:r>
        <w:rPr>
          <w:rFonts w:ascii="Arial" w:cs="Arial" w:eastAsia="Arial" w:hAnsi="Arial"/>
          <w:sz w:val="15"/>
          <w:szCs w:val="15"/>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four purported class action lawsuits initiated earlier this year that generally allege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0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intend to engage in a vigorous defense of the lawsuits, and we believe that we have meritorious defenses to these claims. However, we are unable to predict the outcome of these matters at this time. Moreover, any conclusion of these matters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71"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in October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 significant portion of our sales are to wholesalers in the pharmaceutical industry. Our top three customers accounted for 96% and 94% of gross product sales for the six months ended June 30, 2014 and 2013, respectively and represented 95% and 96% of the gross accounts receivable balance as of June 30, 2014 and June 30, 2013,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7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2013, 2012, and 2011, we reported losses of approximately $166.2 million, $179.2 million, and $69.1 million, respectively, and we had an accumulated deficit at December 31, 2013 of $913.9 million. For the six months ended June 30, 2014 and 2013, we reported losses of approximately $10.7 million and $101.9 million, respectively, and we had an accumulated deficit at June 30, 2014 of $924.5 million.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71" w:lineRule="exact"/>
        <w:rPr>
          <w:sz w:val="20"/>
          <w:szCs w:val="20"/>
          <w:color w:val="auto"/>
        </w:rPr>
      </w:pPr>
    </w:p>
    <w:p>
      <w:pPr>
        <w:ind w:right="60" w:firstLine="913"/>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32"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sNDA application for the ANCHOR indication and the results of the REDUCE-IT study or post-approval studies for Vascepa;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outcomes of litigation and other legal proceedings, including recently initiated shareholder litigation, regulatory matters and tax matters;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continue the REDUCE-IT study.</w:t>
      </w:r>
    </w:p>
    <w:p>
      <w:pPr>
        <w:spacing w:after="0" w:line="90"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$150.5 million at June 30, 2014 will be sufficient to fund our projected operations for at least the next twelve months.</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1480" w:right="20" w:hanging="446"/>
        <w:spacing w:after="0" w:line="255"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and the cost and timing of securing commercial supply of Vascepa and the timing of entering into any new strategic collaboration with others relating to the commercialization of Vascepa, if at all, and the terms of any such collaboration;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 if we continue that study;</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cost associated with litigation and other legal proceedings, including recently initiated shareholder litigation and patent litigation;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140" w:firstLine="913"/>
        <w:spacing w:after="0" w:line="357" w:lineRule="auto"/>
        <w:rPr>
          <w:sz w:val="20"/>
          <w:szCs w:val="20"/>
          <w:color w:val="auto"/>
        </w:rPr>
      </w:pPr>
      <w:r>
        <w:rPr>
          <w:rFonts w:ascii="Arial" w:cs="Arial" w:eastAsia="Arial" w:hAnsi="Arial"/>
          <w:sz w:val="15"/>
          <w:szCs w:val="15"/>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ind w:left="460"/>
        <w:spacing w:after="0" w:line="259"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14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9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As of June 30, 2014, there were warrants outstanding for the purchase of up to 9,772,276 ADSs each representing one of our ordinary shares, with a weighted average exercise price of $1.41 per share. We may issue additional warrants to purchase ADSs or ordinary shares in connection with any future financing we may conduct. In addition, on January 9, 2012, we issued $150 million in aggregate principal amount of 3.50% exchangeable senior notes due 2032, or the notes. In the event of physical settlement, the notes would initially be exchangeable into a total of 49,214,841 ADS.</w:t>
      </w:r>
    </w:p>
    <w:p>
      <w:pPr>
        <w:spacing w:after="0" w:line="11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related to the commercialization of Vascepa in the United States. The consummation and performance of any such future transactions or collaborations will involve risks, such as:</w:t>
      </w:r>
    </w:p>
    <w:p>
      <w:pPr>
        <w:spacing w:after="0" w:line="62"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300" w:firstLine="913"/>
        <w:spacing w:after="0" w:line="305" w:lineRule="auto"/>
        <w:rPr>
          <w:sz w:val="20"/>
          <w:szCs w:val="20"/>
          <w:color w:val="auto"/>
        </w:rPr>
      </w:pPr>
      <w:r>
        <w:rPr>
          <w:rFonts w:ascii="Arial" w:cs="Arial" w:eastAsia="Arial" w:hAnsi="Arial"/>
          <w:sz w:val="15"/>
          <w:szCs w:val="15"/>
          <w:color w:val="auto"/>
        </w:rPr>
        <w:t>As of August 1, 2014 we had 174,598,451 common shares outstanding including 174,133,288 shares held as ADSs and 465,163 held as common shares (which are not held in the form of ADSs). In our October 2009 private placement we issued 66.4 million ADSs and warrants to purchase an additional</w:t>
      </w:r>
    </w:p>
    <w:p>
      <w:pPr>
        <w:jc w:val="both"/>
        <w:ind w:right="6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As of the date of this Quarterly Report, our ADSs are currently trading above $1.00; however, recent market activity has resulted in a decrease in our stock price, and our stock price may fall below the $1.00 threshold. 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64"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94"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We believe it prudent to assume that we were classified as a PFIC in 2012. We do not believe that we were classified as a PFIC in 2013. Our status as a PFIC is subject to change in future years.</w:t>
      </w:r>
    </w:p>
    <w:p>
      <w:pPr>
        <w:spacing w:after="0" w:line="132"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06"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4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40" w:firstLine="913"/>
        <w:spacing w:after="0" w:line="302" w:lineRule="auto"/>
        <w:rPr>
          <w:sz w:val="20"/>
          <w:szCs w:val="20"/>
          <w:color w:val="auto"/>
        </w:rPr>
      </w:pPr>
      <w:r>
        <w:rPr>
          <w:rFonts w:ascii="Arial" w:cs="Arial" w:eastAsia="Arial" w:hAnsi="Arial"/>
          <w:sz w:val="15"/>
          <w:szCs w:val="15"/>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w:t>
      </w:r>
    </w:p>
    <w:p>
      <w:pPr>
        <w:spacing w:after="0" w:line="3" w:lineRule="exact"/>
        <w:rPr>
          <w:sz w:val="20"/>
          <w:szCs w:val="20"/>
          <w:color w:val="auto"/>
        </w:rPr>
      </w:pPr>
    </w:p>
    <w:p>
      <w:pPr>
        <w:ind w:right="80" w:firstLine="8"/>
        <w:spacing w:after="0" w:line="261"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become subject to an event of bankruptcy, then BioPharma may attempt to collect the maximum amount payable by us under this agreement (after deducting any payments we have already made).</w:t>
      </w:r>
    </w:p>
    <w:p>
      <w:pPr>
        <w:spacing w:after="0" w:line="13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Our existing indebtedness consist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the Company on or after January 19, 2018 or put to us by the holders on or after January 19, 2019.</w:t>
      </w:r>
    </w:p>
    <w:p>
      <w:pPr>
        <w:spacing w:after="0" w:line="8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51" w:lineRule="exact"/>
        <w:rPr>
          <w:sz w:val="20"/>
          <w:szCs w:val="20"/>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1480" w:right="880" w:hanging="446"/>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5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32"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17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1480" w:right="260" w:hanging="446"/>
        <w:spacing w:after="0" w:line="259"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9" w:lineRule="exact"/>
        <w:rPr>
          <w:rFonts w:ascii="Arial" w:cs="Arial" w:eastAsia="Arial" w:hAnsi="Arial"/>
          <w:sz w:val="18"/>
          <w:szCs w:val="18"/>
          <w:color w:val="auto"/>
        </w:rPr>
      </w:pPr>
    </w:p>
    <w:p>
      <w:pPr>
        <w:ind w:left="1500" w:right="300"/>
        <w:spacing w:after="0" w:line="332" w:lineRule="auto"/>
        <w:rPr>
          <w:rFonts w:ascii="Arial" w:cs="Arial" w:eastAsia="Arial" w:hAnsi="Arial"/>
          <w:sz w:val="18"/>
          <w:szCs w:val="18"/>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 w:lineRule="exact"/>
        <w:rPr>
          <w:rFonts w:ascii="Arial" w:cs="Arial" w:eastAsia="Arial" w:hAnsi="Arial"/>
          <w:sz w:val="18"/>
          <w:szCs w:val="18"/>
          <w:color w:val="auto"/>
        </w:rPr>
      </w:pPr>
    </w:p>
    <w:p>
      <w:pPr>
        <w:ind w:left="1480" w:right="100" w:hanging="446"/>
        <w:spacing w:after="0" w:line="335" w:lineRule="auto"/>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 w:lineRule="exact"/>
        <w:rPr>
          <w:rFonts w:ascii="Arial" w:cs="Arial" w:eastAsia="Arial" w:hAnsi="Arial"/>
          <w:sz w:val="15"/>
          <w:szCs w:val="15"/>
          <w:color w:val="auto"/>
        </w:rPr>
      </w:pPr>
    </w:p>
    <w:p>
      <w:pPr>
        <w:ind w:left="1480" w:right="20" w:hanging="446"/>
        <w:spacing w:after="0" w:line="255"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ind w:left="1480" w:right="20" w:hanging="446"/>
        <w:spacing w:after="0" w:line="290"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37" w:lineRule="exact"/>
        <w:rPr>
          <w:rFonts w:ascii="Arial" w:cs="Arial" w:eastAsia="Arial" w:hAnsi="Arial"/>
          <w:sz w:val="16"/>
          <w:szCs w:val="16"/>
          <w:color w:val="auto"/>
        </w:rPr>
      </w:pPr>
    </w:p>
    <w:p>
      <w:pPr>
        <w:ind w:left="1480" w:hanging="446"/>
        <w:spacing w:after="0" w:line="255"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61" w:lineRule="exact"/>
        <w:rPr>
          <w:rFonts w:ascii="Arial" w:cs="Arial" w:eastAsia="Arial" w:hAnsi="Arial"/>
          <w:sz w:val="18"/>
          <w:szCs w:val="18"/>
          <w:color w:val="auto"/>
        </w:rPr>
      </w:pPr>
    </w:p>
    <w:p>
      <w:pPr>
        <w:ind w:left="1480" w:right="20" w:hanging="446"/>
        <w:spacing w:after="0" w:line="294"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3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r>
      <w:tr>
        <w:trPr>
          <w:trHeight w:val="340"/>
        </w:trPr>
        <w:tc>
          <w:tcPr>
            <w:tcW w:w="100" w:type="dxa"/>
            <w:vAlign w:val="bottom"/>
          </w:tcPr>
          <w:p>
            <w:pPr>
              <w:spacing w:after="0"/>
              <w:rPr>
                <w:sz w:val="24"/>
                <w:szCs w:val="2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5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Number</w:t>
            </w:r>
          </w:p>
        </w:tc>
        <w:tc>
          <w:tcPr>
            <w:tcW w:w="51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3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w w:val="88"/>
              </w:rPr>
              <w:t>Indenture, dated as of May 20, 2014, by and among Corsicanto Limited, the Company and Wilmington Trust, National Association, as trustee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w w:val="92"/>
              </w:rPr>
              <w:t>(incorporated herein by reference to Exhibit 4.1 to the Company’s Current Report on Form 8-K filed May 21, 2014, File No. 000-21392)</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w w:val="91"/>
              </w:rPr>
              <w:t>Certification of Chief Executive Officer (Principal Executive Officer) and President (Principal Financial Officer)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August 7, 2014</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August 7, 2014</w:t>
      </w:r>
      <w:r>
        <w:rPr>
          <w:sz w:val="20"/>
          <w:szCs w:val="20"/>
          <w:color w:val="auto"/>
        </w:rPr>
        <w:tab/>
      </w:r>
      <w:r>
        <w:rPr>
          <w:rFonts w:ascii="Arial" w:cs="Arial" w:eastAsia="Arial" w:hAnsi="Arial"/>
          <w:sz w:val="16"/>
          <w:szCs w:val="16"/>
          <w:color w:val="auto"/>
        </w:rPr>
        <w:t>/s/ 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J. Farrell</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Controller (Principal Financial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J. Farrell, Controller (Principal Financial Officer) of the Company, each hereby certifies that, to the best of his knowledge:</w:t>
      </w:r>
    </w:p>
    <w:p>
      <w:pPr>
        <w:spacing w:after="0" w:line="62" w:lineRule="exact"/>
        <w:rPr>
          <w:sz w:val="20"/>
          <w:szCs w:val="20"/>
          <w:color w:val="auto"/>
        </w:rPr>
      </w:pPr>
    </w:p>
    <w:p>
      <w:pPr>
        <w:ind w:left="460" w:right="14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2014,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August 7, 2014</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President and 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August 7, 2014</w:t>
            </w:r>
          </w:p>
        </w:tc>
        <w:tc>
          <w:tcPr>
            <w:tcW w:w="524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Controller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lowerRoman"/>
      <w:start w:val="5"/>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8"/>
    </w:lvl>
  </w:abstractNum>
  <w:abstractNum w:abstractNumId="13">
    <w:nsid w:val="2CA88611"/>
    <w:multiLevelType w:val="hybridMultilevel"/>
    <w:lvl w:ilvl="0">
      <w:lvlJc w:val="left"/>
      <w:lvlText w:val="(%1)"/>
      <w:numFmt w:val="decimal"/>
      <w:start w:val="9"/>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lvl w:ilvl="1">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Roman"/>
      <w:start w:val="3"/>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2019-12-06T07:41:03Z</dcterms:created>
  <dcterms:modified xsi:type="dcterms:W3CDTF">2019-12-06T07:41:03Z</dcterms:modified>
</cp:coreProperties>
</file>