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820" w:right="1620" w:hanging="3812"/>
        <w:spacing w:after="0" w:line="262" w:lineRule="auto"/>
        <w:tabs>
          <w:tab w:leader="none" w:pos="45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3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8th Floor, One Central Plaza,</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w w:val="99"/>
              </w:rPr>
              <w:t>Dublin 2, Co. Dublin,</w:t>
            </w:r>
          </w:p>
        </w:tc>
      </w:tr>
      <w:tr>
        <w:trPr>
          <w:trHeight w:val="214"/>
        </w:trPr>
        <w:tc>
          <w:tcPr>
            <w:tcW w:w="430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rPr>
              <w:t>Dame Street</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w w:val="98"/>
              </w:rPr>
              <w:t>D02 K7K5, Ireland</w:t>
            </w:r>
          </w:p>
        </w:tc>
      </w:tr>
      <w:tr>
        <w:trPr>
          <w:trHeight w:val="190"/>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5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12"/>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14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r>
      <w:tr>
        <w:trPr>
          <w:trHeight w:val="203"/>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twenty (20) Ordinary Shares of</w:t>
            </w:r>
          </w:p>
        </w:tc>
        <w:tc>
          <w:tcPr>
            <w:tcW w:w="214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r>
      <w:tr>
        <w:trPr>
          <w:trHeight w:val="210"/>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419,382,177 Ordinary Shares, 50 pence par value per share, were outstanding as of April 24, 2026, including 20,533,349 Ordinary Shares held as American Depositary Shares (ADSs), each representing 20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20" w:type="dxa"/>
            <w:vAlign w:val="bottom"/>
          </w:tcPr>
          <w:p>
            <w:pPr>
              <w:spacing w:after="0"/>
              <w:rPr>
                <w:sz w:val="24"/>
                <w:szCs w:val="24"/>
                <w:color w:val="auto"/>
              </w:rPr>
            </w:pPr>
          </w:p>
        </w:tc>
      </w:tr>
      <w:tr>
        <w:trPr>
          <w:trHeight w:val="34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three months ended March 31, 2026 and</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30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318"/>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00" w:type="dxa"/>
            <w:vAlign w:val="bottom"/>
            <w:tcBorders>
              <w:top w:val="single" w:sz="8" w:color="0000FF"/>
            </w:tcBorders>
            <w:gridSpan w:val="4"/>
          </w:tcPr>
          <w:p>
            <w:pPr>
              <w:spacing w:after="0"/>
              <w:rPr>
                <w:sz w:val="24"/>
                <w:szCs w:val="24"/>
                <w:color w:val="auto"/>
              </w:rPr>
            </w:pPr>
          </w:p>
        </w:tc>
        <w:tc>
          <w:tcPr>
            <w:tcW w:w="33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669"/>
        </w:trPr>
        <w:tc>
          <w:tcPr>
            <w:tcW w:w="1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134,660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183,585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626,016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179,644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196,351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211,494</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£0.50 par value per share, unlimited authorized; 435,545,639 shares issued,</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419,594,602 shares outstanding as of March 31, 2026; 429,847,579 shares issued,</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416,214,102 shares outstanding as of December 31, 2025</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314,062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310,184</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1,923,801</w:t>
            </w: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15,951,037 shares as of March 31, 2026; 13,633,477 shares as of December 31,</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(69,047)</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(67,360)</w:t>
            </w: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(1,717,856)</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(1,707,344)</w:t>
            </w:r>
          </w:p>
        </w:tc>
      </w:tr>
      <w:tr>
        <w:trPr>
          <w:trHeight w:val="209"/>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449,413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645,764</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-3411220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 net</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(11,334)</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(10,512)</w:t>
            </w:r>
          </w:p>
        </w:tc>
        <w:tc>
          <w:tcPr>
            <w:tcW w:w="9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per Ordinary Share:</w:t>
            </w:r>
          </w:p>
        </w:tc>
        <w:tc>
          <w:tcPr>
            <w:tcW w:w="2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9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9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5556250</wp:posOffset>
            </wp:positionH>
            <wp:positionV relativeFrom="paragraph">
              <wp:posOffset>-2411095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-2411095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-1854200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-1854200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-1288415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-1288415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-1005205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-1005205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429,847,579</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(13,633,477)</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310,184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1,923,801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(67,360)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(1,707,344)</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459,281</w:t>
            </w:r>
          </w:p>
        </w:tc>
        <w:tc>
          <w:tcPr>
            <w:tcW w:w="100" w:type="dxa"/>
            <w:vAlign w:val="bottom"/>
            <w:shd w:val="clear" w:color="auto" w:fill="CFF0FC"/>
          </w:tcPr>
          <w:p>
            <w:pPr>
              <w:spacing w:after="0"/>
              <w:rPr>
                <w:sz w:val="12"/>
                <w:szCs w:val="12"/>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5,698,060</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(2,317,560)</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(1,687)</w:t>
            </w: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FF0FC"/>
          </w:tcPr>
          <w:p>
            <w:pPr>
              <w:spacing w:after="0"/>
              <w:rPr>
                <w:sz w:val="12"/>
                <w:szCs w:val="12"/>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(10,512)</w:t>
            </w: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435,545,639</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(15,951,037)</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314,062</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1,922,254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(69,047)</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(1,717,856)</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449,413</w:t>
            </w:r>
          </w:p>
        </w:tc>
        <w:tc>
          <w:tcPr>
            <w:tcW w:w="100" w:type="dxa"/>
            <w:vAlign w:val="bottom"/>
            <w:shd w:val="clear" w:color="auto" w:fill="CFF0FC"/>
          </w:tcPr>
          <w:p>
            <w:pPr>
              <w:spacing w:after="0"/>
              <w:rPr>
                <w:sz w:val="15"/>
                <w:szCs w:val="15"/>
                <w:color w:val="auto"/>
              </w:rPr>
            </w:pPr>
          </w:p>
        </w:tc>
      </w:tr>
      <w:tr>
        <w:trPr>
          <w:trHeight w:val="328"/>
        </w:trPr>
        <w:tc>
          <w:tcPr>
            <w:tcW w:w="284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422,256,900</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(10,672,049)</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305,298</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1,914,750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(65,326)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(1,668,546)</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486,176</w:t>
            </w:r>
          </w:p>
        </w:tc>
        <w:tc>
          <w:tcPr>
            <w:tcW w:w="100" w:type="dxa"/>
            <w:vAlign w:val="bottom"/>
            <w:shd w:val="clear" w:color="auto" w:fill="CFF0FC"/>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4,585,679</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(1,805,341)</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w:t>
            </w: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FF0FC"/>
          </w:tcPr>
          <w:p>
            <w:pPr>
              <w:spacing w:after="0"/>
              <w:rPr>
                <w:sz w:val="12"/>
                <w:szCs w:val="12"/>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(15,697)</w:t>
            </w: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426,842,579</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(12,477,390)</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308,152</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1,916,223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(66,445)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(1,684,243)</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473,687</w:t>
            </w:r>
          </w:p>
        </w:tc>
        <w:tc>
          <w:tcPr>
            <w:tcW w:w="100" w:type="dxa"/>
            <w:vAlign w:val="bottom"/>
            <w:shd w:val="clear" w:color="auto" w:fill="CFF0FC"/>
          </w:tcPr>
          <w:p>
            <w:pPr>
              <w:spacing w:after="0"/>
              <w:rPr>
                <w:sz w:val="14"/>
                <w:szCs w:val="14"/>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-959485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-942340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-959485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-942340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-959485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-942340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-959485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-942340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-959485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-942340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-959485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-942340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(10,512)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(12,577)</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(17,541)</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(50,798)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(42,936)</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(8,298)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(1,687)</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191"/>
        </w:trPr>
        <w:tc>
          <w:tcPr>
            <w:tcW w:w="66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NET DECREASE IN CASH AND CASH EQUIVALENTS AND</w:t>
            </w:r>
          </w:p>
        </w:tc>
        <w:tc>
          <w:tcPr>
            <w:tcW w:w="3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(3,597)</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3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131,264</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-2596515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-2596515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-2031365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-2031365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-1456690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-1456690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-908050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-908050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-325120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-307975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-325120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VASCEPA, under the brand name VAZKEPA, hereinafter along with VASCEPA, collectively referred to as VASCEPA is also commercialized in various other countries throughout the world.</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and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European Medicines Agency, or EMA, core dossier.</w:t>
      </w:r>
    </w:p>
    <w:p>
      <w:pPr>
        <w:sectPr>
          <w:pgSz w:w="11900" w:h="16838" w:orient="portrait"/>
          <w:cols w:equalWidth="0" w:num="1">
            <w:col w:w="11220"/>
          </w:cols>
          <w:pgMar w:left="320" w:top="981" w:right="359" w:bottom="1440" w:gutter="0" w:footer="0" w:header="0"/>
        </w:sectPr>
      </w:pPr>
    </w:p>
    <w:p>
      <w:pPr>
        <w:spacing w:after="0" w:line="169"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VASCEPA (U.S. NDA Core Dossier)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029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9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Amarin (US)</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HLS Therapeutics Inc. "HLS" (Canada)</w:t>
      </w:r>
    </w:p>
    <w:p>
      <w:pPr>
        <w:spacing w:after="0" w:line="27" w:lineRule="exact"/>
        <w:rPr>
          <w:sz w:val="20"/>
          <w:szCs w:val="20"/>
          <w:color w:val="auto"/>
        </w:rPr>
      </w:pPr>
    </w:p>
    <w:p>
      <w:pPr>
        <w:ind w:left="180" w:right="40" w:firstLine="130"/>
        <w:spacing w:after="0" w:line="250" w:lineRule="auto"/>
        <w:rPr>
          <w:sz w:val="20"/>
          <w:szCs w:val="20"/>
          <w:color w:val="auto"/>
        </w:rPr>
      </w:pPr>
      <w:r>
        <w:rPr>
          <w:rFonts w:ascii="Times New Roman" w:cs="Times New Roman" w:eastAsia="Times New Roman" w:hAnsi="Times New Roman"/>
          <w:sz w:val="18"/>
          <w:szCs w:val="18"/>
          <w:color w:val="auto"/>
        </w:rPr>
        <w:t>Biologix FZCo "Biologix" (Middle East North Africa, or MENA) Eddingpharm (Asia) Macao Commercial Offshore Limited "Edding"</w:t>
      </w:r>
    </w:p>
    <w:p>
      <w:pPr>
        <w:spacing w:after="0" w:line="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(China Territory)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VAZKEPA (EMA Core Dossier)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7620</wp:posOffset>
            </wp:positionV>
            <wp:extent cx="7132320"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Recordati Industria Chimica e Farmaceutica S.p.A "Recordati" (Europe)</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CSL Seqirus "CSL"(Australia/New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Lotus Pharmaceuticals, "Lotus" (Southeast Asia)</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Neopharm (Israel) 1996 Ltd. "Neopharm" (Israel)</w:t>
      </w:r>
    </w:p>
    <w:p>
      <w:pPr>
        <w:spacing w:after="0" w:line="225" w:lineRule="exact"/>
        <w:rPr>
          <w:sz w:val="20"/>
          <w:szCs w:val="20"/>
          <w:color w:val="auto"/>
        </w:rPr>
      </w:pPr>
    </w:p>
    <w:p>
      <w:pPr>
        <w:sectPr>
          <w:pgSz w:w="11900" w:h="16838" w:orient="portrait"/>
          <w:cols w:equalWidth="0" w:num="2">
            <w:col w:w="5180" w:space="720"/>
            <w:col w:w="5320"/>
          </w:cols>
          <w:pgMar w:left="320" w:top="981" w:right="359" w:bottom="1440" w:gutter="0" w:footer="0" w:header="0"/>
          <w:type w:val="continuous"/>
        </w:sectPr>
      </w:pPr>
    </w:p>
    <w:p>
      <w:pPr>
        <w:ind w:left="520" w:right="660" w:hanging="3"/>
        <w:spacing w:after="0" w:line="282"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Recordati partnership, agreements with Vianex S.A "Vianex" (Greece), Magnapharm Marketing &amp; Sales Romania S.R.L. "Magnapharm" (Romania), and Salus, Veletrgovina, d.o.o, "Salus" (Slovenia) will be transitioned to Recordati.</w:t>
      </w:r>
    </w:p>
    <w:p>
      <w:pPr>
        <w:spacing w:after="0" w:line="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CV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CV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icosapent ethyl have obtained U.S. FDA approval with labeling consistent with the MARINE indication of VASCEPA and have entered the U.S. market: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7" w:name="page8"/>
    <w:bookmarkEnd w:id="7"/>
    <w:tbl>
      <w:tblPr>
        <w:tblLayout w:type="fixed"/>
        <w:tblInd w:w="58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(ANDA Holder)</w:t>
            </w:r>
          </w:p>
        </w:tc>
        <w:tc>
          <w:tcPr>
            <w:tcW w:w="100" w:type="dxa"/>
            <w:vAlign w:val="bottom"/>
          </w:tcPr>
          <w:p>
            <w:pPr>
              <w:spacing w:after="0"/>
              <w:rPr>
                <w:sz w:val="13"/>
                <w:szCs w:val="13"/>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Distributed / Licensee</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w:t>
            </w:r>
          </w:p>
        </w:tc>
        <w:tc>
          <w:tcPr>
            <w:tcW w:w="10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0" w:type="dxa"/>
            <w:vAlign w:val="bottom"/>
          </w:tcPr>
          <w:p>
            <w:pPr>
              <w:spacing w:after="0"/>
              <w:rPr>
                <w:sz w:val="1"/>
                <w:szCs w:val="1"/>
                <w:color w:val="auto"/>
              </w:rPr>
            </w:pPr>
          </w:p>
        </w:tc>
      </w:tr>
      <w:tr>
        <w:trPr>
          <w:trHeight w:val="173"/>
        </w:trPr>
        <w:tc>
          <w:tcPr>
            <w:tcW w:w="2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 Approval</w:t>
            </w: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Hikma Pharmaceuticals USA</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10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26"/>
        </w:trPr>
        <w:tc>
          <w:tcPr>
            <w:tcW w:w="2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Northstar Rx;</w:t>
            </w:r>
          </w:p>
        </w:tc>
        <w:tc>
          <w:tcPr>
            <w:tcW w:w="10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1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Bryant Ranch Pre-Pack</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10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Reddy’s Laboratories,</w:t>
            </w: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0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17"/>
                <w:szCs w:val="1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26"/>
        </w:trPr>
        <w:tc>
          <w:tcPr>
            <w:tcW w:w="2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Teva Pharmaceuticals USA,</w:t>
            </w: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AvKare</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Apotex, Inc.;</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Apotex, Inc.</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American Health Packaging;</w:t>
            </w:r>
          </w:p>
        </w:tc>
        <w:tc>
          <w:tcPr>
            <w:tcW w:w="10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2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10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26"/>
        </w:trPr>
        <w:tc>
          <w:tcPr>
            <w:tcW w:w="2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Golden State Medical</w:t>
            </w: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Supply</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Pharmaceuticals USA</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Onesource Specialty (Amneal Original</w:t>
            </w:r>
          </w:p>
        </w:tc>
        <w:tc>
          <w:tcPr>
            <w:tcW w:w="100" w:type="dxa"/>
            <w:vAlign w:val="bottom"/>
          </w:tcPr>
          <w:p>
            <w:pPr>
              <w:spacing w:after="0"/>
              <w:rPr>
                <w:sz w:val="23"/>
                <w:szCs w:val="23"/>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Amneal Pharmaceuticals</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1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62"/>
        </w:trPr>
        <w:tc>
          <w:tcPr>
            <w:tcW w:w="28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Filer)</w:t>
            </w: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Humanwell Puracap</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Camber Pharmaceuticals;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Ascent Pharmaceuticals, Inc.</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Northstar Rx;</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XL Care Pharmaceuticals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PharmaObedient (Spriaso Original</w:t>
            </w:r>
          </w:p>
        </w:tc>
        <w:tc>
          <w:tcPr>
            <w:tcW w:w="100" w:type="dxa"/>
            <w:vAlign w:val="bottom"/>
          </w:tcPr>
          <w:p>
            <w:pPr>
              <w:spacing w:after="0"/>
              <w:rPr>
                <w:sz w:val="17"/>
                <w:szCs w:val="17"/>
                <w:color w:val="auto"/>
              </w:rPr>
            </w:pPr>
          </w:p>
        </w:tc>
        <w:tc>
          <w:tcPr>
            <w:tcW w:w="214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Filer)</w:t>
            </w:r>
          </w:p>
        </w:tc>
        <w:tc>
          <w:tcPr>
            <w:tcW w:w="10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08"/>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Xiamen LP Pharma Co.</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Vitruvias Therapeutics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CV events in high-risk, statin-treated adult patients who have elevated TGs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CV disease or diabetes and at least one additional CV risk event. On April 22, 2021, the Company announced that the Medicines and Healthcare Products Regulatory Agency, or MHRA, approved VAZKEPA in England, Scotland and Wales to reduce CV risk. Collectively, CHMP, EMA, EC and MHRA are referred to herein as the European Regulatory Authorities.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June 24, 2025, the Company announced the execution of an exclusive long-term license and supply agreement with Recordati Industria Chimica e Farmaceutica S.p.A., or Recordati, to develop and commercialize VAZKEPA in 59 countries, focused in Europe.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1, 2023, the Company announced that the National Medical Products Administration, or NMPA, granted approval for VASCEPA under the MARINE indication and the Company's partner, Eddingpharm (Asia) Macao Commercial Offshore Limited, or Edding, launched commercially in October 2023. On June 28, 2024, Edding received NMPA approval for VASCEPA in Mainland China for the REDUCE-IT indication. On February 23, 2022, the Hong Kong Department of Health concluded their evaluation and approved the use of VASCEPA under the REDUCE-IT indication.</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countries where the drug is promoted and sold via collaboration with third-party partners that compensate Amarin for such supply. Amarin is not responsible for providing any generic company with drug product.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t>conjunction with the Company’s audited consolidated financial statements and notes included in its Annual Report on Form 10-K for the fiscal year ended December 31, 2025, or the Form 10-K, filed with the SEC. The balance sheet amounts in this report were derived from the Company’s audited consolidated financial statements included in the Form 10-K.</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2026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 Certain amounts in the condensed consolidated financial statements of the prior year have been reclassified to conform to current year presentation.</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as of April 11, 2025, the Company implemented an adjustment to the ratio of its American Depository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received a cash payment in lieu of such fractional ADSs. The rate for the cash payment was set when the depositary bank aggregated the fractional ADSs and sold them in one or more market trades. All references to ADSs in the accompanying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or RSUs, were proportionately adjusted.</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total assets of $645.8 million, of which $307.8 million consisted of cash and short-term investments. More specifically, the Company had current assets of $626.0 million, including cash and cash equivalents of $131.1 million, short-term investments of $176.8 million, accounts receivable, net, of $108.1 million and inventory of $183.6 million. As of March 31, 2026, the Company had no debt outstanding.</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400"/>
        <w:spacing w:after="0" w:line="266" w:lineRule="auto"/>
        <w:rPr>
          <w:sz w:val="20"/>
          <w:szCs w:val="20"/>
          <w:color w:val="auto"/>
        </w:rPr>
      </w:pPr>
      <w:r>
        <w:rPr>
          <w:rFonts w:ascii="Times New Roman" w:cs="Times New Roman" w:eastAsia="Times New Roman" w:hAnsi="Times New Roman"/>
          <w:sz w:val="18"/>
          <w:szCs w:val="18"/>
          <w:color w:val="auto"/>
        </w:rPr>
        <w:t>considered at risk or uncollectible, as well as an analysis of current receivables ageing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123,039</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144,983</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(13,958)</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(17,189)</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r>
      <w:tr>
        <w:trPr>
          <w:trHeight w:val="210"/>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108,051</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as provision for income taxes.</w:t>
      </w:r>
    </w:p>
    <w:p>
      <w:pPr>
        <w:spacing w:after="0" w:line="7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Ordinary Shares from employees are classified as cash flows from financing activities.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number of Ordinary Shares outstanding during the period. Diluted net loss per share is determined by dividing net loss by diluted weighted average number of Ordinary Shares outstanding. Diluted weighted average shares reflects the dilutive effect, if any, of potentially dilutive Ordinary Shares, such as from the exercise of stock options and vesting of restricted stock units, or RSUs, calculated using the treasury stock method. In periods with reported net operating losses, all stock options and RSUs outstanding are deemed anti-dilutive such that basic and diluted net loss per share are equal.</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Ordinary Shares and ADSs used to compute basic and diluted net loss per Ordinary Share and ADS for the three months ended March 31, 2026 and 2025 are as follows: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(10,512)</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 and diluted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Ordinary Share—basic and diluted</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ADS outstanding—basic and diluted</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per ADS—basic and diluted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following potentially dilutive securities were not included in the computation of net loss per share because the effect would be anti-dilutive or because performance criteria were not yet met for awards contingent upon such measures: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180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securities on the last day of the reporting period. RSUs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29%, 32%, and 26%, respectively, of gross product sales for the three months ended March 31, 2026, and represented 36%, 30%, and 14%, respectively, of the gross accounts receivable balance as of March 31, 2026. Customers A, B, and C accounted for 33%, 29%, and 29%, respectively, of gross product sales for the three months ended March 31, 2025, and represented 36%, 23%, and 21%, respectively, of the gross accounts receivable balance as of March 31, 2025.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March 31, 2026 and December 31, 2025, and indicate the fair value hierarchy of the valuation techniques the Company utilized to determine such fair value: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3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179,684</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179,684</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35,563</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35,563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220,247</w:t>
            </w:r>
          </w:p>
        </w:tc>
        <w:tc>
          <w:tcPr>
            <w:tcW w:w="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215,247</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168,095</w:t>
            </w:r>
          </w:p>
        </w:tc>
        <w:tc>
          <w:tcPr>
            <w:tcW w:w="260" w:type="dxa"/>
            <w:vAlign w:val="bottom"/>
          </w:tcPr>
          <w:p>
            <w:pPr>
              <w:spacing w:after="0"/>
              <w:rPr>
                <w:sz w:val="18"/>
                <w:szCs w:val="18"/>
                <w:color w:val="auto"/>
              </w:rPr>
            </w:pPr>
          </w:p>
        </w:tc>
        <w:tc>
          <w:tcPr>
            <w:tcW w:w="280" w:type="dxa"/>
            <w:vAlign w:val="bottom"/>
          </w:tcPr>
          <w:p>
            <w:pPr>
              <w:jc w:val="right"/>
              <w:ind w:right="15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168,095</w:t>
            </w:r>
          </w:p>
        </w:tc>
        <w:tc>
          <w:tcPr>
            <w:tcW w:w="12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218,472</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213,472</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-1087755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-1070610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-1087755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-1070610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-1087755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-1070610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12 months. Those with original maturities greater than 90 days and maturities less than 12 months are included in short-term investments on its condensed consolidated balance sheet.</w:t>
      </w:r>
    </w:p>
    <w:p>
      <w:pPr>
        <w:spacing w:after="0" w:line="6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2026 and 2025 was a loss of $0.1 million and a gain of $0.1 million, respectively. Interest on investments is reported in interest income in our condensed consolidated statement of operations. Interest receivable in investment securities of $1.2 million and $1.3 million as of March 31, 2026 and December 31, 2025, respectively, is reported in prepaid and other current assets in our condensed consolidated balance sheet.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A single management team that reports to the Company’s CODM, who is the Chief Executive Officer, comprehensively manages the business on an integrated basis for the purpose of allocating resources. Therefore, the Company has one operating segment. The CODM uses consolidated net income to make operating decisions, allocate resources, and evaluate financial performance of the segment, primarily by monitoring actual results compared to forecasted results, as well as by reviewing year over year results.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CODM reviews significant segment expenses for our single reportable segment. Significant segment expenses include cost of goods sold, selling expenses, general and administrative expenses, research and development expenses, payroll and payroll related expenses, non-cash stock-based compensation expense, and restructuring, all of which are presented in our condensed consolidated statements of operations. Other segment items include interest income, net, other income, net, and provision for income taxes, which are also presented in our condensed consolidated statements of operations.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CODM does not currently assess segment performance or allocate resources based on a measure of total assets nor is it practical for the Company to disaggregate assets based on geography. Accordingly, a total asset measure has not been provided for segment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profit or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5"/>
                <w:szCs w:val="15"/>
                <w:color w:val="auto"/>
              </w:rPr>
            </w:pPr>
          </w:p>
        </w:tc>
        <w:tc>
          <w:tcPr>
            <w:tcW w:w="452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9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product revenue, net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RoW product revenue, net</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5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3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 net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36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(11,334)</w:t>
            </w:r>
          </w:p>
        </w:tc>
        <w:tc>
          <w:tcPr>
            <w:tcW w:w="5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560" w:type="dxa"/>
            <w:vAlign w:val="bottom"/>
          </w:tcPr>
          <w:p>
            <w:pPr>
              <w:spacing w:after="0"/>
              <w:rPr>
                <w:sz w:val="18"/>
                <w:szCs w:val="18"/>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(8,723)</w:t>
            </w:r>
          </w:p>
        </w:tc>
        <w:tc>
          <w:tcPr>
            <w:tcW w:w="5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(1,789)</w:t>
            </w:r>
          </w:p>
        </w:tc>
        <w:tc>
          <w:tcPr>
            <w:tcW w:w="5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Segment &amp; consolidated net loss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(10,512)</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-2699385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-2416810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-2133600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-1019175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-453390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600" w:right="1220" w:firstLine="7"/>
        <w:spacing w:after="0" w:line="282"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recorded litigation settlements of $3.1 million within general and administrative expense.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June 24, 2025, the Company announced a global restructuring plan, the Global Restructuring Plan, in connection with the execution of an exclusive long-term license and supply agreement with Recordati, with the vast majority of estimated cost savings to</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ind w:right="20"/>
        <w:spacing w:after="0" w:line="258" w:lineRule="auto"/>
        <w:rPr>
          <w:sz w:val="20"/>
          <w:szCs w:val="20"/>
          <w:color w:val="auto"/>
        </w:rPr>
      </w:pPr>
      <w:r>
        <w:rPr>
          <w:rFonts w:ascii="Times New Roman" w:cs="Times New Roman" w:eastAsia="Times New Roman" w:hAnsi="Times New Roman"/>
          <w:sz w:val="18"/>
          <w:szCs w:val="18"/>
          <w:color w:val="auto"/>
        </w:rPr>
        <w:t>come from the elimination of commercial roles in the Company’s European operations. The Company anticipates that it will incur approximately $40.0 million in charges related to the Global Restructuring Plan, substantially all of which will be cash expenditures. During the three months ended March 31, 2026, the Company recognized approximately $3.3 million of restructuring expense reflected on the condensed consolidated statement of operations related to the reduction in force, substantially all of which is cash expenditures. Since inception of the Global Restructuring Plan, the Company has recognized cumulative restructuring charges of $39.6 million.</w:t>
      </w:r>
    </w:p>
    <w:p>
      <w:pPr>
        <w:spacing w:after="0" w:line="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months ended March 31, 2026 (none for the three months ended March 31, 2025):</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Pr>
          <w:p>
            <w:pPr>
              <w:spacing w:after="0"/>
              <w:rPr>
                <w:sz w:val="15"/>
                <w:szCs w:val="15"/>
                <w:color w:val="auto"/>
              </w:rPr>
            </w:pPr>
          </w:p>
        </w:tc>
        <w:tc>
          <w:tcPr>
            <w:tcW w:w="422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4120" w:type="dxa"/>
            <w:vAlign w:val="bottom"/>
            <w:tcBorders>
              <w:top w:val="single" w:sz="8" w:color="auto"/>
              <w:bottom w:val="single" w:sz="8" w:color="auto"/>
            </w:tcBorders>
          </w:tcPr>
          <w:p>
            <w:pPr>
              <w:jc w:val="right"/>
              <w:ind w:right="2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restructuring separation charges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6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620" w:type="dxa"/>
            <w:vAlign w:val="bottom"/>
            <w:tcBorders>
              <w:bottom w:val="single" w:sz="8" w:color="auto"/>
            </w:tcBorders>
            <w:shd w:val="clear" w:color="auto" w:fill="CFF0FC"/>
          </w:tcPr>
          <w:p>
            <w:pPr>
              <w:spacing w:after="0"/>
              <w:rPr>
                <w:sz w:val="21"/>
                <w:szCs w:val="21"/>
                <w:color w:val="auto"/>
              </w:rPr>
            </w:pPr>
          </w:p>
        </w:tc>
        <w:tc>
          <w:tcPr>
            <w:tcW w:w="4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 acceleration</w:t>
            </w:r>
          </w:p>
        </w:tc>
        <w:tc>
          <w:tcPr>
            <w:tcW w:w="620" w:type="dxa"/>
            <w:vAlign w:val="bottom"/>
          </w:tcPr>
          <w:p>
            <w:pPr>
              <w:spacing w:after="0"/>
              <w:rPr>
                <w:sz w:val="17"/>
                <w:szCs w:val="17"/>
                <w:color w:val="auto"/>
              </w:rPr>
            </w:pPr>
          </w:p>
        </w:tc>
        <w:tc>
          <w:tcPr>
            <w:tcW w:w="4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5"/>
                <w:szCs w:val="15"/>
                <w:color w:val="auto"/>
              </w:rPr>
            </w:pPr>
          </w:p>
        </w:tc>
        <w:tc>
          <w:tcPr>
            <w:tcW w:w="358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cash obligations incurred</w:t>
            </w:r>
          </w:p>
        </w:tc>
        <w:tc>
          <w:tcPr>
            <w:tcW w:w="74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(5,474)</w:t>
            </w:r>
          </w:p>
        </w:tc>
      </w:tr>
      <w:tr>
        <w:trPr>
          <w:trHeight w:val="210"/>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or ASU, No. 2024-03,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and subsequently ASU No.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which requires a public business entity to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in the notes to its financial statements for annual reporting periods beginning after December 15, 2026 and interim reporting periods beginning after December 15, 2027. The Company is currently evaluating the impact that the adoption of ASU 2024-03 will have on the Company’s consolidated financial statements.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provides guidance on an optional practical expedient when applying the guidance related to the estimation of expected credit losses for current accounts receivable and current contract assets resulting from transactions arising from contracts with customers. The guidance is effective for annual reporting periods beginning after December 15, 2025 and interim reporting periods within that fiscal year. The Company adopted this guidance during the current fiscal year, and the adoption did not have a material impact on the Company’s condensed consolidated financial statements.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new accounting guidance, ASU No.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which clarifies the scope and requirements for interim financial statement disclosures. The amendment creates a comprehensive list of required interim disclosures and introduces a disclosure principle requiring entities to disclose, in interim periods, any event or change since the previous year-end that has a material effect on the entity. The guidance is effective for annual reporting periods beginning after December 15, 2027, and for interim periods within that fiscal year. The Company is currently evaluating the impact of adopting this guidance.</w:t>
      </w:r>
    </w:p>
    <w:p>
      <w:pPr>
        <w:spacing w:after="0" w:line="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40"/>
        <w:spacing w:after="0" w:line="261" w:lineRule="auto"/>
        <w:rPr>
          <w:sz w:val="20"/>
          <w:szCs w:val="20"/>
          <w:color w:val="auto"/>
        </w:rPr>
      </w:pPr>
      <w:r>
        <w:rPr>
          <w:rFonts w:ascii="Times New Roman" w:cs="Times New Roman" w:eastAsia="Times New Roman" w:hAnsi="Times New Roman"/>
          <w:sz w:val="18"/>
          <w:szCs w:val="18"/>
          <w:color w:val="auto"/>
        </w:rPr>
        <w:t>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March 31, 2026, the intangible assets have an estimated weighted-average remaining useful life of 5.0 years. The carrying value as of March 31, 2026 and December 31, 2025 is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(18,716)</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March 31, 2026 and December 31, 2025 consist of the following:</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55,468</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060" w:right="1340" w:hanging="4"/>
        <w:spacing w:after="0" w:line="282" w:lineRule="auto"/>
        <w:tabs>
          <w:tab w:leader="none" w:pos="13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approximately $1.7 million of inventory was expensed through cost of goods sold due to product dating.</w:t>
      </w:r>
    </w:p>
    <w:p>
      <w:pPr>
        <w:spacing w:after="0" w:line="26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the Company provides disclosure of the possible loss or range of loss. If a reasonable estimate cannot be made, however, the Company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below, there have been no material updates to our litigation as reported in the Company’s Form 10-K.</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U.S. seeking review of the Federal Circuit decision reversing the district court. On January 16, 2026, the Supreme Court granted Hikma’s petition to review the Federal Circuit decision, and thereafter, on January 20, 2026, the District Court granted a stipulation proposed by the parties to stay the District Court proceedings pending the conclusion of Hikma’s appeal before the Supreme Court. On February 18, 2026, Hikma filed their Brief for Petitioners, Amarin filed their Brief for Respondents on March 20, 2026, and on April 13, 2026, Hikma filed their Reply Brief for Petitioners. Oral argument is scheduled for April 29, 2026.</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20"/>
        <w:spacing w:after="0" w:line="256" w:lineRule="auto"/>
        <w:rPr>
          <w:sz w:val="20"/>
          <w:szCs w:val="20"/>
          <w:color w:val="auto"/>
        </w:rPr>
      </w:pPr>
      <w:r>
        <w:rPr>
          <w:rFonts w:ascii="Times New Roman" w:cs="Times New Roman" w:eastAsia="Times New Roman" w:hAnsi="Times New Roman"/>
          <w:sz w:val="18"/>
          <w:szCs w:val="18"/>
          <w:color w:val="auto"/>
        </w:rPr>
        <w:t>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On November 26, 2025, the District Court granted Amarin's renewed motion to dismiss Karim Mikhail's first amended complaint in its entirety. On December 30, 2025, plaintiff filed a second amended complaint. In February 2026, the court issued an order granting Amarin permission to file a Motion to Dismiss, thereafter adopting a briefing schedule proposed by the parties providing Amarin with a deadline of May 20, 2026 to file such motion. The Company believes it has valid defenses and will vigorously defend against the claims but cannot predict the outcome.</w:t>
      </w:r>
    </w:p>
    <w:p>
      <w:pPr>
        <w:spacing w:after="0" w:line="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27, 2021 and February 21, 2023, Dr. Reddy’s and Hikma, respectively, filed complaints against the Company in the U.S. District Court for the District of New Jersey, Civil action No. 21-cv-10309 and No. 23-cv-01016, alleging various antitrust violations stemming from alleged anticompetitive practices related to the supply of active pharmaceutical ingredient of VASCEPA. DRL's complaint also includes a state law tortious interference claim related to the same alleged conduct. On March 28, 2024, Teva Pharmaceuticals USA, Inc., or Teva, filed a complaint against the Company in the U.S. District Court for the District of New Jersey, Civil action No. 24-cv-04341, alleging various antitrust violations analogous to those made by Dr. Reddy’s and Hikma. Further, on June 14, 2024, Apotex, Inc., or Apotex, filed a complaint against the Company in the U.S. District Court for the District of New Jersey, Civil action No. 24-cv-07041, alleging various antitrust violations analogous to those made by Dr. Reddy’s, Hikma and Teva, as well as a breach of contract claim related to the same alleged conduct. Apotex also seeks declaratory judgement regarding the applicability of a 2020 settlement agreement to its antitrust claims. In October 2024, Apotex amended its complaint to add as defendants KD Pharma-Bexbach GmbH; KD Swiss GmbH; Marine Ingredients, LLC; Innova Softgel, LLC; 03 Holding GmbH; Capiton AG. Relief sought include an unspecified amount of damages for alleged economic harm to each of Dr. Reddy’s, Hikma, Teva and Apotex, treble damages, other costs and fees and injunctive relief against the alleged violative activities. On December 9, 2025, the Company filed motions for judgment on the pleadings to dismiss the claims of Teva and Apotex, based on prior settlement agreements Amarin entered into with Teva and Apotex on May 25, 2018, and June 16, 2020, respectively, relating to generic versions of Amarin’s branded product VASCEPA. On February 2, 2026, the Court denied both motions.</w:t>
      </w:r>
    </w:p>
    <w:p>
      <w:pPr>
        <w:spacing w:after="0" w:line="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is named as a defendant in six putative antitrust class action lawsuits in the District Court for the District of New Jersey, as displayed in the table below. Each of the six antitrust putative class action lawsuits allege the Company violated federal antitrust laws by monopolizing and engaging in a conspiracy to restrain trade in the icosapent ethyl drug and API markets. The Indirect Purchaser Plaintiffs also assert related state antitrust, consumer protection, and unjust enrichment claims. The Indirect Purchaser Plaintiffs seek relief in the form of an unspecified amount of compensatory damages, treble damages, other costs and fees, restitution, and declaratory and injunctive relief against the alleged violative activities. The Direct Purchaser Plaintiff seeks treble damages and other costs and fees. On April 14, 2026, the Company agreed to a Confidential Settlement Agreement and Release with the named Indirect Purchaser Plaintiffs and the Direct Purchaser Plaintiff, together, the Purchaser Plaintiffs, wherein in exchange for a negotiated settlement payment, the Purchaser Plaintiffs will voluntarily dismiss with prejudice all pending claims against the Company. The negotiated settlement payment was recognized within selling, general and administrative expenses on the condensed consolidated statement of operations for the three months ended March 31, 2026 and within accrued expenses and other current liabilities on the condensed consolidated balance sheet as of March 31, 2026.</w:t>
      </w:r>
    </w:p>
    <w:p>
      <w:pPr>
        <w:sectPr>
          <w:pgSz w:w="11900" w:h="16838" w:orient="portrait"/>
          <w:cols w:equalWidth="0" w:num="1">
            <w:col w:w="11240"/>
          </w:cols>
          <w:pgMar w:left="320" w:top="1093" w:right="339" w:bottom="1440" w:gutter="0" w:footer="0" w:header="0"/>
        </w:sectPr>
      </w:pPr>
    </w:p>
    <w:p>
      <w:pPr>
        <w:spacing w:after="0" w:line="18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Uniformed Fire Officers Association Family Protection Plan Local 854</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Uniformed Fire Officers Association for Retired Fire Officers Family Protection Plan The International Union of Operating Engineers Locals 137, 137A, 137B, 137C, 137R KPH Healthcare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120" w:type="dxa"/>
            <w:vAlign w:val="bottom"/>
          </w:tcPr>
          <w:p>
            <w:pPr>
              <w:spacing w:after="0"/>
              <w:rPr>
                <w:sz w:val="15"/>
                <w:szCs w:val="15"/>
                <w:color w:val="auto"/>
              </w:rPr>
            </w:pP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31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21-12061</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30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21-12416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6/11/2021</w:t>
            </w: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21-12747</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6/18/2021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21-13009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6/25/2021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21-13406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7/7/2021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21-14639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8/5/2021</w:t>
            </w:r>
          </w:p>
        </w:tc>
      </w:tr>
    </w:tbl>
    <w:p>
      <w:pPr>
        <w:spacing w:after="0" w:line="251" w:lineRule="exact"/>
        <w:rPr>
          <w:sz w:val="20"/>
          <w:szCs w:val="20"/>
          <w:color w:val="auto"/>
        </w:rPr>
      </w:pPr>
    </w:p>
    <w:p>
      <w:pPr>
        <w:sectPr>
          <w:pgSz w:w="11900" w:h="16838" w:orient="portrait"/>
          <w:cols w:equalWidth="0" w:num="2">
            <w:col w:w="6240" w:space="300"/>
            <w:col w:w="4700"/>
          </w:cols>
          <w:pgMar w:left="320" w:top="1093" w:right="339" w:bottom="1440" w:gutter="0" w:footer="0" w:header="0"/>
          <w:type w:val="continuous"/>
        </w:sect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antitrust litigation can be lengthy, costly and could materially affect and disrupt the Company’s business. The Company cannot predict when these matters will be resolved, their outcome or their potential impact on the Company’s business. The Company believes it has valid defenses and will vigorously defend against the claims. If it is determined that the Company has violated antitrust law, the Company could be subject to significant civil fines and penalties.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 The Company believes it has valid defenses and will vigorously defend against the claims but cannot predict the outcome. The Company is unable to reasonably estimate the loss exposure, if any, associated with these claims.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has a total of approximately $189.0 million of future contractual purchase obligations. The Company continues to negotiate with its contract suppliers to better align its supply arrangements with current and anticipated global demand and subsequent to March 31, 2026, the Company has a total of approximately $49.8 million in future contractual purchase obligations as well as $96.0 million of future purchase obligations contingent on certain suppliers obtaining regulatory approval.</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$6.6 million as of March 31, 2026) for the potential market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since the amounts are either not paid or payable as of March 31, 2026.</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ADSs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11, 2025, the Company effected its ADS Ratio Change on its ADSs from one ADS representing one Ordinary Share, to the new ratio of one ADS representing 20 Ordinary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except as described above, the Company did not engage in any transactions involving its ADSs.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discussions of Ordinary Shares issued as a result of stock option exercises and vesting of RSUs.</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Ordinary Share activity during the three months ended March 31, 2026 and 2025,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number of Ordinary Shares underlying stock options and RSUs outstanding under the Amarin Corporation plc 2020 Stock Incentive Plan, as amended, or the 2020 Plan, as of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gridSpan w:val="2"/>
          </w:tcPr>
          <w:p>
            <w:pPr>
              <w:spacing w:after="0"/>
              <w:rPr>
                <w:sz w:val="15"/>
                <w:szCs w:val="15"/>
                <w:color w:val="auto"/>
              </w:rPr>
            </w:pPr>
          </w:p>
        </w:tc>
      </w:tr>
      <w:tr>
        <w:trPr>
          <w:trHeight w:val="21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30,820,300</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3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10,580,880</w:t>
            </w:r>
          </w:p>
        </w:tc>
        <w:tc>
          <w:tcPr>
            <w:tcW w:w="100" w:type="dxa"/>
            <w:vAlign w:val="bottom"/>
            <w:shd w:val="clear" w:color="auto" w:fill="CFF0FC"/>
          </w:tcPr>
          <w:p>
            <w:pPr>
              <w:spacing w:after="0"/>
              <w:rPr>
                <w:sz w:val="18"/>
                <w:szCs w:val="18"/>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three months ended March 31, 2026 and 2025:</w:t>
            </w:r>
          </w:p>
        </w:tc>
      </w:tr>
      <w:tr>
        <w:trPr>
          <w:trHeight w:val="540"/>
        </w:trPr>
        <w:tc>
          <w:tcPr>
            <w:tcW w:w="58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4"/>
                <w:szCs w:val="24"/>
                <w:color w:val="auto"/>
              </w:rPr>
            </w:pPr>
          </w:p>
        </w:tc>
      </w:tr>
      <w:tr>
        <w:trPr>
          <w:trHeight w:val="209"/>
        </w:trPr>
        <w:tc>
          <w:tcPr>
            <w:tcW w:w="7360" w:type="dxa"/>
            <w:vAlign w:val="bottom"/>
            <w:gridSpan w:val="2"/>
          </w:tcPr>
          <w:p>
            <w:pPr>
              <w:ind w:left="69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72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Ordinary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 xml:space="preserve">Ordinary 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Ordinary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Ordinary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5,698,060</w:t>
            </w:r>
          </w:p>
        </w:tc>
        <w:tc>
          <w:tcPr>
            <w:tcW w:w="420" w:type="dxa"/>
            <w:vAlign w:val="bottom"/>
          </w:tcPr>
          <w:p>
            <w:pPr>
              <w:spacing w:after="0"/>
              <w:rPr>
                <w:sz w:val="16"/>
                <w:szCs w:val="16"/>
                <w:color w:val="auto"/>
              </w:rPr>
            </w:pPr>
          </w:p>
        </w:tc>
        <w:tc>
          <w:tcPr>
            <w:tcW w:w="2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4,328,179</w:t>
            </w:r>
          </w:p>
        </w:tc>
      </w:tr>
      <w:tr>
        <w:trPr>
          <w:trHeight w:val="216"/>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2,317,560</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1,687,443</w:t>
            </w:r>
          </w:p>
        </w:tc>
      </w:tr>
      <w:tr>
        <w:trPr>
          <w:trHeight w:val="234"/>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257,500</w:t>
            </w:r>
          </w:p>
        </w:tc>
      </w:tr>
      <w:tr>
        <w:trPr>
          <w:trHeight w:val="324"/>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117,898</w:t>
            </w:r>
          </w:p>
        </w:tc>
      </w:tr>
    </w:tbl>
    <w:p>
      <w:pPr>
        <w:spacing w:after="0" w:line="197" w:lineRule="exact"/>
        <w:rPr>
          <w:sz w:val="20"/>
          <w:szCs w:val="20"/>
          <w:color w:val="auto"/>
        </w:rPr>
      </w:pPr>
    </w:p>
    <w:p>
      <w:pPr>
        <w:sectPr>
          <w:pgSz w:w="11900" w:h="16838" w:orient="portrait"/>
          <w:cols w:equalWidth="0" w:num="2">
            <w:col w:w="5540" w:space="300"/>
            <w:col w:w="5400"/>
          </w:cols>
          <w:pgMar w:left="320" w:top="1226" w:right="339" w:bottom="1440" w:gutter="0" w:footer="0" w:header="0"/>
          <w:type w:val="continuous"/>
        </w:sectPr>
      </w:pPr>
    </w:p>
    <w:p>
      <w:pPr>
        <w:ind w:left="5540" w:right="1860" w:hanging="5158"/>
        <w:spacing w:after="0" w:line="282" w:lineRule="auto"/>
        <w:tabs>
          <w:tab w:leader="none" w:pos="7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performance conditions during the year.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7" w:name="page18"/>
    <w:bookmarkEnd w:id="17"/>
    <w:p>
      <w:pPr>
        <w:ind w:right="160"/>
        <w:spacing w:after="0" w:line="266" w:lineRule="auto"/>
        <w:rPr>
          <w:sz w:val="20"/>
          <w:szCs w:val="20"/>
          <w:color w:val="auto"/>
        </w:rPr>
      </w:pPr>
      <w:r>
        <w:rPr>
          <w:rFonts w:ascii="Times New Roman" w:cs="Times New Roman" w:eastAsia="Times New Roman" w:hAnsi="Times New Roman"/>
          <w:sz w:val="18"/>
          <w:szCs w:val="18"/>
          <w:color w:val="auto"/>
        </w:rPr>
        <w:t>In January 2026, the Company granted RSUs for a total of 5,615,880 Ordinary Shares and stock options for a total of 5,570,420 Ordinary Shares to employees under the 2020 Plan. The RSUs vest annually over a three-year period and the stock options vest quarterly over a three-year period with a one-year cliff vesting.</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RSUs for a total of 10,646,844 Ordinary Shares and stock options for a total of 3,313,059 Ordinary Shares to employees under the 2020 Plan. The RSUs and stock options vest 50% on both January 1, 2026 and July 1, 2026, respectively.</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and commercial partners globally,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Within the U.S., 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7" w:lineRule="exact"/>
        <w:rPr>
          <w:sz w:val="20"/>
          <w:szCs w:val="20"/>
          <w:color w:val="auto"/>
        </w:rPr>
      </w:pPr>
    </w:p>
    <w:p>
      <w:pPr>
        <w:ind w:left="520" w:right="2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distribution services, such as fees for certain data that distributors provide to the Company. The payment terms for sales to distributors in the U.S. and Europe generally include a 2-3% discount for prompt payment; while the fees for U.S. and global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4" w:lineRule="exact"/>
        <w:rPr>
          <w:sz w:val="20"/>
          <w:szCs w:val="20"/>
          <w:color w:val="auto"/>
        </w:rPr>
      </w:pPr>
    </w:p>
    <w:p>
      <w:pPr>
        <w:ind w:left="520" w:right="8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has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520" w:right="40"/>
        <w:spacing w:after="0" w:line="254" w:lineRule="auto"/>
        <w:rPr>
          <w:sz w:val="20"/>
          <w:szCs w:val="20"/>
          <w:color w:val="auto"/>
        </w:rPr>
      </w:pPr>
      <w:r>
        <w:rPr>
          <w:rFonts w:ascii="Times New Roman" w:cs="Times New Roman" w:eastAsia="Times New Roman" w:hAnsi="Times New Roman"/>
          <w:sz w:val="18"/>
          <w:szCs w:val="18"/>
          <w:color w:val="auto"/>
        </w:rPr>
        <w:t>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8" w:lineRule="exact"/>
        <w:rPr>
          <w:sz w:val="20"/>
          <w:szCs w:val="20"/>
          <w:color w:val="auto"/>
        </w:rPr>
      </w:pPr>
    </w:p>
    <w:p>
      <w:pPr>
        <w:ind w:left="520"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68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17,189</w:t>
            </w: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102,257</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123,247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(108,666)</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(115,881)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(16,444)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(101,483)</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lef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(119,948)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6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13,958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87,171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16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9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97,526</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(88,769)</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(93,205)</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(105,208)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79,980</w:t>
            </w:r>
          </w:p>
        </w:tc>
        <w:tc>
          <w:tcPr>
            <w:tcW w:w="1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-2228215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-2228215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-2228215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-2228215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-2228215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-942340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-942340</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-942340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-942340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3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Royalty Payments: </w:t>
      </w:r>
      <w:r>
        <w:rPr>
          <w:rFonts w:ascii="Times New Roman" w:cs="Times New Roman" w:eastAsia="Times New Roman" w:hAnsi="Times New Roman"/>
          <w:sz w:val="18"/>
          <w:szCs w:val="18"/>
          <w:color w:val="auto"/>
        </w:rPr>
        <w:t>At the inception of each arrangement that includes royalty-based payments, the Company evaluates whether the royalties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intellectual property, in which case they are accounted for under the royalty constraint within ASC 606 and recognized when the later of the subsequent sale or usage occurs or when the performance obligations have been satisfied. If the royalties do not relate to the licensing of intellectual property, the royalties are accounted for under the variable consideration constraint within ASC 606 and are recognized in the transaction price only to the extent that it is probable that a significant reversal in the amount of cumulative revenue will not occur when the uncertainty around the variable consideration is subsequently resolved. Royalty payments that fall within the variable consideration constraint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The royalties that are considered variable consideration are recognized when the uncertainty related to the variable consideration is subsequently resolved. At the end of each subsequent reporting period, the Company reevaluates the circumstances and recognizes royalties that are no longer constrained.</w:t>
      </w:r>
    </w:p>
    <w:p>
      <w:pPr>
        <w:spacing w:after="0" w:line="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0" w:name="page21"/>
    <w:bookmarkEnd w:id="20"/>
    <w:p>
      <w:pPr>
        <w:ind w:right="480"/>
        <w:spacing w:after="0" w:line="282" w:lineRule="auto"/>
        <w:rPr>
          <w:sz w:val="20"/>
          <w:szCs w:val="20"/>
          <w:color w:val="auto"/>
        </w:rPr>
      </w:pPr>
      <w:r>
        <w:rPr>
          <w:rFonts w:ascii="Times New Roman" w:cs="Times New Roman" w:eastAsia="Times New Roman" w:hAnsi="Times New Roman"/>
          <w:sz w:val="18"/>
          <w:szCs w:val="18"/>
          <w:color w:val="auto"/>
        </w:rPr>
        <w:t>component if the expectation at contract inception is such that the period between payment by the customer and the transfer of the promised goods or services to the customer will be one year or less.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February 2026 and 2025,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49"/>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spacing w:after="0" w:line="261" w:lineRule="auto"/>
        <w:rPr>
          <w:sz w:val="20"/>
          <w:szCs w:val="20"/>
          <w:color w:val="auto"/>
        </w:rPr>
      </w:pPr>
      <w:r>
        <w:rPr>
          <w:rFonts w:ascii="Times New Roman" w:cs="Times New Roman" w:eastAsia="Times New Roman" w:hAnsi="Times New Roman"/>
          <w:sz w:val="18"/>
          <w:szCs w:val="18"/>
          <w:color w:val="auto"/>
        </w:rPr>
        <w:t>of sales-based milestone events occurs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royalties of $0.5 million and $0.4 million for the three months ended March 31, 2026 and 2025, respectively.</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$0.5 million and less than $0.1 million for the three months ended March 31, 2026 and 2025, respectively,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50"/>
        </w:trPr>
        <w:tc>
          <w:tcPr>
            <w:tcW w:w="8120" w:type="dxa"/>
            <w:vAlign w:val="bottom"/>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13,800</w:t>
            </w:r>
          </w:p>
        </w:tc>
      </w:tr>
      <w:tr>
        <w:trPr>
          <w:trHeight w:val="412"/>
        </w:trPr>
        <w:tc>
          <w:tcPr>
            <w:tcW w:w="79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FF0FC"/>
            </w:tcBorders>
          </w:tcPr>
          <w:p>
            <w:pPr>
              <w:spacing w:after="0"/>
              <w:rPr>
                <w:sz w:val="24"/>
                <w:szCs w:val="24"/>
                <w:color w:val="auto"/>
              </w:rPr>
            </w:pPr>
          </w:p>
        </w:tc>
        <w:tc>
          <w:tcPr>
            <w:tcW w:w="16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royalties of $0.7 million and $0.6 million for the three months ended March 31, 2026 and 2025, respectively.</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and milestone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$2.0 million and nil for the three months ended March 31, 2026 and 2025, respectively, related to sales to CSL.</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Recordati Industria Chimica e Farmaceutica S.p.A.</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an exclusive long-term license and supply agreement with Recordati, or the Recordati Licensing Agreement, related to the development and commercialization of VASCEPA in 59 countries focused in Europe, or the Recordati Territory. Under the terms of the Recordati Licensing Agreement, the Company granted Recordati an exclusive license with the right to sublicense development and commercialization of VASCEPA in the Recordati Territory for uses that are currently commercialized and under development by the Company based on the Company’s REDUCE-IT clinical trials of VASCEPA. The Company has received marketing authorization by the MHRA and the EMA and subsequently made VASCEPA available under individual reimbursement or received national reimbursement and launched commercial operations, which has since been licensed to Recordati, in the following countries.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 Reimbursement</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3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England/Wales/Northern Ireland</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2025</w:t>
            </w:r>
          </w:p>
        </w:tc>
        <w:tc>
          <w:tcPr>
            <w:tcW w:w="0" w:type="dxa"/>
            <w:vAlign w:val="bottom"/>
          </w:tcPr>
          <w:p>
            <w:pPr>
              <w:spacing w:after="0"/>
              <w:rPr>
                <w:sz w:val="1"/>
                <w:szCs w:val="1"/>
                <w:color w:val="auto"/>
              </w:rPr>
            </w:pPr>
          </w:p>
        </w:tc>
      </w:tr>
      <w:tr>
        <w:trPr>
          <w:trHeight w:val="216"/>
        </w:trPr>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 VAZKEPA.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 VAZKEPA.</w:t>
      </w:r>
    </w:p>
    <w:p>
      <w:pPr>
        <w:spacing w:after="0" w:line="11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Recordati, is a customer. The Company identified the following distinct performance obligation at the inception of the contract: an exclusive license to use its intellectual property; regulatory approvals; and regulatory documents in connection with the importation, distribution, promotion, marketing and sale of VASCEPA in the Recordati Territory. The Company will be responsible for supplying finished product to Recordati at a set price, as defined in the Recordati Licensing Agreement.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an upfront payment of $25.0 million, which was fully recognized during 2025. In addition to the upfront payment, the Company will be eligible to receive sales-based milestone payments and royalties on net sales of VASCEPA in the Recordati Territory. The achievement of sales-based milestone events occurs when annual aggregate net sales of VASCEPA in the Recordati Territory equals or exceeds certain specified thresholds resulting, in total payments to the Company of up to $150.0 million. Each such milestone payment will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$25.0 million upfront consideration. Any consideration related to sales-based milestones, including royalties, will be recognized when the related sales occur or uncertainty related to the consideration resolved,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$3.0 million and nil for the three months ended March 31, 2026 and 2025, respectively, related to sales to Recordati. The Company also recognized royalties of $0.6 million and nil for the three months ended March 31, 2026 and 2025, respectively.</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ind w:right="16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the Company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the Company receives certain abatements subject to the limitations in the Lease.</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paid annual rent of approximately $0.2 million for the first year following the Zug Commencement Date, and such rent increases by a nominal percentage every year following the first anniversary of the Zug Commencement Date. The Zug Lease was terminated effective December 31, 2025.</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Subsequent Dublin Lease, the Company paid annual rent of approximately $0.5 million during the duration of the lease term, which was terminated effective on February 28, 2025.</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11, 2025, the Company entered into an amended lease agreement, which amended the Subsequent Dublin Lease, for additional office space in Dublin, Ireland, or the Amended Subsequent Dublin Lease. The Amended Subsequent Dublin Lease commenced on March 1, 2025, or the Amended Subsequent Dublin Commencement Date, for a two-year period. Under the Amended Subsequent Dublin Lease, the Company will pay annual rent of approximately $0.9 million during the duration of the lease term.</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licensing agreement with Recordati, the Company had lease agreements for various automobiles with terms ranging from month-to-month up to 36 months within Europe.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$7.7 million and $8.2 million and the total operating lease right-of-use asset is $6.0 million and $6.5 million, as of March 31, 2026 and December 31, 2025,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three months ended March 31, 2026 and 2025 is $0.7 million and $0.8 million, respectively.</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5"/>
                <w:szCs w:val="15"/>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8"/>
                <w:szCs w:val="18"/>
                <w:color w:val="auto"/>
              </w:rPr>
            </w:pPr>
          </w:p>
        </w:tc>
      </w:tr>
      <w:tr>
        <w:trPr>
          <w:trHeight w:val="216"/>
        </w:trPr>
        <w:tc>
          <w:tcPr>
            <w:tcW w:w="9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9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90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9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 square feet of the 67,747 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8"/>
                <w:szCs w:val="18"/>
                <w:color w:val="auto"/>
              </w:rPr>
            </w:pPr>
          </w:p>
        </w:tc>
        <w:tc>
          <w:tcPr>
            <w:tcW w:w="1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2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2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r>
      <w:tr>
        <w:trPr>
          <w:trHeight w:val="32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 March 31, 2026 are as follows: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000" w:type="dxa"/>
            <w:vAlign w:val="bottom"/>
            <w:tcBorders>
              <w:top w:val="single" w:sz="8" w:color="auto"/>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shd w:val="clear" w:color="auto" w:fill="CFF0FC"/>
          </w:tcPr>
          <w:p>
            <w:pPr>
              <w:spacing w:after="0"/>
              <w:rPr>
                <w:sz w:val="18"/>
                <w:szCs w:val="18"/>
                <w:color w:val="auto"/>
              </w:rPr>
            </w:pPr>
          </w:p>
        </w:tc>
      </w:tr>
      <w:tr>
        <w:trPr>
          <w:trHeight w:val="432"/>
        </w:trPr>
        <w:tc>
          <w:tcPr>
            <w:tcW w:w="536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2025, or our Annual Report, and under Part II, Item IA, “Risk Factors” of this Quarterly Report.</w:t>
      </w:r>
    </w:p>
    <w:p>
      <w:pPr>
        <w:spacing w:after="0" w:line="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w:t>
      </w:r>
    </w:p>
    <w:p>
      <w:pPr>
        <w:spacing w:after="0" w:line="61"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in July 2012 for use as an adjunct to diet to reduce triglyceride, or TG, levels in adult patients with severe (≥500 mg/dL) hypertriglyceridemia, or HTG, or the MARINE indication. On December 13, 2019, the U.S. FDA approved another indication and label expansion for VASCEPA based on the results of our long-term CV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CV risk in select high risk-patients, or the REDUCE-IT indication.</w:t>
      </w:r>
    </w:p>
    <w:p>
      <w:pPr>
        <w:spacing w:after="0" w:line="9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VASCEPA, under the brand name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VASCEPA, collectively referred to as VASCEPA, in the European Union, or EU, to reduce the risk of CV events in high-risk statin-treated adult patients who have elevated TGs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CV disease or diabetes and at least one additional CV risk event. On April 22, 2021, we announced that the Medicines and Healthcare Products Regulatory Agency, or MHRA, approved VAZKEPA in England, Scotland and Wales to reduce CV risk. Collectively, Committee for Medicinal Products for Human Use, or CHMP, EMA, EC and MHRA are referred to herein as the European Regulatory Authorities.</w:t>
      </w:r>
    </w:p>
    <w:p>
      <w:pPr>
        <w:spacing w:after="0" w:line="9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and our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EMA core dossier.</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VASCEPA (U.S. NDA Core Dossier)</w:t>
            </w:r>
          </w:p>
        </w:tc>
        <w:tc>
          <w:tcPr>
            <w:tcW w:w="220" w:type="dxa"/>
            <w:vAlign w:val="bottom"/>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VAZKEPA (EMA Core Dossier)</w:t>
            </w:r>
          </w:p>
        </w:tc>
        <w:tc>
          <w:tcPr>
            <w:tcW w:w="0" w:type="dxa"/>
            <w:vAlign w:val="bottom"/>
          </w:tcPr>
          <w:p>
            <w:pPr>
              <w:spacing w:after="0"/>
              <w:rPr>
                <w:sz w:val="1"/>
                <w:szCs w:val="1"/>
                <w:color w:val="auto"/>
              </w:rPr>
            </w:pPr>
          </w:p>
        </w:tc>
      </w:tr>
      <w:tr>
        <w:trPr>
          <w:trHeight w:val="191"/>
        </w:trPr>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Amarin (US)</w:t>
            </w:r>
          </w:p>
        </w:tc>
        <w:tc>
          <w:tcPr>
            <w:tcW w:w="220" w:type="dxa"/>
            <w:vAlign w:val="bottom"/>
            <w:shd w:val="clear" w:color="auto" w:fill="CFF0FC"/>
          </w:tcPr>
          <w:p>
            <w:pPr>
              <w:spacing w:after="0"/>
              <w:rPr>
                <w:sz w:val="16"/>
                <w:szCs w:val="16"/>
                <w:color w:val="auto"/>
              </w:rPr>
            </w:pPr>
          </w:p>
        </w:tc>
        <w:tc>
          <w:tcPr>
            <w:tcW w:w="49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Recordati Industria Chimica e Farmaceutica S.p.A "Recordati"</w:t>
            </w:r>
          </w:p>
        </w:tc>
        <w:tc>
          <w:tcPr>
            <w:tcW w:w="0" w:type="dxa"/>
            <w:vAlign w:val="bottom"/>
          </w:tcPr>
          <w:p>
            <w:pPr>
              <w:spacing w:after="0"/>
              <w:rPr>
                <w:sz w:val="1"/>
                <w:szCs w:val="1"/>
                <w:color w:val="auto"/>
              </w:rPr>
            </w:pPr>
          </w:p>
        </w:tc>
      </w:tr>
      <w:tr>
        <w:trPr>
          <w:trHeight w:val="126"/>
        </w:trPr>
        <w:tc>
          <w:tcPr>
            <w:tcW w:w="49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(Europe) (1)</w:t>
            </w:r>
          </w:p>
        </w:tc>
        <w:tc>
          <w:tcPr>
            <w:tcW w:w="0" w:type="dxa"/>
            <w:vAlign w:val="bottom"/>
          </w:tcPr>
          <w:p>
            <w:pPr>
              <w:spacing w:after="0"/>
              <w:rPr>
                <w:sz w:val="1"/>
                <w:szCs w:val="1"/>
                <w:color w:val="auto"/>
              </w:rPr>
            </w:pPr>
          </w:p>
        </w:tc>
      </w:tr>
      <w:tr>
        <w:trPr>
          <w:trHeight w:val="108"/>
        </w:trPr>
        <w:tc>
          <w:tcPr>
            <w:tcW w:w="4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9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HLS Therapeutics Inc. "HLS" (Canada)</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CSL Seqirus "CSL"(Australia/New Zealand)</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Biologix FZCo "Biologix" (Middle East North Africa, or MENA)</w:t>
            </w:r>
          </w:p>
        </w:tc>
        <w:tc>
          <w:tcPr>
            <w:tcW w:w="220" w:type="dxa"/>
            <w:vAlign w:val="bottom"/>
            <w:shd w:val="clear" w:color="auto" w:fill="CFF0FC"/>
          </w:tcPr>
          <w:p>
            <w:pPr>
              <w:spacing w:after="0"/>
              <w:rPr>
                <w:sz w:val="18"/>
                <w:szCs w:val="18"/>
                <w:color w:val="auto"/>
              </w:rPr>
            </w:pPr>
          </w:p>
        </w:tc>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Lotus Pharmaceuticals, "Lotus" (Southeast Asia)</w:t>
            </w:r>
          </w:p>
        </w:tc>
        <w:tc>
          <w:tcPr>
            <w:tcW w:w="0" w:type="dxa"/>
            <w:vAlign w:val="bottom"/>
          </w:tcPr>
          <w:p>
            <w:pPr>
              <w:spacing w:after="0"/>
              <w:rPr>
                <w:sz w:val="1"/>
                <w:szCs w:val="1"/>
                <w:color w:val="auto"/>
              </w:rPr>
            </w:pPr>
          </w:p>
        </w:tc>
      </w:tr>
      <w:tr>
        <w:trPr>
          <w:trHeight w:val="198"/>
        </w:trPr>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Eddingpharm (Asia) Macao Commercial Offshore Limited</w:t>
            </w:r>
          </w:p>
        </w:tc>
        <w:tc>
          <w:tcPr>
            <w:tcW w:w="220" w:type="dxa"/>
            <w:vAlign w:val="bottom"/>
          </w:tcPr>
          <w:p>
            <w:pPr>
              <w:spacing w:after="0"/>
              <w:rPr>
                <w:sz w:val="17"/>
                <w:szCs w:val="17"/>
                <w:color w:val="auto"/>
              </w:rPr>
            </w:pPr>
          </w:p>
        </w:tc>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Neopharm (Israel) 1996 Ltd. "Neopharm" (Israel)</w:t>
            </w:r>
          </w:p>
        </w:tc>
        <w:tc>
          <w:tcPr>
            <w:tcW w:w="0" w:type="dxa"/>
            <w:vAlign w:val="bottom"/>
          </w:tcPr>
          <w:p>
            <w:pPr>
              <w:spacing w:after="0"/>
              <w:rPr>
                <w:sz w:val="1"/>
                <w:szCs w:val="1"/>
                <w:color w:val="auto"/>
              </w:rPr>
            </w:pPr>
          </w:p>
        </w:tc>
      </w:tr>
      <w:tr>
        <w:trPr>
          <w:trHeight w:val="126"/>
        </w:trPr>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"Edding" (China Territory)</w:t>
            </w:r>
          </w:p>
        </w:tc>
        <w:tc>
          <w:tcPr>
            <w:tcW w:w="2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580" w:hanging="3"/>
        <w:spacing w:after="0" w:line="282"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part of the Recordati partnership, agreements with Vianex S.A "Vianex" (Greece), Magnapharm Marketing &amp; Sales Romania S.R.L. "Magnapharm" (Romania), and Salus, Veletrgovina, d.o.o, "Salus" (Slovenia) has been transitioned to Recordati.</w:t>
      </w:r>
    </w:p>
    <w:p>
      <w:pPr>
        <w:spacing w:after="0" w:line="162" w:lineRule="exact"/>
        <w:rPr>
          <w:sz w:val="20"/>
          <w:szCs w:val="20"/>
          <w:color w:val="auto"/>
        </w:rPr>
      </w:pPr>
    </w:p>
    <w:p>
      <w:pPr>
        <w:jc w:val="both"/>
        <w:ind w:right="280" w:firstLine="509"/>
        <w:spacing w:after="0" w:line="257"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countries where the drug is promoted and sold via collaboration with third-party partners that compensate us for such supply. We are not responsible for providing any generic company with drug product. The Company operates in one business segment.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30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ectPr>
          <w:pgSz w:w="11900" w:h="16838" w:orient="portrait"/>
          <w:cols w:equalWidth="0" w:num="1">
            <w:col w:w="11200"/>
          </w:cols>
          <w:pgMar w:left="320" w:top="1238" w:right="379" w:bottom="1440" w:gutter="0" w:footer="0" w:header="0"/>
        </w:sectPr>
      </w:pP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Company (ANDA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18173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11"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Hikma Pharmaceuticals USA Inc.</w:t>
      </w: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Dr. Reddy’s Laboratories, Inc.</w:t>
      </w:r>
    </w:p>
    <w:p>
      <w:pPr>
        <w:spacing w:after="0" w:line="33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Teva Pharmaceuticals USA, Inc.</w:t>
      </w:r>
    </w:p>
    <w:p>
      <w:pPr>
        <w:spacing w:after="0" w:line="200" w:lineRule="exact"/>
        <w:rPr>
          <w:sz w:val="20"/>
          <w:szCs w:val="20"/>
          <w:color w:val="auto"/>
        </w:rPr>
      </w:pP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Apotex, Inc.</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Zydus Lifesciences</w:t>
      </w:r>
    </w:p>
    <w:p>
      <w:pPr>
        <w:spacing w:after="0" w:line="27" w:lineRule="exact"/>
        <w:rPr>
          <w:sz w:val="20"/>
          <w:szCs w:val="20"/>
          <w:color w:val="auto"/>
        </w:rPr>
      </w:pPr>
    </w:p>
    <w:p>
      <w:pPr>
        <w:ind w:left="580"/>
        <w:spacing w:after="0" w:line="250" w:lineRule="auto"/>
        <w:rPr>
          <w:sz w:val="20"/>
          <w:szCs w:val="20"/>
          <w:color w:val="auto"/>
        </w:rPr>
      </w:pPr>
      <w:r>
        <w:rPr>
          <w:rFonts w:ascii="Times New Roman" w:cs="Times New Roman" w:eastAsia="Times New Roman" w:hAnsi="Times New Roman"/>
          <w:sz w:val="18"/>
          <w:szCs w:val="18"/>
          <w:color w:val="auto"/>
        </w:rPr>
        <w:t>Onesource Specialty (Amneal Original Filer)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Humanwell Puracap</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Ascent Pharmaceuticals, Inc.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Qilu Pharmaceutical Co Ltd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PharmaObedient (Spriaso Original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Xiamen LP Pharma Co.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Distributed /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7620</wp:posOffset>
            </wp:positionV>
            <wp:extent cx="6412230" cy="557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Hikma Pharmaceuticals USA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Ranch Pre-Pack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Reddy’s Laboratories,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411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122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Teva Pharmaceuticals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AvKare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Apotex,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Health Packaging;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State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Zydus Pharmaceuticals USA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Amneal 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Camber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 Care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Vitruvias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w:t>
            </w:r>
          </w:p>
        </w:tc>
        <w:tc>
          <w:tcPr>
            <w:tcW w:w="10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 Approval</w:t>
            </w: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64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75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0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380" w:space="160"/>
            <w:col w:w="2120" w:space="120"/>
            <w:col w:w="5420"/>
          </w:cols>
          <w:pgMar w:left="320" w:top="1238" w:right="379" w:bottom="1440" w:gutter="0" w:footer="0" w:header="0"/>
          <w:type w:val="continuous"/>
        </w:sectPr>
      </w:pPr>
    </w:p>
    <w:p>
      <w:pPr>
        <w:spacing w:after="0" w:line="21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 in the U.S.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706120</wp:posOffset>
            </wp:positionV>
            <wp:extent cx="4440555" cy="2194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Partnerships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We and our partners have obtained varying levels of indication approvals and initiated or are in the process of initiating commercial launches in various territories where our partners have access. We and our partners continue to seek additional regulatory approvals in the countries in which our partners operate. We have agreements in place with the following partners within the respective territories: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 Date</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MARINE Approval</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REDUCE-IT Approval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Launch Date</w:t>
            </w:r>
          </w:p>
        </w:tc>
        <w:tc>
          <w:tcPr>
            <w:tcW w:w="0" w:type="dxa"/>
            <w:vAlign w:val="bottom"/>
          </w:tcPr>
          <w:p>
            <w:pPr>
              <w:spacing w:after="0"/>
              <w:rPr>
                <w:sz w:val="1"/>
                <w:szCs w:val="1"/>
                <w:color w:val="auto"/>
              </w:rPr>
            </w:pPr>
          </w:p>
        </w:tc>
      </w:tr>
      <w:tr>
        <w:trPr>
          <w:trHeight w:val="210"/>
        </w:trPr>
        <w:tc>
          <w:tcPr>
            <w:tcW w:w="1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Edding </w:t>
            </w:r>
            <w:r>
              <w:rPr>
                <w:rFonts w:ascii="Times New Roman" w:cs="Times New Roman" w:eastAsia="Times New Roman" w:hAnsi="Times New Roman"/>
                <w:sz w:val="24"/>
                <w:szCs w:val="24"/>
                <w:color w:val="auto"/>
                <w:w w:val="93"/>
                <w:vertAlign w:val="superscript"/>
              </w:rPr>
              <w:t>(1)</w:t>
            </w:r>
          </w:p>
        </w:tc>
        <w:tc>
          <w:tcPr>
            <w:tcW w:w="100" w:type="dxa"/>
            <w:vAlign w:val="bottom"/>
            <w:vMerge w:val="restart"/>
            <w:shd w:val="clear" w:color="auto" w:fill="CFF0FC"/>
          </w:tcPr>
          <w:p>
            <w:pPr>
              <w:spacing w:after="0"/>
              <w:rPr>
                <w:sz w:val="18"/>
                <w:szCs w:val="18"/>
                <w:color w:val="auto"/>
              </w:rPr>
            </w:pPr>
          </w:p>
        </w:tc>
        <w:tc>
          <w:tcPr>
            <w:tcW w:w="180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2015</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Mainland China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CFF0FC"/>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800" w:type="dxa"/>
            <w:vAlign w:val="bottom"/>
            <w:tcBorders>
              <w:bottom w:val="single" w:sz="8" w:color="CFF0FC"/>
            </w:tcBorders>
            <w:gridSpan w:val="2"/>
            <w:vMerge w:val="continue"/>
            <w:shd w:val="clear" w:color="auto" w:fill="CFF0FC"/>
          </w:tcPr>
          <w:p>
            <w:pPr>
              <w:spacing w:after="0"/>
              <w:rPr>
                <w:sz w:val="17"/>
                <w:szCs w:val="17"/>
                <w:color w:val="auto"/>
              </w:rPr>
            </w:pPr>
          </w:p>
        </w:tc>
        <w:tc>
          <w:tcPr>
            <w:tcW w:w="188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February 2023</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Lebanon</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2018</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2021</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2018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0" w:type="dxa"/>
            <w:vAlign w:val="bottom"/>
          </w:tcPr>
          <w:p>
            <w:pPr>
              <w:spacing w:after="0"/>
              <w:rPr>
                <w:sz w:val="1"/>
                <w:szCs w:val="1"/>
                <w:color w:val="auto"/>
              </w:rPr>
            </w:pPr>
          </w:p>
        </w:tc>
      </w:tr>
      <w:tr>
        <w:trPr>
          <w:trHeight w:val="288"/>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Biologix </w:t>
            </w:r>
            <w:r>
              <w:rPr>
                <w:rFonts w:ascii="Times New Roman" w:cs="Times New Roman" w:eastAsia="Times New Roman" w:hAnsi="Times New Roman"/>
                <w:sz w:val="24"/>
                <w:szCs w:val="24"/>
                <w:color w:val="auto"/>
                <w:w w:val="95"/>
                <w:vertAlign w:val="superscript"/>
              </w:rPr>
              <w:t>(2)</w:t>
            </w:r>
          </w:p>
        </w:tc>
        <w:tc>
          <w:tcPr>
            <w:tcW w:w="1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2016</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Qatar</w:t>
            </w:r>
          </w:p>
        </w:tc>
        <w:tc>
          <w:tcPr>
            <w:tcW w:w="1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Bahrain</w:t>
            </w:r>
          </w:p>
        </w:tc>
        <w:tc>
          <w:tcPr>
            <w:tcW w:w="12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2021</w:t>
            </w:r>
          </w:p>
        </w:tc>
        <w:tc>
          <w:tcPr>
            <w:tcW w:w="120" w:type="dxa"/>
            <w:vAlign w:val="bottom"/>
          </w:tcPr>
          <w:p>
            <w:pPr>
              <w:spacing w:after="0"/>
              <w:rPr>
                <w:sz w:val="12"/>
                <w:szCs w:val="12"/>
                <w:color w:val="auto"/>
              </w:rPr>
            </w:pP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2022</w:t>
            </w:r>
          </w:p>
        </w:tc>
        <w:tc>
          <w:tcPr>
            <w:tcW w:w="120" w:type="dxa"/>
            <w:vAlign w:val="bottom"/>
          </w:tcPr>
          <w:p>
            <w:pPr>
              <w:spacing w:after="0"/>
              <w:rPr>
                <w:sz w:val="12"/>
                <w:szCs w:val="12"/>
                <w:color w:val="auto"/>
              </w:rPr>
            </w:pPr>
          </w:p>
        </w:tc>
        <w:tc>
          <w:tcPr>
            <w:tcW w:w="16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September 2023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Kuwait</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HLS</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2017</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19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CSL</w:t>
            </w:r>
          </w:p>
        </w:tc>
        <w:tc>
          <w:tcPr>
            <w:tcW w:w="100" w:type="dxa"/>
            <w:vAlign w:val="bottom"/>
          </w:tcPr>
          <w:p>
            <w:pPr>
              <w:spacing w:after="0"/>
              <w:rPr>
                <w:sz w:val="17"/>
                <w:szCs w:val="17"/>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2023</w:t>
            </w: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 2022</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20" w:type="dxa"/>
            <w:vAlign w:val="bottom"/>
          </w:tcPr>
          <w:p>
            <w:pPr>
              <w:spacing w:after="0"/>
              <w:rPr>
                <w:sz w:val="10"/>
                <w:szCs w:val="10"/>
                <w:color w:val="auto"/>
              </w:rPr>
            </w:pPr>
          </w:p>
        </w:tc>
        <w:tc>
          <w:tcPr>
            <w:tcW w:w="1600" w:type="dxa"/>
            <w:vAlign w:val="bottom"/>
            <w:vMerge w:val="restart"/>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Neopharm </w:t>
            </w:r>
            <w:r>
              <w:rPr>
                <w:rFonts w:ascii="Times New Roman" w:cs="Times New Roman" w:eastAsia="Times New Roman" w:hAnsi="Times New Roman"/>
                <w:sz w:val="24"/>
                <w:szCs w:val="24"/>
                <w:color w:val="auto"/>
                <w:w w:val="96"/>
                <w:vertAlign w:val="superscript"/>
              </w:rPr>
              <w:t>(3)</w:t>
            </w: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270"/>
        </w:trPr>
        <w:tc>
          <w:tcPr>
            <w:tcW w:w="15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3"/>
              </w:rPr>
              <w:t xml:space="preserve">Lotus </w:t>
            </w:r>
            <w:r>
              <w:rPr>
                <w:rFonts w:ascii="Times New Roman" w:cs="Times New Roman" w:eastAsia="Times New Roman" w:hAnsi="Times New Roman"/>
                <w:sz w:val="24"/>
                <w:szCs w:val="24"/>
                <w:color w:val="auto"/>
                <w:w w:val="93"/>
                <w:vertAlign w:val="superscript"/>
              </w:rPr>
              <w:t>(4)</w:t>
            </w:r>
          </w:p>
        </w:tc>
        <w:tc>
          <w:tcPr>
            <w:tcW w:w="100" w:type="dxa"/>
            <w:vAlign w:val="bottom"/>
          </w:tcPr>
          <w:p>
            <w:pPr>
              <w:spacing w:after="0"/>
              <w:rPr>
                <w:sz w:val="23"/>
                <w:szCs w:val="2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2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120" w:type="dxa"/>
            <w:vAlign w:val="bottom"/>
          </w:tcPr>
          <w:p>
            <w:pPr>
              <w:spacing w:after="0"/>
              <w:rPr>
                <w:sz w:val="23"/>
                <w:szCs w:val="23"/>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Singapore</w:t>
            </w:r>
          </w:p>
        </w:tc>
        <w:tc>
          <w:tcPr>
            <w:tcW w:w="120" w:type="dxa"/>
            <w:vAlign w:val="bottom"/>
          </w:tcPr>
          <w:p>
            <w:pPr>
              <w:spacing w:after="0"/>
              <w:rPr>
                <w:sz w:val="9"/>
                <w:szCs w:val="9"/>
                <w:color w:val="auto"/>
              </w:rPr>
            </w:pPr>
          </w:p>
        </w:tc>
        <w:tc>
          <w:tcPr>
            <w:tcW w:w="1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1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December 2025</w:t>
            </w:r>
          </w:p>
        </w:tc>
        <w:tc>
          <w:tcPr>
            <w:tcW w:w="120" w:type="dxa"/>
            <w:vAlign w:val="bottom"/>
          </w:tcPr>
          <w:p>
            <w:pPr>
              <w:spacing w:after="0"/>
              <w:rPr>
                <w:sz w:val="9"/>
                <w:szCs w:val="9"/>
                <w:color w:val="auto"/>
              </w:rPr>
            </w:pPr>
          </w:p>
        </w:tc>
        <w:tc>
          <w:tcPr>
            <w:tcW w:w="1600" w:type="dxa"/>
            <w:vAlign w:val="bottom"/>
          </w:tcPr>
          <w:p>
            <w:pPr>
              <w:jc w:val="right"/>
              <w:ind w:right="673"/>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8"/>
        </w:trPr>
        <w:tc>
          <w:tcPr>
            <w:tcW w:w="154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Recordati </w:t>
            </w:r>
            <w:r>
              <w:rPr>
                <w:rFonts w:ascii="Times New Roman" w:cs="Times New Roman" w:eastAsia="Times New Roman" w:hAnsi="Times New Roman"/>
                <w:sz w:val="24"/>
                <w:szCs w:val="24"/>
                <w:color w:val="auto"/>
                <w:w w:val="94"/>
                <w:vertAlign w:val="superscript"/>
              </w:rPr>
              <w:t>(5)</w:t>
            </w:r>
          </w:p>
        </w:tc>
        <w:tc>
          <w:tcPr>
            <w:tcW w:w="100" w:type="dxa"/>
            <w:vAlign w:val="bottom"/>
          </w:tcPr>
          <w:p>
            <w:pPr>
              <w:spacing w:after="0"/>
              <w:rPr>
                <w:sz w:val="23"/>
                <w:szCs w:val="2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2025</w:t>
            </w:r>
          </w:p>
        </w:tc>
        <w:tc>
          <w:tcPr>
            <w:tcW w:w="188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Europe </w:t>
            </w:r>
            <w:r>
              <w:rPr>
                <w:rFonts w:ascii="Times New Roman" w:cs="Times New Roman" w:eastAsia="Times New Roman" w:hAnsi="Times New Roman"/>
                <w:sz w:val="24"/>
                <w:szCs w:val="24"/>
                <w:color w:val="auto"/>
                <w:w w:val="93"/>
                <w:vertAlign w:val="superscript"/>
              </w:rPr>
              <w:t>(6)</w:t>
            </w:r>
          </w:p>
        </w:tc>
        <w:tc>
          <w:tcPr>
            <w:tcW w:w="12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2021</w:t>
            </w:r>
          </w:p>
        </w:tc>
        <w:tc>
          <w:tcPr>
            <w:tcW w:w="1720" w:type="dxa"/>
            <w:vAlign w:val="bottom"/>
            <w:gridSpan w:val="2"/>
          </w:tcPr>
          <w:p>
            <w:pPr>
              <w:jc w:val="right"/>
              <w:ind w:right="6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Macau and Taiwan in the China Territory with Edding.</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MENA region with Biologix.</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Israel territory with Neopharm.</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ASEAN region with Lotus.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59 countries focused in Europe with Recordati.</w:t>
      </w:r>
    </w:p>
    <w:p>
      <w:pPr>
        <w:spacing w:after="0" w:line="117" w:lineRule="exact"/>
        <w:rPr>
          <w:rFonts w:ascii="Times New Roman" w:cs="Times New Roman" w:eastAsia="Times New Roman" w:hAnsi="Times New Roman"/>
          <w:sz w:val="18"/>
          <w:szCs w:val="18"/>
          <w:color w:val="auto"/>
        </w:rPr>
      </w:pPr>
    </w:p>
    <w:p>
      <w:pPr>
        <w:ind w:left="5540" w:right="3940" w:hanging="5023"/>
        <w:spacing w:after="0" w:line="282" w:lineRule="auto"/>
        <w:tabs>
          <w:tab w:leader="none" w:pos="7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table below for listing of European countries with VAZKEPA currently available.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 with 10 years of market protection, and in April 2024, we were issued a patent that extended our exclusivity to 2039.</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2025, we entered into an exclusive long-term license and supply agreement with Recordati, or the Recordati Licensing Agreement, related to the development and commercialization of VAZKEPA in 59 countries focused in Europe, or the Recordati Territory. As a result of the Recordati Licensing Agreement, Recordati is solely responsible for commercializing VAZKEPA in the Recordati Territory. Recordati may sell VAZKEPA pursuant to the product reimbursements we have already obtained in Europe, as shown below, and the agreements with existing partners in the Recordati Territory being transitioned to Recordati. In addition, Recordati will use commercially reasonable efforts to pursue future product reimbursements and approvals in the Recordati Territory.</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England/Wales/Northern Ireland</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16"/>
        </w:trPr>
        <w:tc>
          <w:tcPr>
            <w:tcW w:w="3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in Switzerland under individual reimbursement since January 2023.</w:t>
      </w:r>
    </w:p>
    <w:p>
      <w:pPr>
        <w:spacing w:after="0" w:line="54"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We are responsible for supplying finished product to these partners. We continue to assess other potential partnership opportunities for VASCEPA with companies with the intention of partnering in all other international markets where VASCEPA receives local regulatory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CV outcomes study of VASCEPA has been the centerpiece of our research and development. We also continue to study the potential mechanisms of action of the single active ingredient in VASCEPA, icosapent ethyl, or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70 clinical treatment guidelines, consensus statements or scientific statements from global medical or scientific societies or within peer reviewed journals have recognized the use of icosapent ethyl, or IPE, in appropriate at-risk patients for CV risk reductions, including those statements which we were informed of by our global partners as well as guidelines which were newly received during the first quarter of 2026 as listed below:</w:t>
      </w:r>
    </w:p>
    <w:p>
      <w:pPr>
        <w:spacing w:after="0" w:line="180" w:lineRule="exact"/>
        <w:rPr>
          <w:sz w:val="20"/>
          <w:szCs w:val="20"/>
          <w:color w:val="auto"/>
        </w:rPr>
      </w:pPr>
    </w:p>
    <w:p>
      <w:pPr>
        <w:jc w:val="both"/>
        <w:ind w:left="1020" w:right="46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American Diabetes Association, or ADA, released guidelines on Cardiovascular Disease and Risk Management in Standards of Care in Diabetes that stated that in individuals with Atherosclerotic Cardiovascular Disease, or ASCVD, or other CV risk factors on a statin with managed LDL-C but elevated TG (150–499 mg/dL [1.7–5.6 mmol/L]), the addition of IPE can be considered to reduce CV risk.</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Egyptian Heart Journal published the 2025 Egyptian guidelines for the management of dyslipidemia stating that LDL-C-lowering therapies reduce ASCVD risk regardless of TG level and in statin-treated patients with TG 135–499 mg/dL, IPE (2 g twice daily) is recommended.</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American College of Cardiology/American Heart Association/Multi-society Dyslipidemia Guidelines were released. These guidelines recognize that elevated TG levels contribute meaningfully to CV disease burden and</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left="1020"/>
        <w:spacing w:after="0" w:line="266" w:lineRule="auto"/>
        <w:rPr>
          <w:sz w:val="20"/>
          <w:szCs w:val="20"/>
          <w:color w:val="auto"/>
        </w:rPr>
      </w:pPr>
      <w:r>
        <w:rPr>
          <w:rFonts w:ascii="Times New Roman" w:cs="Times New Roman" w:eastAsia="Times New Roman" w:hAnsi="Times New Roman"/>
          <w:sz w:val="18"/>
          <w:szCs w:val="18"/>
          <w:color w:val="auto"/>
        </w:rPr>
        <w:t>ongoing CV events even in patients achieving LDL-C targets, underscoring the need for complementary therapeutic approaches beyond statin monotherapy to further reduce risk in high and very high-risk populations. IPE is the only primary TG-lowering medication that reduces ASCVD event risk in combination with statin therapy.</w:t>
      </w:r>
    </w:p>
    <w:p>
      <w:pPr>
        <w:spacing w:after="0" w:line="68" w:lineRule="exact"/>
        <w:rPr>
          <w:sz w:val="20"/>
          <w:szCs w:val="20"/>
          <w:color w:val="auto"/>
        </w:rPr>
      </w:pPr>
    </w:p>
    <w:p>
      <w:pPr>
        <w:ind w:left="1020" w:right="10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ESC Council on Basic Cardiovascular Science, or CBCS, and associated working groups, released a scientific statement on novel CV metabolic risk factor mechanisms and therapeutic opportunities, in the European Heart Journal. The statement noted that not only does IPE cause substantial declines in TG levels, but also reduced CV events compared to placebo. The beneficial CV effects of IPE eicosapentaenoic acid ethyl ester or EPA-E, extended beyond TG level reduction, suggesting additional CV benefits of this class. IPE also promotes plaque stabilization in patients with documented coronary atherosclerosis likely by modulating inflammation, oxidative stress, and endothelial function.</w:t>
      </w:r>
    </w:p>
    <w:p>
      <w:pPr>
        <w:spacing w:after="0" w:line="79"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Polish Diabetes Association released, Clinical Recommendations on the Management of Individuals with Diabetes – 2026 Position Statement of Diabetes Poland, in Current Topics of Diabetes, the Official Journal of the Diabetes Poland. The recommendations stated that for individuals with HTG (TG: 135–499 mg/dl; 1.52–5.6 mmol/l), the use of high-dose EPA (2 g twice daily) in combination with a statin may be considered.</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January 2026, at the LS2 Cardiovascular Research meeting in Bern, Switzerland, we provided support to global collaborators for a poster presentation from within the REDUCE-IT dataset as well as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highlighting the potential anti-coagulant effects of IPE through suppression of tissue factor.</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2026, at the American College of Cardiology, or ACC, meeting in New Orleans, LA, USA, we provided support to global collaborators for two presentations, one poster and one oral. The poster presentation reported the inhibitory actions of EPA on the rate of Lipoprotein(a), or Lp(a), oxidation. The oral presentation looked at a secondary analysis of the REDUCE-IT dataset highlighting the efficacy of IPE among patients at extreme CV risk.</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and global medical and scientific collaborators supported a total of 6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in the U.S.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We continue to negotiate with our contract suppliers to align our supply arrangements with current and future global market demand. As of March 31, 2026, we had inventory of $183.6 million, of which 35% is inventory approved for use in North America.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w:t>
      </w:r>
    </w:p>
    <w:p>
      <w:pPr>
        <w:spacing w:after="0" w:line="212"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when the uncertainty related to the consideration is resolved.</w:t>
      </w:r>
    </w:p>
    <w:p>
      <w:pPr>
        <w:spacing w:after="0" w:line="21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10" w:lineRule="exact"/>
        <w:rPr>
          <w:sz w:val="20"/>
          <w:szCs w:val="20"/>
          <w:color w:val="auto"/>
        </w:rPr>
      </w:pPr>
    </w:p>
    <w:p>
      <w:pPr>
        <w:jc w:val="both"/>
        <w:ind w:right="5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2025 Global Restructuring Plan, which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severance pay, incentive compensation, insurance benefits, stock-based compensation and other contract related costs.</w:t>
      </w:r>
    </w:p>
    <w:p>
      <w:pPr>
        <w:spacing w:after="0" w:line="185"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investments. Other income (expense), net, consists of foreign exchange losses and gains as well as sublease income.</w:t>
      </w:r>
    </w:p>
    <w:p>
      <w:pPr>
        <w:spacing w:after="0" w:line="18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from (provision for) income taxes. </w:t>
      </w:r>
      <w:r>
        <w:rPr>
          <w:rFonts w:ascii="Times New Roman" w:cs="Times New Roman" w:eastAsia="Times New Roman" w:hAnsi="Times New Roman"/>
          <w:sz w:val="18"/>
          <w:szCs w:val="18"/>
          <w:color w:val="auto"/>
        </w:rPr>
        <w:t>Income tax provision,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 in both the U.S. and foreign jurisdictions. In applying guidance prescribed under ASC 740 and based on present evidence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180"/>
        <w:spacing w:after="0" w:line="282" w:lineRule="auto"/>
        <w:rPr>
          <w:sz w:val="20"/>
          <w:szCs w:val="20"/>
          <w:color w:val="auto"/>
        </w:rPr>
      </w:pPr>
      <w:r>
        <w:rPr>
          <w:rFonts w:ascii="Times New Roman" w:cs="Times New Roman" w:eastAsia="Times New Roman" w:hAnsi="Times New Roman"/>
          <w:sz w:val="18"/>
          <w:szCs w:val="18"/>
          <w:color w:val="auto"/>
        </w:rPr>
        <w:t>conclusions around the realizability of deferred tax assets, we determined that any tax benefit related to the pretax losses generated for 2026 and 2025 are not more likely than not to be realized.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March 31, 2025</w:t>
      </w:r>
    </w:p>
    <w:p>
      <w:pPr>
        <w:spacing w:after="0" w:line="2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$45.1 million and $42.0 million during the three months ended March 31,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$3.1 million, or 7%. Total revenue, net, consists primarily of revenue from the sale of VASCEPA in the U.S. In addition to the U.S., during the three months ending March 31, 2026, we also sold VASCEPA by prescription in certain countries outside of the U.S. through collaborations with third-party companies. As further discussed below, the aforementioned increase is due primarily to a $2.3 million increase in net product revenue outside of the U.S and a $0.8 million increase in licensing and royalty revenue.</w:t>
      </w:r>
    </w:p>
    <w:p>
      <w:pPr>
        <w:spacing w:after="0" w:line="210" w:lineRule="exact"/>
        <w:rPr>
          <w:sz w:val="20"/>
          <w:szCs w:val="20"/>
          <w:color w:val="auto"/>
        </w:rPr>
      </w:pPr>
    </w:p>
    <w:p>
      <w:pPr>
        <w:ind w:right="36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$43.3 million and $41.0 million during the three months ended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an increase of $2.3 million, or 6%. This increase was due primarily to an increase in VASCEPA sales outside the U.S.</w:t>
      </w:r>
    </w:p>
    <w:p>
      <w:pPr>
        <w:spacing w:after="0" w:line="52" w:lineRule="exact"/>
        <w:rPr>
          <w:sz w:val="20"/>
          <w:szCs w:val="20"/>
          <w:color w:val="auto"/>
        </w:rPr>
      </w:pPr>
    </w:p>
    <w:p>
      <w:pPr>
        <w:ind w:right="200" w:firstLine="539"/>
        <w:spacing w:after="0" w:line="282" w:lineRule="auto"/>
        <w:rPr>
          <w:sz w:val="20"/>
          <w:szCs w:val="20"/>
          <w:color w:val="auto"/>
        </w:rPr>
      </w:pPr>
      <w:r>
        <w:rPr>
          <w:rFonts w:ascii="Times New Roman" w:cs="Times New Roman" w:eastAsia="Times New Roman" w:hAnsi="Times New Roman"/>
          <w:sz w:val="18"/>
          <w:szCs w:val="18"/>
          <w:color w:val="auto"/>
        </w:rPr>
        <w:t>U.S. product revenue, net, remained consistent at $35.6 million during the three months ended March 31, 2026, compared to $35.7 million for the during the three months ended March 31, 2025.</w:t>
      </w:r>
    </w:p>
    <w:p>
      <w:pPr>
        <w:spacing w:after="0" w:line="54" w:lineRule="exact"/>
        <w:rPr>
          <w:sz w:val="20"/>
          <w:szCs w:val="20"/>
          <w:color w:val="auto"/>
        </w:rPr>
      </w:pPr>
    </w:p>
    <w:p>
      <w:pPr>
        <w:ind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increased by 3% for the three months ended March 31, 2026 compared to the three months ended March 31, 2025. Our share of the icosapent ethyl market has increased to approximately 48% in the three months ended March 31, 2026 compared to approximately 42% in the three months ended March 31, 2025. Additionally, based on prescription levels reported by Symphony Health, VASCEPA-branded prescriptions increased by 17% in the three months ended March 31, 2026 compared to the three months ended March 31, 2025.</w:t>
      </w:r>
    </w:p>
    <w:p>
      <w:pPr>
        <w:spacing w:after="0" w:line="75" w:lineRule="exact"/>
        <w:rPr>
          <w:sz w:val="20"/>
          <w:szCs w:val="20"/>
          <w:color w:val="auto"/>
        </w:rPr>
      </w:pPr>
    </w:p>
    <w:p>
      <w:pPr>
        <w:jc w:val="both"/>
        <w:ind w:right="20" w:firstLine="539"/>
        <w:spacing w:after="0" w:line="266" w:lineRule="auto"/>
        <w:rPr>
          <w:sz w:val="20"/>
          <w:szCs w:val="20"/>
          <w:color w:val="auto"/>
        </w:rPr>
      </w:pPr>
      <w:r>
        <w:rPr>
          <w:rFonts w:ascii="Times New Roman" w:cs="Times New Roman" w:eastAsia="Times New Roman" w:hAnsi="Times New Roman"/>
          <w:sz w:val="18"/>
          <w:szCs w:val="18"/>
          <w:color w:val="auto"/>
        </w:rPr>
        <w:t>In June 2025, we entered into a collaboration agreement with Recordati to commercialize VASCEPA in Europe. For the three months ended March 31, 2026, we recorded Europe product revenue, net, of $4.9 million compared to $5.4 million during the three months ended March 31, 2025, primarily due to the change in business structure within Europe.</w:t>
      </w:r>
    </w:p>
    <w:p>
      <w:pPr>
        <w:spacing w:after="0" w:line="68" w:lineRule="exact"/>
        <w:rPr>
          <w:sz w:val="20"/>
          <w:szCs w:val="20"/>
          <w:color w:val="auto"/>
        </w:rPr>
      </w:pPr>
    </w:p>
    <w:p>
      <w:pPr>
        <w:jc w:val="both"/>
        <w:ind w:right="400" w:firstLine="53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recorded RoW product revenue, net, of $2.8 million from our six other collaboration partners, comprising multiple distinct geographies, compared to a nominal amount during the three months ended March 31, 2025. The increase reflects normal variability across the multiple geographies encompassing this early stage of a developing ex-U.S. market.</w:t>
      </w:r>
    </w:p>
    <w:p>
      <w:pPr>
        <w:spacing w:after="0" w:line="68" w:lineRule="exact"/>
        <w:rPr>
          <w:sz w:val="20"/>
          <w:szCs w:val="20"/>
          <w:color w:val="auto"/>
        </w:rPr>
      </w:pPr>
    </w:p>
    <w:p>
      <w:pPr>
        <w:ind w:right="100" w:firstLine="539"/>
        <w:spacing w:after="0" w:line="255"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For the remainder of 2026, we will continue to (i) competitively manage our market leadership in the U.S., and (ii) drive expanded access and increased patient uptake of VASCEPA through ongoing support of our commercialization partners and their pricing, reimbursement and licensure initiatives in non-U.S. geographies around the world.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March 31, 2026 and 2025 was $1.8 million and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$0.8 million, or 84%. This increase was primarily due to higher royalties as a result of moving to a partnering model in Europe as of June 2025 and an increase in partner sales within their respective territories.</w:t>
      </w:r>
    </w:p>
    <w:p>
      <w:pPr>
        <w:spacing w:after="0" w:line="6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Royalty payments are recognized based on revenue reported by our partners. The amount of licensing and royalty revenue is expected to vary from period to period based on timing of milestones achieved and select partner sales within respective territories.</w:t>
      </w:r>
    </w:p>
    <w:p>
      <w:pPr>
        <w:spacing w:after="0" w:line="20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2026 and 2025 was $27.4 million and $16.9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$10.5 million, or 62%. This increase in cost of goods sold is due to increased product volumes.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March 31, 2026 and 2025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March 31, 2026 and 2025 was 37% and 59%, respectively. The decrease in gross margin is primarily as a result of a change in customer mix.</w:t>
      </w:r>
    </w:p>
    <w:p>
      <w:pPr>
        <w:spacing w:after="0" w:line="187"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2026 and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$21.1 million and $36.6 million, respectively, a decrease of $15.5 million, or 42%. Selling, general and administrative expenses for the three months ended March 31, 2026 and 2025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-265430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-265430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ind w:left="480" w:right="140" w:hanging="383"/>
        <w:spacing w:after="0" w:line="273"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March 31, 2026 and 2025 was $3.9 million and $16.9 million, respectively, a decrease of $13.0 million, or 77%. This decrease is primarily due to a reduction in costs associated with the Global Restructuring Plan.</w:t>
      </w:r>
    </w:p>
    <w:p>
      <w:pPr>
        <w:spacing w:after="0" w:line="1" w:lineRule="exact"/>
        <w:rPr>
          <w:rFonts w:ascii="Times New Roman" w:cs="Times New Roman" w:eastAsia="Times New Roman" w:hAnsi="Times New Roman"/>
          <w:sz w:val="18"/>
          <w:szCs w:val="18"/>
          <w:color w:val="auto"/>
        </w:rPr>
      </w:pPr>
    </w:p>
    <w:p>
      <w:pPr>
        <w:ind w:left="480" w:right="160" w:hanging="383"/>
        <w:spacing w:after="0" w:line="258"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March 31, 2026 and 2025 was $15.5 million and $16.1 million, respectively, a decrease of $0.6 million, or 4%. This decrease is primarily due to previous fees incurred related to the ADS Ratio Change incurred in the prior year as well as a decrease in employee-related costs due to the reduction in force from the Global Restructuring Plan offset by costs associated with a litigation settlement in the current year.</w:t>
      </w:r>
    </w:p>
    <w:p>
      <w:pPr>
        <w:jc w:val="both"/>
        <w:ind w:left="480" w:right="20" w:hanging="383"/>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March 31, 2026 and 2025 was $1.7 million and $3.5 million, respectively, a decrease of $1.8 million, or 51%. Non-cash stock-based compensation expense represents the estimated costs associated with equity awards issued to internal personnel supporting our selling, general and administrative functions. The decrease is as a result of the Global Restructuring Plan.</w:t>
      </w:r>
    </w:p>
    <w:p>
      <w:pPr>
        <w:spacing w:after="0" w:line="68" w:lineRule="exact"/>
        <w:rPr>
          <w:sz w:val="20"/>
          <w:szCs w:val="20"/>
          <w:color w:val="auto"/>
        </w:rPr>
      </w:pPr>
    </w:p>
    <w:p>
      <w:pPr>
        <w:ind w:right="520" w:firstLine="539"/>
        <w:spacing w:after="0" w:line="261" w:lineRule="auto"/>
        <w:rPr>
          <w:sz w:val="20"/>
          <w:szCs w:val="20"/>
          <w:color w:val="auto"/>
        </w:rPr>
      </w:pPr>
      <w:r>
        <w:rPr>
          <w:rFonts w:ascii="Times New Roman" w:cs="Times New Roman" w:eastAsia="Times New Roman" w:hAnsi="Times New Roman"/>
          <w:sz w:val="18"/>
          <w:szCs w:val="18"/>
          <w:color w:val="auto"/>
        </w:rPr>
        <w:t>We will continue to manage our spending commitments to support our partners advancing commercialization and pricing and reimbursement efforts, as well as maintaining market leadership in the U.S.</w:t>
      </w: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4" w:name="page35"/>
    <w:bookmarkEnd w:id="34"/>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2026 and 2025 was $4.7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million, respectively, a decrease of $0.6 million, or 12%. Research and development expenses for the three months ended March 31, 2026 and 2025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(3)</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We continuously evaluate all of our research and development investment commitments and priorities and are prepared to adjust such investment levels based on various factors, including the impact of U.S. generic competition, as well as timing of pricing reimbursements throughout the world.</w:t>
      </w:r>
    </w:p>
    <w:p>
      <w:pPr>
        <w:spacing w:after="0" w:line="8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March 31, 2026 and 2025 was $3.3 million and nil,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 in the current year is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207"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March 31, 2026 and 2025 was $2.4 million and $2.9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$0.4 million, or 16%.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March 31, 2026 and 2025 was $0.2 million and $0.3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$0.1 million, or 26%. Other income, net, primarily consists of gains and losses on foreign exchange transactions and sublease income related to our Bridgewater, New Jersey facility.</w:t>
      </w:r>
    </w:p>
    <w:p>
      <w:pPr>
        <w:spacing w:after="0" w:line="20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three months ended March 31, 2026 and 2025 was $1.8 million and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three months ended March 31, 2026 is the result of changes in income generated by our U.S. and foreign operations for which tax expense has been recognized based on a full-year estimated U.S. and foreign income tax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our aggregate sources of liquidity include cash and cash equivalents and restricted cash of $131.3 million and short-term investments of $176.8 million, aggregating $307.8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5"/>
                <w:szCs w:val="15"/>
                <w:color w:val="auto"/>
              </w:rPr>
            </w:pPr>
          </w:p>
        </w:tc>
        <w:tc>
          <w:tcPr>
            <w:tcW w:w="336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during the three months ended March 31, 2026 as compared to the net cash used in operating activities during the same period in 2025. This is primarily driven by the Global Restructuring Plan and the resulting cost savings, including the elimination of commercial roles in our European operations.</w:t>
      </w:r>
    </w:p>
    <w:p>
      <w:pPr>
        <w:spacing w:after="0" w:line="6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decreased due primarily to the purchases of $50.8 million of investment grade interest-bearing instruments offset by proceeds from the maturity of $42.5 million in investment grade interest-bearing instruments as compared to the same period in 2025 where proceeds from the maturity of investment grade interest-bearing instruments were $55.0 million, partially offset by $42.9 million in purchases of investment-grade interest bearing instruments.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during the three months ended March 31, 2026 as compared to the same period in 2025 was as a result of taxes paid on stock-based awards.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spacing w:after="0" w:line="7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had net accounts receivable of $108.1 million and inventory of $183.6 million. We have incurred annual operating losses since our inception and, as a result, we had an accumulated deficit of $1.7 billion as of March 31, 2026.</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had cash and cash equivalents of $131.1 million and short-term investments of $176.8 million, aggregating $307.8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if we were to decide to proceed with such,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inaccurate, including as a result of the risks discussed under “Risk Factors” in this Quarterly Report and the Annual Report and we could use our capital resources sooner than we expect or fail to achieve positive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Except for our contractual obligations related to purchase obligations with certain supply chain contracting parties and operating leases related to real estate used as office space as set forth in Note 5 – Commitments and Contingencies and Note 9 – Leases, respectively, in our unaudited condensed consolidated financial statements included in this Quarterly Report on Form 10-Q, there have been no material changes from the contractual obligations and commitments as of December 31, 2025 previously disclosed in our Annual Report on Form 10-K filed with the SEC on March 2, 2026.</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2026. Based on such evaluation, our principal executive officer and principal financial officer have concluded that as of March 31, 2026,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March 31, 2026,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Refer to Note 5 – Commitments and Contingencies in this Quarterly Report for any legal proceedings that became reportable during the three months ended March 31, 2026, and updates to any descriptions of previously reported legal proceedings in which there have been material developments during such period. The discussion of legal proceedings included within Note 5 – Commitments and Contingencies is incorporated into this Item 1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year ended December 31, 2025. See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31, 2025 for a detailed discussion of risk factors affecting the Company.</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ADSs purchased in the first quarter of 2026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11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ADSs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ADS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2026</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113,490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2026</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-153670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80" w:right="140" w:hanging="372"/>
        <w:spacing w:after="0" w:line="223" w:lineRule="auto"/>
        <w:tabs>
          <w:tab w:leader="none" w:pos="326"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ADSs withheld to satisfy tax withholding amounts due from employees related to the receipt of ADS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adopted, modified, or terminated a “Rule 10b5-1 trading arrangement” or a “non-Rule 10b5-1 trading arrangement,” as defined in Item 408 of Regulation S-K, during the three months ended March 31, 2026.</w:t>
      </w: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4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vMerge w:val="restart"/>
          </w:tcPr>
          <w:p>
            <w:pPr>
              <w:spacing w:after="0"/>
              <w:rPr>
                <w:sz w:val="2"/>
                <w:szCs w:val="2"/>
                <w:color w:val="auto"/>
              </w:rPr>
            </w:pPr>
          </w:p>
        </w:tc>
        <w:tc>
          <w:tcPr>
            <w:tcW w:w="44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480" w:type="dxa"/>
            <w:vAlign w:val="bottom"/>
            <w:tcBorders>
              <w:bottom w:val="single" w:sz="8" w:color="auto"/>
            </w:tcBorders>
            <w:vMerge w:val="continue"/>
          </w:tcPr>
          <w:p>
            <w:pPr>
              <w:spacing w:after="0"/>
              <w:rPr>
                <w:sz w:val="12"/>
                <w:szCs w:val="12"/>
                <w:color w:val="auto"/>
              </w:rPr>
            </w:pPr>
          </w:p>
        </w:tc>
        <w:tc>
          <w:tcPr>
            <w:tcW w:w="4440" w:type="dxa"/>
            <w:vAlign w:val="bottom"/>
            <w:tcBorders>
              <w:bottom w:val="single" w:sz="8" w:color="auto"/>
            </w:tcBorders>
          </w:tcPr>
          <w:p>
            <w:pPr>
              <w:ind w:left="174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13" w:lineRule="exact"/>
        <w:rPr>
          <w:sz w:val="20"/>
          <w:szCs w:val="20"/>
          <w:color w:val="auto"/>
        </w:rPr>
      </w:pPr>
    </w:p>
    <w:p>
      <w:pPr>
        <w:ind w:left="100"/>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200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2000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5"/>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Non-Employee Director Compensation Policy</w:t>
              </w:r>
            </w:hyperlink>
          </w:p>
        </w:tc>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Report on Form 8-K as Exhibit 10.1</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Filed herewith</w:t>
            </w:r>
          </w:p>
        </w:tc>
        <w:tc>
          <w:tcPr>
            <w:tcW w:w="142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40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39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40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9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420" w:space="360"/>
            <w:col w:w="1046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 Financial</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(Principal Financial Officer and Principal Accounting</w:t>
            </w:r>
          </w:p>
        </w:tc>
        <w:tc>
          <w:tcPr>
            <w:tcW w:w="11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11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1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800" w:type="dxa"/>
            <w:vAlign w:val="bottom"/>
            <w:tcBorders>
              <w:right w:val="single" w:sz="8" w:color="0000EE"/>
            </w:tcBorders>
            <w:gridSpan w:val="3"/>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Senior Vice President and</w:t>
            </w:r>
          </w:p>
        </w:tc>
        <w:tc>
          <w:tcPr>
            <w:tcW w:w="11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Chief Financial Officer (Principal Financial Officer and</w:t>
            </w:r>
          </w:p>
        </w:tc>
        <w:tc>
          <w:tcPr>
            <w:tcW w:w="11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906 of</w:t>
            </w:r>
          </w:p>
        </w:tc>
        <w:tc>
          <w:tcPr>
            <w:tcW w:w="11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160" w:type="dxa"/>
            <w:vAlign w:val="bottom"/>
          </w:tcPr>
          <w:p>
            <w:pPr>
              <w:spacing w:after="0"/>
              <w:rPr>
                <w:sz w:val="17"/>
                <w:szCs w:val="17"/>
                <w:color w:val="auto"/>
              </w:rPr>
            </w:pPr>
          </w:p>
        </w:tc>
      </w:tr>
      <w:tr>
        <w:trPr>
          <w:trHeight w:val="20"/>
        </w:trPr>
        <w:tc>
          <w:tcPr>
            <w:tcW w:w="800" w:type="dxa"/>
            <w:vAlign w:val="bottom"/>
            <w:tcBorders>
              <w:right w:val="single" w:sz="8" w:color="0000EE"/>
            </w:tcBorders>
            <w:gridSpan w:val="3"/>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0"/>
        </w:trPr>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101.SC</w:t>
            </w: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8"/>
        </w:trPr>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101.CA</w:t>
            </w: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ind w:left="780" w:hanging="77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7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12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1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9" w:name="page40"/>
    <w:bookmarkEnd w:id="3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Berg</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Fishman</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Aaron Berg</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Aaron Berg</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440" w:firstLine="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78"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color w:val="auto"/>
        </w:rPr>
        <w:t>Aaron Berg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Peter Fishman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5"/>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09" Type="http://schemas.openxmlformats.org/officeDocument/2006/relationships/hyperlink" Target="https://www.sec.gov/Archives/edgar/data/897448/000119312525246973/amrn-ex10_1.htm" TargetMode="External"/><Relationship Id="rId212" Type="http://schemas.openxmlformats.org/officeDocument/2006/relationships/hyperlink" Target="https://www.sec.gov/Archives/edgar/data/897448/000119312526129334/amr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2026-04-29T06:09:27Z</dcterms:created>
  <dcterms:modified xsi:type="dcterms:W3CDTF">2026-04-29T06:09:27Z</dcterms:modified>
</cp:coreProperties>
</file>