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8" w:lineRule="exact"/>
        <w:rPr>
          <w:sz w:val="24"/>
          <w:szCs w:val="24"/>
          <w:color w:val="auto"/>
        </w:rPr>
      </w:pPr>
    </w:p>
    <w:p>
      <w:pPr>
        <w:ind w:left="3880" w:right="1620" w:hanging="3872"/>
        <w:spacing w:after="0" w:line="262" w:lineRule="auto"/>
        <w:tabs>
          <w:tab w:leader="none" w:pos="43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2800" w:type="dxa"/>
            <w:vAlign w:val="bottom"/>
          </w:tcPr>
          <w:p>
            <w:pPr>
              <w:jc w:val="center"/>
              <w:ind w:left="140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51"/>
        </w:trPr>
        <w:tc>
          <w:tcPr>
            <w:tcW w:w="5760" w:type="dxa"/>
            <w:vAlign w:val="bottom"/>
          </w:tcPr>
          <w:p>
            <w:pPr>
              <w:jc w:val="center"/>
              <w:ind w:right="133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40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5760" w:type="dxa"/>
            <w:vAlign w:val="bottom"/>
          </w:tcPr>
          <w:p>
            <w:pPr>
              <w:jc w:val="center"/>
              <w:ind w:right="1399"/>
              <w:spacing w:after="0"/>
              <w:rPr>
                <w:sz w:val="20"/>
                <w:szCs w:val="20"/>
                <w:color w:val="auto"/>
              </w:rPr>
            </w:pPr>
            <w:r>
              <w:rPr>
                <w:rFonts w:ascii="Times New Roman" w:cs="Times New Roman" w:eastAsia="Times New Roman" w:hAnsi="Times New Roman"/>
                <w:sz w:val="18"/>
                <w:szCs w:val="18"/>
                <w:b w:val="1"/>
                <w:bCs w:val="1"/>
                <w:color w:val="auto"/>
                <w:w w:val="99"/>
              </w:rPr>
              <w:t>Iconic Offices, The Greenway, Block C Ardilaun Court,</w:t>
            </w:r>
          </w:p>
        </w:tc>
        <w:tc>
          <w:tcPr>
            <w:tcW w:w="2800" w:type="dxa"/>
            <w:vAlign w:val="bottom"/>
          </w:tcPr>
          <w:p>
            <w:pPr>
              <w:jc w:val="center"/>
              <w:ind w:left="1401"/>
              <w:spacing w:after="0"/>
              <w:rPr>
                <w:sz w:val="20"/>
                <w:szCs w:val="20"/>
                <w:color w:val="auto"/>
              </w:rPr>
            </w:pPr>
            <w:r>
              <w:rPr>
                <w:rFonts w:ascii="Times New Roman" w:cs="Times New Roman" w:eastAsia="Times New Roman" w:hAnsi="Times New Roman"/>
                <w:sz w:val="18"/>
                <w:szCs w:val="18"/>
                <w:b w:val="1"/>
                <w:bCs w:val="1"/>
                <w:color w:val="auto"/>
                <w:w w:val="99"/>
              </w:rPr>
              <w:t>Dublin 2, Ireland</w:t>
            </w:r>
          </w:p>
        </w:tc>
      </w:tr>
      <w:tr>
        <w:trPr>
          <w:trHeight w:val="238"/>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8"/>
              </w:rPr>
              <w:t>112 – 114 St Stephens Green</w:t>
            </w:r>
          </w:p>
        </w:tc>
        <w:tc>
          <w:tcPr>
            <w:tcW w:w="2800" w:type="dxa"/>
            <w:vAlign w:val="bottom"/>
          </w:tcPr>
          <w:p>
            <w:pPr>
              <w:spacing w:after="0"/>
              <w:rPr>
                <w:sz w:val="20"/>
                <w:szCs w:val="20"/>
                <w:color w:val="auto"/>
              </w:rPr>
            </w:pPr>
          </w:p>
        </w:tc>
      </w:tr>
      <w:tr>
        <w:trPr>
          <w:trHeight w:val="193"/>
        </w:trPr>
        <w:tc>
          <w:tcPr>
            <w:tcW w:w="576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12"/>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22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r>
      <w:tr>
        <w:trPr>
          <w:trHeight w:val="203"/>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226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r>
      <w:tr>
        <w:trPr>
          <w:trHeight w:val="210"/>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8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411,171,121 common shares were outstanding as of July 26, 2024, including 402,356,734 shares held as American Depositary Shares (ADSs), each representing one Ordinary Share, 50 pence par value per share, and 8,814,387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00" w:type="dxa"/>
            <w:vAlign w:val="bottom"/>
            <w:gridSpan w:val="13"/>
          </w:tcPr>
          <w:p>
            <w:pPr>
              <w:jc w:val="center"/>
              <w:ind w:right="18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020" w:type="dxa"/>
            <w:vAlign w:val="bottom"/>
          </w:tcPr>
          <w:p>
            <w:pPr>
              <w:spacing w:after="0"/>
              <w:rPr>
                <w:sz w:val="24"/>
                <w:szCs w:val="24"/>
                <w:color w:val="auto"/>
              </w:rPr>
            </w:pPr>
          </w:p>
        </w:tc>
      </w:tr>
      <w:tr>
        <w:trPr>
          <w:trHeight w:val="41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six months ended June 30, 2024 and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gridSpan w:val="11"/>
          </w:tcPr>
          <w:p>
            <w:pPr>
              <w:jc w:val="center"/>
              <w:ind w:right="336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7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80" w:type="dxa"/>
            <w:vAlign w:val="bottom"/>
            <w:tcBorders>
              <w:top w:val="single" w:sz="8" w:color="0000FF"/>
            </w:tcBorders>
            <w:gridSpan w:val="4"/>
          </w:tcPr>
          <w:p>
            <w:pPr>
              <w:spacing w:after="0"/>
              <w:rPr>
                <w:sz w:val="24"/>
                <w:szCs w:val="24"/>
                <w:color w:val="auto"/>
              </w:rPr>
            </w:pPr>
          </w:p>
        </w:tc>
        <w:tc>
          <w:tcPr>
            <w:tcW w:w="336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7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215,924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199,252</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90,739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121,407</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123,691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133,563</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239,408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258,616</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tcPr>
          <w:p>
            <w:pPr>
              <w:spacing w:after="0"/>
              <w:rPr>
                <w:sz w:val="20"/>
                <w:szCs w:val="20"/>
                <w:color w:val="auto"/>
              </w:rPr>
            </w:pPr>
          </w:p>
        </w:tc>
      </w:tr>
      <w:tr>
        <w:trPr>
          <w:trHeight w:val="237"/>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701,839</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inventory</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77,615</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 net</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100" w:type="dxa"/>
            <w:vAlign w:val="bottom"/>
          </w:tcPr>
          <w:p>
            <w:pPr>
              <w:spacing w:after="0"/>
              <w:rPr>
                <w:sz w:val="20"/>
                <w:szCs w:val="20"/>
                <w:color w:val="auto"/>
              </w:rPr>
            </w:pPr>
          </w:p>
        </w:tc>
      </w:tr>
      <w:tr>
        <w:trPr>
          <w:trHeight w:val="278"/>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799,855</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52,762</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176,159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204,174</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deferred revenue</w:t>
            </w:r>
          </w:p>
        </w:tc>
        <w:tc>
          <w:tcPr>
            <w:tcW w:w="22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20"/>
                <w:szCs w:val="20"/>
                <w:color w:val="auto"/>
              </w:rPr>
            </w:pPr>
          </w:p>
        </w:tc>
      </w:tr>
      <w:tr>
        <w:trPr>
          <w:trHeight w:val="236"/>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230,542</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247,976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279,587</w:t>
            </w:r>
          </w:p>
        </w:tc>
        <w:tc>
          <w:tcPr>
            <w:tcW w:w="100" w:type="dxa"/>
            <w:vAlign w:val="bottom"/>
          </w:tcPr>
          <w:p>
            <w:pPr>
              <w:spacing w:after="0"/>
              <w:rPr>
                <w:sz w:val="20"/>
                <w:szCs w:val="20"/>
                <w:color w:val="auto"/>
              </w:rPr>
            </w:pPr>
          </w:p>
        </w:tc>
      </w:tr>
      <w:tr>
        <w:trPr>
          <w:trHeight w:val="241"/>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£0.50 par, unlimited authorized; 421,751,350 shares issued, 411,113,770 shares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as of June 30, 2024; 418,141,295 shares issued, 408,824,093 shares outstanding as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 December 31, 2023</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305,046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302,756</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1,906,903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1,899,456</w:t>
            </w: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10,637,580 shares as of June 30, 2024; 9,317,202 shares as of December 31,</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(65,276 )</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(63,752 )</w:t>
            </w: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(1,594,794 )</w:t>
            </w:r>
          </w:p>
        </w:tc>
        <w:tc>
          <w:tcPr>
            <w:tcW w:w="2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(1,586,363 )</w:t>
            </w:r>
          </w:p>
        </w:tc>
      </w:tr>
      <w:tr>
        <w:trPr>
          <w:trHeight w:val="237"/>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551,879</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799,855</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831,684</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-4388485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-3445510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-3428365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-2485390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-1859280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7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47,514</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65,187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102,670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149,841</w:t>
            </w: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19,977</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00" w:type="dxa"/>
            <w:vAlign w:val="bottom"/>
          </w:tcPr>
          <w:p>
            <w:pPr>
              <w:spacing w:after="0"/>
              <w:rPr>
                <w:sz w:val="20"/>
                <w:szCs w:val="20"/>
                <w:color w:val="auto"/>
              </w:rPr>
            </w:pPr>
          </w:p>
        </w:tc>
      </w:tr>
      <w:tr>
        <w:trPr>
          <w:trHeight w:val="241"/>
        </w:trPr>
        <w:tc>
          <w:tcPr>
            <w:tcW w:w="4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 net</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80,167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124,010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166,142</w:t>
            </w: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100" w:type="dxa"/>
            <w:vAlign w:val="bottom"/>
          </w:tcPr>
          <w:p>
            <w:pPr>
              <w:spacing w:after="0"/>
              <w:rPr>
                <w:sz w:val="20"/>
                <w:szCs w:val="20"/>
                <w:color w:val="auto"/>
              </w:rPr>
            </w:pPr>
          </w:p>
        </w:tc>
      </w:tr>
      <w:tr>
        <w:trPr>
          <w:trHeight w:val="24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 - restructuring inventory</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26,554</w:t>
            </w:r>
          </w:p>
        </w:tc>
        <w:tc>
          <w:tcPr>
            <w:tcW w:w="100" w:type="dxa"/>
            <w:vAlign w:val="bottom"/>
            <w:shd w:val="clear" w:color="auto" w:fill="CFF0FC"/>
          </w:tcPr>
          <w:p>
            <w:pPr>
              <w:spacing w:after="0"/>
              <w:rPr>
                <w:sz w:val="21"/>
                <w:szCs w:val="21"/>
                <w:color w:val="auto"/>
              </w:rPr>
            </w:pPr>
          </w:p>
        </w:tc>
      </w:tr>
      <w:tr>
        <w:trPr>
          <w:trHeight w:val="237"/>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42,769</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42,668</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74,673</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90,595</w:t>
            </w:r>
          </w:p>
        </w:tc>
        <w:tc>
          <w:tcPr>
            <w:tcW w:w="100" w:type="dxa"/>
            <w:vAlign w:val="bottom"/>
            <w:tcBorders>
              <w:top w:val="single" w:sz="8" w:color="CFF0FC"/>
            </w:tcBorders>
          </w:tcPr>
          <w:p>
            <w:pPr>
              <w:spacing w:after="0"/>
              <w:rPr>
                <w:sz w:val="20"/>
                <w:szCs w:val="20"/>
                <w:color w:val="auto"/>
              </w:rPr>
            </w:pPr>
          </w:p>
        </w:tc>
      </w:tr>
      <w:tr>
        <w:trPr>
          <w:trHeight w:val="241"/>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110,540</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100" w:type="dxa"/>
            <w:vAlign w:val="bottom"/>
          </w:tcPr>
          <w:p>
            <w:pPr>
              <w:spacing w:after="0"/>
              <w:rPr>
                <w:sz w:val="20"/>
                <w:szCs w:val="20"/>
                <w:color w:val="auto"/>
              </w:rPr>
            </w:pPr>
          </w:p>
        </w:tc>
      </w:tr>
      <w:tr>
        <w:trPr>
          <w:trHeight w:val="237"/>
        </w:trPr>
        <w:tc>
          <w:tcPr>
            <w:tcW w:w="48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43,293</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66,627</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88,780</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(23,959 )</w:t>
            </w: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(14,107 )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(41,300 )</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Pr>
          <w:p>
            <w:pPr>
              <w:spacing w:after="0"/>
              <w:rPr>
                <w:sz w:val="20"/>
                <w:szCs w:val="20"/>
                <w:color w:val="auto"/>
              </w:rPr>
            </w:pPr>
          </w:p>
        </w:tc>
      </w:tr>
      <w:tr>
        <w:trPr>
          <w:trHeight w:val="241"/>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 before taxes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(17,915 )</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(5,764 )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(32,411 )</w:t>
            </w: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(1,370 )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(2,667 )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(1,609 )</w:t>
            </w:r>
          </w:p>
        </w:tc>
      </w:tr>
      <w:tr>
        <w:trPr>
          <w:trHeight w:val="20"/>
        </w:trPr>
        <w:tc>
          <w:tcPr>
            <w:tcW w:w="4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(17,560 )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(8,431 )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(34,020 )</w:t>
            </w:r>
          </w:p>
        </w:tc>
      </w:tr>
      <w:tr>
        <w:trPr>
          <w:trHeight w:val="223"/>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410,851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407,848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407,017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411,395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407,848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407,017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-2853690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-2853690</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-2853690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-2853690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-1902460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-1902460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-1902460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-1902460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-950595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-933450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-950595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-933450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-950595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-933450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-950595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-933450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81"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2840" w:type="dxa"/>
            <w:vAlign w:val="bottom"/>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r>
      <w:tr>
        <w:trPr>
          <w:trHeight w:val="16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418,141,295</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(9,317,202 )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302,756</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1,899,456</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(63,752 )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(1,586,363 )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552,097</w:t>
            </w:r>
          </w:p>
        </w:tc>
        <w:tc>
          <w:tcPr>
            <w:tcW w:w="100" w:type="dxa"/>
            <w:vAlign w:val="bottom"/>
            <w:shd w:val="clear" w:color="auto" w:fill="CFF0FC"/>
          </w:tcPr>
          <w:p>
            <w:pPr>
              <w:spacing w:after="0"/>
              <w:rPr>
                <w:sz w:val="14"/>
                <w:szCs w:val="14"/>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26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3,119,637</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(1,217,450 )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(1,980 )</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(1,436 )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(1,436 )</w:t>
            </w: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2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100" w:type="dxa"/>
            <w:vAlign w:val="bottom"/>
          </w:tcPr>
          <w:p>
            <w:pPr>
              <w:spacing w:after="0"/>
              <w:rPr>
                <w:sz w:val="15"/>
                <w:szCs w:val="15"/>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(9,953 )</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(9,953 )</w:t>
            </w: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421,270,432</w:t>
            </w:r>
          </w:p>
        </w:tc>
        <w:tc>
          <w:tcPr>
            <w:tcW w:w="26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(10,534,652 )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304,742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1,902,698</w:t>
            </w: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(65,188 )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(1,596,316 )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545,936</w:t>
            </w:r>
          </w:p>
        </w:tc>
        <w:tc>
          <w:tcPr>
            <w:tcW w:w="100" w:type="dxa"/>
            <w:vAlign w:val="bottom"/>
          </w:tcPr>
          <w:p>
            <w:pPr>
              <w:spacing w:after="0"/>
              <w:rPr>
                <w:sz w:val="14"/>
                <w:szCs w:val="14"/>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-144780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-144780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-144780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-144780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-144780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ind w:left="20" w:right="220"/>
        <w:spacing w:after="0" w:line="244"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for the period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139,982</w:t>
            </w:r>
          </w:p>
        </w:tc>
        <w:tc>
          <w:tcPr>
            <w:tcW w:w="14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89</w:t>
            </w:r>
          </w:p>
        </w:tc>
        <w:tc>
          <w:tcPr>
            <w:tcW w:w="12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33</w:t>
            </w:r>
          </w:p>
        </w:tc>
        <w:tc>
          <w:tcPr>
            <w:tcW w:w="10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340,936</w:t>
            </w: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(102,928 )</w:t>
            </w: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215</w:t>
            </w: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(215 )</w:t>
            </w:r>
          </w:p>
        </w:tc>
        <w:tc>
          <w:tcPr>
            <w:tcW w:w="10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(88 )</w:t>
            </w: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175"/>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4,387</w:t>
            </w:r>
          </w:p>
        </w:tc>
        <w:tc>
          <w:tcPr>
            <w:tcW w:w="10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4,387</w:t>
            </w:r>
          </w:p>
        </w:tc>
        <w:tc>
          <w:tcPr>
            <w:tcW w:w="0" w:type="dxa"/>
            <w:vAlign w:val="bottom"/>
          </w:tcPr>
          <w:p>
            <w:pPr>
              <w:spacing w:after="0"/>
              <w:rPr>
                <w:sz w:val="1"/>
                <w:szCs w:val="1"/>
                <w:color w:val="auto"/>
              </w:rPr>
            </w:pPr>
          </w:p>
        </w:tc>
      </w:tr>
      <w:tr>
        <w:trPr>
          <w:trHeight w:val="185"/>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1,522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-222250</wp:posOffset>
            </wp:positionV>
            <wp:extent cx="7132320"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40" w:space="720"/>
            <w:col w:w="778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421,751,350</w:t>
            </w:r>
          </w:p>
        </w:tc>
        <w:tc>
          <w:tcPr>
            <w:tcW w:w="260" w:type="dxa"/>
            <w:vAlign w:val="bottom"/>
            <w:shd w:val="clear" w:color="auto" w:fill="CFF0FC"/>
          </w:tcPr>
          <w:p>
            <w:pPr>
              <w:spacing w:after="0"/>
              <w:rPr>
                <w:sz w:val="16"/>
                <w:szCs w:val="16"/>
                <w:color w:val="auto"/>
              </w:rPr>
            </w:pPr>
          </w:p>
        </w:tc>
        <w:tc>
          <w:tcPr>
            <w:tcW w:w="1320" w:type="dxa"/>
            <w:vAlign w:val="bottom"/>
            <w:tcBorders>
              <w:right w:val="single" w:sz="8" w:color="CFF0FC"/>
            </w:tcBorders>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(10,637,580 )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305,046</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1,906,903</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tcBorders>
              <w:right w:val="single" w:sz="8" w:color="CFF0FC"/>
            </w:tcBorders>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(65,276 )</w:t>
            </w:r>
          </w:p>
        </w:tc>
        <w:tc>
          <w:tcPr>
            <w:tcW w:w="100" w:type="dxa"/>
            <w:vAlign w:val="bottom"/>
            <w:shd w:val="clear" w:color="auto" w:fill="CFF0FC"/>
          </w:tcPr>
          <w:p>
            <w:pPr>
              <w:spacing w:after="0"/>
              <w:rPr>
                <w:sz w:val="16"/>
                <w:szCs w:val="16"/>
                <w:color w:val="auto"/>
              </w:rPr>
            </w:pPr>
          </w:p>
        </w:tc>
        <w:tc>
          <w:tcPr>
            <w:tcW w:w="1100" w:type="dxa"/>
            <w:vAlign w:val="bottom"/>
            <w:tcBorders>
              <w:right w:val="single" w:sz="8" w:color="CFF0FC"/>
            </w:tcBorders>
            <w:gridSpan w:val="2"/>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(1,594,794 )</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551,879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84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320" w:type="dxa"/>
            <w:vAlign w:val="bottom"/>
            <w:gridSpan w:val="2"/>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10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40" w:type="dxa"/>
            <w:vAlign w:val="bottom"/>
          </w:tcPr>
          <w:p>
            <w:pPr>
              <w:spacing w:after="0"/>
              <w:rPr>
                <w:sz w:val="15"/>
                <w:szCs w:val="15"/>
                <w:color w:val="auto"/>
              </w:rPr>
            </w:pPr>
          </w:p>
        </w:tc>
        <w:tc>
          <w:tcPr>
            <w:tcW w:w="110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1320" w:type="dxa"/>
            <w:vAlign w:val="bottom"/>
            <w:gridSpan w:val="2"/>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980" w:type="dxa"/>
            <w:vAlign w:val="bottom"/>
            <w:gridSpan w:val="2"/>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412,333,087</w:t>
            </w:r>
          </w:p>
        </w:tc>
        <w:tc>
          <w:tcPr>
            <w:tcW w:w="26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(7,986,831</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299,002</w:t>
            </w:r>
          </w:p>
        </w:tc>
        <w:tc>
          <w:tcPr>
            <w:tcW w:w="2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1,885,352</w:t>
            </w:r>
          </w:p>
        </w:tc>
        <w:tc>
          <w:tcPr>
            <w:tcW w:w="2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(61,770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(1,527,251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595,333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1,232,263</w:t>
            </w:r>
          </w:p>
        </w:tc>
        <w:tc>
          <w:tcPr>
            <w:tcW w:w="26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2,514,948</w:t>
            </w:r>
          </w:p>
        </w:tc>
        <w:tc>
          <w:tcPr>
            <w:tcW w:w="15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(827,523 )</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(1,539 )</w:t>
            </w:r>
          </w:p>
        </w:tc>
        <w:tc>
          <w:tcPr>
            <w:tcW w:w="120" w:type="dxa"/>
            <w:vAlign w:val="bottom"/>
          </w:tcPr>
          <w:p>
            <w:pPr>
              <w:spacing w:after="0"/>
              <w:rPr>
                <w:sz w:val="15"/>
                <w:szCs w:val="15"/>
                <w:color w:val="auto"/>
              </w:rPr>
            </w:pP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(1,507 )</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(1,507 )</w:t>
            </w: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(16,460 )</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(16,460 )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416,080,298</w:t>
            </w:r>
          </w:p>
        </w:tc>
        <w:tc>
          <w:tcPr>
            <w:tcW w:w="26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(8,814,354 )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301,285</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1,890,496</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right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(63,277 )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right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(1,543,711 )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584,793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40" w:type="dxa"/>
            <w:vAlign w:val="bottom"/>
            <w:tcBorders>
              <w:top w:val="single" w:sz="8" w:color="CFF0FC"/>
            </w:tcBorders>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205,861</w:t>
            </w:r>
          </w:p>
        </w:tc>
        <w:tc>
          <w:tcPr>
            <w:tcW w:w="260" w:type="dxa"/>
            <w:vAlign w:val="bottom"/>
            <w:tcBorders>
              <w:top w:val="single" w:sz="8" w:color="CFF0FC"/>
            </w:tcBorders>
          </w:tcPr>
          <w:p>
            <w:pPr>
              <w:spacing w:after="0"/>
              <w:rPr>
                <w:sz w:val="10"/>
                <w:szCs w:val="10"/>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6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6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vMerge w:val="restart"/>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26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800,242</w:t>
            </w:r>
          </w:p>
        </w:tc>
        <w:tc>
          <w:tcPr>
            <w:tcW w:w="15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(144,240 )</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(490 )</w:t>
            </w:r>
          </w:p>
        </w:tc>
        <w:tc>
          <w:tcPr>
            <w:tcW w:w="120" w:type="dxa"/>
            <w:vAlign w:val="bottom"/>
          </w:tcPr>
          <w:p>
            <w:pPr>
              <w:spacing w:after="0"/>
              <w:rPr>
                <w:sz w:val="15"/>
                <w:szCs w:val="15"/>
                <w:color w:val="auto"/>
              </w:rPr>
            </w:pP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(187 )</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(187 )</w:t>
            </w: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(17,560 )</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(17,560 )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417,092,401</w:t>
            </w:r>
          </w:p>
        </w:tc>
        <w:tc>
          <w:tcPr>
            <w:tcW w:w="260" w:type="dxa"/>
            <w:vAlign w:val="bottom"/>
            <w:shd w:val="clear" w:color="auto" w:fill="CFF0FC"/>
          </w:tcPr>
          <w:p>
            <w:pPr>
              <w:spacing w:after="0"/>
              <w:rPr>
                <w:sz w:val="16"/>
                <w:szCs w:val="16"/>
                <w:color w:val="auto"/>
              </w:rPr>
            </w:pPr>
          </w:p>
        </w:tc>
        <w:tc>
          <w:tcPr>
            <w:tcW w:w="1320" w:type="dxa"/>
            <w:vAlign w:val="bottom"/>
            <w:tcBorders>
              <w:right w:val="single" w:sz="8" w:color="CFF0FC"/>
            </w:tcBorders>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(8,958,594 )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301,906</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1,891,957</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right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(63,464 )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right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(1,561,271 )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569,128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-1971040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-1953895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-1971040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-1953895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-1971040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-1953895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-1971040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-1953895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-1971040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-1953895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-1971040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-1953895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-822325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-805180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-822325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-805180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-822325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-805180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-822325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-805180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-822325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-805180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-822325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-805180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-25400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-8255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-25400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-8255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(8,431 )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(34,020 )</w:t>
            </w: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 of investments</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(2,745 )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(1,853 )</w:t>
            </w: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(19,934 )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(23,814 )</w:t>
            </w: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(522 )</w:t>
            </w: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(4,850 )</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(9,990 )</w:t>
            </w: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(26,394 )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(1,497 )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(15,350 )</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furniture, fixtures and equipment</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of securities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securities</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(99,586 )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(82,260 )</w:t>
            </w:r>
          </w:p>
        </w:tc>
        <w:tc>
          <w:tcPr>
            <w:tcW w:w="0" w:type="dxa"/>
            <w:vAlign w:val="bottom"/>
          </w:tcPr>
          <w:p>
            <w:pPr>
              <w:spacing w:after="0"/>
              <w:rPr>
                <w:sz w:val="1"/>
                <w:szCs w:val="1"/>
                <w:color w:val="auto"/>
              </w:rPr>
            </w:pPr>
          </w:p>
        </w:tc>
      </w:tr>
      <w:tr>
        <w:trPr>
          <w:trHeight w:val="237"/>
        </w:trPr>
        <w:tc>
          <w:tcPr>
            <w:tcW w:w="702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33,414</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3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(1,524 )</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(1,694 )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(1,392 )</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34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199,777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3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216,449</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(671 )</w:t>
            </w:r>
          </w:p>
        </w:tc>
        <w:tc>
          <w:tcPr>
            <w:tcW w:w="0" w:type="dxa"/>
            <w:vAlign w:val="bottom"/>
          </w:tcPr>
          <w:p>
            <w:pPr>
              <w:spacing w:after="0"/>
              <w:rPr>
                <w:sz w:val="1"/>
                <w:szCs w:val="1"/>
                <w:color w:val="auto"/>
              </w:rPr>
            </w:pPr>
          </w:p>
        </w:tc>
      </w:tr>
      <w:tr>
        <w:trPr>
          <w:trHeight w:val="224"/>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recognition of furniture, fixtures and equipment lease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-3325495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-3325495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-2699385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-2699385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-1748155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-1748155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-1165225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-1165225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-513715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-496570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-513715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-496570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or VASCEPA. The Company is also commercialized in certain European countries, such as the United Kingdom, or the UK, and Spain under the brand name VAZKEPA, hereinafter along with VASCEPA, collectively referred to as VASCEPA. The Company’s operations outside of the U.S. and Europe are in varying stages of development and commercialization with reliance on third-party commercial partners in select geographies, including China and Canada.</w:t>
      </w:r>
    </w:p>
    <w:p>
      <w:pPr>
        <w:spacing w:after="0" w:line="9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VASCEPA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 or the REDUCE-IT indication.</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MARINE indication. The Company sought appeals of the Nevada Court judgment up to the United States Supreme Court, but the Company was unsuccessful. As a result, the following generic versions of VASCEPA have obtained U.S. FDA approval with labeling consistent with the MARINE indication of VASCEPA and have entered the U.S. market:</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20"/>
                <w:szCs w:val="20"/>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43"/>
        </w:trPr>
        <w:tc>
          <w:tcPr>
            <w:tcW w:w="38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6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1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020" w:hanging="26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VASCEPA to Amneal Pharmaceuticals.</w:t>
      </w:r>
    </w:p>
    <w:p>
      <w:pPr>
        <w:spacing w:after="0" w:line="11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VASCEPA to Camber Pharmaceuticals, Inc.</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in the European Union, or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2020, the Company announced topline results from the Phase 3 clinical trial of VASCEPA conducted by the Company’s partner in China. On June 1, 2023, the Company announced the National Medical Products Administration, or NMPA, granted approval for VASCEPA under the MARINE indication and the Company's partner launched commercially in October 2023. On June 28, 2024 the Company's partner in China received NMPA approval for VASCEPA in Mainland China for the REDUCE-IT indication. On February 23, 2022, the Hong Kong Department of Health approved the use of VASCEPA under the REDUCE-IT indication.</w:t>
      </w:r>
    </w:p>
    <w:p>
      <w:pPr>
        <w:spacing w:after="0" w:line="75"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Amarin is responsible for supplying VASCEPA to all markets in which the product is sold, including the United States and Europe, as well as in countries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U.S. Generally Accepted Accounting Principles,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2023, or the Form 10-K, filed with the SEC. The balance sheet amounts in this report were derived from the Company’s audited consolidated financial statements included in the Form 10-K.</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2024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8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2024, the Company had total assets of $799.9 million, of which $306.7 million consisted of cash and short-term investments. More specifically, the Company had current assets of $701.8 million, including cash and cash equivalents of $215.9 million, short-term investments of $90.7 million, accounts receivable, net, of $123.7 million and current inventory of $239.4 million. In addition, as of June 30, 2024, the Company had long-term inventory of $71.3 million. As of June 30, 2024, the Company had no debt outstanding.</w:t>
      </w: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experienced any significant credit losses. All customer accounts are actively managed and no losses in excess of amounts reserved are currently expected.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4" w:lineRule="exact"/>
        <w:rPr>
          <w:sz w:val="20"/>
          <w:szCs w:val="20"/>
          <w:color w:val="auto"/>
        </w:rPr>
      </w:pPr>
    </w:p>
    <w:tbl>
      <w:tblPr>
        <w:tblLayout w:type="fixed"/>
        <w:tblInd w:w="1420" w:type="dxa"/>
        <w:tblCellMar>
          <w:top w:w="0" w:type="dxa"/>
          <w:left w:w="0" w:type="dxa"/>
          <w:bottom w:w="0" w:type="dxa"/>
          <w:right w:w="0" w:type="dxa"/>
        </w:tblCellMar>
      </w:tblPr>
      <w:tr>
        <w:trPr>
          <w:trHeight w:val="187"/>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6"/>
                <w:szCs w:val="16"/>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150,631</w:t>
            </w:r>
          </w:p>
        </w:tc>
        <w:tc>
          <w:tcPr>
            <w:tcW w:w="1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160,686</w:t>
            </w:r>
          </w:p>
        </w:tc>
        <w:tc>
          <w:tcPr>
            <w:tcW w:w="80" w:type="dxa"/>
            <w:vAlign w:val="bottom"/>
            <w:shd w:val="clear" w:color="auto" w:fill="CFF0FC"/>
          </w:tcPr>
          <w:p>
            <w:pPr>
              <w:spacing w:after="0"/>
              <w:rPr>
                <w:sz w:val="20"/>
                <w:szCs w:val="20"/>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6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(19,347 )</w:t>
            </w:r>
          </w:p>
        </w:tc>
        <w:tc>
          <w:tcPr>
            <w:tcW w:w="4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(18,834 )</w:t>
            </w:r>
          </w:p>
        </w:tc>
      </w:tr>
      <w:tr>
        <w:trPr>
          <w:trHeight w:val="24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(7,593 )</w:t>
            </w: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(8,289 )</w:t>
            </w:r>
          </w:p>
        </w:tc>
      </w:tr>
      <w:tr>
        <w:trPr>
          <w:trHeight w:val="236"/>
        </w:trPr>
        <w:tc>
          <w:tcPr>
            <w:tcW w:w="5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123,691</w:t>
            </w:r>
          </w:p>
        </w:tc>
        <w:tc>
          <w:tcPr>
            <w:tcW w:w="1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133,563</w:t>
            </w:r>
          </w:p>
        </w:tc>
        <w:tc>
          <w:tcPr>
            <w:tcW w:w="80" w:type="dxa"/>
            <w:vAlign w:val="bottom"/>
            <w:tcBorders>
              <w:top w:val="single" w:sz="8" w:color="CFF0FC"/>
            </w:tcBorders>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-187960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7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 income tax returns.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Earnings (Loss) per Share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Basic net earnings (loss) per share is determined by dividing net income (loss) by the weighted average shares of common stock outstanding during the period. Diluted net earnings (loss) per share is determined by dividing net income (loss) by diluted weighted average shares outstanding. Diluted weighted average shares reflects the dilutive effect, if any, of potentially dilutive common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ind w:right="180"/>
        <w:spacing w:after="0" w:line="282" w:lineRule="auto"/>
        <w:rPr>
          <w:sz w:val="20"/>
          <w:szCs w:val="20"/>
          <w:color w:val="auto"/>
        </w:rPr>
      </w:pPr>
      <w:r>
        <w:rPr>
          <w:rFonts w:ascii="Times New Roman" w:cs="Times New Roman" w:eastAsia="Times New Roman" w:hAnsi="Times New Roman"/>
          <w:sz w:val="18"/>
          <w:szCs w:val="18"/>
          <w:color w:val="auto"/>
        </w:rPr>
        <w:t>The calculation of net income (loss) and the number of shares used to compute basic and diluted net earnings (loss) per share for the three and six months ended June 30, 2024 and 2023 are as follows:</w:t>
      </w:r>
    </w:p>
    <w:p>
      <w:pPr>
        <w:spacing w:after="0" w:line="6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5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(17,560 )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(8,431 )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(34,020 )</w:t>
            </w:r>
          </w:p>
        </w:tc>
      </w:tr>
      <w:tr>
        <w:trPr>
          <w:trHeight w:val="23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410,851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407,017</w:t>
            </w: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411,395</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407,848</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407,017</w:t>
            </w:r>
          </w:p>
        </w:tc>
        <w:tc>
          <w:tcPr>
            <w:tcW w:w="100" w:type="dxa"/>
            <w:vAlign w:val="bottom"/>
            <w:tcBorders>
              <w:top w:val="single" w:sz="8" w:color="CFF0FC"/>
            </w:tcBorders>
          </w:tcPr>
          <w:p>
            <w:pPr>
              <w:spacing w:after="0"/>
              <w:rPr>
                <w:sz w:val="20"/>
                <w:szCs w:val="20"/>
                <w:color w:val="auto"/>
              </w:rPr>
            </w:pPr>
          </w:p>
        </w:tc>
      </w:tr>
      <w:tr>
        <w:trPr>
          <w:trHeight w:val="24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(0.08 )</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-465455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-465455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-465455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-465455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4" w:lineRule="exact"/>
        <w:rPr>
          <w:sz w:val="20"/>
          <w:szCs w:val="20"/>
          <w:color w:val="auto"/>
        </w:rPr>
      </w:pPr>
    </w:p>
    <w:p>
      <w:pPr>
        <w:ind w:left="600" w:right="80" w:firstLine="7"/>
        <w:spacing w:after="0" w:line="261" w:lineRule="auto"/>
        <w:tabs>
          <w:tab w:leader="none" w:pos="8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Excluding the licensing revenue change in estimates discussed in </w:t>
      </w:r>
      <w:r>
        <w:rPr>
          <w:rFonts w:ascii="Times New Roman" w:cs="Times New Roman" w:eastAsia="Times New Roman" w:hAnsi="Times New Roman"/>
          <w:sz w:val="18"/>
          <w:szCs w:val="18"/>
          <w:i w:val="1"/>
          <w:iCs w:val="1"/>
          <w:color w:val="auto"/>
        </w:rPr>
        <w:t>Note 7 – Revenue Recognition</w:t>
      </w:r>
      <w:r>
        <w:rPr>
          <w:rFonts w:ascii="Times New Roman" w:cs="Times New Roman" w:eastAsia="Times New Roman" w:hAnsi="Times New Roman"/>
          <w:sz w:val="18"/>
          <w:szCs w:val="18"/>
          <w:color w:val="auto"/>
        </w:rPr>
        <w:t>, net earnings per share, basic and diluted, for the three months ended June 30, 2024 would have been a loss per share of $(0.01) and net loss per share for the three months ended June 30, 2023 would have been $(0.06) and net loss per share for the six months ended June 30, 2024 and 2023 would have been $(0.03) and $(0.10), respectively.</w:t>
      </w:r>
    </w:p>
    <w:p>
      <w:pPr>
        <w:spacing w:after="0" w:line="74"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and 2023, the following potentially dilutive securities were not included in the computation of net earnings (loss) per share because the effect would be anti-dilutive or because performance criteria were not yet met for awards contingent upon such measures: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27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20" w:type="dxa"/>
            <w:vAlign w:val="bottom"/>
          </w:tcPr>
          <w:p>
            <w:pPr>
              <w:spacing w:after="0"/>
              <w:rPr>
                <w:sz w:val="16"/>
                <w:szCs w:val="16"/>
                <w:color w:val="auto"/>
              </w:rPr>
            </w:pPr>
          </w:p>
        </w:tc>
        <w:tc>
          <w:tcPr>
            <w:tcW w:w="27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FF0FC"/>
          </w:tcPr>
          <w:p>
            <w:pPr>
              <w:spacing w:after="0"/>
              <w:rPr>
                <w:sz w:val="20"/>
                <w:szCs w:val="20"/>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tcPr>
          <w:p>
            <w:pPr>
              <w:spacing w:after="0"/>
              <w:rPr>
                <w:sz w:val="20"/>
                <w:szCs w:val="20"/>
                <w:color w:val="auto"/>
              </w:rPr>
            </w:pPr>
          </w:p>
        </w:tc>
      </w:tr>
    </w:tbl>
    <w:p>
      <w:pPr>
        <w:spacing w:after="0" w:line="3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investments, and accounts receivable. The Company maintains substantially all of its cash and cash equivalents and short-term and long-term investments in financial institutions believed to be of high-credit quality.</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28%, 34%, and 29%, respectively, of gross product sales for the six months ended June 30, 2024, and represented 40%, 30%, and 21%, respectively, of the gross accounts receivable balance as of June 30, 2024. Customers A, B, and C accounted for 30%, 36%, and 28%, respectively, of gross product sales for the six months ended June 30, 2023 and represented 39%, 34%, and 22%, respectively, of the gross accounts receivable balance as of June 30, 2023. The Company has not experienced any significant write-offs of its accounts receivable. All customer accounts are actively managed and no losses in excess of amounts reserved are currently expected.</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72"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40"/>
        <w:spacing w:after="0" w:line="258" w:lineRule="auto"/>
        <w:rPr>
          <w:sz w:val="20"/>
          <w:szCs w:val="20"/>
          <w:color w:val="auto"/>
        </w:rPr>
      </w:pPr>
      <w:r>
        <w:rPr>
          <w:rFonts w:ascii="Times New Roman" w:cs="Times New Roman" w:eastAsia="Times New Roman" w:hAnsi="Times New Roman"/>
          <w:sz w:val="18"/>
          <w:szCs w:val="18"/>
          <w:color w:val="auto"/>
        </w:rPr>
        <w:t>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9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June 30, 2024 and December 31, 2023 and indicate the fair value hierarchy of the valuation techniques the Company utilized to determine such fair value: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103,609</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103,609</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132,919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132,919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7"/>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241,528</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236,528</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2"/>
        </w:trPr>
        <w:tc>
          <w:tcPr>
            <w:tcW w:w="3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Shares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123,992</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123,992</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Agency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235,380</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223,218</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-1362075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-1345565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-1362075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-1345565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-1362075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-1345565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-1362075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-1345565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-187960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-187960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condensed consolidated balance sheet. Those with remaining maturities in excess of 12 months are included in long-term investments on its condensed consolidated balance sheet.</w:t>
      </w:r>
    </w:p>
    <w:p>
      <w:pPr>
        <w:spacing w:after="0" w:line="7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six months ended June 30, 2024 and 2023 were both losses of less than $0.1 million. Interest on investments is reported in interest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identifies a restructuring event as a program that is planned and controlled by management, and materially changes either the scope of the Company's business or the manner in which that business is conducted. The accounting for involuntary termination benefits that are provided pursuant to a one-time benefit arrangement are accounted for under </w:t>
      </w:r>
      <w:r>
        <w:rPr>
          <w:rFonts w:ascii="Times New Roman" w:cs="Times New Roman" w:eastAsia="Times New Roman" w:hAnsi="Times New Roman"/>
          <w:sz w:val="18"/>
          <w:szCs w:val="18"/>
          <w:i w:val="1"/>
          <w:iCs w:val="1"/>
          <w:color w:val="auto"/>
        </w:rPr>
        <w:t>ASC 420 – Exit or Disposal Cost Obligations</w:t>
      </w:r>
      <w:r>
        <w:rPr>
          <w:rFonts w:ascii="Times New Roman" w:cs="Times New Roman" w:eastAsia="Times New Roman" w:hAnsi="Times New Roman"/>
          <w:sz w:val="18"/>
          <w:szCs w:val="18"/>
          <w:color w:val="auto"/>
        </w:rPr>
        <w:t xml:space="preserve"> whereas involuntary termination benefits that are part of an ongoing written or substantive plan are accounted for under </w:t>
      </w:r>
      <w:r>
        <w:rPr>
          <w:rFonts w:ascii="Times New Roman" w:cs="Times New Roman" w:eastAsia="Times New Roman" w:hAnsi="Times New Roman"/>
          <w:sz w:val="18"/>
          <w:szCs w:val="18"/>
          <w:i w:val="1"/>
          <w:iCs w:val="1"/>
          <w:color w:val="auto"/>
        </w:rPr>
        <w:t>ASC 712 – Compensation – Nonretirement Postemployment Benefits.</w:t>
      </w:r>
      <w:r>
        <w:rPr>
          <w:rFonts w:ascii="Times New Roman" w:cs="Times New Roman" w:eastAsia="Times New Roman" w:hAnsi="Times New Roman"/>
          <w:sz w:val="18"/>
          <w:szCs w:val="18"/>
          <w:color w:val="auto"/>
        </w:rPr>
        <w:t xml:space="preserve"> The Company accrues a liability for termination benefits under ASC 712 when it is probable that a liability has been incurred and the amount can be reasonably estimated and under ASC 420 when the termination benefits are communicated.</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June 2023, the Company approved and subsequently announced on July 18, 2023, an Organizational Restructuring Plan, or ORP, to right-size and strengthen the Company. As part of the plan, the Company completed a reduction of its entire U.S. sales field force, as well as a reduction of approximately 30% of its non-sales positions. The Company maintained its managed care and trade organization to support U.S. commercial efforts. During the three and six months ended June 30, 2023, the Company recognized approximately $10.2 million within restructuring expense on the condensed consolidated statement of operations related to the reduction in forces.</w:t>
      </w:r>
    </w:p>
    <w:p>
      <w:pPr>
        <w:spacing w:after="0" w:line="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continues to assess its contractual supplier purchase obligations and has taken steps to amend supplier agreements to align supply arrangements with current and future market demand. As a result of the ongoing assessment, the Company recognized $14.3 million during the three months ended June 30, 2023 and $26.6 million during the six months ended June 30, 2023, within cost of goods sold - restructuring inventory on the condensed consolidated statement of operations. The Company continues to negotiate with other contract suppliers to align its supply arrangements with current and future global demand, which may result in additional costs to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restructuring charges for the three and six months ended June 30, 2023 (none in 2024):</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0" w:type="dxa"/>
            <w:vAlign w:val="bottom"/>
          </w:tcPr>
          <w:p>
            <w:pPr>
              <w:spacing w:after="0"/>
              <w:rPr>
                <w:sz w:val="16"/>
                <w:szCs w:val="16"/>
                <w:color w:val="auto"/>
              </w:rPr>
            </w:pPr>
          </w:p>
        </w:tc>
        <w:tc>
          <w:tcPr>
            <w:tcW w:w="27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2800" w:type="dxa"/>
            <w:vAlign w:val="bottom"/>
            <w:tcBorders>
              <w:top w:val="single" w:sz="8" w:color="auto"/>
              <w:bottom w:val="single" w:sz="8" w:color="auto"/>
            </w:tcBorders>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600" w:type="dxa"/>
            <w:vAlign w:val="bottom"/>
            <w:tcBorders>
              <w:top w:val="single" w:sz="8" w:color="auto"/>
              <w:bottom w:val="single" w:sz="8" w:color="auto"/>
            </w:tcBorders>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6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00" w:type="dxa"/>
            <w:vAlign w:val="bottom"/>
            <w:shd w:val="clear" w:color="auto" w:fill="CFF0FC"/>
          </w:tcPr>
          <w:p>
            <w:pPr>
              <w:spacing w:after="0"/>
              <w:rPr>
                <w:sz w:val="22"/>
                <w:szCs w:val="22"/>
                <w:color w:val="auto"/>
              </w:rPr>
            </w:pPr>
          </w:p>
        </w:tc>
      </w:tr>
      <w:tr>
        <w:trPr>
          <w:trHeight w:val="25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240" w:type="dxa"/>
            <w:vAlign w:val="bottom"/>
          </w:tcPr>
          <w:p>
            <w:pPr>
              <w:spacing w:after="0"/>
              <w:rPr>
                <w:sz w:val="21"/>
                <w:szCs w:val="21"/>
                <w:color w:val="auto"/>
              </w:rPr>
            </w:pPr>
          </w:p>
        </w:tc>
        <w:tc>
          <w:tcPr>
            <w:tcW w:w="3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(122 )</w:t>
            </w:r>
          </w:p>
        </w:tc>
        <w:tc>
          <w:tcPr>
            <w:tcW w:w="200" w:type="dxa"/>
            <w:vAlign w:val="bottom"/>
          </w:tcPr>
          <w:p>
            <w:pPr>
              <w:spacing w:after="0"/>
              <w:rPr>
                <w:sz w:val="21"/>
                <w:szCs w:val="21"/>
                <w:color w:val="auto"/>
              </w:rPr>
            </w:pPr>
          </w:p>
        </w:tc>
        <w:tc>
          <w:tcPr>
            <w:tcW w:w="2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(122 )</w:t>
            </w:r>
          </w:p>
        </w:tc>
      </w:tr>
      <w:tr>
        <w:trPr>
          <w:trHeight w:val="279"/>
        </w:trPr>
        <w:tc>
          <w:tcPr>
            <w:tcW w:w="3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2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2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inventory</w:t>
            </w: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26,554</w:t>
            </w:r>
          </w:p>
        </w:tc>
        <w:tc>
          <w:tcPr>
            <w:tcW w:w="100" w:type="dxa"/>
            <w:vAlign w:val="bottom"/>
          </w:tcPr>
          <w:p>
            <w:pPr>
              <w:spacing w:after="0"/>
              <w:rPr>
                <w:sz w:val="20"/>
                <w:szCs w:val="20"/>
                <w:color w:val="auto"/>
              </w:rPr>
            </w:pPr>
          </w:p>
        </w:tc>
      </w:tr>
      <w:tr>
        <w:trPr>
          <w:trHeight w:val="279"/>
        </w:trPr>
        <w:tc>
          <w:tcPr>
            <w:tcW w:w="3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costs incurred</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-376555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-359410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-376555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-359410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6"/>
                <w:szCs w:val="16"/>
                <w:color w:val="auto"/>
              </w:rPr>
            </w:pPr>
          </w:p>
        </w:tc>
        <w:tc>
          <w:tcPr>
            <w:tcW w:w="3520" w:type="dxa"/>
            <w:vAlign w:val="bottom"/>
            <w:gridSpan w:val="2"/>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3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00" w:type="dxa"/>
            <w:vAlign w:val="bottom"/>
            <w:shd w:val="clear" w:color="auto" w:fill="CFF0FC"/>
          </w:tcPr>
          <w:p>
            <w:pPr>
              <w:spacing w:after="0"/>
              <w:rPr>
                <w:sz w:val="20"/>
                <w:szCs w:val="20"/>
                <w:color w:val="auto"/>
              </w:rPr>
            </w:pPr>
          </w:p>
        </w:tc>
      </w:tr>
      <w:tr>
        <w:trPr>
          <w:trHeight w:val="23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incurred</w:t>
            </w:r>
          </w:p>
        </w:tc>
        <w:tc>
          <w:tcPr>
            <w:tcW w:w="740" w:type="dxa"/>
            <w:vAlign w:val="bottom"/>
          </w:tcPr>
          <w:p>
            <w:pPr>
              <w:spacing w:after="0"/>
              <w:rPr>
                <w:sz w:val="20"/>
                <w:szCs w:val="20"/>
                <w:color w:val="auto"/>
              </w:rPr>
            </w:pPr>
          </w:p>
        </w:tc>
        <w:tc>
          <w:tcPr>
            <w:tcW w:w="3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shd w:val="clear" w:color="auto" w:fill="CFF0FC"/>
          </w:tcPr>
          <w:p>
            <w:pPr>
              <w:spacing w:after="0"/>
              <w:rPr>
                <w:sz w:val="21"/>
                <w:szCs w:val="21"/>
                <w:color w:val="auto"/>
              </w:rPr>
            </w:pPr>
          </w:p>
        </w:tc>
        <w:tc>
          <w:tcPr>
            <w:tcW w:w="3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(3,361 )</w:t>
            </w:r>
          </w:p>
        </w:tc>
      </w:tr>
      <w:tr>
        <w:trPr>
          <w:trHeight w:val="236"/>
        </w:trPr>
        <w:tc>
          <w:tcPr>
            <w:tcW w:w="5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early by the Company or adopted as of the specified effective date.</w:t>
      </w:r>
    </w:p>
    <w:p>
      <w:pPr>
        <w:spacing w:after="0" w:line="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condensed consolidated financial position, results of operations, and cash flows, or do not apply to the Company’s operations.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2" w:name="page13"/>
    <w:bookmarkEnd w:id="12"/>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Intangible asset consists of internal-use software, website development costs and milestone payments to the former shareholders of Laxdale related to the 2004 acquisition of the rights to VASCEPA, which is the result of VASCEPA receiving marketing approval in the U.S. for the MARINE indication in 2012, the REDUCE-IT indication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June 30, 2024, the intangible asset has an estimated weighted-average remaining useful life of 6.6 years. The carrying value as of June 30, 2024 and December 31, 2023 is as 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80" w:type="dxa"/>
            <w:vAlign w:val="bottom"/>
            <w:shd w:val="clear" w:color="auto" w:fill="CFF0FC"/>
          </w:tcPr>
          <w:p>
            <w:pPr>
              <w:spacing w:after="0"/>
              <w:rPr>
                <w:sz w:val="20"/>
                <w:szCs w:val="20"/>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(15,342 )</w:t>
            </w:r>
          </w:p>
        </w:tc>
        <w:tc>
          <w:tcPr>
            <w:tcW w:w="1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(13,884 )</w:t>
            </w:r>
          </w:p>
        </w:tc>
      </w:tr>
      <w:tr>
        <w:trPr>
          <w:trHeight w:val="277"/>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Inventories as of June 30, 2024 and December 31, 2023 consist of the following:</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142,594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155,128</w:t>
            </w:r>
          </w:p>
        </w:tc>
        <w:tc>
          <w:tcPr>
            <w:tcW w:w="80" w:type="dxa"/>
            <w:vAlign w:val="bottom"/>
            <w:shd w:val="clear" w:color="auto" w:fill="CFF0FC"/>
          </w:tcPr>
          <w:p>
            <w:pPr>
              <w:spacing w:after="0"/>
              <w:rPr>
                <w:sz w:val="20"/>
                <w:szCs w:val="20"/>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80" w:type="dxa"/>
            <w:vAlign w:val="bottom"/>
          </w:tcPr>
          <w:p>
            <w:pPr>
              <w:spacing w:after="0"/>
              <w:rPr>
                <w:sz w:val="20"/>
                <w:szCs w:val="20"/>
                <w:color w:val="auto"/>
              </w:rPr>
            </w:pPr>
          </w:p>
        </w:tc>
      </w:tr>
      <w:tr>
        <w:trPr>
          <w:trHeight w:val="243"/>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134,438</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574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 xml:space="preserve">Total inventory </w:t>
            </w:r>
            <w:r>
              <w:rPr>
                <w:rFonts w:ascii="Times New Roman" w:cs="Times New Roman" w:eastAsia="Times New Roman" w:hAnsi="Times New Roman"/>
                <w:sz w:val="24"/>
                <w:szCs w:val="24"/>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310,702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336,231</w:t>
            </w:r>
          </w:p>
        </w:tc>
        <w:tc>
          <w:tcPr>
            <w:tcW w:w="80" w:type="dxa"/>
            <w:vAlign w:val="bottom"/>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-187960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1360" w:right="1360" w:hanging="4"/>
        <w:spacing w:after="0" w:line="261" w:lineRule="auto"/>
        <w:tabs>
          <w:tab w:leader="none" w:pos="1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inventory consists of both current inventory and long-term inventory. During the six months ended June 30, 2024, approximately $1.5 million of inventory was expensed through cost of goods sold for product dating inventory. During the three and six months ended June 30, 2023 approximately $1.1 million and $3.4 million, respectively, of finished goods were expensed through cost of goods sold related to unsellable inventory not related to product dating.</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$71.3 million and $77.6 million of long-term inventory, respectively, as consumption is expected beyond the Company's operating cycle of 12 months.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Amarin accrues a liability for legal contingencies when it believes that it is both probable that a liability has been incurred and that it can reasonably estimate the amount of the loss. Amarin reviews these accruals and adjusts them to reflect ongoing negotiations, settlements, rulings, advice of legal counsel and other relevant information. To the extent new information is obtained and Amarin’s views on the probable outcomes of claims, suits, assessments, investigations or legal proceedings change, changes in Amarin’s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Amarin provides disclosure of the possible loss or range of loss. If a reasonable estimate cannot be made, however, Amarin will provide disclosure to that effect.</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Updates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Amarin intends to vigorously enforce its intellectual property rights relating to VASCEPA, but cannot predict the outcome of these lawsuits described below, those lawsuits described in the Company's Form 10-K or any subsequently filed lawsuits. Except as described below, there have been no material updates to our litigation as reported in the Company’s Form 10-K.</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has been a practice in the generic pharmaceutical industry, on April 27, 2021 and February 21, 2023, Dr. Reddy’s and Hikma, respectively, filed complaints against the Company in the United States District Court for the District of New Jersey, Civil action No. 21-cv-10309 and No. 23-cv-01016, alleging various antitrust violations stemming from alleged anticompetitive practices related to the supply of active pharmaceutical ingredient of VASCEPA. On March 28, 2024, Teva Pharmaceuticals USA, Inc., or Teva, filed a complaint against the Company in the United States District Court for the District of New Jersey, Civil action No. 24-cv-04341 alleging various antitrust violations analogous to those made by Dr. Reddy’s and Hikma. The Company filed a motion to dismiss the Teva complaint in May 2024, the motion remains pending. Further, on June 14, 2024, Apotex, Inc., or Apotex, filed a complaint against the Company in the United States District Court for the District of New Jersey. Civil action No. 24-cv-07041 alleging various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3" w:name="page14"/>
    <w:bookmarkEnd w:id="13"/>
    <w:p>
      <w:pPr>
        <w:ind w:right="200"/>
        <w:spacing w:after="0" w:line="261" w:lineRule="auto"/>
        <w:rPr>
          <w:sz w:val="20"/>
          <w:szCs w:val="20"/>
          <w:color w:val="auto"/>
        </w:rPr>
      </w:pPr>
      <w:r>
        <w:rPr>
          <w:rFonts w:ascii="Times New Roman" w:cs="Times New Roman" w:eastAsia="Times New Roman" w:hAnsi="Times New Roman"/>
          <w:sz w:val="18"/>
          <w:szCs w:val="18"/>
          <w:color w:val="auto"/>
        </w:rPr>
        <w:t>antitrust violations analogous to those made by Dr. Reddy's, Hikma and Teva. The complaints also include a related state law tortious interference claim. Damages sought include recovery for alleged economic harm to Dr. Reddy’s, Hikma, Teva and Apotex, respectively, treble damages, other costs and fees and injunctive relief against the alleged violative activities. Amarin believes it has valid defenses and will vigorously defend against the claims. Such litigation can be lengthy, costly and could materially affect and disrupt our business.</w:t>
      </w:r>
    </w:p>
    <w:p>
      <w:pPr>
        <w:spacing w:after="0" w:line="7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Amarin is named as a defendant in six antitrust class action lawsuits in the District Court for the District of New Jersey, as displayed in the table below. Each of the six antitrust class action lawsuits allege Amarin and its co-defendant suppliers violated state and federal antitrust laws by monopolizing and engaging in a conspiracy to restrain trade in the icosapent ethyl drug and API markets.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4"/>
                <w:szCs w:val="14"/>
                <w:b w:val="1"/>
                <w:bCs w:val="1"/>
                <w:color w:val="auto"/>
              </w:rPr>
              <w:t>Lawsuits</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Civil Action #</w:t>
            </w:r>
          </w:p>
        </w:tc>
        <w:tc>
          <w:tcPr>
            <w:tcW w:w="160" w:type="dxa"/>
            <w:vAlign w:val="bottom"/>
          </w:tcPr>
          <w:p>
            <w:pPr>
              <w:spacing w:after="0"/>
              <w:rPr>
                <w:sz w:val="16"/>
                <w:szCs w:val="16"/>
                <w:color w:val="auto"/>
              </w:rPr>
            </w:pPr>
          </w:p>
        </w:tc>
        <w:tc>
          <w:tcPr>
            <w:tcW w:w="2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Direct/Indirect Purchasers</w:t>
            </w:r>
          </w:p>
        </w:tc>
        <w:tc>
          <w:tcPr>
            <w:tcW w:w="0" w:type="dxa"/>
            <w:vAlign w:val="bottom"/>
          </w:tcPr>
          <w:p>
            <w:pPr>
              <w:spacing w:after="0"/>
              <w:rPr>
                <w:sz w:val="1"/>
                <w:szCs w:val="1"/>
                <w:color w:val="auto"/>
              </w:rPr>
            </w:pPr>
          </w:p>
        </w:tc>
      </w:tr>
      <w:tr>
        <w:trPr>
          <w:trHeight w:val="205"/>
        </w:trPr>
        <w:tc>
          <w:tcPr>
            <w:tcW w:w="76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Uniformed Fire Officers Association Family Protection Plan Local 854 &amp; Uniformed Fire Officers</w:t>
            </w:r>
          </w:p>
        </w:tc>
        <w:tc>
          <w:tcPr>
            <w:tcW w:w="1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21-12061</w:t>
            </w:r>
          </w:p>
        </w:tc>
        <w:tc>
          <w:tcPr>
            <w:tcW w:w="160" w:type="dxa"/>
            <w:vAlign w:val="bottom"/>
            <w:shd w:val="clear" w:color="auto" w:fill="CFF0FC"/>
          </w:tcPr>
          <w:p>
            <w:pPr>
              <w:spacing w:after="0"/>
              <w:rPr>
                <w:sz w:val="17"/>
                <w:szCs w:val="17"/>
                <w:color w:val="auto"/>
              </w:rPr>
            </w:pP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126"/>
        </w:trPr>
        <w:tc>
          <w:tcPr>
            <w:tcW w:w="76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Association for Retired Fire Officers Family Protection Plan</w:t>
            </w:r>
          </w:p>
        </w:tc>
        <w:tc>
          <w:tcPr>
            <w:tcW w:w="146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2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Trustees of Heavy and General Laborers’ Local Unions 472 and 172 of N.J. Welfare Fund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12-14639</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International Union of Operating Engineers Locals 137, 137A, 137B, 137C, 137R</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21-12416</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KPH Healthcare Services, Inc.</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21-12747</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 Purchaser</w:t>
            </w: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Local 464A United Food and Commercial Workers Union Welfare Service Benefit Fund</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21-13009</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Teamsters Health &amp; Welfare Fund of Philadelphia and Vicinity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21-13406</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Such antitrust litigation, and antitrust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68"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On October 21, 2021, a purported investor in the Company's publicly traded securities filed a putative class action lawsuit against the Company, the former chief executive officer and the former chief financial officer in the U.S. District Court for the District of New Jersey, Vincent Dang v. Amarin Corporation plc, John F. Thero and Michael W. Kalb, No. 1:21-cv-19212 (D.N.J. Oct. 21, 2021). A subsequent case, Dorfman v. Amarin Corporation plc, et al., No.</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3:21-cv-19911 (D.N.J. filed Nov. 10, 2021), was filed in November 2021. In December 2021, several Amarin shareholders moved to consolidate the cases and appoint a lead plaintiff and lead counsel pursuant to the Private Securities Litigation Reform Act. The complaints in these actions are nearly identical and allege that the Company misled investors by allegedly downplaying the risk associated with the Company's patent litigation related to its Abbreviated New Drug Application, or ANDA, that sought U.S. FDA approval for the sale of generic versions of VASCEPA, or ANDA litigation, and the risk that certain of the Company's patents related to the MARINE indication would be invalidated. Based on these allegations, plaintiff alleges that he purchased securities at an inflated share price and brings claims under the Securities and Exchange Act of 1934 seeking unspecified monetary damages and attorneys' fees and costs. In October 2022, the court consolidated the cases and appointed a lead plaintiff for the putative class. On January 13, 2023, lead plaintiff filed an amended complaint that also named the former general counsel, and again alleged that the Company made false statements regarding the ANDA litigation as well as about the REDUCE-IT indication and VASCEPA’s financial prospects resulting from REDUCE-IT. All defendants have moved to dismiss the amended complaint and the motion remains pending. The Company believes it has valid defenses and will vigorously defend against the claims but cannot predict the outcome. The Company is unable to reasonably estimate the loss exposure, if any, associated with these claims.</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March 29, 2023, purported investors in the Company’s publicly traded securities filed a derivative lawsuit, naming as defendants the Company’s former general counsel, the Company’s trial counsel for the ANDA litigation, and the Company as nominal defendant, in the Superior Court of New Jersey, Law Division, Monmouth County, captioned </w:t>
      </w:r>
      <w:r>
        <w:rPr>
          <w:rFonts w:ascii="Times New Roman" w:cs="Times New Roman" w:eastAsia="Times New Roman" w:hAnsi="Times New Roman"/>
          <w:sz w:val="18"/>
          <w:szCs w:val="18"/>
          <w:i w:val="1"/>
          <w:iCs w:val="1"/>
          <w:color w:val="auto"/>
        </w:rPr>
        <w:t>Anne Abramson, John Lissandrello, Georgette Appiano, and Andrew Bondarowicz v. Amarin Corporation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Covington &amp; Burling, LLP, Joseph T. Kennedy, and John Does A-Z</w:t>
      </w:r>
      <w:r>
        <w:rPr>
          <w:rFonts w:ascii="Times New Roman" w:cs="Times New Roman" w:eastAsia="Times New Roman" w:hAnsi="Times New Roman"/>
          <w:sz w:val="18"/>
          <w:szCs w:val="18"/>
          <w:color w:val="auto"/>
        </w:rPr>
        <w:t>, No. MON-L-000984-23 (N.J. Super. Ct. Law Div. Mar. 29, 2023).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alleged that the defendants failed to exercise appropriate diligence and due care in their conduct of the ANDA litigation. Based on those allegations, the complaint alleged that the defendants committed legal malpractice and sought monetary damages and attorneys’ fees and costs. On April 8, 2023, the plaintiffs voluntarily dismissed this case without prejudice.</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November 30, 2020, the Company filed a patent infringement lawsuit against Hikma for making, selling, offering to sell, and importing generic icosapent ethyl capsules in and into the United States in a manner that the Company alleges induced the infringement of patents covering the use of VASCEPA to reduce specified CV risk. On January 4, 2022, the district court for the District of Delaware granted a motion to dismiss the Company's lawsuit for failure to state a claim. Thereafter, the Company appealed to the Court of Appeals for the Federal Circuit. On June 25, 2024, the Federal Circuit issued a decision reversing the district court, finding that the Company's allegations against Hikma plausibly state a claim alleging Hikma actively induced infringement of the asserted patents. The case will return to the district court and proceed accordingly.</w:t>
      </w:r>
    </w:p>
    <w:p>
      <w:pPr>
        <w:spacing w:after="0" w:line="7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Times New Roman" w:cs="Times New Roman" w:eastAsia="Times New Roman" w:hAnsi="Times New Roman"/>
          <w:sz w:val="18"/>
          <w:szCs w:val="18"/>
          <w:i w:val="1"/>
          <w:iCs w:val="1"/>
          <w:color w:val="auto"/>
        </w:rPr>
        <w:t>Mikhail v. Amarin Corporation, plc</w:t>
      </w:r>
      <w:r>
        <w:rPr>
          <w:rFonts w:ascii="Times New Roman" w:cs="Times New Roman" w:eastAsia="Times New Roman" w:hAnsi="Times New Roman"/>
          <w:sz w:val="18"/>
          <w:szCs w:val="18"/>
          <w:color w:val="auto"/>
        </w:rPr>
        <w:t xml:space="preserve"> (Docket No. SOM-L-000366-23), concerning Mr. Mikhail’s alleged “constructive termination” from the Company. The complaint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300"/>
        <w:spacing w:after="0" w:line="256" w:lineRule="auto"/>
        <w:rPr>
          <w:sz w:val="20"/>
          <w:szCs w:val="20"/>
          <w:color w:val="auto"/>
        </w:rPr>
      </w:pPr>
      <w:r>
        <w:rPr>
          <w:rFonts w:ascii="Times New Roman" w:cs="Times New Roman" w:eastAsia="Times New Roman" w:hAnsi="Times New Roman"/>
          <w:sz w:val="18"/>
          <w:szCs w:val="18"/>
          <w:color w:val="auto"/>
        </w:rPr>
        <w:t>seeks unspecified damages arising from claims for breaches of his employment agreement, Executive Severance and Change of Control Plan, and the implied covenant of good faith and fair dealing. On April 3, 2023, the case moved to the United States District Court for the District of New Jersey (Civ. No. 3:23-cv-01856). On June 30, 2023, all defendants moved to dismiss this case without prejudice due to lack of jurisdiction. On March 4, 2024, the District Court granted the motion in part and denied the motion in part, permitting the parties to pursue limited discovery on the issue of personal jurisdiction, and allowing defendants thereafter to refile a motion to dismiss. The Company believes it has valid defenses and will vigorously defend against the claims but cannot predict the outcome. The Company is unable to reasonably estimate the loss exposure, if any, associated with these claims.</w:t>
      </w:r>
    </w:p>
    <w:p>
      <w:pPr>
        <w:spacing w:after="0" w:line="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6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negotiate with contract suppliers to align its supply arrangements with current and future global demand, which may result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costs to the Company. As of the date of filing of this Quarterly Report, the Company has a total of approximately $29.0 million in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purchase obligations without consideration to ongoing discussions with other suppliers. In addition, the Company has total obligations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$186.5 million, which excludes the contingency obligations described below, contingent on either certain suppliers obtaining regulatory approval in Europe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obtaining pricing reimbursement in certain European countries.</w:t>
      </w:r>
    </w:p>
    <w:p>
      <w:pPr>
        <w:spacing w:after="0" w:line="9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to the above, the Company was unable to obtain pricing reimbursement in certain countries outlined within renegotiated supply agreements by June 30, 2024, triggering obligations up to $15.8 million. The Company continues to renegotiate supply agreements with a reasonable estimate of the liability amounting to $8.0 million; the Company had previously recorded an $8.0 million provision, in cost of goods sold - restructuring inventory on the condensed consolidated statement of operations. The ultimate resolution of the negotiations could result in up to an additional $7.8 million of the amount accrued.</w:t>
      </w:r>
    </w:p>
    <w:p>
      <w:pPr>
        <w:spacing w:after="0" w:line="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such former shareholder) of £5.0 million (approximately $6.3 million as of June 30, 2024) for the potential market approval.</w:t>
      </w:r>
    </w:p>
    <w:p>
      <w:pPr>
        <w:spacing w:after="0" w:line="6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Company has no provision for any of these obligations, except the $8.0 million provision noted above, since the amounts are either not paid or payable as of June 30, 2024.</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was no common stock activity during the six months ended June 30, 2024 and 2023, except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restricted stock units, or RSUs, outstanding under the Amarin Corporation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Stock Incentive Plan, or the 2020 Plan, as of June 30, 2024: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3500" w:type="dxa"/>
            <w:vAlign w:val="bottom"/>
            <w:gridSpan w:val="3"/>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25,336,953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fully-diluted basis</w:t>
            </w: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14,926,385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fully-diluted basis</w:t>
            </w: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six months ended June 30, 2024 and 2023:</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5" w:name="page16"/>
    <w:bookmarkEnd w:id="15"/>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color w:val="auto"/>
        </w:rPr>
        <w:t>Gross and net proceeds from stock option exercises</w:t>
      </w:r>
      <w:r>
        <w:rPr>
          <w:sz w:val="20"/>
          <w:szCs w:val="20"/>
          <w:color w:val="auto"/>
        </w:rPr>
        <w:tab/>
      </w:r>
      <w:r>
        <w:rPr>
          <w:rFonts w:ascii="Times New Roman" w:cs="Times New Roman" w:eastAsia="Times New Roman" w:hAnsi="Times New Roman"/>
          <w:sz w:val="16"/>
          <w:szCs w:val="16"/>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right="760"/>
        <w:spacing w:after="0" w:line="270" w:lineRule="auto"/>
        <w:rPr>
          <w:sz w:val="20"/>
          <w:szCs w:val="20"/>
          <w:color w:val="auto"/>
        </w:rPr>
      </w:pPr>
      <w:r>
        <w:rPr>
          <w:rFonts w:ascii="Times New Roman" w:cs="Times New Roman" w:eastAsia="Times New Roman" w:hAnsi="Times New Roman"/>
          <w:sz w:val="17"/>
          <w:szCs w:val="17"/>
          <w:color w:val="auto"/>
        </w:rPr>
        <w:t xml:space="preserve">Shares retained for settlement of employee tax obligations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RSUs Common shares issued in settlement of vested Performance-based RSUs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right="380"/>
        <w:spacing w:after="0" w:line="258" w:lineRule="auto"/>
        <w:rPr>
          <w:sz w:val="20"/>
          <w:szCs w:val="20"/>
          <w:color w:val="auto"/>
        </w:rPr>
      </w:pPr>
      <w:r>
        <w:rPr>
          <w:rFonts w:ascii="Times New Roman" w:cs="Times New Roman" w:eastAsia="Times New Roman" w:hAnsi="Times New Roman"/>
          <w:sz w:val="18"/>
          <w:szCs w:val="18"/>
          <w:color w:val="auto"/>
        </w:rPr>
        <w:t>Shares retained for settlement of employee tax obligations ─ Performance-based RSUs</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16510</wp:posOffset>
            </wp:positionV>
            <wp:extent cx="33604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80" w:type="dxa"/>
            <w:vAlign w:val="bottom"/>
          </w:tcPr>
          <w:p>
            <w:pPr>
              <w:jc w:val="right"/>
              <w:ind w:right="14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17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9,500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1,238,263</w:t>
            </w:r>
          </w:p>
        </w:tc>
      </w:tr>
      <w:tr>
        <w:trPr>
          <w:trHeight w:val="238"/>
        </w:trPr>
        <w:tc>
          <w:tcPr>
            <w:tcW w:w="17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10,260</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1,878,000</w:t>
            </w:r>
          </w:p>
        </w:tc>
      </w:tr>
      <w:tr>
        <w:trPr>
          <w:trHeight w:val="243"/>
        </w:trPr>
        <w:tc>
          <w:tcPr>
            <w:tcW w:w="17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2,992,343</w:t>
            </w:r>
          </w:p>
        </w:tc>
        <w:tc>
          <w:tcPr>
            <w:tcW w:w="5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3,037,583</w:t>
            </w:r>
          </w:p>
        </w:tc>
      </w:tr>
      <w:tr>
        <w:trPr>
          <w:trHeight w:val="243"/>
        </w:trPr>
        <w:tc>
          <w:tcPr>
            <w:tcW w:w="17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1,092,998</w:t>
            </w:r>
          </w:p>
        </w:tc>
        <w:tc>
          <w:tcPr>
            <w:tcW w:w="5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851,549</w:t>
            </w:r>
          </w:p>
        </w:tc>
      </w:tr>
      <w:tr>
        <w:trPr>
          <w:trHeight w:val="257"/>
        </w:trPr>
        <w:tc>
          <w:tcPr>
            <w:tcW w:w="17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468,230</w:t>
            </w:r>
          </w:p>
        </w:tc>
        <w:tc>
          <w:tcPr>
            <w:tcW w:w="5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277,607</w:t>
            </w:r>
          </w:p>
        </w:tc>
      </w:tr>
      <w:tr>
        <w:trPr>
          <w:trHeight w:val="351"/>
        </w:trPr>
        <w:tc>
          <w:tcPr>
            <w:tcW w:w="17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227,380</w:t>
            </w:r>
          </w:p>
        </w:tc>
        <w:tc>
          <w:tcPr>
            <w:tcW w:w="5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-1002030</wp:posOffset>
            </wp:positionV>
            <wp:extent cx="15513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6200" w:space="720"/>
            <w:col w:w="4320"/>
          </w:cols>
          <w:pgMar w:left="320" w:top="1060" w:right="339" w:bottom="1440" w:gutter="0" w:footer="0" w:header="0"/>
        </w:sect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Performance-based RSUs vested in connection with the achievement of certain performance conditions during the year.</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July 2024, the Company granted 5,000,000 stock options to Aaron Berg in connection with his appointment as President and Chief Executive Officer, which will vest upon achievement of specified stock price conditions for the Company.</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April 2024, the Company granted a total of 492,296 RSUs and 1,438,360 stock options to members of the Company's Board of Directors. The RSUs vest annually over a three-year period and the stock options vest quarterly over a four-year period with a one-year cliff vesting.</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a total of 6,800,500 RSUs and 2,662,000 stock options to employees under the 2020 Plan. The RSUs vest annually over a three-year period and the stock options vest quarterly over a four-year period with a one-year cliff vesting.</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February 2023, the Company granted a total of 7,775,850 RSUs and 4,297,500 stock options to employees under the 2020 Plan. The RSUs vest annually over a three-year period and the stock options vest quarterly over a four-year period with a one-year cliff vesting. Also in February 2023, the Company granted a total of 1,368,800 RSUs to employees under the 2020 Plan that vest upon the achievement of specified sales and operational performance conditions.</w:t>
      </w: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Revenue Recognition</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healthcare providers and payors that provide for government-mandated and/or privately-negotiated rebates, chargebacks and discounts with respect to the purchase of the Company’s product.</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45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payment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type w:val="continuous"/>
        </w:sectPr>
      </w:pPr>
    </w:p>
    <w:bookmarkStart w:id="16" w:name="page17"/>
    <w:bookmarkEnd w:id="16"/>
    <w:p>
      <w:pPr>
        <w:ind w:right="700"/>
        <w:spacing w:after="0" w:line="282" w:lineRule="auto"/>
        <w:rPr>
          <w:sz w:val="20"/>
          <w:szCs w:val="20"/>
          <w:color w:val="auto"/>
        </w:rPr>
      </w:pPr>
      <w:r>
        <w:rPr>
          <w:rFonts w:ascii="Times New Roman" w:cs="Times New Roman" w:eastAsia="Times New Roman" w:hAnsi="Times New Roman"/>
          <w:sz w:val="18"/>
          <w:szCs w:val="18"/>
          <w:color w:val="auto"/>
        </w:rPr>
        <w:t>vary from the Company’s estimates, the Company adjusts these estimates, which would affect net product revenue and earnings in the period such variances become known.</w:t>
      </w:r>
    </w:p>
    <w:p>
      <w:pPr>
        <w:spacing w:after="0" w:line="52" w:lineRule="exact"/>
        <w:rPr>
          <w:sz w:val="20"/>
          <w:szCs w:val="20"/>
          <w:color w:val="auto"/>
        </w:rPr>
      </w:pPr>
    </w:p>
    <w:p>
      <w:pPr>
        <w:ind w:left="520"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5" w:lineRule="exact"/>
        <w:rPr>
          <w:sz w:val="20"/>
          <w:szCs w:val="20"/>
          <w:color w:val="auto"/>
        </w:rPr>
      </w:pPr>
    </w:p>
    <w:p>
      <w:pPr>
        <w:ind w:left="520" w:right="4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77" w:lineRule="exact"/>
        <w:rPr>
          <w:sz w:val="20"/>
          <w:szCs w:val="20"/>
          <w:color w:val="auto"/>
        </w:rPr>
      </w:pPr>
    </w:p>
    <w:p>
      <w:pPr>
        <w:ind w:left="5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79" w:lineRule="exact"/>
        <w:rPr>
          <w:sz w:val="20"/>
          <w:szCs w:val="20"/>
          <w:color w:val="auto"/>
        </w:rPr>
      </w:pPr>
    </w:p>
    <w:p>
      <w:pPr>
        <w:ind w:left="520"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six months ended June 30, 2024 and 2023:</w:t>
      </w:r>
    </w:p>
    <w:p>
      <w:pPr>
        <w:spacing w:after="0" w:line="15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18,834</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143,033</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7,732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1,902</w:t>
            </w:r>
          </w:p>
        </w:tc>
        <w:tc>
          <w:tcPr>
            <w:tcW w:w="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171,501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413,252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(2,111 )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(2,111 )</w:t>
            </w: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(24,557 )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(292,412 )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(4,440 )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(321,483 )</w:t>
            </w: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(18,169 )</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(133,453 )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(2,272 )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(155,880 )</w:t>
            </w:r>
          </w:p>
        </w:tc>
        <w:tc>
          <w:tcPr>
            <w:tcW w:w="0" w:type="dxa"/>
            <w:vAlign w:val="bottom"/>
          </w:tcPr>
          <w:p>
            <w:pPr>
              <w:spacing w:after="0"/>
              <w:rPr>
                <w:sz w:val="1"/>
                <w:szCs w:val="1"/>
                <w:color w:val="auto"/>
              </w:rPr>
            </w:pPr>
          </w:p>
        </w:tc>
      </w:tr>
      <w:tr>
        <w:trPr>
          <w:trHeight w:val="238"/>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19,347</w:t>
            </w:r>
          </w:p>
        </w:tc>
        <w:tc>
          <w:tcPr>
            <w:tcW w:w="14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128,309</w:t>
            </w:r>
          </w:p>
        </w:tc>
        <w:tc>
          <w:tcPr>
            <w:tcW w:w="14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6,389</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1,341</w:t>
            </w: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155,386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Product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6"/>
                <w:szCs w:val="16"/>
                <w:color w:val="auto"/>
              </w:rPr>
            </w:pPr>
          </w:p>
        </w:tc>
        <w:tc>
          <w:tcPr>
            <w:tcW w:w="10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80" w:type="dxa"/>
            <w:vAlign w:val="bottom"/>
          </w:tcPr>
          <w:p>
            <w:pPr>
              <w:spacing w:after="0"/>
              <w:rPr>
                <w:sz w:val="16"/>
                <w:szCs w:val="16"/>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Returns</w:t>
            </w:r>
          </w:p>
        </w:tc>
        <w:tc>
          <w:tcPr>
            <w:tcW w:w="120" w:type="dxa"/>
            <w:vAlign w:val="bottom"/>
          </w:tcPr>
          <w:p>
            <w:pPr>
              <w:spacing w:after="0"/>
              <w:rPr>
                <w:sz w:val="16"/>
                <w:szCs w:val="16"/>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00" w:type="dxa"/>
            <w:vAlign w:val="bottom"/>
            <w:tcBorders>
              <w:top w:val="single" w:sz="8" w:color="auto"/>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44,626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136,093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8,746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191,521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(7,168 )</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(7,311 )</w:t>
            </w: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(24,778 )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(256,492 )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(8,520 )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(289,790 )</w:t>
            </w: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(42,389 )</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(70,842 )</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(1,219 )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(1,008 )</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(115,458 )</w:t>
            </w:r>
          </w:p>
        </w:tc>
        <w:tc>
          <w:tcPr>
            <w:tcW w:w="0" w:type="dxa"/>
            <w:vAlign w:val="bottom"/>
          </w:tcPr>
          <w:p>
            <w:pPr>
              <w:spacing w:after="0"/>
              <w:rPr>
                <w:sz w:val="1"/>
                <w:szCs w:val="1"/>
                <w:color w:val="auto"/>
              </w:rPr>
            </w:pPr>
          </w:p>
        </w:tc>
      </w:tr>
      <w:tr>
        <w:trPr>
          <w:trHeight w:val="239"/>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21,528</w:t>
            </w: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138,720</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8,336</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1,972</w:t>
            </w:r>
          </w:p>
        </w:tc>
        <w:tc>
          <w:tcPr>
            <w:tcW w:w="14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170,556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-1593850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-1593850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-1593850</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-1593850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During the three months ended June 30, 2024, the Company adjusted the measure of performance and recognized an additional $4.0 million of license revenue relating to Eddingpharm (Asia) Macao Commercial Offshore Limited, or Edding. Excluding this change in estimate, net loss per share basic and diluted for the six months ended June 30, 2024 would have been $(0.03). During the three months ended June 30, 2023, the Company adjusted the measure of performance and recognized an additional $5.0 million and $5.3 million of license revenue relating to Edding, and HLS Therapeutics Inc., or HLS, respectively. Excluding this change in estimate, net loss per share basic and diluted for the six months ended June 30, 2023 would have been $(0.10). Refer to </w:t>
      </w:r>
      <w:r>
        <w:rPr>
          <w:rFonts w:ascii="Times New Roman" w:cs="Times New Roman" w:eastAsia="Times New Roman" w:hAnsi="Times New Roman"/>
          <w:sz w:val="18"/>
          <w:szCs w:val="18"/>
          <w:i w:val="1"/>
          <w:iCs w:val="1"/>
          <w:color w:val="auto"/>
        </w:rPr>
        <w:t>Note 8—Development, Commercialization and Supply Agreements</w:t>
      </w:r>
      <w:r>
        <w:rPr>
          <w:rFonts w:ascii="Times New Roman" w:cs="Times New Roman" w:eastAsia="Times New Roman" w:hAnsi="Times New Roman"/>
          <w:sz w:val="18"/>
          <w:szCs w:val="18"/>
          <w:color w:val="auto"/>
        </w:rPr>
        <w:t xml:space="preserve"> for further details.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January 2024 and 2023, the Company exercised certain rights under the agreement, resulting in payments of $1.0 million in each of such periods to Mochida, which was recorded as research and development expense in the condensed consolidated statement of operations.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ANCHOR and REDUCE-IT clinical trials of VASCEPA.</w:t>
      </w:r>
    </w:p>
    <w:p>
      <w:pPr>
        <w:spacing w:after="0" w:line="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5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9" w:name="page20"/>
    <w:bookmarkEnd w:id="19"/>
    <w:p>
      <w:pPr>
        <w:ind w:right="80"/>
        <w:spacing w:after="0" w:line="261" w:lineRule="auto"/>
        <w:rPr>
          <w:sz w:val="20"/>
          <w:szCs w:val="20"/>
          <w:color w:val="auto"/>
        </w:rPr>
      </w:pPr>
      <w:r>
        <w:rPr>
          <w:rFonts w:ascii="Times New Roman" w:cs="Times New Roman" w:eastAsia="Times New Roman" w:hAnsi="Times New Roman"/>
          <w:sz w:val="18"/>
          <w:szCs w:val="18"/>
          <w:color w:val="auto"/>
        </w:rPr>
        <w:t>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was used to seek regulatory approval in Mainland China. In October 2023, Edding submitted its CTA with respect to the REDUCE-IT indication for VASCEPA to the Chinese regulatory authority. Following the CTA submission, the Company received a non-refundable $3.0 million milestone. The Company received approval of VASCEPA under the REDUCE-IT indication in Hong Kong in February 2022 and under the MARINE and REDUCE-IT indications in Mainland China in June of 2023 and 2024, respectively. Following approval of VASCEPA in Mainland China under the MARINE indication in June 2023, the Company received a non-refundable $5.0 million milestone payment and under the REDUCE-IT indication in June 2024, the Company recognized a non-refundable $15.0 million milestone payment. No additional regulatory milestone achievements are expected.</w:t>
      </w:r>
    </w:p>
    <w:p>
      <w:pPr>
        <w:spacing w:after="0" w:line="8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tiered double-digit percentage royalties on net sales of VASCEPA in the China Territory escalating to the high teens. The achievement of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the $1.0 million milestone payment received related to the successful submission of the CTA for the MARINE indication, the $5.0 million milestone payment received related to the approval of VASCEPA under the MARINE indication, the $3.0 million milestone payment related to the submission of the CTA for the REDUCE-IT indication and $15.0 million milestone payment related to the approval of VASCEPA under the REDUCE-IT indication. 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8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As discussed above, during the second quarter of 2023, Edding received regulatory approval in China under the MARINE indication and pursuit of additional indications outside of the REDUCE-IT indication was not probable. As a result, the Company reevaluated the performance period and determined that completion of the remaining performance obligations was estimated to be by the end of December 2025. The effect of this change in estimate from the previously received upfront payment and prior year milestone payments was an increase of $5.0 million in licensing revenue and a related reduction in net loss by $5.0 million in the six months ended June 30, 2023. In addition, the Company recognized $3.9 million related to the milestone payment received in the second quarter of 2023 for the MARINE indication approval and the remaining $1.1 million would have been recognized over the remaining performance period through December 2025. The change in estimate in 2023 resulted in the remaining performance period decreasing from 11 years to three years for recognizing the remaining deferred revenue.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120"/>
        <w:spacing w:after="0" w:line="274" w:lineRule="auto"/>
        <w:rPr>
          <w:sz w:val="20"/>
          <w:szCs w:val="20"/>
          <w:color w:val="auto"/>
        </w:rPr>
      </w:pPr>
      <w:r>
        <w:rPr>
          <w:rFonts w:ascii="Times New Roman" w:cs="Times New Roman" w:eastAsia="Times New Roman" w:hAnsi="Times New Roman"/>
          <w:sz w:val="17"/>
          <w:szCs w:val="17"/>
          <w:color w:val="auto"/>
        </w:rPr>
        <w:t>During the second quarter of 2024, Edding received approval in China under the REDUCE-IT indication. The REDUCE-IT indication approval concludes the Company's support for regulatory activities and, as noted above, pursuit of additional indications was deemed to be not probable. As a result, the Company reevaluated the performance period and determined that all remaining performance obligations were satisfied as of June 30, 2024, resulting in a decrease of the previous performance period of two years. The effect of this change in estimate from the previously received upfront payment and prior year milestone payments was an increase of $4.0 million in licensing revenue and a related reduction in net loss by $4.0 million in the six months ended June 30, 2024. In addition, the Company also recognized $15.0 million in the second quarter related to the REDUCE-IT indication approval milestone.</w:t>
      </w:r>
    </w:p>
    <w:p>
      <w:pPr>
        <w:spacing w:after="0" w:line="6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recognized $19.4 million and $9.4 million, respectively, as licensing revenue related to the upfront and milestone payments received in connection with the Edding agreement. From contract inception through June 30, 2024 and December 31, 2023, the Company recognized $40.1 million and $20.6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As of December 31, 2023, the remaining transaction price of $4.4 million is recorded in deferred revenue on the condensed consolidated balance sheets. The Company fully recognized the transaction price as of June 30, 2024.</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$0.1 million and $3.4 million for the three and six months ended June 30, 2024, respectively, related to sales to Edding (none in 2023).</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has been fully recognized as of June 30, 2024.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98" w:lineRule="exact"/>
        <w:rPr>
          <w:sz w:val="20"/>
          <w:szCs w:val="20"/>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nil and $0.3 million for the three and six months ended June 30, 2023, respectively, related to sales to Biologix (none in 2024).</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8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380"/>
        <w:spacing w:after="0" w:line="282" w:lineRule="auto"/>
        <w:rPr>
          <w:sz w:val="20"/>
          <w:szCs w:val="20"/>
          <w:color w:val="auto"/>
        </w:rPr>
      </w:pPr>
      <w:r>
        <w:rPr>
          <w:rFonts w:ascii="Times New Roman" w:cs="Times New Roman" w:eastAsia="Times New Roman" w:hAnsi="Times New Roman"/>
          <w:sz w:val="18"/>
          <w:szCs w:val="18"/>
          <w:color w:val="auto"/>
        </w:rPr>
        <w:t>participate in various steering committees. Based on the analysis performed, the Company concluded that the identified performance obligations in the agreement are not distinct and therefore a combined performance obligation.</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transaction price included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the Company concluded support for regulatory activities and pursuit of additional indications was deemed to be not probable. As a result, the Company reevaluated the performance period and determined that all remaining performance obligations were satisfied as of June 30, 2023, resulting in a decrease of the previous performance period of eight years. The effect of this change in estimate was the remaining transaction price of $5.3 million being recognized in licensing revenue and a related reduction in net loss by $5.3 million in the six months ended June 30, 2023 from the previously received upfront payment and prior year milestone payments.</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the Company recognized $5.6 million as licensing revenue related to upfront and milestone payments received in connection with the HLS agreement. The Company fully recognized the transaction price as of June 30, 2023.</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nil for both the three months ended June 30, 2024 and 2023, respectively, and $1.9 million and $1.6 million for the six months ended June 30, 2024 and 2023, respectively, related to sales to HLS.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addition to the upfront payment, the Company will be eligible to receive event-related milestone payments of approximately $8.0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6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the Company recognized $0.5 million as licensing revenue related to the up-front payment received in connection with the CSL agreement (none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six months ended June 30, 2024 and 2023:</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4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87"/>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25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45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4"/>
                <w:szCs w:val="24"/>
                <w:color w:val="auto"/>
                <w:vertAlign w:val="superscript"/>
              </w:rPr>
              <w:t>(1)</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(4,850 )</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(14,990 )</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right="2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approximately $4.9 million reduction consists primarily of recognition of $4.0 million relating to the change in estimate for Edding during the three months ended June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ind w:right="300" w:firstLine="8"/>
        <w:spacing w:after="0" w:line="266"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approximately $15.0 million reduction consists of recognition of $5.0 million and $5.3 million relating to the change in estimate for Edding and HLS, respectively, as well as recognizing, based on the revised timeline $3.9 million for the MARINE indication approval in China achieved during the three months ended June 30, 2023.</w:t>
      </w:r>
    </w:p>
    <w:p>
      <w:pPr>
        <w:spacing w:after="0" w:line="6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recognized the following revenues as a result of changes in the contract asset and contract liability balances in the respective periods: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r>
      <w:tr>
        <w:trPr>
          <w:trHeight w:val="237"/>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shd w:val="clear" w:color="auto" w:fill="CFF0FC"/>
          </w:tcPr>
          <w:p>
            <w:pPr>
              <w:spacing w:after="0"/>
              <w:rPr>
                <w:sz w:val="20"/>
                <w:szCs w:val="20"/>
                <w:color w:val="auto"/>
              </w:rPr>
            </w:pPr>
          </w:p>
        </w:tc>
      </w:tr>
      <w:tr>
        <w:trPr>
          <w:trHeight w:val="23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ind w:left="520" w:right="10240" w:hanging="512"/>
        <w:spacing w:after="0" w:line="378" w:lineRule="auto"/>
        <w:tabs>
          <w:tab w:leader="none" w:pos="37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Lessee</w:t>
      </w: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7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Amarin receives certain abatements subject to the limitations in the Lease.</w:t>
      </w:r>
    </w:p>
    <w:p>
      <w:pPr>
        <w:spacing w:after="0" w:line="9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new office space in Zug Switzerland, or the Zug Lease. The Zug Lease commenced on February 1, 2022, or the Zug Commencement Date, for a five-year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September 13, 2022, the Company entered into a lease agreement for new office space in Dublin, Ireland, or the Dublin Lease. The Dublin Lease commenced on October 1, 2022, or the Dublin Commencement Date, for a two-year period. Under the Dublin Lease, the Company will pay annual rent of approximately $0.4 million during the duration of the lease term.</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real estate leases, the Company continually enters into lease agreements for various vehicles with terms ranging from month-to-month up to 36 months.</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total operating lease liability is $9.7 million and $10.6 million and the total operating lease right-of-use asset is $7.5 million and $8.3 million, as of June 30, 2024 and December 31, 2023, respectively.</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lease expense for the three and six months ended June 30, 2024 is approximately $0.8 million and $1.7 million, respectively. The lease expense for the three and six months ended June 30, 2023 is approximately $0.8 million and $1.7 million, respectively.</w:t>
      </w: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June 30,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Undiscounted lease payments</w:t>
            </w:r>
          </w:p>
        </w:tc>
        <w:tc>
          <w:tcPr>
            <w:tcW w:w="100" w:type="dxa"/>
            <w:vAlign w:val="bottom"/>
          </w:tcPr>
          <w:p>
            <w:pPr>
              <w:spacing w:after="0"/>
              <w:rPr>
                <w:sz w:val="16"/>
                <w:szCs w:val="16"/>
                <w:color w:val="auto"/>
              </w:rPr>
            </w:pPr>
          </w:p>
        </w:tc>
      </w:tr>
      <w:tr>
        <w:trPr>
          <w:trHeight w:val="23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FF0FC"/>
          </w:tcPr>
          <w:p>
            <w:pPr>
              <w:spacing w:after="0"/>
              <w:rPr>
                <w:sz w:val="20"/>
                <w:szCs w:val="20"/>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FF0FC"/>
          </w:tcPr>
          <w:p>
            <w:pPr>
              <w:spacing w:after="0"/>
              <w:rPr>
                <w:sz w:val="21"/>
                <w:szCs w:val="21"/>
                <w:color w:val="auto"/>
              </w:rPr>
            </w:pP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21"/>
                <w:szCs w:val="21"/>
                <w:color w:val="auto"/>
              </w:rPr>
            </w:pPr>
          </w:p>
        </w:tc>
      </w:tr>
      <w:tr>
        <w:trPr>
          <w:trHeight w:val="237"/>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Adjustments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(3,482 )</w:t>
            </w:r>
          </w:p>
        </w:tc>
      </w:tr>
      <w:tr>
        <w:trPr>
          <w:trHeight w:val="23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24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FF0FC"/>
          </w:tcPr>
          <w:p>
            <w:pPr>
              <w:spacing w:after="0"/>
              <w:rPr>
                <w:sz w:val="20"/>
                <w:szCs w:val="20"/>
                <w:color w:val="auto"/>
              </w:rPr>
            </w:pP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or the Sublease, for 50,000-square feet of the 67,747-square foot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the Company will provide certain abatements subject to the limitations in the Lease.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8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2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recognized at commencement date of</w:t>
            </w:r>
          </w:p>
        </w:tc>
        <w:tc>
          <w:tcPr>
            <w:tcW w:w="1200" w:type="dxa"/>
            <w:vAlign w:val="bottom"/>
            <w:shd w:val="clear" w:color="auto" w:fill="CFF0FC"/>
          </w:tcPr>
          <w:p>
            <w:pPr>
              <w:spacing w:after="0"/>
              <w:rPr>
                <w:sz w:val="18"/>
                <w:szCs w:val="18"/>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4"/>
        </w:trPr>
        <w:tc>
          <w:tcPr>
            <w:tcW w:w="3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type lease</w:t>
            </w:r>
          </w:p>
        </w:tc>
        <w:tc>
          <w:tcPr>
            <w:tcW w:w="1200" w:type="dxa"/>
            <w:vAlign w:val="bottom"/>
            <w:shd w:val="clear" w:color="auto" w:fill="CFF0FC"/>
          </w:tcPr>
          <w:p>
            <w:pPr>
              <w:spacing w:after="0"/>
              <w:rPr>
                <w:sz w:val="20"/>
                <w:szCs w:val="20"/>
                <w:color w:val="auto"/>
              </w:rPr>
            </w:pPr>
          </w:p>
        </w:tc>
        <w:tc>
          <w:tcPr>
            <w:tcW w:w="5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top w:val="single" w:sz="8" w:color="CFF0FC"/>
            </w:tcBorders>
          </w:tcPr>
          <w:p>
            <w:pPr>
              <w:spacing w:after="0"/>
              <w:rPr>
                <w:sz w:val="21"/>
                <w:szCs w:val="21"/>
                <w:color w:val="auto"/>
              </w:rPr>
            </w:pPr>
          </w:p>
        </w:tc>
        <w:tc>
          <w:tcPr>
            <w:tcW w:w="112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Borders>
              <w:top w:val="single" w:sz="8" w:color="CFF0FC"/>
            </w:tcBorders>
          </w:tcPr>
          <w:p>
            <w:pPr>
              <w:spacing w:after="0"/>
              <w:rPr>
                <w:sz w:val="21"/>
                <w:szCs w:val="21"/>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-170815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-170815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sales type lease and operating lease receivables as of June 30, 2024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6"/>
                <w:szCs w:val="16"/>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FF0FC"/>
          </w:tcPr>
          <w:p>
            <w:pPr>
              <w:spacing w:after="0"/>
              <w:rPr>
                <w:sz w:val="20"/>
                <w:szCs w:val="20"/>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21"/>
                <w:szCs w:val="2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FF0FC"/>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3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21"/>
                <w:szCs w:val="21"/>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00" w:type="dxa"/>
            <w:vAlign w:val="bottom"/>
            <w:shd w:val="clear" w:color="auto" w:fill="CFF0FC"/>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38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2023, or our Annual Report, and under Part II, Item IA, “Risk Factors” of this Quarterly Report.</w:t>
      </w:r>
    </w:p>
    <w:p>
      <w:pPr>
        <w:spacing w:after="0" w:line="7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for the MARINE indication and on June 28, 2024 our partner received NMPA approval for VASCEPA in Mainland China for the REDUCE-IT indication.</w:t>
      </w:r>
    </w:p>
    <w:p>
      <w:pPr>
        <w:spacing w:after="0" w:line="9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United States in which VASCEPA is sold and under regulatory review are not subject to the U.S. patent litigation and judgment described below and no similar litigation is pending outside of the United States.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 Succession Plan</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announced and effective on June 3, 2024, Patrick Holt voluntarily resigned as President and Chief Executive Officer and as a member of the Board of Directors. Effective June 4, 2024, the Board of Directors appointed Aaron Berg, previously our Executive Vice President, President U.S., to succeed Mr. Holt as our President and Chief Executive Officer, and as a member of the Board of Directors.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 Program</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On July 18, 2023, we announced that we were implementing a new Organizational Restructuring Program, or the ORP, resulting in the elimination and consolidation of certain roles across our organization, both in the U.S. and abroad and representing a reduction of our total employee base by approximately 30%. The ORP was implemented following a review of our business and to better position the organization for a new strategic focus. The ORP resulted in an operating cost reduction of $50.0 million annually. Our refocused strategic priorities and restructuring plan focuses on three core areas:</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 w:name="page26"/>
    <w:bookmarkEnd w:id="25"/>
    <w:p>
      <w:pPr>
        <w:ind w:left="1020" w:right="6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Maximizing U.S. Cash Flow Through Streamlined Model: </w:t>
      </w:r>
      <w:r>
        <w:rPr>
          <w:rFonts w:ascii="Times New Roman" w:cs="Times New Roman" w:eastAsia="Times New Roman" w:hAnsi="Times New Roman"/>
          <w:sz w:val="18"/>
          <w:szCs w:val="18"/>
          <w:color w:val="auto"/>
        </w:rPr>
        <w:t>We have maintained VASCEPA as a cost-competitive option to generics despite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elimination of all U.S. sales force positions and approximately 30% of non-sales positions. We maintained our managed care and trade organization to support these efforts. We continue to explore innovative approaches to driving revenue to maintain our leadership position in the icosapent ethyl, or IPE, market.</w:t>
      </w:r>
    </w:p>
    <w:p>
      <w:pPr>
        <w:spacing w:after="0" w:line="71"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European Redesign: </w:t>
      </w:r>
      <w:r>
        <w:rPr>
          <w:rFonts w:ascii="Times New Roman" w:cs="Times New Roman" w:eastAsia="Times New Roman" w:hAnsi="Times New Roman"/>
          <w:sz w:val="18"/>
          <w:szCs w:val="18"/>
          <w:color w:val="auto"/>
        </w:rPr>
        <w:t>We redesigned our commercial infrastructure in Europe to better align with pricing and reimbursement status,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progress to date, as well as streamline certain cross-geographic functions and better leverage learnings across countries. In addition, we continue to advance our pricing and reimbursement activities to drive access in remaining geographies, including those where progress has been delayed.</w:t>
      </w:r>
    </w:p>
    <w:p>
      <w:pPr>
        <w:spacing w:after="0" w:line="71"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Upon International Partnerships: </w:t>
      </w:r>
      <w:r>
        <w:rPr>
          <w:rFonts w:ascii="Times New Roman" w:cs="Times New Roman" w:eastAsia="Times New Roman" w:hAnsi="Times New Roman"/>
          <w:sz w:val="18"/>
          <w:szCs w:val="18"/>
          <w:color w:val="auto"/>
        </w:rPr>
        <w:t>We continue to work on generating revenue from our partnerships in key international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Canada, the Middle East and North Africa, or MENA, China, South Korea, Australia and New Zealand and will continue to explore additional partnerships.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25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VASCEPA have obtained U.S. FDA approval with labeling consistent with the MARINE indication and have entered the U.S. market:</w:t>
      </w:r>
    </w:p>
    <w:p>
      <w:pPr>
        <w:spacing w:after="0" w:line="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20"/>
                <w:szCs w:val="20"/>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43"/>
        </w:trPr>
        <w:tc>
          <w:tcPr>
            <w:tcW w:w="38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6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1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020" w:hanging="26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VASCEPA to Amneal Pharmaceuticals.</w:t>
      </w:r>
    </w:p>
    <w:p>
      <w:pPr>
        <w:spacing w:after="0" w:line="11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VASCEPA to Camber Pharmaceuticals, Inc.</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59690</wp:posOffset>
            </wp:positionV>
            <wp:extent cx="4440555" cy="2194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4055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26" w:name="page27"/>
    <w:bookmarkEnd w:id="26"/>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this vendor's information and we do not receive prescription data directly from retail pharmacies.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15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tends to vary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Quarterly Report, we received marketing authorization by the MHRA and the European Medicines Agency, or EMA, and subsequently we have made VAZKEPA available under individual reimbursement or received national reimbursement and launched commercial operations in the following countries,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2024</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780" w:hanging="26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S.A will be the sole and exclusive distributor of VAZKEPA in the Greek territory to import, register, distribute and commercialize</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VAZKEPA.</w:t>
      </w:r>
    </w:p>
    <w:p>
      <w:pPr>
        <w:spacing w:after="0" w:line="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advance our pricing and reimbursement activities to drive access in remaining geographies, including those where progress has been delayed. We are leveraging third-party relationships for various support activities and are implementing an impactful and cost-effective hybrid commercial model balancing optimally digital and face-to-face approach for more impact and cost efficiency, which is or will be utilized throughout Europe as launches are rolled out.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United States. However, this greater concentration of at-risk patients being treated by specialists in Europe should allow for more efficient promotion than in the United States. In Europe, VAZKEPA has the benefit of 10 years of market protection, and in April 2024 we were issued a patent that extended our exclusivity to 2039.</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121" w:lineRule="exact"/>
        <w:rPr>
          <w:sz w:val="20"/>
          <w:szCs w:val="20"/>
          <w:color w:val="auto"/>
        </w:rPr>
      </w:pPr>
    </w:p>
    <w:p>
      <w:pPr>
        <w:ind w:right="700" w:firstLine="509"/>
        <w:spacing w:after="0" w:line="261" w:lineRule="auto"/>
        <w:rPr>
          <w:sz w:val="20"/>
          <w:szCs w:val="20"/>
          <w:color w:val="auto"/>
        </w:rPr>
      </w:pPr>
      <w:r>
        <w:rPr>
          <w:rFonts w:ascii="Times New Roman" w:cs="Times New Roman" w:eastAsia="Times New Roman" w:hAnsi="Times New Roman"/>
          <w:sz w:val="18"/>
          <w:szCs w:val="18"/>
          <w:color w:val="auto"/>
        </w:rPr>
        <w:t>As discussed above, one of the core areas of focus from our ORP is continuing to work on generating revenue from our partnerships in key international markets, including Canada, MENA, China, Australia and New Zealand and we will continue to explore additional partnerships.</w:t>
      </w: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11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Eddingpharm (Asia) Macao Commercial Offshore Limited, or Edding, to develop and commercialize VASCEPA capsules in what we refer to as the China Territory, consisting of the territories of Mainland China, Hong Kong, Macau and Taiwan.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9, 2021, we announced that the regulatory review processes in Mainland China and Hong Kong had commenced. On February 23, 2022, the Hong Kong Department of Health completed their regulatory evaluation and approved the use of VASCEPA under the REDUCE-IT indication. In Mainland China, the NMPA accepted for review the new drug application for VASCEPA, submitted by Edding, based on the results from the Phase 3 clinical trial and the results from our prior studies of VASCEPA. In Mainland China, on October 10, 2022, following the completion of product testing by the China National Institutes for Food and Drug Control, or NIFDC, the final NMPA review of the VASCEPA NDA was initiated. The Company announced on June 1, 2023 that Edding received approval from the NMPA for VASCEPA in Mainland China under the MARINE indication and launched commercially in October 2023. In October 2023, Edding's submission of a regulatory filing to the NMPA for VASCEPA under the REDUCE-IT indication was accepted. On June 28, 2024, Edding received approval from the NMPA for VASCEPA in Mainland China under the REDUCE-IT indication.</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MENA</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VASCEPA is under registration in additional countries in the MENA region.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regulatory exclusivity designation and launched commercially in February 2020. In April 2022, HLS completed negotiations with Canada’s pan-Canadian Pharmaceutical Alliance for the terms and conditions under which VASCEPA would qualify for public market reimbursement in Canada. HLS has obtained reimbursement from all major private and public payors gaining access to a majority of eligible patients in Canada.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in the final year of a three-year plan to submit and obtain regulatory approval in 20 or more additional countries and regions in order to ensure that patients in the top 50 cardiometabolic markets worldwide can benefit from VASCEPA. Through the date of this Quarterly Report, we have filed for regulatory review in 22 countries and regions and have received approval in 15 countries and regions outside of the United States and EMA regulatory approval authority, including in Mainland China, Switzerland, Australia, New Zealand and Israel, under the REDUCE-IT indication. In addition, VAZKEPA has been made available under individual pricing reimbursement in Switzerland.</w:t>
      </w:r>
    </w:p>
    <w:p>
      <w:pPr>
        <w:spacing w:after="0" w:line="75"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In July 2023, the Company entered into an agreement with Lotus Pharmaceuticals to commercialize and distribute VAZKEPA in South Korea and nine countries in Southeast Asia. In August 2023, the Company entered into an agreement with Neopharm (Israel) 1996 Ltd., or Neopharm, to distribute VAZKEPA in Israel, Gaza, West Bank, and the territories of the Palestinian Authority. In May 2024, the Company entered into an agreement with Vianex</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8" w:name="page29"/>
    <w:bookmarkEnd w:id="28"/>
    <w:p>
      <w:pPr>
        <w:ind w:right="260"/>
        <w:spacing w:after="0" w:line="266" w:lineRule="auto"/>
        <w:rPr>
          <w:sz w:val="20"/>
          <w:szCs w:val="20"/>
          <w:color w:val="auto"/>
        </w:rPr>
      </w:pPr>
      <w:r>
        <w:rPr>
          <w:rFonts w:ascii="Times New Roman" w:cs="Times New Roman" w:eastAsia="Times New Roman" w:hAnsi="Times New Roman"/>
          <w:sz w:val="18"/>
          <w:szCs w:val="18"/>
          <w:color w:val="auto"/>
        </w:rPr>
        <w:t>S.A. to import, register, distribute and commercialize VAZKEPA in Greece. The Company will be responsible for supplying finished product to these partners. We continue to assess other potential partnership opportunities for VASCEPA with companies outside of the United States and Europe with the intention of partnering in all other international markets where VASCEPA receives local regulatory approval.</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Since its inception in 2011, the REDUCE-IT cardiovascular outcomes study of VASCEPA has been the centerpiece of our research and development. Most of our other research and development during this period also pertained to VASCEPA, including the study of the mechanism of action of the single active ingredient in VASCEPA, icosapent ethyl, or IPE. Based on the final positive results of REDUCE-IT, we sought additional indicated uses for VASCEPA in the United States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40 clinical treatment guidelines, consensus statements or scientific statements from medical societies or journals have been updated recommending the use of icosapent ethyl in appropriate at-risk patients, including those statements which we were informed of by our global partners in Australia, Canada, China and the Middle East as well as guidelines or statements which were newly received during the second quarter of 2024 as listed below:</w:t>
      </w:r>
    </w:p>
    <w:p>
      <w:pPr>
        <w:spacing w:after="0" w:line="72" w:lineRule="exact"/>
        <w:rPr>
          <w:sz w:val="20"/>
          <w:szCs w:val="20"/>
          <w:color w:val="auto"/>
        </w:rPr>
      </w:pPr>
    </w:p>
    <w:p>
      <w:pPr>
        <w:ind w:left="1020" w:right="4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Geriatric Medicine branch of the Chinese Medical Association published an expert consensus on the use of omega-3 fatty acid prescription drugs. This included that in statin-treated patients IPE is recommended for patients at risk for atherosclerotic cardiovascular disease, or ASCVD, or patients with peripheral arterial disease whose TG level is elevated. In addition, this consensus stated that IPE can reduce CV residual risk in patients with ischemic heart disease if TG level is greater than 199 mg/dL and can reduce the risk of a recurrence of stroke.</w:t>
      </w:r>
    </w:p>
    <w:p>
      <w:pPr>
        <w:spacing w:after="0" w:line="75"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American Diabetes Association published a statement stating that for individuals residing in a detention facility that have elevated TG levels (135-499 mg/dL) despite statin use, and additional CV risk factors should be treated with IPE to reduce CV risk.</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May 2024, we supported two data presentations showcasing the mechanistic activity of eicosapentaenoic acid, or EPA, at the European Atherosclerosis Society scientific session in Lyon, France. These presentations may advance the understanding of how EPA and VASCEPA work to reduce CV events in at-risk patients.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June 2024, we supported a poster with real world, observational, safety data of IPE from a U.S. database at the National Lipid Association scientific session in Las Vegas, Nevada. This presentation may advance the understanding of the safety profile of IPE in the real world and how it compares to the safety listed in the approved labeling and those from the large REDUCE-IT CV outcomes trial.</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In the first six months of 2024, Amarin and global medical and scientific collaborators supported over 15 publications inclusive of accepted abstracts, posters, and accepted journal manuscripts.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June 30, 2024, we had inventory of $310.7 million, of which 70% is inventory approved for use in North America. We continue to negotiate with our contract suppliers to align our supply arrangements with current and future global market demand.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VASCEPA is sold to three major wholesalers, as well as several regional wholesalers along with mail order pharmacy providers,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During the quarters ended June 30, 2024 and 2023, our product revenue, net, included adjustment for co-pay mitigation rebates provided by us to commercially insured patients in the United States.</w:t>
      </w:r>
    </w:p>
    <w:p>
      <w:pPr>
        <w:spacing w:after="0" w:line="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17" w:lineRule="exact"/>
        <w:rPr>
          <w:sz w:val="20"/>
          <w:szCs w:val="20"/>
          <w:color w:val="auto"/>
        </w:rPr>
      </w:pPr>
    </w:p>
    <w:p>
      <w:pPr>
        <w:jc w:val="both"/>
        <w:ind w:right="5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20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three and six months ended June 30, 2023, we incurred costs within </w:t>
      </w:r>
      <w:r>
        <w:rPr>
          <w:rFonts w:ascii="Times New Roman" w:cs="Times New Roman" w:eastAsia="Times New Roman" w:hAnsi="Times New Roman"/>
          <w:sz w:val="18"/>
          <w:szCs w:val="18"/>
          <w:i w:val="1"/>
          <w:iCs w:val="1"/>
          <w:color w:val="auto"/>
        </w:rPr>
        <w:t xml:space="preserve">Cost of goods sold - restructuring inventory </w:t>
      </w:r>
      <w:r>
        <w:rPr>
          <w:rFonts w:ascii="Times New Roman" w:cs="Times New Roman" w:eastAsia="Times New Roman" w:hAnsi="Times New Roman"/>
          <w:sz w:val="18"/>
          <w:szCs w:val="18"/>
          <w:color w:val="auto"/>
        </w:rPr>
        <w:t>related to steps taken to amend supplier agreements to align supply arrangements with current and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demand.</w:t>
      </w:r>
    </w:p>
    <w:p>
      <w:pPr>
        <w:spacing w:after="0" w:line="210"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20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10"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consists of restructuring costs incurred under our July 2023 ORP, which consists of severance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compensation, insurance benefits, stock-based compensation expense and other contract related costs.</w:t>
      </w:r>
    </w:p>
    <w:p>
      <w:pPr>
        <w:spacing w:after="0" w:line="185" w:lineRule="exact"/>
        <w:rPr>
          <w:sz w:val="20"/>
          <w:szCs w:val="20"/>
          <w:color w:val="auto"/>
        </w:rPr>
      </w:pPr>
    </w:p>
    <w:p>
      <w:pPr>
        <w:jc w:val="both"/>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 and other income (expense), net</w:t>
      </w:r>
      <w:r>
        <w:rPr>
          <w:rFonts w:ascii="Times New Roman" w:cs="Times New Roman" w:eastAsia="Times New Roman" w:hAnsi="Times New Roman"/>
          <w:sz w:val="18"/>
          <w:szCs w:val="18"/>
          <w:color w:val="auto"/>
        </w:rPr>
        <w:t>. Interest income, net consists primarily of interest earned on our cash and cash equivalents,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our short-term and long-term investments. Other income (expense), net, consists of the Employee Retention Credit, or ERC, awarded as part of the Coronavirus Aid, Relief and Economic Stabilization Act, or CARES Act, and foreign exchange losses and gains as well as sublease income.</w:t>
      </w:r>
    </w:p>
    <w:p>
      <w:pPr>
        <w:spacing w:after="0" w:line="200"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Income tax provision, deferred tax assets and liabilities, and reserves for unrecognized tax benefits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best assessment of estimated future taxes to be paid. We are subject to income taxes</w:t>
      </w: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both the United States and foreign jurisdictions. In applying guidance prescribed under ASC 740 and based on present evidence and conclusions around the realizability of deferred tax assets, we determined that any tax benefit related to the pretax losses generated for 2024 and 2023 are not more likely than not to be realized.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unaudited condensed consolidated financial statements and notes, which have been prepared in accordance with accounting principles generally accepted in the United States,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2024 and June 30, 2023</w:t>
      </w:r>
    </w:p>
    <w:p>
      <w:pPr>
        <w:spacing w:after="0" w:line="254"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$67.5 million and $80.2 million during the three months ended June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$12.7 million, or 16%. Total revenue, net, consists primarily of revenue from the sale of VASCEPA in the United States. In addition to the United States, during the three months ending June 30, 2024, we also sold VASCEPA by prescription in certain countries in Europe as well as certain countries outside of the United States and Europe, such as China and Canada, through collaborations with third-party companies. As further discussed below, the aforementioned decrease consists of a $20.8 million decrease in U.S. net product revenue offset in part by a $3.1 million increase in net product revenue outside of the United States and a $5.0 million increase in licensing and royalty revenue.</w:t>
      </w:r>
    </w:p>
    <w:p>
      <w:pPr>
        <w:spacing w:after="0" w:line="209" w:lineRule="exact"/>
        <w:rPr>
          <w:sz w:val="20"/>
          <w:szCs w:val="20"/>
          <w:color w:val="auto"/>
        </w:rPr>
      </w:pPr>
    </w:p>
    <w:p>
      <w:pPr>
        <w:ind w:right="60" w:firstLine="539"/>
        <w:spacing w:after="0" w:line="284"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We recorded product revenue, net, of $47.5 million and $65.2 million during the three months ended June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$17.7 million, or 27%. This decrease was due primarily to a 32% decrease in VASCEPA sales in the United States.</w:t>
      </w:r>
    </w:p>
    <w:p>
      <w:pPr>
        <w:spacing w:after="0" w:line="52" w:lineRule="exact"/>
        <w:rPr>
          <w:sz w:val="20"/>
          <w:szCs w:val="20"/>
          <w:color w:val="auto"/>
        </w:rPr>
      </w:pPr>
    </w:p>
    <w:p>
      <w:pPr>
        <w:ind w:firstLine="539"/>
        <w:spacing w:after="0" w:line="282" w:lineRule="auto"/>
        <w:rPr>
          <w:sz w:val="20"/>
          <w:szCs w:val="20"/>
          <w:color w:val="auto"/>
        </w:rPr>
      </w:pPr>
      <w:r>
        <w:rPr>
          <w:rFonts w:ascii="Times New Roman" w:cs="Times New Roman" w:eastAsia="Times New Roman" w:hAnsi="Times New Roman"/>
          <w:sz w:val="18"/>
          <w:szCs w:val="18"/>
          <w:color w:val="auto"/>
        </w:rPr>
        <w:t>We recorded U.S. product revenue, net of $43.8 million and $64.6 million during the three months ended June 30, 2024 and 2023, respectively. This decrease was due to a decline in net selling price as a result of the impact from generic competition in the market.</w:t>
      </w:r>
    </w:p>
    <w:p>
      <w:pPr>
        <w:spacing w:after="0" w:line="54" w:lineRule="exact"/>
        <w:rPr>
          <w:sz w:val="20"/>
          <w:szCs w:val="20"/>
          <w:color w:val="auto"/>
        </w:rPr>
      </w:pPr>
    </w:p>
    <w:p>
      <w:pPr>
        <w:ind w:right="60"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decreased for the three months ended June 30, 2024 by 1% as compared to the three months ended June 30, 2023. Our share of the icosapent ethyl market has increased to approximately 59% in the three months ended June 30, 2024 compared to approximately 57% in the three months ended June 30, 2023. Additionally, based on prescription levels reported by Symphony Health, VASCEPA-branded prescriptions increased by 2% in the three months ended June 30, 2024 compared to the three months ended June 30, 2023.</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Europe, we recorded product revenue, net, of $3.5 million and $0.6 million during the three months ended June 30, 2024 and 2023, respectively.</w:t>
      </w:r>
    </w:p>
    <w:p>
      <w:pPr>
        <w:spacing w:after="0" w:line="117" w:lineRule="exact"/>
        <w:rPr>
          <w:sz w:val="20"/>
          <w:szCs w:val="20"/>
          <w:color w:val="auto"/>
        </w:rPr>
      </w:pPr>
    </w:p>
    <w:p>
      <w:pPr>
        <w:ind w:firstLine="539"/>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we recorded $0.2 million of product revenue, net, from our collaboration partners compared to nil during the three months ended June 30, 2023.</w:t>
      </w:r>
    </w:p>
    <w:p>
      <w:pPr>
        <w:spacing w:after="0" w:line="54" w:lineRule="exact"/>
        <w:rPr>
          <w:sz w:val="20"/>
          <w:szCs w:val="20"/>
          <w:color w:val="auto"/>
        </w:rPr>
      </w:pPr>
    </w:p>
    <w:p>
      <w:pPr>
        <w:ind w:right="280" w:firstLine="539"/>
        <w:spacing w:after="0" w:line="257"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2024, we will continue to focus on extending the lifecycle of VASCEPA in the U.S., obtaining pricing reimbursement and launching commercial operations in all remaining European markets as well as supporting our partners to advance access and growing commercial operations throughout the rest of the world.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1" w:name="page32"/>
    <w:bookmarkEnd w:id="31"/>
    <w:p>
      <w:pPr>
        <w:ind w:right="16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Licensing and royalty revenue</w:t>
      </w:r>
      <w:r>
        <w:rPr>
          <w:rFonts w:ascii="Times New Roman" w:cs="Times New Roman" w:eastAsia="Times New Roman" w:hAnsi="Times New Roman"/>
          <w:sz w:val="17"/>
          <w:szCs w:val="17"/>
          <w:color w:val="auto"/>
        </w:rPr>
        <w:t>. Licensing and royalty revenue during the three months ended June 30, 2024 and 2023 was $20.0 million and $15.0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respectively, an increase of $5.0 million, or 33%. Licensing and royalty revenue has increased primarily due to recognition of the REDUCE-IT indication milestone in China offset by recognition of previously achieved milestone payments from HLS in the prior year. Licensing and royalty revenue recognized in the current period relates to the recognition of amounts received in connection with the following VASCEPA licensing agreements:</w:t>
      </w:r>
    </w:p>
    <w:p>
      <w:pPr>
        <w:spacing w:after="0" w:line="58" w:lineRule="exact"/>
        <w:rPr>
          <w:sz w:val="20"/>
          <w:szCs w:val="20"/>
          <w:color w:val="auto"/>
        </w:rPr>
      </w:pPr>
    </w:p>
    <w:p>
      <w:pPr>
        <w:ind w:left="900" w:right="20" w:hanging="383"/>
        <w:spacing w:after="0" w:line="25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 $1.0 million milestone payment achieved in March 2016 following submission of the clinical trial application to the Chinese regulatory authority, a $5.0 million milestone payment achieved in June 2023 following NMPA approval of VASCEPA under the MARINE indication, a $3.0 million milestone payment achieved in October 2023 following a regulatory submission to the NMPA for VASCEPA under the REDUCE-IT indication and a $15.0 million milestone payment achieved in June 2024 following regulatory approval of VASCEPA under the REDUCE-IT indication. As of June 30, 2024, these payments have been fully recognized.</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Licensing and royalty revenue recognized in the prior period relates to partial recognition of the above upfront and previously achieved milestones, excluding the REDUCE-IT indication approval, as well as below amounts received in connection with the following VASCEPA licensing agreements:</w:t>
      </w:r>
    </w:p>
    <w:p>
      <w:pPr>
        <w:spacing w:after="0" w:line="54" w:lineRule="exact"/>
        <w:rPr>
          <w:sz w:val="20"/>
          <w:szCs w:val="20"/>
          <w:color w:val="auto"/>
        </w:rPr>
      </w:pPr>
    </w:p>
    <w:p>
      <w:pPr>
        <w:ind w:left="900" w:right="200" w:hanging="383"/>
        <w:spacing w:after="0" w:line="258"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 As of June 30, 2023, these payments have been fully recognized.</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upfront and milestone payments from Edding and HLS were being recognized over the estimated period in which we were required to provide regulatory and development support pursuant to the respective agreements which were satisfied in 2024 and 2023, respectively. The amount of licensing and royalty revenue is expected to vary from period to period based on timing of milestones achieved and changes in estimates of the timing and level of support required.</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8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June 30, 2024 and 2023 was $24.7 million and $37.5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$12.8 million, or 34%.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three months ended June 30, 2023, we recorded as cost of goods sold - restructuring inventory $14.3 million as a result of amendments to our supplier agreements.</w:t>
      </w:r>
    </w:p>
    <w:p>
      <w:pPr>
        <w:spacing w:after="0" w:line="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June 30, 2024 and 2023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overall gross margin on product sales for the three months ended June 30, 2024 and 2023 was 48% and 42%, respectively. Excluding the restructuring inventory charge, gross margin was 48% and 64% for the three months ended June 30, 2024 and 2023, respectively. The decrease in gross margin is primarily as a result of a decrease in net selling price.</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June 30, 2024 and 2023 was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 million and $51.0 million, respectively, a decrease of $12.4 million, or 24%. Selling, general and administrative expenses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 are summarized in the table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69"/>
        </w:trPr>
        <w:tc>
          <w:tcPr>
            <w:tcW w:w="114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6180" w:type="dxa"/>
            <w:vAlign w:val="bottom"/>
            <w:gridSpan w:val="2"/>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80" w:type="dxa"/>
            <w:vAlign w:val="bottom"/>
            <w:shd w:val="clear" w:color="auto" w:fill="CFF0FC"/>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618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180" w:type="dxa"/>
            <w:vAlign w:val="bottom"/>
            <w:tcBorders>
              <w:bottom w:val="single" w:sz="8" w:color="CFF0FC"/>
            </w:tcBorders>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114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38,547</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-282575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-282575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 w:lineRule="exact"/>
        <w:rPr>
          <w:sz w:val="20"/>
          <w:szCs w:val="20"/>
          <w:color w:val="auto"/>
        </w:rPr>
      </w:pPr>
    </w:p>
    <w:p>
      <w:pPr>
        <w:ind w:left="480" w:right="20" w:hanging="383"/>
        <w:spacing w:after="0" w:line="257"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June 30, 2024 and 2023 was $20.5 million and $32.3 million, respectively, a decrease of $11.8 million, or 37%. This decrease is primarily due to a reduction in costs associated with our ORP and cost reduction plans resulting in decreased promotional initiatives, reduced travel and elimination of our U.S. sales force.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32" w:name="page33"/>
    <w:bookmarkEnd w:id="32"/>
    <w:p>
      <w:pPr>
        <w:jc w:val="both"/>
        <w:ind w:left="480" w:hanging="383"/>
        <w:spacing w:after="0" w:line="260"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June 30, 2024 and 2023 was $14.5 million and $17.7 million, respectively, a decrease of $3.2 million, or 18%. This decrease is primarily due to a decrease in employee-related costs as a result of the reduction in force from the ORP and cost reduction plans.</w:t>
      </w:r>
    </w:p>
    <w:p>
      <w:pPr>
        <w:spacing w:after="0" w:line="2" w:lineRule="exact"/>
        <w:rPr>
          <w:rFonts w:ascii="Times New Roman" w:cs="Times New Roman" w:eastAsia="Times New Roman" w:hAnsi="Times New Roman"/>
          <w:sz w:val="18"/>
          <w:szCs w:val="18"/>
          <w:color w:val="auto"/>
        </w:rPr>
      </w:pPr>
    </w:p>
    <w:p>
      <w:pPr>
        <w:ind w:left="480" w:right="80" w:hanging="383"/>
        <w:spacing w:after="0" w:line="258"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June 30, 2024 and 2023 was $3.5 million and $1.0 million, respectively, an increase of $2.6 million, or 271%. Non-cash stock-based compensation expense represents the estimated costs associated with equity awards issued to internal personnel supporting our selling, general and administrative functions. The increase is due to prior years reversal of expense associated with our former CEO's resignation, as well as certain performance-based awards as it was no longer deemed probable that the performance criteria for vesting would be achieved within the required timeframe.</w:t>
      </w:r>
    </w:p>
    <w:p>
      <w:pPr>
        <w:spacing w:after="0" w:line="210"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 part of our ORP announced in July 2023, we have redesigned our commercial infrastructure in Europe and in the U.S. as well as focusing on maximizing U.S. cash flow through a streamlined model, which has resulted in $50.0 million in operating cost reductions annually. We will continue to evaluate all of our spending commitments and priorities based on our refocused strategic priorities and restructuring plan.</w:t>
      </w:r>
    </w:p>
    <w:p>
      <w:pPr>
        <w:spacing w:after="0" w:line="201"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June 30, 2024 and 2023 was $4.7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$5.6 million, respectively, a decrease of $0.9 million, or 16%. Research and development expenses for the three months ended June 30, 2024 and 2023 are summarized in the table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Fixed-dose combination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(3)</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(4)</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21"/>
                <w:szCs w:val="21"/>
                <w:color w:val="auto"/>
              </w:rPr>
            </w:pPr>
          </w:p>
        </w:tc>
      </w:tr>
      <w:tr>
        <w:trPr>
          <w:trHeight w:val="243"/>
        </w:trPr>
        <w:tc>
          <w:tcPr>
            <w:tcW w:w="61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(5)</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(6)</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-505460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59" w:lineRule="exact"/>
        <w:rPr>
          <w:sz w:val="20"/>
          <w:szCs w:val="20"/>
          <w:color w:val="auto"/>
        </w:rPr>
      </w:pPr>
    </w:p>
    <w:p>
      <w:pPr>
        <w:ind w:left="520" w:right="8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providing data to be published in medical journals.</w:t>
      </w:r>
    </w:p>
    <w:p>
      <w:pPr>
        <w:ind w:left="520" w:right="200" w:hanging="512"/>
        <w:spacing w:after="0" w:line="273"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are primarily related to cost associated with developmental activities of a fixed-dose combination of VASCEPA and a statin which began in 2022 and subsequently deprioritized during 2023.</w:t>
      </w:r>
    </w:p>
    <w:p>
      <w:pPr>
        <w:spacing w:after="0" w:line="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36"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spacing w:after="0" w:line="4"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10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three months ended June 30, 2024 and 2023 was nil and $10.0 million, respectively,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$10.0 million, or 100%. The charge in the prior year is due to the implementation of the ORP which was approved during the second quarter 2023 and announced on July 18, 2023, which resulted in a reduction of our entire U.S. sales field force, with our managed care and trade organization continuing to support our U.S. commercial efforts, as well as a reduction of approximately 30% of non-sales positions.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additional information.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3" w:name="page34"/>
    <w:bookmarkEnd w:id="33"/>
    <w:p>
      <w:pPr>
        <w:jc w:val="both"/>
        <w:ind w:right="3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June 30, 2024 and 2023 was $3.3 million and $3.0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$0.3 million, or 9%. Interest income, net, represents income earned on cash and investment balances. The increase is primarily due to higher investment balances in the current year period compared to the prior year period.</w:t>
      </w:r>
    </w:p>
    <w:p>
      <w:pPr>
        <w:spacing w:after="0" w:line="200"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Other income, net</w:t>
      </w:r>
      <w:r>
        <w:rPr>
          <w:rFonts w:ascii="Times New Roman" w:cs="Times New Roman" w:eastAsia="Times New Roman" w:hAnsi="Times New Roman"/>
          <w:sz w:val="17"/>
          <w:szCs w:val="17"/>
          <w:color w:val="auto"/>
        </w:rPr>
        <w:t>. Other income, net, for the three months ended June 30, 2024 and 2023 was income of $0.1 million and $3.0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decrease of $2.9 million, or 95%. Other income, net, primarily consists of gains and losses on foreign exchange transactions and sublease income related to our Bridgewater, New Jersey facility and in the prior year the ERC awarded as part of the CARES Act. The decrease in other income, net, is primarily due to receiving formal notice in the prior year from the IRS that we are entitled to the ERC funds and that receipt of a $3.9 million credit is probable.</w:t>
      </w:r>
    </w:p>
    <w:p>
      <w:pPr>
        <w:spacing w:after="0" w:line="19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Provision for income taxes for the three months ended June 30, 2024 was $1.4 million and a benefit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2023 was $0.4 million, respectively. The provision for the three months ended June 30, 2024 is the result of changes in unrecognized tax benefits and income generated by our U.S. and foreign operations for which tax expense has been recognized based on a full year estimated U.S. and foreign income tax liability.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2024 and June 30, 2023</w:t>
      </w:r>
    </w:p>
    <w:p>
      <w:pPr>
        <w:spacing w:after="0" w:line="254"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$124.0 million and $166.1 million during the six months ended June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$42.1 million, or 25%. Total revenue, net, consists primarily of revenue from the sale of VASCEPA in the United States. In addition to the United States, during the six months ended June 30, 2024, we also sold VASCEPA by prescription in certain countries in Europe as well as certain countries outside of the United States and Europe, such as China and Canada, through collaborations with third-party companies. As further discussed below, the aforementioned decrease consists of a $54.7 million decrease in U.S. net product revenue offset in part by a $7.6 million increase in net product revenue outside of the United States and a $5.0 million increase in licensing and royalty revenue.</w:t>
      </w:r>
    </w:p>
    <w:p>
      <w:pPr>
        <w:spacing w:after="0" w:line="209" w:lineRule="exact"/>
        <w:rPr>
          <w:sz w:val="20"/>
          <w:szCs w:val="20"/>
          <w:color w:val="auto"/>
        </w:rPr>
      </w:pPr>
    </w:p>
    <w:p>
      <w:pPr>
        <w:ind w:right="40" w:firstLine="5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$102.7 million and $149.8 million during the six months ended June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$47.2 million, or 31%. This decrease was due primarily to a 37% decrease in VASCEPA sales in the United States.</w:t>
      </w:r>
    </w:p>
    <w:p>
      <w:pPr>
        <w:spacing w:after="0" w:line="52" w:lineRule="exact"/>
        <w:rPr>
          <w:sz w:val="20"/>
          <w:szCs w:val="20"/>
          <w:color w:val="auto"/>
        </w:rPr>
      </w:pPr>
    </w:p>
    <w:p>
      <w:pPr>
        <w:ind w:right="40" w:firstLine="539"/>
        <w:spacing w:after="0" w:line="282" w:lineRule="auto"/>
        <w:rPr>
          <w:sz w:val="20"/>
          <w:szCs w:val="20"/>
          <w:color w:val="auto"/>
        </w:rPr>
      </w:pPr>
      <w:r>
        <w:rPr>
          <w:rFonts w:ascii="Times New Roman" w:cs="Times New Roman" w:eastAsia="Times New Roman" w:hAnsi="Times New Roman"/>
          <w:sz w:val="18"/>
          <w:szCs w:val="18"/>
          <w:color w:val="auto"/>
        </w:rPr>
        <w:t>We recorded U.S. product revenue, net, of $91.9 million and $146.6 million during the six months ended June 30, 2024 and 2023, respectively. This decrease was due to a decline in net selling price as a result of the impact from generic competition in the market.</w:t>
      </w:r>
    </w:p>
    <w:p>
      <w:pPr>
        <w:spacing w:after="0" w:line="54" w:lineRule="exact"/>
        <w:rPr>
          <w:sz w:val="20"/>
          <w:szCs w:val="20"/>
          <w:color w:val="auto"/>
        </w:rPr>
      </w:pPr>
    </w:p>
    <w:p>
      <w:pPr>
        <w:ind w:right="280" w:firstLine="539"/>
        <w:spacing w:after="0" w:line="261"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decreased for the six months ended June 30, 2024 by 3% as compared to the six months ended June 30, 2023. Our share of the icosapent ethyl market remained consistent at approximately 57% in both the six months ended June 30, 2024 and 2023. Additionally, based on prescription levels reported by Symphony Health, VASCEPA-branded prescriptions decreased by 1% in the six months ended June 30, 2024 compared to the six months ended June 30, 2023.</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Europe, we recorded product revenue, net, of $5.4 million and $1.1 million during the six months ended June 30, 2024 and 2023, respectively.</w:t>
      </w:r>
    </w:p>
    <w:p>
      <w:pPr>
        <w:spacing w:after="0" w:line="117" w:lineRule="exact"/>
        <w:rPr>
          <w:sz w:val="20"/>
          <w:szCs w:val="20"/>
          <w:color w:val="auto"/>
        </w:rPr>
      </w:pPr>
    </w:p>
    <w:p>
      <w:pPr>
        <w:ind w:firstLine="53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we recorded $5.4 million of product revenue, net, from our collaboration partners compared to $2.1 million during the six months ended June 30, 2023.</w:t>
      </w:r>
    </w:p>
    <w:p>
      <w:pPr>
        <w:spacing w:after="0" w:line="54" w:lineRule="exact"/>
        <w:rPr>
          <w:sz w:val="20"/>
          <w:szCs w:val="20"/>
          <w:color w:val="auto"/>
        </w:rPr>
      </w:pPr>
    </w:p>
    <w:p>
      <w:pPr>
        <w:jc w:val="both"/>
        <w:ind w:right="140" w:firstLine="53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2024, we continue to focus on obtaining pricing reimbursement and launching commercial operations in all remaining European markets as well as progressing regulatory filings and supporting approval processes in up to six countries throughout the rest of the world.</w:t>
      </w:r>
    </w:p>
    <w:p>
      <w:pPr>
        <w:spacing w:after="0" w:line="20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six months ended June 30, 2024 and 2023 was $21.3 million and $16.3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an increase of $5.0 million, or 31%. Licensing and royalty revenue increased primarily due to recognition of the REDUCE-IT indication milestone in China, offset by the recognition of CSL upfront payment and recognition of previously achieved milestone payments from HLS in the prior year. Licensing and royalty revenue recognized in the current period relates to the recognition of amounts received in connection with the following VASCEPA licensing agreements:</w:t>
      </w:r>
    </w:p>
    <w:p>
      <w:pPr>
        <w:spacing w:after="0" w:line="77" w:lineRule="exact"/>
        <w:rPr>
          <w:sz w:val="20"/>
          <w:szCs w:val="20"/>
          <w:color w:val="auto"/>
        </w:rPr>
      </w:pPr>
    </w:p>
    <w:p>
      <w:pPr>
        <w:ind w:left="900" w:right="20" w:hanging="383"/>
        <w:spacing w:after="0" w:line="270"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Edding – a $15.0 million upfront payment received in February 2015, a $1.0 million milestone payment achieved in March 2016 following submission of the clinical trial application to the Chinese regulatory authority, a $5.0 million milestone payment achieved in June 2023 following NMPA approval of VASCEPA under the MARINE indication, a $3.0 million milestone payment achieved in October 2023 following a regulatory submission to the NMPA for VASCEPA under the REDUCE-IT indication and a $15.0 million milestone payment achieved in</w:t>
      </w:r>
    </w:p>
    <w:p>
      <w:pPr>
        <w:spacing w:after="0" w:line="3" w:lineRule="exact"/>
        <w:rPr>
          <w:sz w:val="20"/>
          <w:szCs w:val="20"/>
          <w:color w:val="auto"/>
        </w:rPr>
      </w:pPr>
    </w:p>
    <w:p>
      <w:pPr>
        <w:ind w:left="900" w:right="20"/>
        <w:spacing w:after="0" w:line="250" w:lineRule="auto"/>
        <w:rPr>
          <w:sz w:val="20"/>
          <w:szCs w:val="20"/>
          <w:color w:val="auto"/>
        </w:rPr>
      </w:pPr>
      <w:r>
        <w:rPr>
          <w:rFonts w:ascii="Times New Roman" w:cs="Times New Roman" w:eastAsia="Times New Roman" w:hAnsi="Times New Roman"/>
          <w:sz w:val="18"/>
          <w:szCs w:val="18"/>
          <w:color w:val="auto"/>
        </w:rPr>
        <w:t>June 2024 following regulatory approval of VASCEPA under the REDUCE-IT indication. As of June 30, 2024, these payments have been fully recognized.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34" w:name="page35"/>
    <w:bookmarkEnd w:id="34"/>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Licensing and royalty revenue recognized in the prior period relates to the partial recognition of the above upfront and previously achieved milestones, excluding the REDUCE-IT indication approval, as well as below amounts received in connection with the following VASCEPA licensing agreements:</w:t>
      </w:r>
    </w:p>
    <w:p>
      <w:pPr>
        <w:spacing w:after="0" w:line="68" w:lineRule="exact"/>
        <w:rPr>
          <w:sz w:val="20"/>
          <w:szCs w:val="20"/>
          <w:color w:val="auto"/>
        </w:rPr>
      </w:pPr>
    </w:p>
    <w:p>
      <w:pPr>
        <w:ind w:left="900" w:right="120" w:hanging="383"/>
        <w:spacing w:after="0" w:line="258"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 As of June 30, 2023, these payments have been fully recognized.</w:t>
      </w:r>
    </w:p>
    <w:p>
      <w:pPr>
        <w:spacing w:after="0" w:line="7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 a $0.5 million up-front payment which was received upon closing of the agreement in January 2023.</w:t>
      </w:r>
    </w:p>
    <w:p>
      <w:pPr>
        <w:spacing w:after="0" w:line="117"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The upfront and milestone payments from Edding and HLS were being recognized over the estimated period in which we were required to provide regulatory and development support pursuant to the respective agreements which were satisfied in 2024 and 2023, respectively. The upfront payment from CSL was recognized in January 2023 upon closing of the agreement as no regulatory and development support is required pursuant to the agreement. The amount of licensing and royalty revenue is expected to vary from period to period based on timing of milestones achieved and changes in estimates of the timing and level of support required.</w:t>
      </w:r>
    </w:p>
    <w:p>
      <w:pPr>
        <w:spacing w:after="0" w:line="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8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six months ended June 30, 2024 and 2023 was $49.3 million and $75.5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$26.2 million, or 35%.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six months ended June 30, 2023, we have taken steps to amend supplier agreements to align supply arrangements with current and future demand resulting in charges of $26.6 million which were recorded as cost of goods sold - restructuring inventory.</w:t>
      </w:r>
    </w:p>
    <w:p>
      <w:pPr>
        <w:spacing w:after="0" w:line="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six months ended June 30, 2024 and 2023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overall gross margin on product sales for each of the six months ended June 30, 2024 and 2023 was 52% and 50%, respectively. Excluding the restructuring inventory gross margin was 52% and 67% for the six months ended June 30, 2024 and 2023, respectively. The decrease in gross margin is primarily as a result of a decrease in net selling price.</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six months ended June 30, 2024 and 2023 was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$78.4 million and $110.5 million, respectively, a decrease of $32.1 million, or 29%. Selling, general and administrative expenses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 are summarized in the table below:</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40,892</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40,781</w:t>
            </w:r>
          </w:p>
        </w:tc>
        <w:tc>
          <w:tcPr>
            <w:tcW w:w="80" w:type="dxa"/>
            <w:vAlign w:val="bottom"/>
          </w:tcPr>
          <w:p>
            <w:pPr>
              <w:spacing w:after="0"/>
              <w:rPr>
                <w:sz w:val="21"/>
                <w:szCs w:val="21"/>
                <w:color w:val="auto"/>
              </w:rPr>
            </w:pPr>
          </w:p>
        </w:tc>
      </w:tr>
      <w:tr>
        <w:trPr>
          <w:trHeight w:val="243"/>
        </w:trPr>
        <w:tc>
          <w:tcPr>
            <w:tcW w:w="61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78,436</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110,540</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67" w:lineRule="exact"/>
        <w:rPr>
          <w:sz w:val="20"/>
          <w:szCs w:val="20"/>
          <w:color w:val="auto"/>
        </w:rPr>
      </w:pPr>
    </w:p>
    <w:p>
      <w:pPr>
        <w:ind w:left="480" w:right="80" w:hanging="383"/>
        <w:spacing w:after="0" w:line="266"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six months ended June 30, 2024 and 2023 was $40.9 million and $64.5 million, respectively, a decrease of $23.6 million, or 37%. This decrease is primarily due to a reduction in costs associated with our ORP and cost reduction plans resulting in decreased promotional initiatives, reduced travel and elimination of our U.S. sales force.</w:t>
      </w:r>
    </w:p>
    <w:p>
      <w:pPr>
        <w:ind w:left="480" w:right="100" w:hanging="383"/>
        <w:spacing w:after="0" w:line="258"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six months ended June 30, 2024 and 2023 was $29.8 million and $40.8 million, respectively, a decrease of $11.0 million, or 27%. This decrease is primarily due to a decrease in employee-related costs as a result of the reduction in force from the ORP and cost reduction plans, decreases in branded pharma fees as a result of lower sales due to additional generic entrants in the market and decreased advisory fees related to the shareholder's special meeting in the prior year.</w:t>
      </w:r>
    </w:p>
    <w:p>
      <w:pPr>
        <w:ind w:left="480" w:right="160" w:hanging="383"/>
        <w:spacing w:after="0" w:line="261"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six months ended June 30, 2024 and 2023 was $7.7 million and $5.3 million, respectively, an increase of $2.4 million, or 46%. Non-cash stock-based compensation expense represents the estimated</w:t>
      </w: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5" w:name="page36"/>
    <w:bookmarkEnd w:id="35"/>
    <w:p>
      <w:pPr>
        <w:ind w:left="480" w:right="180"/>
        <w:spacing w:after="0" w:line="266" w:lineRule="auto"/>
        <w:rPr>
          <w:sz w:val="20"/>
          <w:szCs w:val="20"/>
          <w:color w:val="auto"/>
        </w:rPr>
      </w:pPr>
      <w:r>
        <w:rPr>
          <w:rFonts w:ascii="Times New Roman" w:cs="Times New Roman" w:eastAsia="Times New Roman" w:hAnsi="Times New Roman"/>
          <w:sz w:val="18"/>
          <w:szCs w:val="18"/>
          <w:color w:val="auto"/>
        </w:rPr>
        <w:t>costs associated with equity awards issued to internal personnel supporting our selling, general and administrative functions. The increase is due to prior years reversal of expense associated with our former CEO's resignation, as well as certain performance-based awards as it was no longer deemed probable that the performance criteria for vesting would be achieved within the required timeframe.</w:t>
      </w:r>
    </w:p>
    <w:p>
      <w:pPr>
        <w:spacing w:after="0" w:line="203"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 part of our ORP announced in July 2023, we have redesigned our commercial infrastructure in Europe and in the U.S. as well as focusing on maximizing U.S. cash flow through a streamlined model, which has resulted in $50.0 million in operating cost reductions annually. We will continue to evaluate all of our spending commitments and priorities based on our refocused strategic priorities and restructuring plan.</w:t>
      </w:r>
    </w:p>
    <w:p>
      <w:pPr>
        <w:spacing w:after="0" w:line="201" w:lineRule="exact"/>
        <w:rPr>
          <w:sz w:val="20"/>
          <w:szCs w:val="20"/>
          <w:color w:val="auto"/>
        </w:rPr>
      </w:pPr>
    </w:p>
    <w:p>
      <w:pPr>
        <w:jc w:val="both"/>
        <w:ind w:right="2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six months ended June 30, 2024 and 2023 was $10.3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$11.3 million, respectively, a decrease of $1.0 million, or 9%. Research and development expenses for the six months ended June 30, 2024 and 2023 are summarized in the table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4"/>
        </w:trPr>
        <w:tc>
          <w:tcPr>
            <w:tcW w:w="618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4"/>
              <w:spacing w:after="0" w:line="144"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92"/>
              <w:spacing w:after="0" w:line="144"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vMerge w:val="continue"/>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Fixed-dose combination </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(3)</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(4)</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(5)</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(6)</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520" w:right="8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providing data to be published in medical journals. The increase is as a result of additional conferences and publications in the U.S. and Europe to support the expansion and growth in the European markets.</w:t>
      </w:r>
    </w:p>
    <w:p>
      <w:pPr>
        <w:ind w:left="520" w:right="200" w:hanging="512"/>
        <w:spacing w:after="0" w:line="273"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are primarily related to cost associated with developmental activities of a fixed-dose combination of VASCEPA and a statin which began in 2022 and subsequently deprioritized during 2023.</w:t>
      </w:r>
    </w:p>
    <w:p>
      <w:pPr>
        <w:spacing w:after="0" w:line="1" w:lineRule="exact"/>
        <w:rPr>
          <w:rFonts w:ascii="Times New Roman" w:cs="Times New Roman" w:eastAsia="Times New Roman" w:hAnsi="Times New Roman"/>
          <w:sz w:val="18"/>
          <w:szCs w:val="18"/>
          <w:color w:val="auto"/>
        </w:rPr>
      </w:pPr>
    </w:p>
    <w:p>
      <w:pPr>
        <w:ind w:left="520" w:hanging="512"/>
        <w:spacing w:after="0" w:line="260"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 The increase is primarily due to the continued expansion within Europe and other countries throughout the world.</w:t>
      </w:r>
    </w:p>
    <w:p>
      <w:pPr>
        <w:spacing w:after="0" w:line="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49"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spacing w:after="0" w:line="4"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10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six months ended June 30, 2024 and 2023 was nil and $10.0 million, respectively,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$10.0 million, or 100%. The charge in the prior year is due to the implementation of the ORP which was approved in the second quarter 2023 and announced on July 18, 2023, which resulted in a reduction of our entire U.S. sales field force, with our managed care and trade organization continuing to support our U.S. commercial efforts, as well as a reduction of approximately 30% of non-sales positions.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additional information.</w:t>
      </w:r>
    </w:p>
    <w:p>
      <w:pPr>
        <w:spacing w:after="0" w:line="210"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six months ended June 30, 2024 and 2023 was $6.7 million and $5.2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$1.4 million, or 27%. Interest income, net represents income earned on cash and investment balances. The increase is primarily due to higher investment balances in the current year period compared to the prior year period.</w:t>
      </w:r>
    </w:p>
    <w:p>
      <w:pPr>
        <w:spacing w:after="0" w:line="200"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for the six months ended June 30, 2024 and 2023 was income of $1.7 million and $3.7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$2.0 million, or 54%. Other income, net, primarily consists of the ERC awarded as part of the</w:t>
      </w: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6" w:name="page37"/>
    <w:bookmarkEnd w:id="36"/>
    <w:p>
      <w:pPr>
        <w:spacing w:after="0" w:line="266" w:lineRule="auto"/>
        <w:rPr>
          <w:sz w:val="20"/>
          <w:szCs w:val="20"/>
          <w:color w:val="auto"/>
        </w:rPr>
      </w:pPr>
      <w:r>
        <w:rPr>
          <w:rFonts w:ascii="Times New Roman" w:cs="Times New Roman" w:eastAsia="Times New Roman" w:hAnsi="Times New Roman"/>
          <w:sz w:val="18"/>
          <w:szCs w:val="18"/>
          <w:color w:val="auto"/>
        </w:rPr>
        <w:t>CARES Act, gains and losses on foreign exchange transactions and sublease income related to our Bridgewater, New Jersey facility. The decrease in other income, net is primarily due to receiving formal notice in the prior year from the IRS that we are entitled to the ERC funds and that receipt of a $3.9 million credit is probable.</w:t>
      </w:r>
    </w:p>
    <w:p>
      <w:pPr>
        <w:spacing w:after="0" w:line="12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Provision for income taxes for the six months ended June 30, 2024 and 2023 was $2.7 million and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provision for the six months ended June 30, 2024 is the result of income generated by our U.S. and foreign operations for which tax expense has been recognized based on a full year estimated U.S. and foreign income tax liability. The increase compared to prior year is primarily due to a higher annualized estimated tax rate using 2024 compared to 2023 due to changes in unrecognized tax benefits.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June 30, 2024, our aggregate sources of liquidity include cash and cash equivalents and restricted cash of $216.4 million and short-term investments of $90.7 million. We have no indebtedness. Our cash and cash equivalents primarily include checking accounts and money market funds with original maturities of less than 90 days. Our short-term investments consist of securities that will be due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7"/>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1"/>
                <w:szCs w:val="21"/>
                <w:color w:val="auto"/>
              </w:rPr>
            </w:pPr>
          </w:p>
        </w:tc>
      </w:tr>
      <w:tr>
        <w:trPr>
          <w:trHeight w:val="239"/>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(1.4 )</w:t>
            </w: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r>
      <w:tr>
        <w:trPr>
          <w:trHeight w:val="276"/>
        </w:trPr>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during the six months ended June 30, 2024 as compared to net cash provided by operating activities during the same period in 2023. This is primarily as a result of inventory purchases and restructuring payments made in 2024 which did not occur in the same period in 2023.</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2024 increased due primarily to proceeds from the maturity of $133.0 million in investment grade interest-bearing instruments, partially offset by $99.6 million in purchases of the investment grade interest-bearing instruments as compared to the same period in 2023 where proceeds from the maturity of investment grade interest-bearing instruments was $97.0 million, partially offset by $82.3 million in purchases of investment-grade interest bearing instruments.</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2024 as compared to net cash provided by financing activities during the same period in 2023 was primarily as a result of a decrease in proceeds related to stock option exercises.</w:t>
      </w:r>
    </w:p>
    <w:p>
      <w:pPr>
        <w:spacing w:after="0" w:line="54"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we had net accounts receivable of $123.7 million, current inventory of $239.4 million and long-term inventory of $71.3 million. We have incurred annual operating losses since our inception and, as a result, we had an accumulated deficit of $1.6 billion as of June 30, 2024. We anticipate that quarterly net cash outflows in future periods will continue to be variable as a result of the timing of certain items, including our purchases of API, the generic competition in the United States and pricing and reimbursement of VAZKEPA in Europe.</w:t>
      </w:r>
    </w:p>
    <w:p>
      <w:pPr>
        <w:spacing w:after="0" w:line="7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July 2023, we announced that we were implementing the ORP resulting in the elimination and consolidation of certain roles across the organization, both in the United States and abroad, representing a reduction of our total employee base by approximately 30%. In the U.S., all sales force positions were eliminated, with the managed care and trade organization continuing to support U.S. commercial efforts, and 30% of non-sales positions were eliminated, while in Europe we have redesigned our commercial infrastructure to better align with pricing and reimbursement status, commercial progress to date, as well as streamlining certain cross-geographic functions and better leveraging learnings across countries. These actions reduced operating costs by $50.0 million annually.</w:t>
      </w:r>
    </w:p>
    <w:p>
      <w:pPr>
        <w:spacing w:after="0" w:line="79"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Depository Shares. We received shareholder and UK High Court approval of the share repurchase plan in April and May 2024, respectively. The Company has not commenced any share repurchases to date, but we will continue to monitor business and market conditions.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7" w:name="page38"/>
    <w:bookmarkEnd w:id="37"/>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June 30, 2024, we had cash and cash equivalents of $215.9 million and short-term investments of $90.7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for at least one year from the issuance date of our unaudited condensed consolidated financial statements included elsewhere in this Quarterly Report and are adequate to support continued operations based on our current plans. We have based this estimate on assumptions that may prove to be wrong, including as a result of the risks discussed under “Risk Factors” in this Quarterly Report and we could use our capital resources sooner than we expect or fail to achieve positive cash flow.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and operating leases related to real estate used as office space.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7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June 30, 2024. Based on such evaluation, our principal executive officer and principal financial officer have concluded that as of June 30, 2024,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During the quarter ended June 30, 2024,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Information regarding reportable legal proceedings is contained in “Item 3. Legal Proceedings” of our Annual Report. Refer to Note 5 – Commitments and Contingencies in this Quarterly Report for any legal proceedings that became reportable during the three and six months ended June 30, 2024, and updates to any descriptions of previously reported legal proceedings in which there have been material developments during such period. The discussion of legal proceedings included within </w:t>
      </w:r>
      <w:r>
        <w:rPr>
          <w:rFonts w:ascii="Times New Roman" w:cs="Times New Roman" w:eastAsia="Times New Roman" w:hAnsi="Times New Roman"/>
          <w:sz w:val="18"/>
          <w:szCs w:val="18"/>
          <w:i w:val="1"/>
          <w:iCs w:val="1"/>
          <w:color w:val="auto"/>
        </w:rPr>
        <w:t>Note 5 – Commitments and Contingencies</w:t>
      </w:r>
      <w:r>
        <w:rPr>
          <w:rFonts w:ascii="Times New Roman" w:cs="Times New Roman" w:eastAsia="Times New Roman" w:hAnsi="Times New Roman"/>
          <w:sz w:val="18"/>
          <w:szCs w:val="18"/>
          <w:color w:val="auto"/>
        </w:rPr>
        <w:t xml:space="preserve"> is incorporated into this Item 1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7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Except where denoted with an “*”, these risk factors have not been materially updated from our Annual Report on 10-K for the year ended December 31, 2023 filed with the SEC on February 29, 2024, or our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61" w:lineRule="exact"/>
        <w:rPr>
          <w:sz w:val="20"/>
          <w:szCs w:val="20"/>
          <w:color w:val="auto"/>
        </w:rPr>
      </w:pPr>
    </w:p>
    <w:p>
      <w:pPr>
        <w:ind w:left="900" w:right="20" w:hanging="383"/>
        <w:spacing w:after="0" w:line="233"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its commercialization in the United States and its development, launch and commercialization in Europe and other major markets;</w:t>
      </w:r>
    </w:p>
    <w:p>
      <w:pPr>
        <w:spacing w:after="0" w:line="91"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we compete with and may face increasing competition from generic drug companies and our revenues and results could continue to be materially and adversely affected;</w:t>
      </w:r>
    </w:p>
    <w:p>
      <w:pPr>
        <w:spacing w:after="0" w:line="53" w:lineRule="exact"/>
        <w:rPr>
          <w:rFonts w:ascii="Times New Roman" w:cs="Times New Roman" w:eastAsia="Times New Roman" w:hAnsi="Times New Roman"/>
          <w:sz w:val="18"/>
          <w:szCs w:val="18"/>
          <w:color w:val="auto"/>
        </w:rPr>
      </w:pPr>
    </w:p>
    <w:p>
      <w:pPr>
        <w:jc w:val="both"/>
        <w:ind w:left="900" w:right="32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relevant pricing approvals in various countries; however, we may not be successful in obtaining such approvals in a timely manner, or at all and, even if successfully obtained, we may not be successful in commercializing VAZKEPA in major markets outside the United States;</w:t>
      </w:r>
    </w:p>
    <w:p>
      <w:pPr>
        <w:spacing w:after="0" w:line="67"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of VASCEPA outside the United States may be smaller than we anticipate, particularly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6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at levels sufficient to achieve commercial success;</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Restructuring Program, or ORP, effected in July 2023, and any similar efforts we may undertake in the future, may not be successful in mitigating risks and challenges associated with our U.S. business and establishing a more significant international footprint;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supply and commercialization, including promotional activities, of VASCEPA is subject to regulatory scrutiny;</w:t>
      </w:r>
    </w:p>
    <w:p>
      <w:pPr>
        <w:spacing w:after="0" w:line="11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9" w:name="page40"/>
    <w:bookmarkEnd w:id="39"/>
    <w:p>
      <w:pPr>
        <w:ind w:left="900" w:right="40" w:hanging="383"/>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71"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67" w:lineRule="exact"/>
        <w:rPr>
          <w:rFonts w:ascii="Times New Roman" w:cs="Times New Roman" w:eastAsia="Times New Roman" w:hAnsi="Times New Roman"/>
          <w:sz w:val="18"/>
          <w:szCs w:val="18"/>
          <w:color w:val="auto"/>
        </w:rPr>
      </w:pPr>
    </w:p>
    <w:p>
      <w:pPr>
        <w:jc w:val="both"/>
        <w:ind w:left="900" w:right="380" w:hanging="383"/>
        <w:spacing w:after="0" w:line="312"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31" w:lineRule="exact"/>
        <w:rPr>
          <w:rFonts w:ascii="Times New Roman" w:cs="Times New Roman" w:eastAsia="Times New Roman" w:hAnsi="Times New Roman"/>
          <w:sz w:val="17"/>
          <w:szCs w:val="17"/>
          <w:color w:val="auto"/>
        </w:rPr>
      </w:pPr>
    </w:p>
    <w:p>
      <w:pPr>
        <w:ind w:left="900" w:right="8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return capital to our shareholders and increase shareholder value, including our share repurchase program, may not be implemented in a timely manner or at all, or may not have the expected results;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 longer able to meet the listing requirements of the NASDAQ Stock Market, our stock may be delisted.</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252"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(icosapent ethyl), its commercialization in the United States and its development, launch and commercialization in Europe and other major markets.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currently derive substantially all of our revenue from sales of VASCEPA. We may be substantially dependent on sales of VASCEPA for many years. Our financial condition and the success of our company will be materially adversely affected, we may have to further restructure our current operations, and our business prospects will be limited, if we experience any negative developments relating to VASCEPA. In the first quarter of 2020, the U.S. District Court for the District of Nevada issued a ruling in favor of two generic drug companies, Dr. Reddy's Laboratories, Inc., or Dr. Reddy's, and Hikma Pharmaceuticals USA Inc., or Hikma, and certain of their affiliates, that declared as invalid several patents of ours protecting the first U.S. FDA-approved use of our drug, to reduce severely high triglyceride levels, or the MARINE indication, or the ANDA litigation. We were unsuccessful in our appeals and our stock price was adversely and materially impacted by the ruling, the results of the appeals process and the introduction of generic competition. If other proprietary rights protecting VASCEPA or its use are challenged, our stock price could further decline, particularly if such challenges, which are costly to defend, are successful.</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Although we are exploring ways to broaden our development and commercial pipeline, such efforts are likely to be time consuming, costly and may utilize resources that could otherwise be focused on commercializing VASCEPA. It took over a decade of product development before we received marketing approval for VAZKEPA in March 2021 from the European Commission, or the EC.</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 consuming, may be dilutive to existing shareholdings, and may be initially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10"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compete with and may face increasing competition from generic drug companies and our revenues and results of operations could continue to be materially and adversely affected.</w:t>
      </w:r>
    </w:p>
    <w:p>
      <w:pPr>
        <w:spacing w:after="0" w:line="51"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Following the ANDA litigation rulings against the Company, generic versions of VASCEPA began launching in the United States in November 2020, and several generic versions are currently available, including for both the 0.5-gram and 1-gram capsules, and we expect that VASCEPA could face more competition from generic companies in the United States. Increasing sales of generic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versions of VASCEPA could continue to have a material and adverse impact on our revenues and results of operations in the United States.</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Generally, once a generic version of a drug is available in the market, the generic version is typically used by pharmacies across the U.S. to fill prescriptions for any use of the drug, subject to state substitution laws. Although we intend to vigorously defend our intellectual property rights related to VASCEPA, there can be no assurance that we will be successful in preventing use of generic versions of VASCEPA in indications for which they have not been approved by the U.S. FDA, even if such use is determined to infringe certain of our patent claims.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Given the changing dynamic in the U.S. market at the time, we initiated cost and organizational restructuring plans which resulted in eliminating our U.S. sales force, while maintaining our managed care and trade organization to support our U.S. commercial efforts, and our overall headcount was reduced by 30% as part of our ORP. Although these initiatives reduced operating costs by $50.0 million annually, such efforts could impact employee morale and make hiring and retaining talented personnel more challenging, may not result in all of the cost savings or other benefits we anticipate, and are costly to implement. Furthermore, such efforts may reduce our ability to expand use of VASCEPA.</w:t>
      </w:r>
    </w:p>
    <w:p>
      <w:pPr>
        <w:spacing w:after="0" w:line="206" w:lineRule="exact"/>
        <w:rPr>
          <w:sz w:val="20"/>
          <w:szCs w:val="20"/>
          <w:color w:val="auto"/>
        </w:rPr>
      </w:pPr>
    </w:p>
    <w:p>
      <w:pPr>
        <w:ind w:right="4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seeking relevant pricing approvals in various countries; however, we may not be successful in obtaining such approvals in a timely manner or at all and even if successfully obtained, we may not be successful in commercializing VAZKEPA in major markets outside the United States.</w:t>
      </w:r>
    </w:p>
    <w:p>
      <w:pPr>
        <w:spacing w:after="0" w:line="2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continue our development efforts to support commercialization of VASCEPA in major markets outside the United States, particularly in light of the level of competition, including from generic products, in the United States, and as part of our ORP, we redesigned our commercial infrastructure in Europe. This process is conducted on a country-by-country basis and is time consuming and complex, and, even though the EC approved the marketing authorization for VAZKEPA in March 2021, and we have received positive national pricing and reimbursement decisions in various countries, there is no guarantee that we will be able to negotiate and obtain further reimbursement and pricing terms on favorable terms, or at all, in the other countries where we are pursuing commercialization. Further, successful progress or pricing terms in one country may not be indicative of our outcomes in other jurisdictions. For example, although the UK’s National Institute for Health and Care Excellence, or NICE, announced final guidance for reimbursement for VAZKEPA® and use across the National Health Service, or NHS, in England and Wales, we decided to discontinue business operations in Germany following the conclusion of negotiations with the National Association of Statutory Health Insurance Funds during which a viable agreement on the reimbursement price of VAZKEPA could not be reached. The Arbitration Board process concluded without an agreement in November 2022 and although we plan to resubmit a pricing and reimbursement dossier with new data in Germany, we may be unable to resume commercial operations in Germany. We may not be successful in obtaining additional approvals in a timely manner with acceptable terms, or in additional countries, and if we are unable to do so, and continue to face increased competition in the United States, our financial position could be materially and adversely impacted.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been developing VAZKEPA on our own in Europe, where we have limited experience. We are exploring possible strategic collaborations in smaller markets within Europe and in other major markets, which will increase our reliance on third parties, over whom we have limited control. We currently have multiple partners for the development and commercialization of VASCEPA in select geographies and are assessing potential partners to commercialize VASCEPA in other parts of the world. We have strategic collaborations for the development and commercialization of VASCEPA in Canada, the Middle East, Australia, New Zealand, Greater China, South Korea and many markets in Southeast Asia, Greece and Israel. However, we cannot make any guarantees as to the success of these efforts or that our beliefs about the value potential are accurate, or that we will be able to rely upon these third parties; if commercialization plans for VASCEPA do not meet expectations in major markets such as Europe, our business and prospects could be materially and adversely affected.</w:t>
      </w:r>
    </w:p>
    <w:p>
      <w:pPr>
        <w:spacing w:after="0" w:line="215"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of VASCEPA outside the United States may be smaller than we anticipate, particularly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as to the market for VASCEPA outside the United States, and we may face challenges in successfully achieving market opportunities available to us. Despite having received EC approval to commercialize VAZKEPA in Europe and approval elsewhere around the world, applicable regulatory agencies may impose restrictions on the product’s conditions for use, distribution or marketing, and in some cases may impose ongoing requirements for post-market surveillance, post-approval studies or clinical trials, any of which could limit the market opportunity, or our ability to capitalize on such opportunity, for VASCEPA.</w:t>
      </w:r>
    </w:p>
    <w:p>
      <w:pPr>
        <w:spacing w:after="0" w:line="7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and these negotiations are not always successful. For example, after the conclusion of negotiations with the National Association of Statutory Health Insurance Funds, a viable agreement on the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80"/>
        <w:spacing w:after="0" w:line="266" w:lineRule="auto"/>
        <w:rPr>
          <w:sz w:val="20"/>
          <w:szCs w:val="20"/>
          <w:color w:val="auto"/>
        </w:rPr>
      </w:pPr>
      <w:r>
        <w:rPr>
          <w:rFonts w:ascii="Times New Roman" w:cs="Times New Roman" w:eastAsia="Times New Roman" w:hAnsi="Times New Roman"/>
          <w:sz w:val="18"/>
          <w:szCs w:val="18"/>
          <w:color w:val="auto"/>
        </w:rPr>
        <w:t>reimbursement price of VAZKEPA in Germany could not be reached. As a result of the negotiation outcome, we discontinued our German operations as of September 1, 2022. In November 2022, the Arbitration Board process concluded without an agreement and although we plan to resubmit a pricing and reimbursement dossier with new data in Germany, we may be unable to resume commercial operations in Germany.</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in countries outside the U.S., securing product reimbursement is a requisite to commercial launch. To obtain reimbursement or pricing approval in some countries, we may be required to conduct a pharmacoeconomic study that compares the cost effectiveness of VASCEPA to other available therapies. Such pharmacoeconomic studies can be costly and the results uncertain. The time required to secure reimbursement tends to vary from country to country and cannot be reliably predicted at this time.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or our partners, may choose to not proceed with marketing VASCEPA in a market, even after obtaining all necessary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10"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be unsuccessful in expanding our global footprint. We are launching VAZKEPA on our own in the most commercially significant markets in Europe, and have redesigned our commercial infrastructure in Europe. The commercial launch of a new pharmaceutical product is a complex and resource heavy undertaking for a company to manage and may be impacted by decisions by and interactions with local regulators. We have no prior experience as a company operating a commercial-stage pharmaceutical business in Europe. As noted above, a viable agreement on the reimbursement price of VAZKEPA in Germany could not be reached with German regulators and we have discontinued our Germany business operations.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inhibit our efforts to successfully commercialize VASCEPA include:</w:t>
      </w:r>
    </w:p>
    <w:p>
      <w:pPr>
        <w:spacing w:after="0" w:line="117"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regulatory exclusivities and entry into the market of additional generic versions of VASCEPA;</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 and senior management, particularly in light of our recent reductions in force, including our ORP announced in July 2023, and turnover on the management team;</w:t>
      </w:r>
    </w:p>
    <w:p>
      <w:pPr>
        <w:spacing w:after="0" w:line="53" w:lineRule="exact"/>
        <w:rPr>
          <w:rFonts w:ascii="Times New Roman" w:cs="Times New Roman" w:eastAsia="Times New Roman" w:hAnsi="Times New Roman"/>
          <w:sz w:val="18"/>
          <w:szCs w:val="18"/>
          <w:color w:val="auto"/>
        </w:rPr>
      </w:pPr>
    </w:p>
    <w:p>
      <w:pPr>
        <w:ind w:left="900" w:right="7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applicable regulatory and other legal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access to or persuade adequate numbers of physicians to prescribe or patients to use VASCEPA;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overestimating the addressable market for VASCEPA;</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 outside of the United States.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85" w:lineRule="exact"/>
        <w:rPr>
          <w:sz w:val="20"/>
          <w:szCs w:val="20"/>
          <w:color w:val="auto"/>
        </w:rPr>
      </w:pPr>
    </w:p>
    <w:p>
      <w:pPr>
        <w:ind w:right="8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ability to generate meaningful revenues of VASCEPA outside of the United States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generics. Refer to “</w:t>
      </w:r>
      <w:r>
        <w:rPr>
          <w:rFonts w:ascii="Times New Roman" w:cs="Times New Roman" w:eastAsia="Times New Roman" w:hAnsi="Times New Roman"/>
          <w:sz w:val="18"/>
          <w:szCs w:val="18"/>
          <w:i w:val="1"/>
          <w:iCs w:val="1"/>
          <w:color w:val="auto"/>
        </w:rPr>
        <w:t>Item 1. Business - Government Regulation – Pharmaceutical Pricing and Reimbursement</w:t>
      </w:r>
      <w:r>
        <w:rPr>
          <w:rFonts w:ascii="Times New Roman" w:cs="Times New Roman" w:eastAsia="Times New Roman" w:hAnsi="Times New Roman"/>
          <w:sz w:val="18"/>
          <w:szCs w:val="18"/>
          <w:color w:val="auto"/>
        </w:rPr>
        <w:t>” in our Annual Report on Form 10-K for the fiscal year ended December 31, 2023 for further details.</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 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dynamics and developments discussed above serve to create pressure on the pricing and potential usage of products throughout the pharmaceutical industry, including VASCEPA.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210"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and commercial payor actions outside of the United States have affected and will continue to affect access to and sales of our products.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Outside of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of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We as an organization have limited experience in navigating the pricing and reimbursement regimes outside of the United States. The foreign regimes are varied and complex, and this might hinder our effectiveness in establishing satisfactory pricing, coverage and reimbursement levels in a timely manner or at all.</w:t>
      </w:r>
    </w:p>
    <w:p>
      <w:pPr>
        <w:spacing w:after="0" w:line="220"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achieve commercial success.</w:t>
      </w:r>
    </w:p>
    <w:p>
      <w:pPr>
        <w:spacing w:after="0" w:line="51"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We may be unable to increase or maintain market acceptance by physicians, patients, healthcare payors and others in the medical community, especially in light of generic competition. If VASCEPA does not achieve an adequate level of acceptance, we</w:t>
      </w: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560"/>
        <w:spacing w:after="0" w:line="282" w:lineRule="auto"/>
        <w:rPr>
          <w:sz w:val="20"/>
          <w:szCs w:val="20"/>
          <w:color w:val="auto"/>
        </w:rPr>
      </w:pPr>
      <w:r>
        <w:rPr>
          <w:rFonts w:ascii="Times New Roman" w:cs="Times New Roman" w:eastAsia="Times New Roman" w:hAnsi="Times New Roman"/>
          <w:sz w:val="18"/>
          <w:szCs w:val="18"/>
          <w:color w:val="auto"/>
        </w:rPr>
        <w:t>may not generate product revenues sufficient to become profitable, or, even if we do achieve profitability, we may not be able to generate consistent profitability. The degree of market acceptance of VASCEPA will depend on a number of factors, including:</w:t>
      </w:r>
    </w:p>
    <w:p>
      <w:pPr>
        <w:spacing w:after="0" w:line="54"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adjudicated, settled and pending patent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versions of VASCEPA;</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warnings in VASCEPA's approved labeling internationally;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data supporting our REDUCE-IT indication over time;</w:t>
      </w:r>
    </w:p>
    <w:p>
      <w:pPr>
        <w:spacing w:after="0" w:line="117" w:lineRule="exact"/>
        <w:rPr>
          <w:rFonts w:ascii="Times New Roman" w:cs="Times New Roman" w:eastAsia="Times New Roman" w:hAnsi="Times New Roman"/>
          <w:sz w:val="18"/>
          <w:szCs w:val="18"/>
          <w:color w:val="auto"/>
        </w:rPr>
      </w:pPr>
    </w:p>
    <w:p>
      <w:pPr>
        <w:ind w:left="900" w:right="110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our clinical data supporting our REDUCE-IT indication by regulatory authorities internationally;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our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consistent with U.S. FDA-approved labeling and the related perception thereof;</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prescribed uses, on-label and off-label;</w:t>
      </w:r>
    </w:p>
    <w:p>
      <w:pPr>
        <w:spacing w:after="0" w:line="11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international conflicts and political unrest, all of which could negatively impact our supply chain or inhibit our ability to promote VASCEPA regionally and which could negatively affect product demand by creating obstacles for patients to seek treatment and fill prescriptions;</w:t>
      </w:r>
    </w:p>
    <w:p>
      <w:pPr>
        <w:spacing w:after="0" w:line="6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 above factors could have a negative impact on our ability to successfully commercialize VASCEPA, which would in turn have a negative impact on our financial condition.</w:t>
      </w:r>
    </w:p>
    <w:p>
      <w:pPr>
        <w:spacing w:after="0" w:line="185"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data or related interpretations that are generated or arise over time related to REDUCE-IT might not meet expectations, and the perception of REDUCE-IT results and VASCEPA revenue potential may suffer and our stock price may decline.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Additional data assessment by international regulatory authorities or otherwise could yield additional information to inform greater understanding of study outcome, which information could impact the perception of VASCEPA. Such data or interpretations may not be favorable for us.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as when Health Canada approved an indication based on our REDUCE-IT trial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54" w:lineRule="exact"/>
        <w:rPr>
          <w:sz w:val="20"/>
          <w:szCs w:val="20"/>
          <w:color w:val="auto"/>
        </w:rPr>
      </w:pPr>
    </w:p>
    <w:p>
      <w:pPr>
        <w:ind w:left="900" w:right="48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those related to adverse events, including bleeding and atrial fibrillation generally and in different sub-populations);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203"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new clinical data or analysis of existing data from clinical trials involving VASCEPA and similar moderate-to-high doses of eicosapentaenoic acid or icosapent ethyl could adversely impact public perception of VASCEPA’s clinical profile and the commercial and regulatory prospects of VASCEPA.</w:t>
      </w:r>
    </w:p>
    <w:p>
      <w:pPr>
        <w:spacing w:after="0" w:line="6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Analysis of data from trials of moderate-to-high doses of VASCEPA and icosapent ethyl, or a similar eicosapentaenoic acid product, could render new or adverse information on the effects of VASCEPA and its commercial and regulatory prospects.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Results from this study were presented during the 2022 American Heart Association Scientific Sessions in November 2022 and published online in the journal Circulation in June 2024 and were consistent with the evidence from the REDUCE-IT study.</w:t>
      </w:r>
    </w:p>
    <w:p>
      <w:pPr>
        <w:spacing w:after="0" w:line="72"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China’s National Medical Products Administration, or NMPA, approved VASCEPA as an adjunct to diet to reduce the levels of triglyceride in adult patients suffering from severe hypertriglyceridemia (≥500mg/dL) and in October 2023 Edding submitted a regulatory filing to the NMPA and was approved on June 28, 2024, following approval Edding is working to secure National Reimbursement Drug Listing for VASCEPA in Mainland China under the REDUCE-IT indication. Even though the results from these trials were positive, additional clinical development efforts may be necessary in these markets to demonstrate the effectiveness and safety of VASCEPA, which may be costly to pursue, or may not produce the desired or expected results.</w:t>
      </w:r>
    </w:p>
    <w:p>
      <w:pPr>
        <w:spacing w:after="0" w:line="6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 outcomes of any new studies involving VASCEPA and icosapent ethyl, or further analysis of existing trial data, is unfavorable, the perception of existing clinical results of VASCEPA, such as MARINE or REDUCE-IT, or the perceived clinical profile and commercial value of VASCEPA and its regulatory status, or perceptions about the potential for VASCEPA, including as a treatment for broader indications, may suffer. If this occurs our revenue and business could suffer and our stock price could significantly decline.</w:t>
      </w:r>
    </w:p>
    <w:p>
      <w:pPr>
        <w:spacing w:after="0" w:line="203"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ORP effected in July 2023, and any similar efforts we may undertake in the future, may not be successful in mitigating risks and challenges associated with our U.S. business and establishing a more significant international footprint.</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we are not successful in our efforts to continue to market and sell VASCEPA in the United States, including following our ORP announced in July 2023 which eliminated all remaining sales force positions in the United States, with the managed care and trade organization remaining to support U.S. commercial efforts, and approximately 30% of non-sales positions, our anticipated revenues or our expenses could be materially adversely affected, and we may not maintain profitability in the United States or obtain profitability internationally. Further, we may need to cut back on research and development activities or we may need to implement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right="100"/>
        <w:spacing w:after="0" w:line="282" w:lineRule="auto"/>
        <w:rPr>
          <w:sz w:val="20"/>
          <w:szCs w:val="20"/>
          <w:color w:val="auto"/>
        </w:rPr>
      </w:pPr>
      <w:r>
        <w:rPr>
          <w:rFonts w:ascii="Times New Roman" w:cs="Times New Roman" w:eastAsia="Times New Roman" w:hAnsi="Times New Roman"/>
          <w:sz w:val="18"/>
          <w:szCs w:val="18"/>
          <w:color w:val="auto"/>
        </w:rPr>
        <w:t>other cost-containment measures, or we may need to raise additional funding that could result in substantial dilution or impose considerable restrictions on our business.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supply and commercialization, including promotional activities, of VASCEPA is subject to regulatory scrutiny.</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False Claims Act, or FCA. However, case law over the last several years has called into question the extent to which the U.S. government, including the U.S. FDA, can, and is willing to seek to, prevent truthful and non-misleading speech related to off-label uses of U.S. FDA-approved products such as VASCEPA.</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a result of a lawsuit that we and a group of independent physicians filed against the U.S. FDA in 2015, we were granted preliminary relief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The U.S. FDA did not appeal the court’s ruling and ultimately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8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For example, we were recently the subject of two civil investigative demands, or CIDs, from the U.S. Federal Trade Commission and a subpoena from the New York Attorney General, or the Investigations. Although we are cooperating with the government and completed document production in mid-2023, we cannot predict when these Investigations will be resolved, the outcome of the Investigations or their potential impact on our business.</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we may be subject to enhanced scrutiny to ensure that our promotion remains within the scope covered by the settlement.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or as a result of the findings of the Investigations,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10"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We expect that the number of companies seeking to develop products and therapies similar to VASCEPA may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81" w:lineRule="exact"/>
        <w:rPr>
          <w:sz w:val="20"/>
          <w:szCs w:val="20"/>
          <w:color w:val="auto"/>
        </w:rPr>
      </w:pPr>
    </w:p>
    <w:p>
      <w:pPr>
        <w:jc w:val="both"/>
        <w:ind w:right="240" w:firstLine="509"/>
        <w:spacing w:after="0" w:line="257"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companies that could have greater resources than us, and with the potential for further generic versions being launched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80"/>
        <w:spacing w:after="0" w:line="266" w:lineRule="auto"/>
        <w:rPr>
          <w:sz w:val="20"/>
          <w:szCs w:val="20"/>
          <w:color w:val="auto"/>
        </w:rPr>
      </w:pPr>
      <w:r>
        <w:rPr>
          <w:rFonts w:ascii="Times New Roman" w:cs="Times New Roman" w:eastAsia="Times New Roman" w:hAnsi="Times New Roman"/>
          <w:sz w:val="18"/>
          <w:szCs w:val="18"/>
          <w:color w:val="auto"/>
        </w:rPr>
        <w:t>possibly in the near term, it may not be viable for us to continue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68" w:lineRule="exact"/>
        <w:rPr>
          <w:sz w:val="20"/>
          <w:szCs w:val="20"/>
          <w:color w:val="auto"/>
        </w:rPr>
      </w:pPr>
    </w:p>
    <w:p>
      <w:pPr>
        <w:ind w:right="100" w:firstLine="509"/>
        <w:spacing w:after="0" w:line="236" w:lineRule="auto"/>
        <w:rPr>
          <w:sz w:val="20"/>
          <w:szCs w:val="20"/>
          <w:color w:val="auto"/>
        </w:rPr>
      </w:pPr>
      <w:r>
        <w:rPr>
          <w:rFonts w:ascii="Times New Roman" w:cs="Times New Roman" w:eastAsia="Times New Roman" w:hAnsi="Times New Roman"/>
          <w:sz w:val="18"/>
          <w:szCs w:val="18"/>
          <w:color w:val="auto"/>
        </w:rPr>
        <w:t>We also face considerable competition in the United States from branded products and generic versions of competing branded products and formulations, including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all of which have multiple generic competing versions. We compete with these drugs in our U.S. FDA-approved indicated uses, even though such products do not have U.S. FDA approval to reduce CV risk on top of statin therapy.</w:t>
      </w:r>
    </w:p>
    <w:p>
      <w:pPr>
        <w:spacing w:after="0" w:line="9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our competitors, and potential competing drugs in development, in the United States and the rest of the world, see our discussion in "</w:t>
      </w:r>
      <w:r>
        <w:rPr>
          <w:rFonts w:ascii="Times New Roman" w:cs="Times New Roman" w:eastAsia="Times New Roman" w:hAnsi="Times New Roman"/>
          <w:sz w:val="18"/>
          <w:szCs w:val="18"/>
          <w:i w:val="1"/>
          <w:iCs w:val="1"/>
          <w:color w:val="auto"/>
        </w:rPr>
        <w:t>Item 1. Business - Competition</w:t>
      </w:r>
      <w:r>
        <w:rPr>
          <w:rFonts w:ascii="Times New Roman" w:cs="Times New Roman" w:eastAsia="Times New Roman" w:hAnsi="Times New Roman"/>
          <w:sz w:val="18"/>
          <w:szCs w:val="18"/>
          <w:color w:val="auto"/>
        </w:rPr>
        <w:t>" in our Annual Report on Form 10-K for the fiscal year ended December 31, 2023.</w:t>
      </w:r>
    </w:p>
    <w:p>
      <w:pPr>
        <w:spacing w:after="0" w:line="54"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Further, drugs in development that are expected to compete with VASCEPA if they are ultimately approved and commercialized, and the perceived safety and efficacy of such commercialized drugs or drug products, could have a negative impact on the perceived safety and efficacy of VASCEPA.</w:t>
      </w:r>
    </w:p>
    <w:p>
      <w:pPr>
        <w:spacing w:after="0" w:line="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CV risk based on biomarker modification without cardiovascular outcomes study data, with the potential exception of therapies which lower LDL-C,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CV risk reduction indication without the need in advance to conduct a long and expensive CV outcomes study.</w:t>
      </w:r>
    </w:p>
    <w:p>
      <w:pPr>
        <w:spacing w:after="0" w:line="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VASCEPA also faces competition from dietary supplement manufacturers marketing omega-3 products as nutritional supplements. Such products are classified as food, not as prescription drugs or over-the-counter drugs, by the U.S. FDA and other regulators.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Consistent with the competitive landscape in the United States, our competitors outside of the United States include large, well-established and experienced pharmaceutical companies, specialty and generic pharmaceutical companies, marketing companies, and specialized cardiovascular treatment companies and we have limited experience as a company self-commercializing a product outside of the United States.</w:t>
      </w:r>
    </w:p>
    <w:p>
      <w:pPr>
        <w:spacing w:after="0" w:line="68"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19"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generic competitors seek to compete with VASCEPA in the United States and elsewhere, we could face additional challenges to our patents and additional patent litigation.</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could face patent litigation related to the patents filed in the Orange Book related to the REDUCE-IT study, particularly given that the three-year period of exclusivity under the Hatch-Waxman Amendments expired on December 13, 2022, which exclusivity would have precluded the U.S. FDA from approving a marketing application for an ANDA for a product candidate that the U.S. FDA viewed as having the same conditions of approval as VASCEPA.</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75" w:lineRule="exact"/>
        <w:rPr>
          <w:sz w:val="20"/>
          <w:szCs w:val="20"/>
          <w:color w:val="auto"/>
        </w:rPr>
      </w:pPr>
    </w:p>
    <w:p>
      <w:pPr>
        <w:ind w:left="5540" w:right="1660" w:hanging="5016"/>
        <w:spacing w:after="0" w:line="282" w:lineRule="auto"/>
        <w:rPr>
          <w:sz w:val="20"/>
          <w:szCs w:val="20"/>
          <w:color w:val="auto"/>
        </w:rPr>
      </w:pPr>
      <w:r>
        <w:rPr>
          <w:rFonts w:ascii="Times New Roman" w:cs="Times New Roman" w:eastAsia="Times New Roman" w:hAnsi="Times New Roman"/>
          <w:sz w:val="18"/>
          <w:szCs w:val="18"/>
          <w:color w:val="auto"/>
        </w:rPr>
        <w:t>We cannot predict the outcome of the pending lawsuits, any appeals, or any subsequently filed lawsuits or inter partes review.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7" w:name="page48"/>
    <w:bookmarkEnd w:id="47"/>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Generic versions of VASCEPA made available in the market, even if based on a MARINE indication, are often used to fill a prescription for any intended use of the drug. If any approved ANDA filers are able to supply the product in significant commercial quantities, generic companies could introduce generic versions of VASCEPA in the market, as Hikma, Dr. Reddy's, Apotex, Teva and others have done.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generic market entries beginning in 2020 have limited our U.S. sales, and had an adverse impact on our business and results of operations.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 to date, but may elect to do so in the future.</w:t>
      </w:r>
    </w:p>
    <w:p>
      <w:pPr>
        <w:spacing w:after="0" w:line="213"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active pharmaceutical ingredient in VASCEPA is difficult and time consuming to manufacture. It often requires considerable advanced planning and long-term financial commitments to ensure sufficient capacity is available when needed. Certain generic competitors filed lawsuits against us claiming we have engaged in anticompetitive practices related to our building of adequate supply for our needs, and government agencies are investigating our business as it relates to the supply of the active pharmaceutical ingredient in VASCEPA. Consumer lawsuits with similar allegations have also been filed. This dynamic and resulting regulatory scrutiny could be costly for us and could negatively and materially interfere with our business plans.</w:t>
      </w:r>
    </w:p>
    <w:p>
      <w:pPr>
        <w:spacing w:after="0" w:line="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and often requires considerable advanced planning and necessitates long-term financial commitments to ensure sufficient capacity is available when needed. We have invested over a decade of resources and expenses to develop this active pharmaceutical ingredient, or API, with our third-party suppliers, and to otherwise build our supply chain, improve our technical knowhow, establish manufacturing processes and obtain related regulatory approvals to help enable our suppliers to meet our clinical and commercial needs globally. Despite such efforts, the stability of the supply chain is largely out of our control and is subject to market and supply volatility and the actions of third parties. Any disruption to the supply chain, including the manufacturing processes and availability of API, would be disruptive to our business and would have a negative impact on our results of operations.</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April 2021, Dr. Reddy’s filed a complaint against us in the United States District Court District of New Jersey (case no. 2:21-cv-10309) alleging various antitrust violations stemming from alleged anticompetitive practices related to the supply of API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that such alleged violations resulted in higher prices to consumers. In addition, in February 2023, March 2024 and June 2024, Hikma, Teva and Apotex, respectively, filed complaints against us in the United States District Court District of New Jersey (case nos. 23-cv-01016, 24-cv-04341 and 24-cv-07041, respectively) making allegations consistent with the Dr. Reddy's complaint. Such litigation can be lengthy, costly and could materially affect and disrupt our business.</w:t>
      </w:r>
    </w:p>
    <w:p>
      <w:pPr>
        <w:spacing w:after="0" w:line="212"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5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omega-3 fatty acid dietary supplements, which are subject to less stringent regulatory oversight.</w:t>
      </w:r>
    </w:p>
    <w:p>
      <w:pPr>
        <w:spacing w:after="0" w:line="7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Times New Roman" w:cs="Times New Roman" w:eastAsia="Times New Roman" w:hAnsi="Times New Roman"/>
          <w:sz w:val="18"/>
          <w:szCs w:val="18"/>
          <w:i w:val="1"/>
          <w:iCs w:val="1"/>
          <w:color w:val="auto"/>
        </w:rPr>
        <w:t>Supportive but not conclusive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shows that consumption of EPA and DHA omega-3 fatty acids may reduce the risk</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of coronary heart disease. </w:t>
      </w:r>
      <w:r>
        <w:rPr>
          <w:rFonts w:ascii="Times New Roman" w:cs="Times New Roman" w:eastAsia="Times New Roman" w:hAnsi="Times New Roman"/>
          <w:sz w:val="18"/>
          <w:szCs w:val="18"/>
          <w:color w:val="auto"/>
        </w:rPr>
        <w:t>Such companies are not, however, permitted, based on U.S. FDA enforcement activity, to make claims that suggest or imply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cardiovascular disease.</w:t>
      </w:r>
    </w:p>
    <w:p>
      <w:pPr>
        <w:spacing w:after="0" w:line="5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net price of VASCEPA to patients even after insurance reimbursement and offered discounts could be significantly higher than the prices of commercially available omega-3 fatty acids marketed by other companies as dietary supplements (through the lack of coverage by insurers or otherwise). Physicians and pharmacists may recommend these dietary supplement alternatives instead of writing or filling prescriptions for VASCEPA or patients may elect on their own to take commercially available omega-3 fatty acids. Also, insurance plans may increasingly impose policies that directly or indirectly favor supplement use over VASCEPA. VASCEPA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VASCEPA or VASCEPA’s market acceptance may be less than expected, which would have a negative impact on our revenues and results of operations.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U.S. FDA rules in addition to other applicable federal and local laws in the United States and in other countries. The result of our litigation and settlement with the U.S. FDA, as discussed above,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Drug manufacturers and other entities involved in the manufacture and distribution of approved drugs are also subject to periodic unannounced inspections by the U.S.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U.S. FDA of counterfeit, diverted, stolen and intentionally adulterated products or other products that are otherwise unfit for distribution in the United States. In addition, under the Food and Drug Omnibus Reform Act of 2022, or FDORA, sponsors of approved drugs and biologics must provide six months’ notice to the U.S. FDA of any changes in marketing status, such as the withdrawal of a drug, and failure to do so could result in the U.S. FDA placing the product on a list of discontinued products, which would revoke the product’s ability to be marketed.</w:t>
      </w:r>
    </w:p>
    <w:p>
      <w:pPr>
        <w:spacing w:after="0" w:line="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over whom we have limited or no control.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8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49" w:name="page50"/>
    <w:bookmarkEnd w:id="49"/>
    <w:p>
      <w:pPr>
        <w:jc w:val="both"/>
        <w:ind w:right="5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 For example, the Inflation Reduction Act, or IRA, recently was enacted in the United States in an effort to manage certain drug prices, which includes provisions such as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This could have an adverse impact on our future revenues. Refer to “</w:t>
      </w:r>
      <w:r>
        <w:rPr>
          <w:rFonts w:ascii="Times New Roman" w:cs="Times New Roman" w:eastAsia="Times New Roman" w:hAnsi="Times New Roman"/>
          <w:sz w:val="18"/>
          <w:szCs w:val="18"/>
          <w:i w:val="1"/>
          <w:iCs w:val="1"/>
          <w:color w:val="auto"/>
        </w:rPr>
        <w:t>Item 1. Business - Government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 Pricing and Reimbursement</w:t>
      </w:r>
      <w:r>
        <w:rPr>
          <w:rFonts w:ascii="Times New Roman" w:cs="Times New Roman" w:eastAsia="Times New Roman" w:hAnsi="Times New Roman"/>
          <w:sz w:val="18"/>
          <w:szCs w:val="18"/>
          <w:color w:val="auto"/>
        </w:rPr>
        <w:t>" in our Annual Report on Form 10-K for the fiscal year ended December 31, 2023 for further details.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the Affordable Care Act, or ACA, and by other healthcare reforms that may be enacted or adopted in the future. In addition, increasing emphasis on managed care in the United States will continue to put pressure on the pricing of pharmaceutical products.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84"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8"/>
          <w:szCs w:val="18"/>
          <w:color w:val="auto"/>
        </w:rPr>
        <w:t>These and similar regulatory dynamics, including the entry of generic versions of VASCEPA into the market, and the potential for additional generic versions in the near term, can affect our ability to commercialize VASCEPA on commercially reasonable terms and limit the commercial value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230"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D.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made significant changes to the Medicaid Drug Rebate program. CMS issued a final regulation, which became effective in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0" w:name="page51"/>
    <w:bookmarkEnd w:id="50"/>
    <w:p>
      <w:pPr>
        <w:ind w:right="520"/>
        <w:spacing w:after="0" w:line="282" w:lineRule="auto"/>
        <w:rPr>
          <w:sz w:val="20"/>
          <w:szCs w:val="20"/>
          <w:color w:val="auto"/>
        </w:rPr>
      </w:pPr>
      <w:r>
        <w:rPr>
          <w:rFonts w:ascii="Times New Roman" w:cs="Times New Roman" w:eastAsia="Times New Roman" w:hAnsi="Times New Roman"/>
          <w:sz w:val="18"/>
          <w:szCs w:val="18"/>
          <w:color w:val="auto"/>
        </w:rPr>
        <w:t>rebate amount under the ACA, other legislation, or in regulation could affect our 340B ceiling price calculations and negatively impact our results of operations.</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D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75"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D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6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 consuming, and could have a material adverse effect on our business, financial condition, results of operations and growth prospects.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9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For example, a large national pharmacy benefit manager, or PBM, recently notified the Company that, effective July 1, 2024, the PBM intends to no longer cover VASCEPA as the exclusive icosapent ethyl product for its commercial national formularies and will be transitioning VASCEPA to not covered. While this decision does not impact VASCEPA coverage within Medicare Part D formularies of the PBM, the PBM's decision not to cover VASCEPA as the exclusive icosapent ethyl product for its commercial formularies will limit our ability to market and sell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9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Third-party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uses, or drug classes.</w:t>
      </w:r>
    </w:p>
    <w:p>
      <w:pPr>
        <w:spacing w:after="0" w:line="68"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In addition, certain U.S.-based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 which may not be favorable to us.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VASCEPA.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Refer to “</w:t>
      </w:r>
      <w:r>
        <w:rPr>
          <w:rFonts w:ascii="Times New Roman" w:cs="Times New Roman" w:eastAsia="Times New Roman" w:hAnsi="Times New Roman"/>
          <w:sz w:val="18"/>
          <w:szCs w:val="18"/>
          <w:i w:val="1"/>
          <w:iCs w:val="1"/>
          <w:color w:val="auto"/>
        </w:rPr>
        <w:t>Item 1. Business - Current and Future Legislation"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 United States Healthcare Reform and Legislation</w:t>
      </w:r>
      <w:r>
        <w:rPr>
          <w:rFonts w:ascii="Times New Roman" w:cs="Times New Roman" w:eastAsia="Times New Roman" w:hAnsi="Times New Roman"/>
          <w:sz w:val="18"/>
          <w:szCs w:val="18"/>
          <w:color w:val="auto"/>
        </w:rPr>
        <w:t>" in our Annual Report on Form 10-K for the fiscal year ended December 31, 2023 for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details.</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6"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operating results and business.</w:t>
      </w:r>
    </w:p>
    <w:p>
      <w:pPr>
        <w:spacing w:after="0" w:line="215" w:lineRule="exact"/>
        <w:rPr>
          <w:sz w:val="20"/>
          <w:szCs w:val="20"/>
          <w:color w:val="auto"/>
        </w:rPr>
      </w:pPr>
    </w:p>
    <w:p>
      <w:pPr>
        <w:ind w:left="520" w:right="60"/>
        <w:spacing w:after="0" w:line="3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European data collection is governed by restrictive regulations governing the use, processing and cross-border transfer of personal information. </w:t>
      </w:r>
      <w:r>
        <w:rPr>
          <w:rFonts w:ascii="Times New Roman" w:cs="Times New Roman" w:eastAsia="Times New Roman" w:hAnsi="Times New Roman"/>
          <w:sz w:val="17"/>
          <w:szCs w:val="17"/>
          <w:color w:val="auto"/>
        </w:rPr>
        <w:t>We are subject to European data protection regulations, where we collect and use personal data relating to Europe, including in relation to our</w:t>
      </w:r>
    </w:p>
    <w:p>
      <w:pPr>
        <w:spacing w:after="0" w:line="251" w:lineRule="auto"/>
        <w:rPr>
          <w:sz w:val="20"/>
          <w:szCs w:val="20"/>
          <w:color w:val="auto"/>
        </w:rPr>
      </w:pPr>
      <w:r>
        <w:rPr>
          <w:rFonts w:ascii="Times New Roman" w:cs="Times New Roman" w:eastAsia="Times New Roman" w:hAnsi="Times New Roman"/>
          <w:sz w:val="18"/>
          <w:szCs w:val="18"/>
          <w:color w:val="auto"/>
        </w:rPr>
        <w:t>personnel in the European Economic Area, or the EEA, or in the United Kingdom, or the UK. This regulatory regime includes the European Union General Data Protection Regulation, or the EU GDPR, and the UK equivalent of the same, or the UK GDPR (collectively referred to as the GDPR in this Quarterly Report on Form 10-Q), as well as other national data protection legislation in force in relevant EU and EEA member states and the UK (including the UK Data Protection Act 2018 in the UK), which govern the collection, use, storage, disclosure, transfer, or other processing of personal data (including health data processed in the context of clinical trials): (i) regarding individuals in the EU, EEA and UK; and/or (ii) carried out in the context of the activities of our establishment in any EU and EEA member state or the UK. Currently, the EU GDPR and UK GDPR remain largely aligned. The GDPR imposes several requirements on companies that process personal data, including requirements relating to the processing of health and other sensitive data, legal basis for processing personal data which may include obtaining the consent of the individuals to whom the personal data relates, providing detailed information to individuals about how their personal data is used, notification of personal data breaches to data protection authorities and individuals, and implementing safeguards to protect the security and confidentiality of the personal data. The GDPR also imposes strict rules on the transfer of personal data out of the EEA and UK to third-party countries, including the United States in certain circumstances, unless a derogation exists or a valid GDPR transfer mechanism (e.g., the European Commission approved Standard Contractual Clauses, or SCCs, and the UK International Data Transfer Agreement/Addendum, or UK IDTA) have been put in place. Where relying on the SCCs /UK IDTA for data transfers, we may also be required to carry out transfer impact assessments to assess whether the recipient is subject to local laws which allow public authority access to personal data. Any inability to transfer personal data from the EEA and UK to the United States in compliance with data protection laws may impede our business operations and may adversely affect our business and financial position.</w:t>
      </w:r>
    </w:p>
    <w:p>
      <w:pPr>
        <w:spacing w:after="0" w:line="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UK government has introduced a Data Protection and Digital Information Bill, or Data Reform Bill, into the UK legislative process to reform the UK’s data protection regime, and if passed, the final version of the Data Reform Bill may have the effect of further altering the similarities between the UK and EEA data protection regimes and threaten the UK international transfers adequacy decision from the European Commission, which may lead to additional compliance costs for us and could increase our overall risk. It is unclear how UK data protection laws and regulations will develop in the medium to longer term, and how data transfers to and from the UK will be regulated in the long term.</w:t>
      </w:r>
    </w:p>
    <w:p>
      <w:pPr>
        <w:spacing w:after="0" w:line="75"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Failure to comply with the requirements of the GDPR and related national data protection laws of the EEA Member States or the UK may result in substantial fines of up to €20 million or 4% of a company’s global annual revenues for the preceding financial year, whichever is higher. Moreover, the GDPR grants data subjects and consumer associations the right to claim material and non-material damages resulting from infringement of the GDPR. The GDPR imposes additional responsibility and liability in relation to personal data that we process, where such processing is subject to the GDPR and we may be required to put in place additional mechanisms ensuring compliance with these and/or new data protection rules. This may be costly, onerous and adversely affect our business, financial condition, prospects and results of operations. Although the EU GDPR and the UK GDPR currently impose substantially similar obligations, it is possible that over time the UK GDPR could become less aligned with the EU GDPR.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programs could require us to amend our processes and procedures to implement different compliance measures for the UK and the EEA.</w:t>
      </w:r>
    </w:p>
    <w:p>
      <w:pPr>
        <w:spacing w:after="0" w:line="22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U.S. FDA and other regulatory agencies strictly regulate the promotional claims that may be made about prescription products.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the REDUCE-IT indication,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The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210"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84"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54" w:name="page55"/>
    <w:bookmarkEnd w:id="54"/>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U.S. FDA’s review of REDUCE-IT data and the supplemental New Drug Application, or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low-density lipoprotein, or LDL cholesterol values on the time to the primary endpoint was numerically small and unlikely to change the overall conclusion of treatment benefit. The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15"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continue to scale our infrastructure for commercializing VASCEPA based on market dynamics for VASCEPA in the United States and commercial initiatives and plans for VAZKEPA in Europe and other parts of the world, we may encounter difficulties in managing the size and adaptability of our operations successfully.</w:t>
      </w:r>
    </w:p>
    <w:p>
      <w:pPr>
        <w:spacing w:after="0" w:line="6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process of establishing, maintaining, expanding and streamlining a commercial infrastructure is difficult, expensive and time consuming, particularly when such efforts need to adapt to changing market and business dynamics. In 2022, we implemented cost and organizational restructuring plans, which included a reduction to our U.S. commercial team to approximately 75 sales representatives by the end of 2022, and in July 2023, all remaining sales force positions in the U.S. were eliminated and our overall headcount was reduced by 30% as part of our ORP. As a result, we do not have a sales team to promote VASCEPA to physicians and other healthcare professionals in the United States, and will rely on only our managed care and trade organization to support sales of VASCEPA in the United States.</w:t>
      </w:r>
    </w:p>
    <w:p>
      <w:pPr>
        <w:spacing w:after="0" w:line="7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addition to the elimination of our sales force in the United States, we continue to work on our own and with our international partners to support regulatory efforts outside the United States based on REDUCE-IT results. If we are successful in obtaining sufficient approvals and adequate pricing and reimbursement levels in major markets in Europe and elsewhere, we will need to ensure that our operations are adequate to support a commercial launch and continued promotion. We redesigned our commercial infrastructure in Europe to better align with pricing and reimbursement status and commercial potential. We will be operating with streamlined teams in Europe and elsewhere outside the United States; however, we will anticipate the need to expand internally and expect that we will need to manage additional relationships with various collaborative partners, suppliers and other third parties as we progress in Europe and elsewhere outside the United States. Future growth and streamlining efforts will impose significant added responsibilities on members of management, including the need to identify, recruit, maintain and integrate the right number of employees. In Europe, we have built out our team subsequent to EC approval of the marketing authorization acceptance in 2021, with plans to continue to expand our European staff as deemed appropriate on a country-by-country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depending on successful life-cycle management efforts.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drug development efforts are subject to the risks and uncertainties inherent in any drug development program. Due to the risks and uncertainties involved in progressing through development and bioequivalence or even potential additional trials (as may be</w:t>
      </w: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spacing w:after="0" w:line="258" w:lineRule="auto"/>
        <w:rPr>
          <w:sz w:val="20"/>
          <w:szCs w:val="20"/>
          <w:color w:val="auto"/>
        </w:rPr>
      </w:pPr>
      <w:r>
        <w:rPr>
          <w:rFonts w:ascii="Times New Roman" w:cs="Times New Roman" w:eastAsia="Times New Roman" w:hAnsi="Times New Roman"/>
          <w:sz w:val="18"/>
          <w:szCs w:val="18"/>
          <w:color w:val="auto"/>
        </w:rPr>
        <w:t>required by specific regulatory agencies), and the time and cost involved in obtaining regulatory approvals, we cannot reasonably estimate the timing, completion dates and costs, or range of costs, of our drug development program, or of the successful development of any particular derivative, combination or next generation product candidate. The potential success of any derivative, combination or next generation product candidate will depend on a number of factors, including the scope of and our success with manufacturing, obtaining regulatory approvals and achieving sufficient (or any) levels of market acceptance if approved.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52"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no in-house manufacturing capacity and rely entirely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or if they insist on burdensome terms, such as excessive minimum supply commitments, we may not be able to obtain adequate quantities of product in a timely manner, at cost efficient levels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API (drug substance) or encapsulated bulk product (drug product), it would have a material adverse effect on our ability to continue to commercialize VASCEPA.</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We continue to take steps to negotiate our contract supply agreements to align supply arrangements with current and future global market demand.</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Australia and New Zealand, Canada, China, the Middle East and North Africa, South Korea and Southeast Asia, Greece and Israel,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of commercial launch, including in China and various European countries. Our aggregate capacity to produce API is dependent upon the continued qualification of our API suppliers and, depending on the ability of existing suppliers to meet our supply demands, the ability to qualify any new suppliers. If no additional API supplier is approved by the U.S. FDA as part of an sNDA, our API supply will be limited to the API we purchase from previously approved suppliers. For example, the EMA has not yet approved use of each of our suppliers used for VASCEPA in the United States for supply of VAZKEPA in the EU.</w:t>
      </w:r>
    </w:p>
    <w:p>
      <w:pPr>
        <w:spacing w:after="0" w:line="8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Further, 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our third-party manufacturing capacity is not appropriately qualified and/or compliant with applicable regulatory requirements, we may not be able to supply sufficient quantities of VASCEPA to meet anticipated demand.</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we can contract with any future manufacturer on acceptable terms or that any such alternative supplier will not require capital investment from us in order for them to meet our requirements. Alternatively, our purchase of supply, or any minimum purchase requirements, may exceed actual demand for VASCEPA.</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our minimum purchase commitments exceed our supply needs for VASCEPA, we may have to renegotiate with partners in our supply chain who may not be incentivized to renegotiate terms that are favorable to us, or at all. If we are unable to secure adequate levels of supply to meet demand, our financial condition could be negatively and materially impacted.</w:t>
      </w:r>
    </w:p>
    <w:p>
      <w:pPr>
        <w:spacing w:after="0" w:line="199"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required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PBMs may implement plans that act as disincentives for VASCEPA use, such as increasingly higher deductibles. One practical impact of higher deductibles is that they may cause patients to delay filling prescriptions for asymptomatic, chronic care medications such as hypertriglyceridemia, for which VASCEPA may be prescribed, earlier in the year, until patients meet their deductible and the cost of VASCEPA is then borne more by their insurance carrier. PBMs also have discretion to no longer cover the Company's products. For example, a large national PBM recently notified the Company that effective July 1, 2024, the PBM intends to no longer cover VASCEPA as the exclusive icosapent ethyl product for its commercial national formularies, as further discussed above. Collectively, these dynamics adversely affect our profitability for the sale of VASCEPA and could increase over time further impacting our operating results. Consolidation among these industry participants could increase the pressure on us from these market dynamics.</w:t>
      </w:r>
    </w:p>
    <w:p>
      <w:pPr>
        <w:spacing w:after="0" w:line="219"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8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a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right="460"/>
        <w:spacing w:after="0" w:line="282" w:lineRule="auto"/>
        <w:rPr>
          <w:sz w:val="20"/>
          <w:szCs w:val="20"/>
          <w:color w:val="auto"/>
        </w:rPr>
      </w:pPr>
      <w:r>
        <w:rPr>
          <w:rFonts w:ascii="Times New Roman" w:cs="Times New Roman" w:eastAsia="Times New Roman" w:hAnsi="Times New Roman"/>
          <w:sz w:val="18"/>
          <w:szCs w:val="18"/>
          <w:color w:val="auto"/>
        </w:rPr>
        <w:t>any new manufacturer. We may be unsuccessful in demonstrating the comparability of clinical supplies which could require the conduct of additional clinical trials.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comparable foreign requirements under ICH guidelines.</w:t>
      </w:r>
    </w:p>
    <w:p>
      <w:pPr>
        <w:spacing w:after="0" w:line="11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w:t>
      </w:r>
    </w:p>
    <w:p>
      <w:pPr>
        <w:spacing w:after="0" w:line="75"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w:t>
      </w:r>
    </w:p>
    <w:p>
      <w:pPr>
        <w:spacing w:after="0" w:line="206"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72" w:lineRule="exact"/>
        <w:rPr>
          <w:sz w:val="20"/>
          <w:szCs w:val="20"/>
          <w:color w:val="auto"/>
        </w:rPr>
      </w:pPr>
    </w:p>
    <w:p>
      <w:pPr>
        <w:jc w:val="both"/>
        <w:ind w:right="180" w:firstLine="509"/>
        <w:spacing w:after="0" w:line="289" w:lineRule="auto"/>
        <w:rPr>
          <w:sz w:val="20"/>
          <w:szCs w:val="20"/>
          <w:color w:val="auto"/>
        </w:rPr>
      </w:pPr>
      <w:r>
        <w:rPr>
          <w:rFonts w:ascii="Times New Roman" w:cs="Times New Roman" w:eastAsia="Times New Roman" w:hAnsi="Times New Roman"/>
          <w:sz w:val="17"/>
          <w:szCs w:val="17"/>
          <w:color w:val="auto"/>
        </w:rPr>
        <w:t>We have expanded our VASCEPA commercialization activities outside of the United States through several contractual arrangements in territories including China, the Middle East, North Africa, Canada and, most recently, Australia, New Zealand, South Korea and Southeast Asia, Israel and Greece. We continue to assess other opportunities to develop VASCEPA commercialization outside of the United States through similar arrangements.</w:t>
      </w:r>
    </w:p>
    <w:p>
      <w:pPr>
        <w:spacing w:after="0" w:line="5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Edding is responsible for development and commercialization activities in the China Territory and associated expenses under our development, commercialization and supply agreement with them. Additionally, Edding is required to conduct clinical trials in the China Territory to secure regulatory approval in certain territories. Edding has successfully undertaken clinical trials and approval initiatives under our arrangement with them, including the announcement of statistically significant positive topline results from Edding’s Phase 3 clinical trial of VASCEPA and has obtained approval for VASCEPA in Hong Kong under the REDUCE-IT indication and in Mainland China under the MARINE indication. In June 2024, Edding received approval for the REDUCE-IT indication in Mainland China. However, Edding may face challenges or be unsuccessful in commercial launch. Further, any development and regulatory efforts in the China Territory may be negatively impacted by the lingering effects of the coronavirus pandemic. Any development and regulatory efforts in the China Territory may be negatively impacted by heightened political tension between China and the United States, including issues expressed between the countries regarding trade practices, tariffs and honoring intellectual property rights. If Edding is not able to effectively commercialize VASCEPA in the China Territory, we may not be able to generate revenue from our agreement with Edding resulting from the sale of VASCEPA in the China Territory.</w:t>
      </w:r>
    </w:p>
    <w:p>
      <w:pPr>
        <w:spacing w:after="0" w:line="8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party to arrangements with Biologix FZCo, or Biologix, to register and commercialize VASCEPA in several Middle Eastern and North African countries, with HLS Therapeutics Inc., or HLS, to register, commercialize and distribute VASCEPA in Canada, with CSL Seqirus, or CSL, to secure pricing and reimbursement, commercialize and distribute VASCEPA in Australia and New Zealand, Lotus Pharmaceuticals, or Lotus, to register, commercialize and distribute VASCEPA in several countries in Southeast Asia and Neopharm (Israel) 1996 Ltd., or Neopharm, to distribute VASCEPA in Israel. Although Biologix is currently actively commercializing VASCEPA in the United Arab Emirates, Lebanon, Kuwait and Saudi Arabia, and HLS is currently commercializing VASCEPA in Canada, we are completely reliant on these third parties to successfully commercialize the product in those markets, which markets can be complex and challenging.</w:t>
      </w:r>
    </w:p>
    <w:p>
      <w:pPr>
        <w:spacing w:after="0" w:line="8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If Edding, Biologix, HLS, CSL, Lotus, Neopharm or Vianex, or other third parties who we rely on for development and commercialization of VASCEPA, do not successfully carry out their contractual obligations or meet expected deadlines, our recourse and remedies against these parties is limited.</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efforts to launch and support commercialization of VAZKEPA on our own in Europe is a complex undertaking for a company that, other than the launch of VAZKEPA in certain countries in the last two years, has not launched or otherwise commercialized a product in Europe and could be subject to significant risks of execution to our successful development and revenue generation of VAZKEPA in Europe.</w:t>
      </w:r>
    </w:p>
    <w:p>
      <w:pPr>
        <w:spacing w:after="0" w:line="6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ind w:right="220"/>
        <w:spacing w:after="0" w:line="282" w:lineRule="auto"/>
        <w:rPr>
          <w:sz w:val="20"/>
          <w:szCs w:val="20"/>
          <w:color w:val="auto"/>
        </w:rPr>
      </w:pPr>
      <w:r>
        <w:rPr>
          <w:rFonts w:ascii="Times New Roman" w:cs="Times New Roman" w:eastAsia="Times New Roman" w:hAnsi="Times New Roman"/>
          <w:sz w:val="18"/>
          <w:szCs w:val="18"/>
          <w:color w:val="auto"/>
        </w:rPr>
        <w:t>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185"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Refer to “</w:t>
      </w:r>
      <w:r>
        <w:rPr>
          <w:rFonts w:ascii="Times New Roman" w:cs="Times New Roman" w:eastAsia="Times New Roman" w:hAnsi="Times New Roman"/>
          <w:sz w:val="18"/>
          <w:szCs w:val="18"/>
          <w:i w:val="1"/>
          <w:iCs w:val="1"/>
          <w:color w:val="auto"/>
        </w:rPr>
        <w:t>Item 1. Business - Government Regulation - Fraud and Abuse Laws and Data Regulation</w:t>
      </w:r>
      <w:r>
        <w:rPr>
          <w:rFonts w:ascii="Times New Roman" w:cs="Times New Roman" w:eastAsia="Times New Roman" w:hAnsi="Times New Roman"/>
          <w:sz w:val="18"/>
          <w:szCs w:val="18"/>
          <w:color w:val="auto"/>
        </w:rPr>
        <w:t>" in our Annual Report on Form 10-K for the fiscal year ended December 31, 2023 for further details.</w:t>
      </w:r>
    </w:p>
    <w:p>
      <w:pPr>
        <w:spacing w:after="0" w:line="8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including the Investigations referenced above.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U.S., to help patients afford our approved product, we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7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85" w:lineRule="exact"/>
        <w:rPr>
          <w:sz w:val="20"/>
          <w:szCs w:val="20"/>
          <w:color w:val="auto"/>
        </w:rPr>
      </w:pPr>
    </w:p>
    <w:p>
      <w:pPr>
        <w:ind w:right="40" w:firstLine="50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84"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addition, investigator initiated trials, or IITs, which are scientific research that is initiated, sponsored, and conducted by an independent investigator(s) and/or institution(s) not affiliated with us, are being, and additional IITs, may be conducted involving potential product candidates. The investigator, sponsor, and/or investigator/sponsor remains responsible for conception, design, data analysis, publication, and compliance with applicable law. Investigator initiated trials can contribute towards enhancing the understanding of products (such as mechanism of action) and sparking new ideas for further research; however, IITs are generally not supported by pharmaceutical companies for the purposes of generating data that can lead to product labelling changes. Even if an IIT has positive results, additional studies, along with regulatory agency guidance and approval, would be required to advance a pharmaceutical product to the next stage of development and new potential labelling changes or indications. If we are unable to confirm or replicate the results from an IIT or if negative results are obtained, we would likely be further delayed or prevented from advancing further clinical development. Further, if the data proves to be inadequate compared to the firsthand knowledge we might have gained had the IIT been sponsored and conducted by us, then our ability to design and conduct any future clinical trials ourselves may be adversely affected. Negative results in IITs could have a material adverse effect on our efforts to obtain regulatory approval for such product candidates and the public perception of such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jc w:val="both"/>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6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Refer to “</w:t>
      </w:r>
      <w:r>
        <w:rPr>
          <w:rFonts w:ascii="Times New Roman" w:cs="Times New Roman" w:eastAsia="Times New Roman" w:hAnsi="Times New Roman"/>
          <w:sz w:val="18"/>
          <w:szCs w:val="18"/>
          <w:i w:val="1"/>
          <w:iCs w:val="1"/>
          <w:color w:val="auto"/>
        </w:rPr>
        <w:t>Item 1. Business - Patents, Proprietary Technology, Trade Secrets"</w:t>
      </w:r>
      <w:r>
        <w:rPr>
          <w:rFonts w:ascii="Times New Roman" w:cs="Times New Roman" w:eastAsia="Times New Roman" w:hAnsi="Times New Roman"/>
          <w:sz w:val="18"/>
          <w:szCs w:val="18"/>
          <w:color w:val="auto"/>
        </w:rPr>
        <w:t xml:space="preserve"> in our Annual Report on Form 10-K for the fiscal year ended December 31, 2023 for further details.</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however such defense activities can be costly to pursue and may not have the desired results.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CV risk. On January 4, 2022, the district court for the District of Delaware granted a motion to dismiss our lawsuit for failure to state a claim. Thereafter, we appealed the district court dismissal to the Court of Appeals for the Federal Circuit. On June 25, 2024, the Federal Circuit issued a decision reversing the district court's ruling, finding that our allegations against Hikma plausibly state a claim alleging Hikma actively induced infringement of the asserted patents. The case will return to the district court and proceed accordingly but we cannot predict the outcome or the impact on its business. We entered into a settlement agreement with Health Net, LLC on December 26, 2022. The Company intends to continue to vigorously enforce its intellectual property rights relating to VASCEPA, but cannot predict the outcome of these lawsuits or any subsequently filed lawsuits.</w:t>
      </w:r>
    </w:p>
    <w:p>
      <w:pPr>
        <w:spacing w:after="0" w:line="80"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any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99"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VASCEPA/VAZKEPA.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However, our pending patent applications may not be granted or, if they are granted, there is no certainty that they will prevent competitors from competing with VASCEPA.</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11"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January 2024, we reiterated our belief that current cash and investments and other assets are adequate to support continued operations. This and similar statements are based on estimates, assumptions and the judgment of management at such time. Because of the inherent nature of estimates, including during the uncertainty of our European launch and the impact from U.S. generic competition, we have suspended providing net revenue guidance, as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 particularly in light of recent senior management changes.</w:t>
      </w:r>
    </w:p>
    <w:p>
      <w:pPr>
        <w:spacing w:after="0" w:line="121"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the resignation of our CEO in 2024 and turnover on the Board and senior management team during 2023,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globally we may experience continued or increased turnover among members of our senior management team. We may have difficulty identifying, attracting and integrating new executives to replace any such losses. As we pursue commercialization efforts in Europe, we need to rapidly hire employees and ensure that they are well trained and working cohesively with core values which are consistent with our existing operations and which, we believe, help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180"/>
        <w:spacing w:after="0" w:line="256" w:lineRule="auto"/>
        <w:rPr>
          <w:sz w:val="20"/>
          <w:szCs w:val="20"/>
          <w:color w:val="auto"/>
        </w:rPr>
      </w:pPr>
      <w:r>
        <w:rPr>
          <w:rFonts w:ascii="Times New Roman" w:cs="Times New Roman" w:eastAsia="Times New Roman" w:hAnsi="Times New Roman"/>
          <w:sz w:val="18"/>
          <w:szCs w:val="18"/>
          <w:color w:val="auto"/>
        </w:rPr>
        <w:t>improve our position for success. In the United States, where we have recently eliminated all sales force positions, employees are increasingly being recruited by other companies. The current and potential threat of generic competition and our recent reductions in force, including as part of our ORP announced in July 2023,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74" w:lineRule="exact"/>
        <w:rPr>
          <w:sz w:val="20"/>
          <w:szCs w:val="20"/>
          <w:color w:val="auto"/>
        </w:rPr>
      </w:pPr>
    </w:p>
    <w:p>
      <w:pPr>
        <w:ind w:right="40" w:firstLine="509"/>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-223520</wp:posOffset>
            </wp:positionV>
            <wp:extent cx="64135"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0" w:lineRule="exact"/>
        <w:rPr>
          <w:sz w:val="20"/>
          <w:szCs w:val="20"/>
          <w:color w:val="auto"/>
        </w:rPr>
      </w:pPr>
    </w:p>
    <w:p>
      <w:pPr>
        <w:ind w:firstLine="509"/>
        <w:spacing w:after="0" w:line="226"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a more material breach could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88"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and/or tax laws could have a negative effect on our future profitability.</w:t>
      </w:r>
    </w:p>
    <w:p>
      <w:pPr>
        <w:spacing w:after="0" w:line="121"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ind w:right="20"/>
        <w:spacing w:after="0" w:line="281" w:lineRule="auto"/>
        <w:rPr>
          <w:sz w:val="20"/>
          <w:szCs w:val="20"/>
          <w:color w:val="auto"/>
        </w:rPr>
      </w:pPr>
      <w:r>
        <w:rPr>
          <w:rFonts w:ascii="Times New Roman" w:cs="Times New Roman" w:eastAsia="Times New Roman" w:hAnsi="Times New Roman"/>
          <w:sz w:val="17"/>
          <w:szCs w:val="17"/>
          <w:color w:val="auto"/>
        </w:rPr>
        <w:t>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have at all times sought to conduct our affairs in such a way so as to be solely resident in Ireland for tax purposes by virtue of having our place of effective management situated in Ireland.</w:t>
      </w:r>
    </w:p>
    <w:p>
      <w:pPr>
        <w:spacing w:after="0" w:line="5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Organisation for Economic Co-operation and Development's, or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 tax authorities.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U.S. gross product sales. Customers A, B, and C accounted for 28%, 34%, and 29%, respectively, of gross product sales for the six months ended June 30, 2024, and represented 40%, 30%, and 21%, respectively, of the gross accounts receivable balance as of June 30, 2024. Customers A, B, and C accounted for 30%, 36%, and 28%, respectively, of gross product sales for the six months ended June 30, 2023, and represented 39%, 34%, and 22%, respectively, of the gross accounts receivable balance as of June 30, 2023.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years ended December 31, 2023 and 2022, we reported net losses of approximately $59.1 million and $105.8 million, respectively. For the fiscal year ended December 31, 2021, we reported net income of approximately $7.7 million. We had an accumulated deficit as of December 31, 2023 of $1.6 billion. For the six months ended June 30, 2024 and 2023, we reported losses of approximately $8.4 million and $34.0 million, respectively, and we had an accumulated deficit as of June 30, 2024 of $1.6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commercialization and research and development,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never generate sufficient revenue to achieve a steady state of profitability.</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commercialization efforts in the United States and Europe. If we are unable to consistently generate robust product revenues, we will not become profitable on a sustained basis in the near term, if ever, and may be unable to continue operations without continued funding.</w:t>
      </w:r>
    </w:p>
    <w:p>
      <w:pPr>
        <w:spacing w:after="0" w:line="210"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We believe that our quarterly and annual results of operations may be affected by a variety of factors, including those risks and uncertainties described in this Part II, Item 1A and the following:</w:t>
      </w:r>
    </w:p>
    <w:p>
      <w:pPr>
        <w:spacing w:after="0" w:line="72"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and future potential launches of additional generic versions of VASCEPA;</w:t>
      </w:r>
    </w:p>
    <w:p>
      <w:pPr>
        <w:spacing w:after="0" w:line="117" w:lineRule="exact"/>
        <w:rPr>
          <w:rFonts w:ascii="Times New Roman" w:cs="Times New Roman" w:eastAsia="Times New Roman" w:hAnsi="Times New Roman"/>
          <w:sz w:val="18"/>
          <w:szCs w:val="18"/>
          <w:color w:val="auto"/>
        </w:rPr>
      </w:pPr>
    </w:p>
    <w:p>
      <w:pPr>
        <w:jc w:val="both"/>
        <w:ind w:left="900" w:right="28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 to develop, register and commercialize VASCEPA in Europe, the China Territory, several Middle Eastern and North African countries, and Canada, including obtaining necessary regulatory approvals, favorable pricing and establishing marketing channels;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jc w:val="both"/>
        <w:ind w:left="900" w:right="34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our cost and reorganization efforts, including our ORP announced in July 2023, and the resulting effectiveness of those efforts;</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4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$215.9 million and short-term investment balance of $90.7 million as of June 30, 2024 will be sufficient to fund our projected operations for at least 12 months from the issuance date of our unaudited condensed consolidated financial statements included elsewhere in this Quarterly Report.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and VASCEPA promotional and educational activities, including launch activities in Europe on our operations and those of our customers and any current or potential generic competition.</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5540" w:right="3160" w:hanging="5023"/>
        <w:spacing w:after="0" w:line="282" w:lineRule="auto"/>
        <w:tabs>
          <w:tab w:leader="none" w:pos="10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 and governmental inquiries;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1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Tax law and policies in the United States and Ireland are unsettled and may be subject to significant change, including based on adjustments in political perspectives and administration shifts. In the United States and internationally, the method of taxation of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84"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The IRA was enacted into law on August 16, 2022. Included in the IRA was a provision to implement a 15% corporate alternative minimum tax on corporations whose average annual adjusted financial statement income during the most recently-completed three-year period exceeds $1.0 billion. This provision is effective for tax years beginning after December 31, 2022. We do not expect the tax provisions of the IRA to have a material impact.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252" w:lineRule="exact"/>
        <w:rPr>
          <w:sz w:val="20"/>
          <w:szCs w:val="20"/>
          <w:color w:val="auto"/>
        </w:rPr>
      </w:pPr>
    </w:p>
    <w:p>
      <w:pPr>
        <w:ind w:right="5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return capital to our shareholders and increase shareholder value, including our share repurchase program, may not be implemented in a timely manner or at all, or may not have the expected results.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implementation of our announced share repurchase agreement is conditional upon shareholder and UK court approval, as required under UK company law. We received shareholder approval during our annual general meeting of shareholders in April 2024. We received court approval to undertake a reduction of capital in order to create the necessary distributable profits for the funding of the repurchases in May 2024. We have not commenced any share repurchases to date, but we will continue to monitor business and market conditions. Further, the share repurchase program and other efforts to return capital to shareholders may not have the anticipated effect or increase shareholder value in the long term.</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no longer able to meet the listing requirements of the NASDAQ Stock Market, our stock may be delisted.</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NASDAQ Stock Market, or NASDAQ, on which our ADSs are listed and traded, has listing requirements that include a $1.00 minimum closing bid price requirement. NASDAQ will issue a deficiency notice if an issuer is in violation of a listing standard for a period of 30 business consecutive days. Such deficiency letter does not result in the immediate delisting of an issuer as there is a period of 180 calendar days from the deficiency notice to regain compliance with NASDAQ's minimum bid price requirement. If an issuer is unable to comply with NASDAQ's minimum bid price requirement after this 180-day calendar period, NASDAQ may elect, subject to any potential additional cure periods, to initiate a process that could delist the issuer from trading on the NASDAQ. We received a deficiency letter from NASDAQ in October 2023, as our ADSs had traded below $1.00 for 30 consecutive business days. In January 2024, we regained compliance with the NASDAQ listing requirements as our ADSs had traded above $1.00 for 10 consecutive business days. We received an additional deficiency letter in May 2024, as our ADSs had traded below $1.00 for 30 consecutive business days and to date continue to trade below $1.00.</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such a delisting occur, it would adversely impact the liquidity and price of our ADSs and would impede our ability to raise capital.</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of July 26, 2024, we had 411,171,121 common shares outstanding, including 402,356,734 shares held as ADSs and 8,814,387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Our planned share repurchase program, would, if implemented, reduce the number of shares outstanding and could result in reduced trading volumes.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6" w:name="page67"/>
    <w:bookmarkEnd w:id="66"/>
    <w:p>
      <w:pPr>
        <w:ind w:right="40"/>
        <w:spacing w:after="0" w:line="266" w:lineRule="auto"/>
        <w:rPr>
          <w:sz w:val="20"/>
          <w:szCs w:val="20"/>
          <w:color w:val="auto"/>
        </w:rPr>
      </w:pPr>
      <w:r>
        <w:rPr>
          <w:rFonts w:ascii="Times New Roman" w:cs="Times New Roman" w:eastAsia="Times New Roman" w:hAnsi="Times New Roman"/>
          <w:sz w:val="18"/>
          <w:szCs w:val="18"/>
          <w:color w:val="auto"/>
        </w:rPr>
        <w:t>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ordinary shares, we believe that we will not be classified as a PFIC for the taxable year ended December 31, 2023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8" w:lineRule="exact"/>
        <w:rPr>
          <w:sz w:val="20"/>
          <w:szCs w:val="20"/>
          <w:color w:val="auto"/>
        </w:rPr>
      </w:pPr>
    </w:p>
    <w:p>
      <w:pPr>
        <w:ind w:left="900" w:right="60" w:hanging="383"/>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3" w:lineRule="exact"/>
        <w:rPr>
          <w:rFonts w:ascii="Times New Roman" w:cs="Times New Roman" w:eastAsia="Times New Roman" w:hAnsi="Times New Roman"/>
          <w:sz w:val="18"/>
          <w:szCs w:val="18"/>
          <w:color w:val="auto"/>
        </w:rPr>
      </w:pPr>
    </w:p>
    <w:p>
      <w:pPr>
        <w:ind w:left="900" w:right="160" w:hanging="383"/>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subject to certain exceptions and disapplications (including, without limitation, the disapplication by at least 75% of the shareholders who vote (in person or by proxy)),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71" w:lineRule="exact"/>
        <w:rPr>
          <w:rFonts w:ascii="Times New Roman" w:cs="Times New Roman" w:eastAsia="Times New Roman" w:hAnsi="Times New Roman"/>
          <w:sz w:val="18"/>
          <w:szCs w:val="18"/>
          <w:color w:val="auto"/>
        </w:rPr>
      </w:pPr>
    </w:p>
    <w:p>
      <w:pPr>
        <w:ind w:left="900" w:right="160" w:hanging="383"/>
        <w:spacing w:after="0" w:line="258"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5" w:lineRule="exact"/>
        <w:rPr>
          <w:rFonts w:ascii="Times New Roman" w:cs="Times New Roman" w:eastAsia="Times New Roman" w:hAnsi="Times New Roman"/>
          <w:sz w:val="18"/>
          <w:szCs w:val="18"/>
          <w:color w:val="auto"/>
        </w:rPr>
      </w:pPr>
    </w:p>
    <w:p>
      <w:pPr>
        <w:ind w:left="900" w:right="100" w:hanging="383"/>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takeovers may be structured as takeover offers or as schemes of arrangement. Under English law, a bidder seeking to acquire us by means of a takeover offer would need to make an offer for all of our outstanding ordinary shares/ADSs. If acceptances are not received for</w:t>
      </w:r>
    </w:p>
    <w:p>
      <w:pPr>
        <w:ind w:left="9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or more of the ordinary shares/ADSs (and 90% of the voting rights carried by those ordinary shares/ADSs) under the offer, under English law, the bidder cannot complete a “squeeze out” to obtain 100% control of us. Accordingly, acceptances of 90% of our outstanding ordinary shares/ADSs (and 90% of the voting rights)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 as well as the approval of the UK High Court.</w:t>
      </w:r>
    </w:p>
    <w:p>
      <w:pPr>
        <w:spacing w:after="0" w:line="81"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6" w:lineRule="exact"/>
        <w:rPr>
          <w:rFonts w:ascii="Times New Roman" w:cs="Times New Roman" w:eastAsia="Times New Roman" w:hAnsi="Times New Roman"/>
          <w:sz w:val="17"/>
          <w:szCs w:val="17"/>
          <w:color w:val="auto"/>
        </w:rPr>
      </w:pPr>
    </w:p>
    <w:p>
      <w:pPr>
        <w:ind w:left="900" w:right="60" w:hanging="383"/>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w:t>
      </w: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left="900" w:right="180"/>
        <w:spacing w:after="0" w:line="258" w:lineRule="auto"/>
        <w:rPr>
          <w:sz w:val="20"/>
          <w:szCs w:val="20"/>
          <w:color w:val="auto"/>
        </w:rPr>
      </w:pPr>
      <w:r>
        <w:rPr>
          <w:rFonts w:ascii="Times New Roman" w:cs="Times New Roman" w:eastAsia="Times New Roman" w:hAnsi="Times New Roman"/>
          <w:sz w:val="18"/>
          <w:szCs w:val="18"/>
          <w:color w:val="auto"/>
        </w:rPr>
        <w:t>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place of central management and control is not currently in the UK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72"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this changes, or if the interpretation and application of the Takeover Code by the Panel on Takeovers and Mergers, or Takeover Panel, changes (including changes to the way in which the Takeover Panel assesses the application of the Takeover Code to English companies whose shares are listed outside of the UK), the Takeover Code may apply to us in the future.</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72" w:lineRule="exact"/>
        <w:rPr>
          <w:sz w:val="20"/>
          <w:szCs w:val="20"/>
          <w:color w:val="auto"/>
        </w:rPr>
      </w:pPr>
    </w:p>
    <w:p>
      <w:pPr>
        <w:ind w:left="900" w:right="6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67"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75"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75"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mandatory offer triggered in the circumstances described in the preceding two paragraphs above must be in cash (or be accompanied by a cash alternative) and at not less than the highest price paid within the preceding 12 months to acquire any interest in shares of that class in the company by the person required to make the offer or any person acting in concert with him or her.</w:t>
      </w:r>
    </w:p>
    <w:p>
      <w:pPr>
        <w:spacing w:after="0" w:line="67" w:lineRule="exact"/>
        <w:rPr>
          <w:rFonts w:ascii="Times New Roman" w:cs="Times New Roman" w:eastAsia="Times New Roman" w:hAnsi="Times New Roman"/>
          <w:sz w:val="18"/>
          <w:szCs w:val="18"/>
          <w:color w:val="auto"/>
        </w:rPr>
      </w:pPr>
    </w:p>
    <w:p>
      <w:pPr>
        <w:ind w:left="900" w:right="40" w:hanging="383"/>
        <w:spacing w:after="0" w:line="254"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voluntary offer (i.e., any offer which is not a mandatory offer), when interests in shares of any class representing 10% or more of shares of that class have been acquired for cash by an offeror (i.e., a bidder) and any person acting in concert with it during the offer period (i.e., broadly speaking, the period after the potential offer has been made public) and within 12 months prior to commencement of the offer period, the offer must be in cash or be accompanied by a cash alternative for all shareholders of that class at not less than the highest price paid for any interest in shares of that class by the offeror or any person acting in concert with it in that period. Further, if an offeror or any person acting in concert with it acquires any interest in shares for cash during the offer period, the offer for that class of shares must be in cash or accompanied by a cash alternative at a price at not less than the highest price paid by the offeror or any person acting in concert with it for shares of that class acquired during the offer period.</w:t>
      </w:r>
    </w:p>
    <w:p>
      <w:pPr>
        <w:spacing w:after="0" w:line="83"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of a firm intention to make an offer is made and before the offer closes for acceptance, the offeror or any person acting in concert with them acquires an interest in shares in an offeree company (i.e., a target) at a price higher than the then current value of the offer, the offer must be increased to not less than the highest price paid for the interest in shares so acquired.</w:t>
      </w:r>
    </w:p>
    <w:p>
      <w:pPr>
        <w:spacing w:after="0" w:line="67" w:lineRule="exact"/>
        <w:rPr>
          <w:rFonts w:ascii="Times New Roman" w:cs="Times New Roman" w:eastAsia="Times New Roman" w:hAnsi="Times New Roman"/>
          <w:sz w:val="18"/>
          <w:szCs w:val="18"/>
          <w:color w:val="auto"/>
        </w:rPr>
      </w:pPr>
    </w:p>
    <w:p>
      <w:pPr>
        <w:ind w:left="900" w:right="160" w:hanging="383"/>
        <w:spacing w:after="0" w:line="26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ind w:left="900" w:right="4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or favorable deals for selected shareholders are not permitted, except in certain circumstances where independent shareholder approval is given and the arrangements are regarded as fair and reasonable in the opinion of the independent adviser to the offeree.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1"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published in connection with an offer by or on behalf of the offeror or offeree must state that the directors of the offeror or the offeree, as the case may be, accept responsibility for the information contained therein and that, to the best of their knowledge and belief (having taken all reasonable care to ensure that such is the case) the information contained therein is in accordance with the facts and does not omit anything likely to affect the import of such information.</w:t>
      </w:r>
    </w:p>
    <w:p>
      <w:pPr>
        <w:spacing w:after="0" w:line="71"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900" w:right="100" w:hanging="383"/>
        <w:spacing w:after="0" w:line="258"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 to the extent such actions are not in the ordinary course of the offeree company's business.</w:t>
      </w:r>
    </w:p>
    <w:p>
      <w:pPr>
        <w:spacing w:after="0" w:line="75"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96"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9" w:name="page70"/>
    <w:bookmarkEnd w:id="69"/>
    <w:p>
      <w:pPr>
        <w:ind w:right="100"/>
        <w:spacing w:after="0" w:line="282" w:lineRule="auto"/>
        <w:rPr>
          <w:sz w:val="20"/>
          <w:szCs w:val="20"/>
          <w:color w:val="auto"/>
        </w:rPr>
      </w:pPr>
      <w:r>
        <w:rPr>
          <w:rFonts w:ascii="Times New Roman" w:cs="Times New Roman" w:eastAsia="Times New Roman" w:hAnsi="Times New Roman"/>
          <w:sz w:val="18"/>
          <w:szCs w:val="18"/>
          <w:color w:val="auto"/>
        </w:rPr>
        <w:t>health. We cannot assure you that unforeseen problems will not develop with these technologies or applications or that any commercially feasible products will ultimately be developed by us.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We may also have to scale back or further restructure our operations. If we are unable to obtain additional funding when needed, we may be required to curtail or terminate some or all of our research or development programs or our commercialization strategies.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8"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99"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Europe and the Middle East, caused by political instability and conflict, such as Russia's invasion of Ukraine and current armed conflict in Israel and the Gaza Strip, and economic challenges caused by pandemics or other health crises, such as the recent COVID-19 pandemic, have led to market disruptions, including significant volatility in commodity prices, credit and capital market instability and supply chain interruptions, which have caused record inflation globally.</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the current armed conflict in Israel and the Gaza Strip, geopolitical tensions, record inflation or otherwise, are impossible to predict, but could be substantial. Any such disruptions may also magnify the impact of other risks described in this report.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second quarter of 2024 are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60" w:type="dxa"/>
            <w:vAlign w:val="bottom"/>
          </w:tcPr>
          <w:p>
            <w:pPr>
              <w:spacing w:after="0"/>
              <w:rPr>
                <w:sz w:val="13"/>
                <w:szCs w:val="13"/>
                <w:color w:val="auto"/>
              </w:rPr>
            </w:pPr>
          </w:p>
        </w:tc>
        <w:tc>
          <w:tcPr>
            <w:tcW w:w="16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jc w:val="right"/>
              <w:ind w:right="99"/>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1 - 30, 2024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May 1 - 31, 2024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1 - 30, 2024</w:t>
            </w:r>
          </w:p>
        </w:tc>
        <w:tc>
          <w:tcPr>
            <w:tcW w:w="1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102,928</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ind w:left="380" w:hanging="372"/>
        <w:spacing w:after="0" w:line="223" w:lineRule="auto"/>
        <w:tabs>
          <w:tab w:leader="none" w:pos="326"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3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3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3"/>
                <w:szCs w:val="3"/>
                <w:color w:val="auto"/>
              </w:rPr>
            </w:pPr>
          </w:p>
        </w:tc>
        <w:tc>
          <w:tcPr>
            <w:tcW w:w="416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6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408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1240"/>
          </w:cols>
          <w:pgMar w:left="320" w:top="1305" w:right="339" w:bottom="1440" w:gutter="0" w:footer="0" w:header="0"/>
        </w:sectPr>
      </w:pPr>
    </w:p>
    <w:p>
      <w:pPr>
        <w:spacing w:after="0" w:line="13"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254">
        <w:r>
          <w:rPr>
            <w:rFonts w:ascii="Times New Roman" w:cs="Times New Roman" w:eastAsia="Times New Roman" w:hAnsi="Times New Roman"/>
            <w:sz w:val="17"/>
            <w:szCs w:val="17"/>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92"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254">
        <w:r>
          <w:rPr>
            <w:rFonts w:ascii="Times New Roman" w:cs="Times New Roman" w:eastAsia="Times New Roman" w:hAnsi="Times New Roman"/>
            <w:sz w:val="17"/>
            <w:szCs w:val="17"/>
            <w:u w:val="single" w:color="auto"/>
            <w:color w:val="0000FF"/>
          </w:rPr>
          <w:t>10.2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11"/>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CEO Employment Agreement, dated July 25, 2024, by</w:t>
              </w:r>
            </w:hyperlink>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with the</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July 29, 2024</w:t>
            </w:r>
          </w:p>
        </w:tc>
      </w:tr>
      <w:tr>
        <w:trPr>
          <w:trHeight w:val="20"/>
        </w:trPr>
        <w:tc>
          <w:tcPr>
            <w:tcW w:w="2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160" w:type="dxa"/>
            <w:vAlign w:val="bottom"/>
            <w:gridSpan w:val="11"/>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and between Amarin Corporation plc and Aaron Berg</w:t>
              </w:r>
              <w:r>
                <w:rPr>
                  <w:rFonts w:ascii="Times New Roman" w:cs="Times New Roman" w:eastAsia="Times New Roman" w:hAnsi="Times New Roman"/>
                  <w:sz w:val="18"/>
                  <w:szCs w:val="18"/>
                  <w:color w:val="000000"/>
                </w:rPr>
                <w:t>.</w:t>
              </w:r>
            </w:hyperlink>
          </w:p>
        </w:tc>
        <w:tc>
          <w:tcPr>
            <w:tcW w:w="3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Commission on July 29, 2024, as Exhibit 10.1</w:t>
            </w:r>
          </w:p>
        </w:tc>
        <w:tc>
          <w:tcPr>
            <w:tcW w:w="106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4160" w:type="dxa"/>
            <w:vAlign w:val="bottom"/>
            <w:gridSpan w:val="11"/>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Option Award Agreement (attached to Exhibit 10.1)</w:t>
              </w:r>
            </w:hyperlink>
            <w:r>
              <w:rPr>
                <w:rFonts w:ascii="Times New Roman" w:cs="Times New Roman" w:eastAsia="Times New Roman" w:hAnsi="Times New Roman"/>
                <w:sz w:val="18"/>
                <w:szCs w:val="18"/>
                <w:color w:val="000000"/>
              </w:rPr>
              <w:t>.</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with the</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July 29, 2024</w:t>
            </w:r>
          </w:p>
        </w:tc>
      </w:tr>
      <w:tr>
        <w:trPr>
          <w:trHeight w:val="237"/>
        </w:trPr>
        <w:tc>
          <w:tcPr>
            <w:tcW w:w="20" w:type="dxa"/>
            <w:vAlign w:val="bottom"/>
          </w:tcPr>
          <w:p>
            <w:pPr>
              <w:spacing w:after="0"/>
              <w:rPr>
                <w:sz w:val="20"/>
                <w:szCs w:val="20"/>
                <w:color w:val="auto"/>
              </w:rPr>
            </w:pPr>
          </w:p>
        </w:tc>
        <w:tc>
          <w:tcPr>
            <w:tcW w:w="2060" w:type="dxa"/>
            <w:vAlign w:val="bottom"/>
            <w:tcBorders>
              <w:top w:val="single" w:sz="8" w:color="0000FF"/>
            </w:tcBorders>
          </w:tcPr>
          <w:p>
            <w:pPr>
              <w:spacing w:after="0"/>
              <w:rPr>
                <w:sz w:val="20"/>
                <w:szCs w:val="20"/>
                <w:color w:val="auto"/>
              </w:rPr>
            </w:pPr>
          </w:p>
        </w:tc>
        <w:tc>
          <w:tcPr>
            <w:tcW w:w="14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 on July 29, 2024, as Exhibit 10.2</w:t>
            </w:r>
          </w:p>
        </w:tc>
        <w:tc>
          <w:tcPr>
            <w:tcW w:w="1060" w:type="dxa"/>
            <w:vAlign w:val="bottom"/>
          </w:tcPr>
          <w:p>
            <w:pPr>
              <w:spacing w:after="0"/>
              <w:rPr>
                <w:sz w:val="20"/>
                <w:szCs w:val="20"/>
                <w:color w:val="auto"/>
              </w:rPr>
            </w:pPr>
          </w:p>
        </w:tc>
      </w:tr>
      <w:tr>
        <w:trPr>
          <w:trHeight w:val="351"/>
        </w:trPr>
        <w:tc>
          <w:tcPr>
            <w:tcW w:w="4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10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pursuant to Section 302 of</w:t>
            </w:r>
          </w:p>
        </w:tc>
        <w:tc>
          <w:tcPr>
            <w:tcW w:w="3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4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Executive Vice President and Chief</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10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(Principal Financial Officer and</w:t>
            </w:r>
          </w:p>
        </w:tc>
        <w:tc>
          <w:tcPr>
            <w:tcW w:w="3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Officer) pursuant to Section 302 of</w:t>
            </w:r>
          </w:p>
        </w:tc>
        <w:tc>
          <w:tcPr>
            <w:tcW w:w="3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4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10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and Executive Vice</w:t>
            </w:r>
          </w:p>
        </w:tc>
        <w:tc>
          <w:tcPr>
            <w:tcW w:w="3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President and Chief Financial Officer (Principal</w:t>
            </w:r>
          </w:p>
        </w:tc>
        <w:tc>
          <w:tcPr>
            <w:tcW w:w="3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and Principal Accounting Officer)</w:t>
            </w:r>
          </w:p>
        </w:tc>
        <w:tc>
          <w:tcPr>
            <w:tcW w:w="3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Sarbanes-Oxley Act of 2002</w:t>
            </w:r>
          </w:p>
        </w:tc>
        <w:tc>
          <w:tcPr>
            <w:tcW w:w="3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420" w:space="620"/>
            <w:col w:w="1020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7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00" w:type="dxa"/>
            <w:vAlign w:val="bottom"/>
          </w:tcPr>
          <w:p>
            <w:pPr>
              <w:spacing w:after="0"/>
              <w:rPr>
                <w:sz w:val="20"/>
                <w:szCs w:val="20"/>
                <w:color w:val="auto"/>
              </w:rPr>
            </w:pPr>
          </w:p>
        </w:tc>
      </w:tr>
      <w:tr>
        <w:trPr>
          <w:trHeight w:val="37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00" w:type="dxa"/>
            <w:vAlign w:val="bottom"/>
          </w:tcPr>
          <w:p>
            <w:pPr>
              <w:spacing w:after="0"/>
              <w:rPr>
                <w:sz w:val="20"/>
                <w:szCs w:val="20"/>
                <w:color w:val="auto"/>
              </w:rPr>
            </w:pPr>
          </w:p>
        </w:tc>
      </w:tr>
      <w:tr>
        <w:trPr>
          <w:trHeight w:val="37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00" w:type="dxa"/>
            <w:vAlign w:val="bottom"/>
          </w:tcPr>
          <w:p>
            <w:pPr>
              <w:spacing w:after="0"/>
              <w:rPr>
                <w:sz w:val="20"/>
                <w:szCs w:val="20"/>
                <w:color w:val="auto"/>
              </w:rPr>
            </w:pPr>
          </w:p>
        </w:tc>
      </w:tr>
      <w:tr>
        <w:trPr>
          <w:trHeight w:val="37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Linkbase Document</w:t>
            </w:r>
          </w:p>
        </w:tc>
        <w:tc>
          <w:tcPr>
            <w:tcW w:w="6100" w:type="dxa"/>
            <w:vAlign w:val="bottom"/>
          </w:tcPr>
          <w:p>
            <w:pPr>
              <w:spacing w:after="0"/>
              <w:rPr>
                <w:sz w:val="20"/>
                <w:szCs w:val="20"/>
                <w:color w:val="auto"/>
              </w:rPr>
            </w:pPr>
          </w:p>
        </w:tc>
      </w:tr>
      <w:tr>
        <w:trPr>
          <w:trHeight w:val="37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88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610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6100" w:type="dxa"/>
            <w:vAlign w:val="bottom"/>
          </w:tcPr>
          <w:p>
            <w:pPr>
              <w:spacing w:after="0"/>
              <w:rPr>
                <w:sz w:val="20"/>
                <w:szCs w:val="20"/>
                <w:color w:val="auto"/>
              </w:rPr>
            </w:pPr>
          </w:p>
        </w:tc>
      </w:tr>
      <w:tr>
        <w:trPr>
          <w:trHeight w:val="878"/>
        </w:trPr>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72</w:t>
            </w:r>
          </w:p>
        </w:tc>
      </w:tr>
      <w:tr>
        <w:trPr>
          <w:trHeight w:val="763"/>
        </w:trPr>
        <w:tc>
          <w:tcPr>
            <w:tcW w:w="8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72" w:name="page73"/>
    <w:bookmarkEnd w:id="7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30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Aaron Berg</w:t>
      </w:r>
    </w:p>
    <w:p>
      <w:pPr>
        <w:spacing w:after="0" w:line="27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30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Tom Reilly</w:t>
      </w:r>
    </w:p>
    <w:p>
      <w:pPr>
        <w:spacing w:after="0" w:line="27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Berg, certify that:</w:t>
      </w:r>
    </w:p>
    <w:p>
      <w:pPr>
        <w:spacing w:after="0" w:line="117"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7720" w:val="left"/>
          <w:tab w:leader="none" w:pos="806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8"/>
          <w:szCs w:val="18"/>
          <w:color w:val="auto"/>
        </w:rPr>
        <w:t>/s/</w:t>
        <w:tab/>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Aaron Berg</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Tom Reilly, certify that:</w:t>
      </w:r>
    </w:p>
    <w:p>
      <w:pPr>
        <w:spacing w:after="0" w:line="117"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7900" w:val="left"/>
          <w:tab w:leader="none" w:pos="824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Tom Reilly</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Aaron Berg, President and Chief Executive Officer (Principal Executive Officer) of Amarin Corporation plc (the “Company”), and Tom Reilly, Executive Vice President and Chief Financial Officer (Principal Financial Officer and Principal Accounting Officer) of the Company, each hereby certifies that, to the best of his knowledge:</w:t>
      </w:r>
    </w:p>
    <w:p>
      <w:pPr>
        <w:spacing w:after="0" w:line="180" w:lineRule="exact"/>
        <w:rPr>
          <w:sz w:val="20"/>
          <w:szCs w:val="20"/>
          <w:color w:val="auto"/>
        </w:rPr>
      </w:pPr>
    </w:p>
    <w:p>
      <w:pPr>
        <w:ind w:right="600" w:firstLine="8"/>
        <w:spacing w:after="0" w:line="282"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2024, to which this Certification is attached as Exhibit 32.1 (the “Quarterly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91"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7"/>
          <w:szCs w:val="17"/>
          <w:color w:val="auto"/>
        </w:rPr>
        <w:t>Aaron Berg</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7"/>
          <w:szCs w:val="17"/>
          <w:color w:val="auto"/>
        </w:rPr>
        <w:t>Tom Reilly</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1)"/>
      <w:numFmt w:val="decimal"/>
      <w:start w:val="9"/>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54" Type="http://schemas.openxmlformats.org/officeDocument/2006/relationships/hyperlink" Target="https://www.sec.gov/ix?doc=/Archives/edgar/data/897448/000095017024087391/amrn-202407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2024-07-31T06:16:33Z</dcterms:created>
  <dcterms:modified xsi:type="dcterms:W3CDTF">2024-07-31T06:16:33Z</dcterms:modified>
</cp:coreProperties>
</file>