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920" w:right="180" w:hanging="912"/>
        <w:spacing w:after="0" w:line="256"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920"/>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920" w:right="180" w:hanging="912"/>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2560" w:type="dxa"/>
            <w:vAlign w:val="bottom"/>
          </w:tcPr>
          <w:p>
            <w:pPr>
              <w:ind w:left="240"/>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36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c>
          <w:tcPr>
            <w:tcW w:w="2820" w:type="dxa"/>
            <w:vAlign w:val="bottom"/>
          </w:tcPr>
          <w:p>
            <w:pPr>
              <w:spacing w:after="0"/>
              <w:rPr>
                <w:sz w:val="17"/>
                <w:szCs w:val="17"/>
                <w:color w:val="auto"/>
              </w:rPr>
            </w:pPr>
          </w:p>
        </w:tc>
      </w:tr>
      <w:tr>
        <w:trPr>
          <w:trHeight w:val="355"/>
        </w:trPr>
        <w:tc>
          <w:tcPr>
            <w:tcW w:w="25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Commission File No. 0-21392</w:t>
            </w:r>
          </w:p>
        </w:tc>
        <w:tc>
          <w:tcPr>
            <w:tcW w:w="2820" w:type="dxa"/>
            <w:vAlign w:val="bottom"/>
          </w:tcPr>
          <w:p>
            <w:pPr>
              <w:spacing w:after="0"/>
              <w:rPr>
                <w:sz w:val="24"/>
                <w:szCs w:val="24"/>
                <w:color w:val="auto"/>
              </w:rPr>
            </w:pPr>
          </w:p>
        </w:tc>
      </w:tr>
      <w:tr>
        <w:trPr>
          <w:trHeight w:val="535"/>
        </w:trPr>
        <w:tc>
          <w:tcPr>
            <w:tcW w:w="2560" w:type="dxa"/>
            <w:vAlign w:val="bottom"/>
          </w:tcPr>
          <w:p>
            <w:pPr>
              <w:spacing w:after="0"/>
              <w:rPr>
                <w:sz w:val="24"/>
                <w:szCs w:val="24"/>
                <w:color w:val="auto"/>
              </w:rPr>
            </w:pPr>
          </w:p>
        </w:tc>
        <w:tc>
          <w:tcPr>
            <w:tcW w:w="6700" w:type="dxa"/>
            <w:vAlign w:val="bottom"/>
            <w:gridSpan w:val="5"/>
          </w:tcPr>
          <w:p>
            <w:pPr>
              <w:jc w:val="center"/>
              <w:ind w:right="1652"/>
              <w:spacing w:after="0"/>
              <w:rPr>
                <w:sz w:val="20"/>
                <w:szCs w:val="20"/>
                <w:color w:val="auto"/>
              </w:rPr>
            </w:pPr>
            <w:r>
              <w:rPr>
                <w:rFonts w:ascii="Arial" w:cs="Arial" w:eastAsia="Arial" w:hAnsi="Arial"/>
                <w:sz w:val="43"/>
                <w:szCs w:val="43"/>
                <w:b w:val="1"/>
                <w:bCs w:val="1"/>
                <w:color w:val="auto"/>
                <w:w w:val="94"/>
              </w:rPr>
              <w:t>Amarin Corporation plc</w:t>
            </w:r>
          </w:p>
        </w:tc>
      </w:tr>
      <w:tr>
        <w:trPr>
          <w:trHeight w:val="222"/>
        </w:trPr>
        <w:tc>
          <w:tcPr>
            <w:tcW w:w="2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180" w:type="dxa"/>
            <w:vAlign w:val="bottom"/>
            <w:gridSpan w:val="4"/>
          </w:tcPr>
          <w:p>
            <w:pPr>
              <w:jc w:val="center"/>
              <w:ind w:right="2172"/>
              <w:spacing w:after="0"/>
              <w:rPr>
                <w:sz w:val="20"/>
                <w:szCs w:val="20"/>
                <w:color w:val="auto"/>
              </w:rPr>
            </w:pPr>
            <w:r>
              <w:rPr>
                <w:rFonts w:ascii="Arial" w:cs="Arial" w:eastAsia="Arial" w:hAnsi="Arial"/>
                <w:sz w:val="18"/>
                <w:szCs w:val="18"/>
                <w:i w:val="1"/>
                <w:iCs w:val="1"/>
                <w:color w:val="auto"/>
                <w:w w:val="88"/>
              </w:rPr>
              <w:t>(Exact Name of Registrant as Specified in its Charter)</w:t>
            </w:r>
          </w:p>
        </w:tc>
      </w:tr>
      <w:tr>
        <w:trPr>
          <w:trHeight w:val="574"/>
        </w:trPr>
        <w:tc>
          <w:tcPr>
            <w:tcW w:w="6440" w:type="dxa"/>
            <w:vAlign w:val="bottom"/>
            <w:gridSpan w:val="5"/>
          </w:tcPr>
          <w:p>
            <w:pPr>
              <w:jc w:val="center"/>
              <w:ind w:right="1972"/>
              <w:spacing w:after="0"/>
              <w:rPr>
                <w:sz w:val="20"/>
                <w:szCs w:val="20"/>
                <w:color w:val="auto"/>
              </w:rPr>
            </w:pPr>
            <w:r>
              <w:rPr>
                <w:rFonts w:ascii="Arial" w:cs="Arial" w:eastAsia="Arial" w:hAnsi="Arial"/>
                <w:sz w:val="18"/>
                <w:szCs w:val="18"/>
                <w:b w:val="1"/>
                <w:bCs w:val="1"/>
                <w:color w:val="auto"/>
                <w:w w:val="88"/>
              </w:rPr>
              <w:t>England and Wales</w:t>
            </w:r>
          </w:p>
        </w:tc>
        <w:tc>
          <w:tcPr>
            <w:tcW w:w="2820" w:type="dxa"/>
            <w:vAlign w:val="bottom"/>
          </w:tcPr>
          <w:p>
            <w:pPr>
              <w:jc w:val="center"/>
              <w:ind w:left="212"/>
              <w:spacing w:after="0"/>
              <w:rPr>
                <w:sz w:val="20"/>
                <w:szCs w:val="20"/>
                <w:color w:val="auto"/>
              </w:rPr>
            </w:pPr>
            <w:r>
              <w:rPr>
                <w:rFonts w:ascii="Arial" w:cs="Arial" w:eastAsia="Arial" w:hAnsi="Arial"/>
                <w:sz w:val="18"/>
                <w:szCs w:val="18"/>
                <w:b w:val="1"/>
                <w:bCs w:val="1"/>
                <w:color w:val="auto"/>
                <w:w w:val="87"/>
              </w:rPr>
              <w:t>Not applicable</w:t>
            </w:r>
          </w:p>
        </w:tc>
      </w:tr>
      <w:tr>
        <w:trPr>
          <w:trHeight w:val="222"/>
        </w:trPr>
        <w:tc>
          <w:tcPr>
            <w:tcW w:w="6440" w:type="dxa"/>
            <w:vAlign w:val="bottom"/>
            <w:gridSpan w:val="5"/>
          </w:tcPr>
          <w:p>
            <w:pPr>
              <w:jc w:val="center"/>
              <w:ind w:right="1972"/>
              <w:spacing w:after="0"/>
              <w:rPr>
                <w:sz w:val="20"/>
                <w:szCs w:val="20"/>
                <w:color w:val="auto"/>
              </w:rPr>
            </w:pPr>
            <w:r>
              <w:rPr>
                <w:rFonts w:ascii="Arial" w:cs="Arial" w:eastAsia="Arial" w:hAnsi="Arial"/>
                <w:sz w:val="18"/>
                <w:szCs w:val="18"/>
                <w:i w:val="1"/>
                <w:iCs w:val="1"/>
                <w:color w:val="auto"/>
                <w:w w:val="91"/>
              </w:rPr>
              <w:t>(State or Other Jurisdiction of Incorporation or Organization)</w:t>
            </w:r>
          </w:p>
        </w:tc>
        <w:tc>
          <w:tcPr>
            <w:tcW w:w="2820" w:type="dxa"/>
            <w:vAlign w:val="bottom"/>
          </w:tcPr>
          <w:p>
            <w:pPr>
              <w:jc w:val="center"/>
              <w:ind w:left="212"/>
              <w:spacing w:after="0"/>
              <w:rPr>
                <w:sz w:val="20"/>
                <w:szCs w:val="20"/>
                <w:color w:val="auto"/>
              </w:rPr>
            </w:pPr>
            <w:r>
              <w:rPr>
                <w:rFonts w:ascii="Arial" w:cs="Arial" w:eastAsia="Arial" w:hAnsi="Arial"/>
                <w:sz w:val="18"/>
                <w:szCs w:val="18"/>
                <w:i w:val="1"/>
                <w:iCs w:val="1"/>
                <w:color w:val="auto"/>
                <w:w w:val="90"/>
              </w:rPr>
              <w:t>(I.R.S. Employer Identification No.)</w:t>
            </w:r>
          </w:p>
        </w:tc>
      </w:tr>
      <w:tr>
        <w:trPr>
          <w:trHeight w:val="426"/>
        </w:trPr>
        <w:tc>
          <w:tcPr>
            <w:tcW w:w="6440" w:type="dxa"/>
            <w:vAlign w:val="bottom"/>
            <w:gridSpan w:val="5"/>
          </w:tcPr>
          <w:p>
            <w:pPr>
              <w:jc w:val="center"/>
              <w:ind w:right="1972"/>
              <w:spacing w:after="0"/>
              <w:rPr>
                <w:sz w:val="20"/>
                <w:szCs w:val="20"/>
                <w:color w:val="auto"/>
              </w:rPr>
            </w:pPr>
            <w:r>
              <w:rPr>
                <w:rFonts w:ascii="Arial" w:cs="Arial" w:eastAsia="Arial" w:hAnsi="Arial"/>
                <w:sz w:val="18"/>
                <w:szCs w:val="18"/>
                <w:b w:val="1"/>
                <w:bCs w:val="1"/>
                <w:color w:val="auto"/>
                <w:w w:val="88"/>
              </w:rPr>
              <w:t>1</w:t>
            </w:r>
            <w:r>
              <w:rPr>
                <w:rFonts w:ascii="Arial" w:cs="Arial" w:eastAsia="Arial" w:hAnsi="Arial"/>
                <w:sz w:val="11"/>
                <w:szCs w:val="11"/>
                <w:b w:val="1"/>
                <w:bCs w:val="1"/>
                <w:color w:val="auto"/>
                <w:w w:val="88"/>
              </w:rPr>
              <w:t>st</w:t>
            </w:r>
            <w:r>
              <w:rPr>
                <w:rFonts w:ascii="Arial" w:cs="Arial" w:eastAsia="Arial" w:hAnsi="Arial"/>
                <w:sz w:val="18"/>
                <w:szCs w:val="18"/>
                <w:b w:val="1"/>
                <w:bCs w:val="1"/>
                <w:color w:val="auto"/>
                <w:w w:val="88"/>
              </w:rPr>
              <w:t xml:space="preserve"> Floor, Block 3, The Oval Shelbourne Road, Ballsbridge</w:t>
            </w:r>
          </w:p>
        </w:tc>
        <w:tc>
          <w:tcPr>
            <w:tcW w:w="2820" w:type="dxa"/>
            <w:vAlign w:val="bottom"/>
          </w:tcPr>
          <w:p>
            <w:pPr>
              <w:jc w:val="center"/>
              <w:ind w:left="212"/>
              <w:spacing w:after="0"/>
              <w:rPr>
                <w:sz w:val="20"/>
                <w:szCs w:val="20"/>
                <w:color w:val="auto"/>
              </w:rPr>
            </w:pPr>
            <w:r>
              <w:rPr>
                <w:rFonts w:ascii="Arial" w:cs="Arial" w:eastAsia="Arial" w:hAnsi="Arial"/>
                <w:sz w:val="18"/>
                <w:szCs w:val="18"/>
                <w:b w:val="1"/>
                <w:bCs w:val="1"/>
                <w:color w:val="auto"/>
                <w:w w:val="91"/>
              </w:rPr>
              <w:t>Dublin 4, Ireland</w:t>
            </w:r>
          </w:p>
        </w:tc>
      </w:tr>
      <w:tr>
        <w:trPr>
          <w:trHeight w:val="222"/>
        </w:trPr>
        <w:tc>
          <w:tcPr>
            <w:tcW w:w="6440" w:type="dxa"/>
            <w:vAlign w:val="bottom"/>
            <w:gridSpan w:val="5"/>
          </w:tcPr>
          <w:p>
            <w:pPr>
              <w:jc w:val="center"/>
              <w:ind w:right="1992"/>
              <w:spacing w:after="0"/>
              <w:rPr>
                <w:sz w:val="20"/>
                <w:szCs w:val="20"/>
                <w:color w:val="auto"/>
              </w:rPr>
            </w:pPr>
            <w:r>
              <w:rPr>
                <w:rFonts w:ascii="Arial" w:cs="Arial" w:eastAsia="Arial" w:hAnsi="Arial"/>
                <w:sz w:val="18"/>
                <w:szCs w:val="18"/>
                <w:i w:val="1"/>
                <w:iCs w:val="1"/>
                <w:color w:val="auto"/>
                <w:w w:val="89"/>
              </w:rPr>
              <w:t>(Address of Principal Executive Offices)</w:t>
            </w:r>
          </w:p>
        </w:tc>
        <w:tc>
          <w:tcPr>
            <w:tcW w:w="2820" w:type="dxa"/>
            <w:vAlign w:val="bottom"/>
          </w:tcPr>
          <w:p>
            <w:pPr>
              <w:jc w:val="center"/>
              <w:ind w:left="212"/>
              <w:spacing w:after="0"/>
              <w:rPr>
                <w:sz w:val="20"/>
                <w:szCs w:val="20"/>
                <w:color w:val="auto"/>
              </w:rPr>
            </w:pPr>
            <w:r>
              <w:rPr>
                <w:rFonts w:ascii="Arial" w:cs="Arial" w:eastAsia="Arial" w:hAnsi="Arial"/>
                <w:sz w:val="18"/>
                <w:szCs w:val="18"/>
                <w:i w:val="1"/>
                <w:iCs w:val="1"/>
                <w:color w:val="auto"/>
                <w:w w:val="89"/>
              </w:rPr>
              <w:t>(Zip Code)</w:t>
            </w:r>
          </w:p>
        </w:tc>
      </w:tr>
    </w:tbl>
    <w:p>
      <w:pPr>
        <w:spacing w:after="0" w:line="6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96"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8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74" w:lineRule="exact"/>
        <w:rPr>
          <w:sz w:val="24"/>
          <w:szCs w:val="24"/>
          <w:color w:val="auto"/>
        </w:rPr>
      </w:pPr>
    </w:p>
    <w:p>
      <w:pPr>
        <w:ind w:left="3380" w:right="560" w:hanging="4033"/>
        <w:spacing w:after="0" w:line="236" w:lineRule="exact"/>
        <w:tabs>
          <w:tab w:leader="none" w:pos="3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smaller reporting company)</w:t>
      </w:r>
    </w:p>
    <w:p>
      <w:pPr>
        <w:spacing w:after="0" w:line="1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3"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127,221,591 shares held as American Depository Shares (ADS), each representing one Ordinary Share, 50 pence par value per share, and 269,296 ordinary shares, were outstanding as of May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0" w:type="dxa"/>
            <w:vAlign w:val="bottom"/>
            <w:gridSpan w:val="6"/>
            <w:vMerge w:val="restart"/>
          </w:tcPr>
          <w:p>
            <w:pPr>
              <w:jc w:val="cente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PART I – Financial Information</w:t>
              </w:r>
            </w:hyperlink>
          </w:p>
        </w:tc>
        <w:tc>
          <w:tcPr>
            <w:tcW w:w="3980" w:type="dxa"/>
            <w:vAlign w:val="bottom"/>
            <w:gridSpan w:val="5"/>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0" w:type="dxa"/>
            <w:vAlign w:val="bottom"/>
            <w:tcBorders>
              <w:bottom w:val="single" w:sz="8" w:color="0000EE"/>
            </w:tcBorders>
            <w:gridSpan w:val="6"/>
            <w:vMerge w:val="continue"/>
          </w:tcPr>
          <w:p>
            <w:pPr>
              <w:spacing w:after="0"/>
              <w:rPr>
                <w:sz w:val="14"/>
                <w:szCs w:val="14"/>
                <w:color w:val="auto"/>
              </w:rPr>
            </w:pPr>
          </w:p>
        </w:tc>
        <w:tc>
          <w:tcPr>
            <w:tcW w:w="398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4"/>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40" w:type="dxa"/>
            <w:vAlign w:val="bottom"/>
            <w:tcBorders>
              <w:bottom w:val="single" w:sz="8" w:color="0000EE"/>
            </w:tcBorders>
            <w:gridSpan w:val="9"/>
          </w:tcPr>
          <w:p>
            <w:pPr>
              <w:spacing w:after="0" w:line="184"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Condensed Consolidated Balance Sheets at March 31, 2011 and December 31, 2010</w:t>
              </w:r>
            </w:hyperlink>
          </w:p>
        </w:tc>
        <w:tc>
          <w:tcPr>
            <w:tcW w:w="4120" w:type="dxa"/>
            <w:vAlign w:val="bottom"/>
            <w:gridSpan w:val="7"/>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Condensed Consolidated Statements of Operations and Comprehensive Income (Loss) for the three months ended March 31, 2011 and</w:t>
              </w:r>
            </w:hyperlink>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spacing w:after="0"/>
              <w:rPr>
                <w:rFonts w:ascii="Arial" w:cs="Arial" w:eastAsia="Arial" w:hAnsi="Arial"/>
                <w:sz w:val="16"/>
                <w:szCs w:val="16"/>
                <w:color w:val="0000EE"/>
                <w:w w:val="72"/>
              </w:rPr>
            </w:pPr>
            <w:hyperlink w:anchor="page4">
              <w:r>
                <w:rPr>
                  <w:rFonts w:ascii="Arial" w:cs="Arial" w:eastAsia="Arial" w:hAnsi="Arial"/>
                  <w:sz w:val="16"/>
                  <w:szCs w:val="16"/>
                  <w:color w:val="0000EE"/>
                  <w:w w:val="72"/>
                </w:rPr>
                <w:t>2010</w:t>
              </w:r>
            </w:hyperlink>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74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 of Changes in Equity at March 31, 2011 and March 31, 2010</w:t>
              </w:r>
            </w:hyperlink>
          </w:p>
        </w:tc>
        <w:tc>
          <w:tcPr>
            <w:tcW w:w="32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96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three months ended March 31, 2011 and 2010</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64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9960" w:type="dxa"/>
            <w:vAlign w:val="bottom"/>
            <w:gridSpan w:val="16"/>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96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300" w:type="dxa"/>
            <w:vAlign w:val="bottom"/>
            <w:gridSpan w:val="10"/>
          </w:tcPr>
          <w:p>
            <w:pPr>
              <w:jc w:val="center"/>
              <w:ind w:right="4080"/>
              <w:spacing w:after="0"/>
              <w:rPr>
                <w:rFonts w:ascii="Arial" w:cs="Arial" w:eastAsia="Arial" w:hAnsi="Arial"/>
                <w:sz w:val="18"/>
                <w:szCs w:val="18"/>
                <w:b w:val="1"/>
                <w:bCs w:val="1"/>
                <w:color w:val="0000EE"/>
                <w:w w:val="94"/>
              </w:rPr>
            </w:pPr>
            <w:hyperlink w:anchor="page20">
              <w:r>
                <w:rPr>
                  <w:rFonts w:ascii="Arial" w:cs="Arial" w:eastAsia="Arial" w:hAnsi="Arial"/>
                  <w:sz w:val="18"/>
                  <w:szCs w:val="18"/>
                  <w:b w:val="1"/>
                  <w:bCs w:val="1"/>
                  <w:color w:val="0000EE"/>
                  <w:w w:val="94"/>
                </w:rPr>
                <w:t>PART II – 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20" w:type="dxa"/>
            <w:vAlign w:val="bottom"/>
            <w:tcBorders>
              <w:bottom w:val="single" w:sz="8" w:color="0000EE"/>
            </w:tcBorders>
            <w:gridSpan w:val="3"/>
          </w:tcPr>
          <w:p>
            <w:pPr>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Risk Factors</w:t>
              </w:r>
            </w:hyperlink>
          </w:p>
        </w:tc>
        <w:tc>
          <w:tcPr>
            <w:tcW w:w="2840" w:type="dxa"/>
            <w:vAlign w:val="bottom"/>
            <w:gridSpan w:val="3"/>
          </w:tcPr>
          <w:p>
            <w:pPr>
              <w:spacing w:after="0"/>
              <w:rPr>
                <w:sz w:val="17"/>
                <w:szCs w:val="17"/>
                <w:color w:val="auto"/>
              </w:rPr>
            </w:pPr>
          </w:p>
        </w:tc>
        <w:tc>
          <w:tcPr>
            <w:tcW w:w="2220" w:type="dxa"/>
            <w:vAlign w:val="bottom"/>
            <w:tcBorders>
              <w:top w:val="single" w:sz="8" w:color="0000EE"/>
            </w:tcBorders>
            <w:gridSpan w:val="4"/>
          </w:tcPr>
          <w:p>
            <w:pPr>
              <w:spacing w:after="0"/>
              <w:rPr>
                <w:sz w:val="17"/>
                <w:szCs w:val="17"/>
                <w:color w:val="auto"/>
              </w:rPr>
            </w:pPr>
          </w:p>
        </w:tc>
        <w:tc>
          <w:tcPr>
            <w:tcW w:w="408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Exhibits</w:t>
              </w:r>
            </w:hyperlink>
          </w:p>
        </w:tc>
        <w:tc>
          <w:tcPr>
            <w:tcW w:w="944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1040" w:type="dxa"/>
            <w:vAlign w:val="bottom"/>
            <w:gridSpan w:val="1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2"/>
              </w:rPr>
              <w:t>EX-10.1</w:t>
            </w:r>
          </w:p>
        </w:tc>
        <w:tc>
          <w:tcPr>
            <w:tcW w:w="9960" w:type="dxa"/>
            <w:vAlign w:val="bottom"/>
            <w:gridSpan w:val="1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EX-31.1</w:t>
              </w:r>
            </w:hyperlink>
          </w:p>
        </w:tc>
        <w:tc>
          <w:tcPr>
            <w:tcW w:w="9960" w:type="dxa"/>
            <w:vAlign w:val="bottom"/>
            <w:gridSpan w:val="1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EX-31.2</w:t>
        </w:r>
      </w:hyperlink>
    </w:p>
    <w:p>
      <w:pPr>
        <w:spacing w:after="0" w:line="15" w:lineRule="exact"/>
        <w:rPr>
          <w:sz w:val="20"/>
          <w:szCs w:val="20"/>
          <w:color w:val="auto"/>
        </w:rPr>
      </w:pPr>
    </w:p>
    <w:p>
      <w:pPr>
        <w:ind w:left="44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EX-32.1</w:t>
        </w:r>
      </w:hyperlink>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9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9320" w:type="dxa"/>
            <w:vAlign w:val="bottom"/>
            <w:vMerge w:val="restart"/>
          </w:tcPr>
          <w:p>
            <w:pPr>
              <w:ind w:left="418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201"/>
        </w:trPr>
        <w:tc>
          <w:tcPr>
            <w:tcW w:w="9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129,482</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31,442</w:t>
            </w: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3"/>
        </w:trPr>
        <w:tc>
          <w:tcPr>
            <w:tcW w:w="9320" w:type="dxa"/>
            <w:vAlign w:val="bottom"/>
          </w:tcPr>
          <w:p>
            <w:pPr>
              <w:ind w:left="13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130,567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17"/>
        </w:trPr>
        <w:tc>
          <w:tcPr>
            <w:tcW w:w="9320" w:type="dxa"/>
            <w:vAlign w:val="bottom"/>
          </w:tcPr>
          <w:p>
            <w:pPr>
              <w:ind w:left="44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Deferred tax asset</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23"/>
        </w:trPr>
        <w:tc>
          <w:tcPr>
            <w:tcW w:w="9320" w:type="dxa"/>
            <w:vAlign w:val="bottom"/>
          </w:tcPr>
          <w:p>
            <w:pPr>
              <w:ind w:left="8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132,806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35,367</w:t>
            </w:r>
          </w:p>
        </w:tc>
        <w:tc>
          <w:tcPr>
            <w:tcW w:w="0" w:type="dxa"/>
            <w:vAlign w:val="bottom"/>
          </w:tcPr>
          <w:p>
            <w:pPr>
              <w:spacing w:after="0"/>
              <w:rPr>
                <w:sz w:val="1"/>
                <w:szCs w:val="1"/>
                <w:color w:val="auto"/>
              </w:rPr>
            </w:pPr>
          </w:p>
        </w:tc>
      </w:tr>
      <w:tr>
        <w:trPr>
          <w:trHeight w:val="20"/>
        </w:trPr>
        <w:tc>
          <w:tcPr>
            <w:tcW w:w="932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4,449</w:t>
            </w: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0" w:type="dxa"/>
            <w:vAlign w:val="bottom"/>
          </w:tcPr>
          <w:p>
            <w:pPr>
              <w:spacing w:after="0"/>
              <w:rPr>
                <w:sz w:val="1"/>
                <w:szCs w:val="1"/>
                <w:color w:val="auto"/>
              </w:rPr>
            </w:pPr>
          </w:p>
        </w:tc>
      </w:tr>
      <w:tr>
        <w:trPr>
          <w:trHeight w:val="223"/>
        </w:trPr>
        <w:tc>
          <w:tcPr>
            <w:tcW w:w="9320" w:type="dxa"/>
            <w:vAlign w:val="bottom"/>
          </w:tcPr>
          <w:p>
            <w:pPr>
              <w:ind w:left="13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3,920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7,577</w:t>
            </w:r>
          </w:p>
        </w:tc>
        <w:tc>
          <w:tcPr>
            <w:tcW w:w="0" w:type="dxa"/>
            <w:vAlign w:val="bottom"/>
          </w:tcPr>
          <w:p>
            <w:pPr>
              <w:spacing w:after="0"/>
              <w:rPr>
                <w:sz w:val="1"/>
                <w:szCs w:val="1"/>
                <w:color w:val="auto"/>
              </w:rPr>
            </w:pPr>
          </w:p>
        </w:tc>
      </w:tr>
      <w:tr>
        <w:trPr>
          <w:trHeight w:val="217"/>
        </w:trPr>
        <w:tc>
          <w:tcPr>
            <w:tcW w:w="9320" w:type="dxa"/>
            <w:vAlign w:val="bottom"/>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Warrant derivative liability</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174,819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230,069</w:t>
            </w: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Lease obligations and other long-term liabilities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9320" w:type="dxa"/>
            <w:vAlign w:val="bottom"/>
          </w:tcPr>
          <w:p>
            <w:pPr>
              <w:ind w:left="13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179,255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237,734</w:t>
            </w:r>
          </w:p>
        </w:tc>
        <w:tc>
          <w:tcPr>
            <w:tcW w:w="0" w:type="dxa"/>
            <w:vAlign w:val="bottom"/>
          </w:tcPr>
          <w:p>
            <w:pPr>
              <w:spacing w:after="0"/>
              <w:rPr>
                <w:sz w:val="1"/>
                <w:szCs w:val="1"/>
                <w:color w:val="auto"/>
              </w:rPr>
            </w:pPr>
          </w:p>
        </w:tc>
      </w:tr>
      <w:tr>
        <w:trPr>
          <w:trHeight w:val="217"/>
        </w:trPr>
        <w:tc>
          <w:tcPr>
            <w:tcW w:w="932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w w:val="97"/>
              </w:rPr>
              <w:t>Common stock, £0.50 par, unlimited authorized; 126,209,529 issued, 126,189,450 outstanding at March 31, 2011;</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ind w:left="660"/>
              <w:spacing w:after="0"/>
              <w:rPr>
                <w:sz w:val="20"/>
                <w:szCs w:val="20"/>
                <w:color w:val="auto"/>
              </w:rPr>
            </w:pPr>
            <w:r>
              <w:rPr>
                <w:rFonts w:ascii="Arial" w:cs="Arial" w:eastAsia="Arial" w:hAnsi="Arial"/>
                <w:sz w:val="18"/>
                <w:szCs w:val="18"/>
                <w:color w:val="auto"/>
              </w:rPr>
              <w:t>106,856,731 issued, 106,836,652 outstanding at December 31, 2010</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105,621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90,465</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329,186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206,718</w:t>
            </w:r>
          </w:p>
        </w:tc>
        <w:tc>
          <w:tcPr>
            <w:tcW w:w="0" w:type="dxa"/>
            <w:vAlign w:val="bottom"/>
          </w:tcPr>
          <w:p>
            <w:pPr>
              <w:spacing w:after="0"/>
              <w:rPr>
                <w:sz w:val="1"/>
                <w:szCs w:val="1"/>
                <w:color w:val="auto"/>
              </w:rPr>
            </w:pPr>
          </w:p>
        </w:tc>
      </w:tr>
      <w:tr>
        <w:trPr>
          <w:trHeight w:val="216"/>
        </w:trPr>
        <w:tc>
          <w:tcPr>
            <w:tcW w:w="9320" w:type="dxa"/>
            <w:vAlign w:val="bottom"/>
          </w:tcPr>
          <w:p>
            <w:pPr>
              <w:ind w:left="440"/>
              <w:spacing w:after="0"/>
              <w:rPr>
                <w:sz w:val="20"/>
                <w:szCs w:val="20"/>
                <w:color w:val="auto"/>
              </w:rPr>
            </w:pPr>
            <w:r>
              <w:rPr>
                <w:rFonts w:ascii="Arial" w:cs="Arial" w:eastAsia="Arial" w:hAnsi="Arial"/>
                <w:sz w:val="18"/>
                <w:szCs w:val="18"/>
                <w:color w:val="auto"/>
              </w:rPr>
              <w:t>Treasury stock; 20,079 shares at March 31, 2011 and December 31, 2010</w:t>
            </w:r>
          </w:p>
        </w:tc>
        <w:tc>
          <w:tcPr>
            <w:tcW w:w="100" w:type="dxa"/>
            <w:vAlign w:val="bottom"/>
          </w:tcPr>
          <w:p>
            <w:pPr>
              <w:spacing w:after="0"/>
              <w:rPr>
                <w:sz w:val="18"/>
                <w:szCs w:val="18"/>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2"/>
        </w:trPr>
        <w:tc>
          <w:tcPr>
            <w:tcW w:w="932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(481,039)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(499,333)</w:t>
            </w:r>
          </w:p>
        </w:tc>
        <w:tc>
          <w:tcPr>
            <w:tcW w:w="0" w:type="dxa"/>
            <w:vAlign w:val="bottom"/>
          </w:tcPr>
          <w:p>
            <w:pPr>
              <w:spacing w:after="0"/>
              <w:rPr>
                <w:sz w:val="1"/>
                <w:szCs w:val="1"/>
                <w:color w:val="auto"/>
              </w:rPr>
            </w:pPr>
          </w:p>
        </w:tc>
      </w:tr>
      <w:tr>
        <w:trPr>
          <w:trHeight w:val="20"/>
        </w:trPr>
        <w:tc>
          <w:tcPr>
            <w:tcW w:w="9320" w:type="dxa"/>
            <w:vAlign w:val="bottom"/>
            <w:vMerge w:val="restart"/>
          </w:tcPr>
          <w:p>
            <w:pPr>
              <w:ind w:left="1300"/>
              <w:spacing w:after="0"/>
              <w:rPr>
                <w:sz w:val="20"/>
                <w:szCs w:val="20"/>
                <w:color w:val="auto"/>
              </w:rPr>
            </w:pPr>
            <w:r>
              <w:rPr>
                <w:rFonts w:ascii="Arial" w:cs="Arial" w:eastAsia="Arial" w:hAnsi="Arial"/>
                <w:sz w:val="18"/>
                <w:szCs w:val="18"/>
                <w:color w:val="auto"/>
              </w:rPr>
              <w:t>Total stockholders’ (deficit)</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(46,449)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8"/>
              </w:rPr>
              <w:t>(202,367)</w:t>
            </w:r>
          </w:p>
        </w:tc>
        <w:tc>
          <w:tcPr>
            <w:tcW w:w="0" w:type="dxa"/>
            <w:vAlign w:val="bottom"/>
          </w:tcPr>
          <w:p>
            <w:pPr>
              <w:spacing w:after="0"/>
              <w:rPr>
                <w:sz w:val="1"/>
                <w:szCs w:val="1"/>
                <w:color w:val="auto"/>
              </w:rPr>
            </w:pPr>
          </w:p>
        </w:tc>
      </w:tr>
      <w:tr>
        <w:trPr>
          <w:trHeight w:val="224"/>
        </w:trPr>
        <w:tc>
          <w:tcPr>
            <w:tcW w:w="9320" w:type="dxa"/>
            <w:vAlign w:val="bottom"/>
          </w:tcPr>
          <w:p>
            <w:pPr>
              <w:ind w:left="1300"/>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132,806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88"/>
              </w:rPr>
              <w:t>Three months ended March 31,</w:t>
            </w:r>
          </w:p>
        </w:tc>
        <w:tc>
          <w:tcPr>
            <w:tcW w:w="0" w:type="dxa"/>
            <w:vAlign w:val="bottom"/>
          </w:tcPr>
          <w:p>
            <w:pPr>
              <w:spacing w:after="0"/>
              <w:rPr>
                <w:sz w:val="1"/>
                <w:szCs w:val="1"/>
                <w:color w:val="auto"/>
              </w:rPr>
            </w:pPr>
          </w:p>
        </w:tc>
      </w:tr>
      <w:tr>
        <w:trPr>
          <w:trHeight w:val="161"/>
        </w:trPr>
        <w:tc>
          <w:tcPr>
            <w:tcW w:w="92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2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5"/>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8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13"/>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4,449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Marketing, general and administrative</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tcPr>
          <w:p>
            <w:pPr>
              <w:spacing w:after="0"/>
              <w:rPr>
                <w:sz w:val="20"/>
                <w:szCs w:val="20"/>
                <w:color w:val="auto"/>
              </w:rPr>
            </w:pPr>
            <w:r>
              <w:rPr>
                <w:rFonts w:ascii="Arial" w:cs="Arial" w:eastAsia="Arial" w:hAnsi="Arial"/>
                <w:sz w:val="18"/>
                <w:szCs w:val="18"/>
                <w:color w:val="auto"/>
              </w:rPr>
              <w:t>Operating loss</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(7,175)</w:t>
            </w: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Gain (loss) on change in fair value of derivative liability</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25,342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40" w:type="dxa"/>
            <w:vAlign w:val="bottom"/>
          </w:tcPr>
          <w:p>
            <w:pPr>
              <w:spacing w:after="0"/>
              <w:rPr>
                <w:sz w:val="20"/>
                <w:szCs w:val="20"/>
                <w:color w:val="auto"/>
              </w:rPr>
            </w:pPr>
            <w:r>
              <w:rPr>
                <w:rFonts w:ascii="Arial" w:cs="Arial" w:eastAsia="Arial" w:hAnsi="Arial"/>
                <w:sz w:val="18"/>
                <w:szCs w:val="18"/>
                <w:color w:val="auto"/>
              </w:rPr>
              <w:t>Income (loss) from operations before taxes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18,245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Net and comprehensive income (loss)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18,294</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0.15</w:t>
            </w: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0.12</w:t>
            </w:r>
          </w:p>
        </w:tc>
        <w:tc>
          <w:tcPr>
            <w:tcW w:w="4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426"/>
        </w:trPr>
        <w:tc>
          <w:tcPr>
            <w:tcW w:w="9240" w:type="dxa"/>
            <w:vAlign w:val="bottom"/>
          </w:tcPr>
          <w:p>
            <w:pPr>
              <w:spacing w:after="0"/>
              <w:rPr>
                <w:sz w:val="20"/>
                <w:szCs w:val="20"/>
                <w:color w:val="auto"/>
              </w:rPr>
            </w:pPr>
            <w:r>
              <w:rPr>
                <w:rFonts w:ascii="Arial" w:cs="Arial" w:eastAsia="Arial" w:hAnsi="Arial"/>
                <w:sz w:val="18"/>
                <w:szCs w:val="18"/>
                <w:color w:val="auto"/>
              </w:rPr>
              <w:t>Weighted average shares:</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123,426</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98,782</w:t>
            </w:r>
          </w:p>
        </w:tc>
        <w:tc>
          <w:tcPr>
            <w:tcW w:w="0" w:type="dxa"/>
            <w:vAlign w:val="bottom"/>
          </w:tcPr>
          <w:p>
            <w:pPr>
              <w:spacing w:after="0"/>
              <w:rPr>
                <w:sz w:val="1"/>
                <w:szCs w:val="1"/>
                <w:color w:val="auto"/>
              </w:rPr>
            </w:pPr>
          </w:p>
        </w:tc>
      </w:tr>
      <w:tr>
        <w:trPr>
          <w:trHeight w:val="222"/>
        </w:trPr>
        <w:tc>
          <w:tcPr>
            <w:tcW w:w="92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151,500</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98,782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(In thousands, except share amounts)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Common</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Common</w:t>
            </w:r>
          </w:p>
        </w:tc>
        <w:tc>
          <w:tcPr>
            <w:tcW w:w="2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Paid-in</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Treasury</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Retained</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shares</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earnings</w:t>
            </w:r>
          </w:p>
        </w:tc>
        <w:tc>
          <w:tcPr>
            <w:tcW w:w="240" w:type="dxa"/>
            <w:vAlign w:val="bottom"/>
          </w:tcPr>
          <w:p>
            <w:pPr>
              <w:spacing w:after="0"/>
              <w:rPr>
                <w:sz w:val="19"/>
                <w:szCs w:val="19"/>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b w:val="1"/>
                <w:bCs w:val="1"/>
                <w:color w:val="auto"/>
              </w:rPr>
              <w:t>At December 31, 2010</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w w:val="91"/>
              </w:rPr>
              <w:t>106,856,731</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90,465</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206,718</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(217)</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$(499,333)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8"/>
              </w:rPr>
              <w:t>(202,367)</w:t>
            </w:r>
          </w:p>
        </w:tc>
        <w:tc>
          <w:tcPr>
            <w:tcW w:w="0" w:type="dxa"/>
            <w:vAlign w:val="bottom"/>
          </w:tcPr>
          <w:p>
            <w:pPr>
              <w:spacing w:after="0"/>
              <w:rPr>
                <w:sz w:val="1"/>
                <w:szCs w:val="1"/>
                <w:color w:val="auto"/>
              </w:rPr>
            </w:pPr>
          </w:p>
        </w:tc>
      </w:tr>
      <w:tr>
        <w:trPr>
          <w:trHeight w:val="648"/>
        </w:trPr>
        <w:tc>
          <w:tcPr>
            <w:tcW w:w="5040" w:type="dxa"/>
            <w:vAlign w:val="bottom"/>
          </w:tcPr>
          <w:p>
            <w:pPr>
              <w:spacing w:after="0"/>
              <w:rPr>
                <w:sz w:val="20"/>
                <w:szCs w:val="20"/>
                <w:color w:val="auto"/>
              </w:rPr>
            </w:pPr>
            <w:r>
              <w:rPr>
                <w:rFonts w:ascii="Arial" w:cs="Arial" w:eastAsia="Arial" w:hAnsi="Arial"/>
                <w:sz w:val="18"/>
                <w:szCs w:val="18"/>
                <w:color w:val="auto"/>
              </w:rPr>
              <w:t>Warrants exercised</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4,557,364</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3,641</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2,813</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6,454</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w w:val="95"/>
              </w:rPr>
              <w:t>Transfer of fair value of warrants exercised from liabilities to equity</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29,229</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29,229</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Shares issued in January financing</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13,800,000</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10,723</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87,948</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98,671</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994,749</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792</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Share issued for services</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685</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1,540</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Income for the period</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18,294</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18,294</w:t>
            </w:r>
          </w:p>
        </w:tc>
        <w:tc>
          <w:tcPr>
            <w:tcW w:w="0" w:type="dxa"/>
            <w:vAlign w:val="bottom"/>
          </w:tcPr>
          <w:p>
            <w:pPr>
              <w:spacing w:after="0"/>
              <w:rPr>
                <w:sz w:val="1"/>
                <w:szCs w:val="1"/>
                <w:color w:val="auto"/>
              </w:rPr>
            </w:pPr>
          </w:p>
        </w:tc>
      </w:tr>
      <w:tr>
        <w:trPr>
          <w:trHeight w:val="151"/>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At March 31, 2011</w:t>
            </w: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1"/>
              </w:rPr>
              <w:t>126,209,529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9"/>
              </w:rPr>
              <w:t>105,621</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329,186</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(217)</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(481,039)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(46,449)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Additional</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Arial" w:cs="Arial" w:eastAsia="Arial" w:hAnsi="Arial"/>
                <w:sz w:val="18"/>
                <w:szCs w:val="18"/>
                <w:b w:val="1"/>
                <w:bCs w:val="1"/>
                <w:color w:val="auto"/>
              </w:rPr>
              <w:t>Common</w:t>
            </w:r>
          </w:p>
        </w:tc>
        <w:tc>
          <w:tcPr>
            <w:tcW w:w="10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Common</w:t>
            </w:r>
          </w:p>
        </w:tc>
        <w:tc>
          <w:tcPr>
            <w:tcW w:w="26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Paid-in</w:t>
            </w: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Treasury</w:t>
            </w:r>
          </w:p>
        </w:tc>
        <w:tc>
          <w:tcPr>
            <w:tcW w:w="1080" w:type="dxa"/>
            <w:vAlign w:val="bottom"/>
          </w:tcPr>
          <w:p>
            <w:pPr>
              <w:jc w:val="right"/>
              <w:ind w:right="112"/>
              <w:spacing w:after="0"/>
              <w:rPr>
                <w:sz w:val="20"/>
                <w:szCs w:val="20"/>
                <w:color w:val="auto"/>
              </w:rPr>
            </w:pPr>
            <w:r>
              <w:rPr>
                <w:rFonts w:ascii="Arial" w:cs="Arial" w:eastAsia="Arial" w:hAnsi="Arial"/>
                <w:sz w:val="18"/>
                <w:szCs w:val="18"/>
                <w:b w:val="1"/>
                <w:bCs w:val="1"/>
                <w:color w:val="auto"/>
              </w:rPr>
              <w:t>Retained</w:t>
            </w: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Pr>
          <w:p>
            <w:pPr>
              <w:spacing w:after="0"/>
              <w:rPr>
                <w:sz w:val="19"/>
                <w:szCs w:val="19"/>
                <w:color w:val="auto"/>
              </w:rPr>
            </w:pPr>
          </w:p>
        </w:tc>
        <w:tc>
          <w:tcPr>
            <w:tcW w:w="1080" w:type="dxa"/>
            <w:vAlign w:val="bottom"/>
          </w:tcPr>
          <w:p>
            <w:pPr>
              <w:jc w:val="right"/>
              <w:ind w:right="272"/>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9"/>
                <w:szCs w:val="19"/>
                <w:color w:val="auto"/>
              </w:rPr>
            </w:pPr>
          </w:p>
        </w:tc>
        <w:tc>
          <w:tcPr>
            <w:tcW w:w="740" w:type="dxa"/>
            <w:vAlign w:val="bottom"/>
          </w:tcPr>
          <w:p>
            <w:pPr>
              <w:jc w:val="right"/>
              <w:ind w:right="192"/>
              <w:spacing w:after="0"/>
              <w:rPr>
                <w:sz w:val="20"/>
                <w:szCs w:val="20"/>
                <w:color w:val="auto"/>
              </w:rPr>
            </w:pPr>
            <w:r>
              <w:rPr>
                <w:rFonts w:ascii="Arial" w:cs="Arial" w:eastAsia="Arial" w:hAnsi="Arial"/>
                <w:sz w:val="18"/>
                <w:szCs w:val="18"/>
                <w:b w:val="1"/>
                <w:bCs w:val="1"/>
                <w:color w:val="auto"/>
                <w:w w:val="89"/>
              </w:rPr>
              <w:t>Stock</w:t>
            </w:r>
          </w:p>
        </w:tc>
        <w:tc>
          <w:tcPr>
            <w:tcW w:w="26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b w:val="1"/>
                <w:bCs w:val="1"/>
                <w:color w:val="auto"/>
                <w:w w:val="93"/>
              </w:rPr>
              <w:t>Capital</w:t>
            </w:r>
          </w:p>
        </w:tc>
        <w:tc>
          <w:tcPr>
            <w:tcW w:w="240" w:type="dxa"/>
            <w:vAlign w:val="bottom"/>
          </w:tcPr>
          <w:p>
            <w:pPr>
              <w:spacing w:after="0"/>
              <w:rPr>
                <w:sz w:val="19"/>
                <w:szCs w:val="19"/>
                <w:color w:val="auto"/>
              </w:rPr>
            </w:pPr>
          </w:p>
        </w:tc>
        <w:tc>
          <w:tcPr>
            <w:tcW w:w="740" w:type="dxa"/>
            <w:vAlign w:val="bottom"/>
          </w:tcPr>
          <w:p>
            <w:pPr>
              <w:jc w:val="right"/>
              <w:ind w:right="172"/>
              <w:spacing w:after="0"/>
              <w:rPr>
                <w:sz w:val="20"/>
                <w:szCs w:val="20"/>
                <w:color w:val="auto"/>
              </w:rPr>
            </w:pPr>
            <w:r>
              <w:rPr>
                <w:rFonts w:ascii="Arial" w:cs="Arial" w:eastAsia="Arial" w:hAnsi="Arial"/>
                <w:sz w:val="18"/>
                <w:szCs w:val="18"/>
                <w:b w:val="1"/>
                <w:bCs w:val="1"/>
                <w:color w:val="auto"/>
                <w:w w:val="79"/>
              </w:rPr>
              <w:t>shares</w:t>
            </w:r>
          </w:p>
        </w:tc>
        <w:tc>
          <w:tcPr>
            <w:tcW w:w="1080" w:type="dxa"/>
            <w:vAlign w:val="bottom"/>
          </w:tcPr>
          <w:p>
            <w:pPr>
              <w:jc w:val="right"/>
              <w:ind w:right="132"/>
              <w:spacing w:after="0"/>
              <w:rPr>
                <w:sz w:val="20"/>
                <w:szCs w:val="20"/>
                <w:color w:val="auto"/>
              </w:rPr>
            </w:pPr>
            <w:r>
              <w:rPr>
                <w:rFonts w:ascii="Arial" w:cs="Arial" w:eastAsia="Arial" w:hAnsi="Arial"/>
                <w:sz w:val="18"/>
                <w:szCs w:val="18"/>
                <w:b w:val="1"/>
                <w:bCs w:val="1"/>
                <w:color w:val="auto"/>
              </w:rPr>
              <w:t>earnings</w:t>
            </w:r>
          </w:p>
        </w:tc>
        <w:tc>
          <w:tcPr>
            <w:tcW w:w="320" w:type="dxa"/>
            <w:vAlign w:val="bottom"/>
          </w:tcPr>
          <w:p>
            <w:pPr>
              <w:spacing w:after="0"/>
              <w:rPr>
                <w:sz w:val="19"/>
                <w:szCs w:val="19"/>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24"/>
        </w:trPr>
        <w:tc>
          <w:tcPr>
            <w:tcW w:w="5040" w:type="dxa"/>
            <w:vAlign w:val="bottom"/>
          </w:tcPr>
          <w:p>
            <w:pPr>
              <w:spacing w:after="0"/>
              <w:rPr>
                <w:sz w:val="20"/>
                <w:szCs w:val="20"/>
                <w:color w:val="auto"/>
              </w:rPr>
            </w:pPr>
            <w:r>
              <w:rPr>
                <w:rFonts w:ascii="Arial" w:cs="Arial" w:eastAsia="Arial" w:hAnsi="Arial"/>
                <w:sz w:val="18"/>
                <w:szCs w:val="18"/>
                <w:b w:val="1"/>
                <w:bCs w:val="1"/>
                <w:color w:val="auto"/>
              </w:rPr>
              <w:t>At December 31, 2009</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98,801,982</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84,219</w:t>
            </w:r>
          </w:p>
        </w:tc>
        <w:tc>
          <w:tcPr>
            <w:tcW w:w="260" w:type="dxa"/>
            <w:vAlign w:val="bottom"/>
          </w:tcPr>
          <w:p>
            <w:pPr>
              <w:ind w:lef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72"/>
              <w:spacing w:after="0"/>
              <w:rPr>
                <w:sz w:val="20"/>
                <w:szCs w:val="20"/>
                <w:color w:val="auto"/>
              </w:rPr>
            </w:pPr>
            <w:r>
              <w:rPr>
                <w:rFonts w:ascii="Arial" w:cs="Arial" w:eastAsia="Arial" w:hAnsi="Arial"/>
                <w:sz w:val="18"/>
                <w:szCs w:val="18"/>
                <w:b w:val="1"/>
                <w:bCs w:val="1"/>
                <w:color w:val="auto"/>
              </w:rPr>
              <w:t>172,339</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ind w:right="52"/>
              <w:spacing w:after="0"/>
              <w:rPr>
                <w:sz w:val="20"/>
                <w:szCs w:val="20"/>
                <w:color w:val="auto"/>
              </w:rPr>
            </w:pPr>
            <w:r>
              <w:rPr>
                <w:rFonts w:ascii="Arial" w:cs="Arial" w:eastAsia="Arial" w:hAnsi="Arial"/>
                <w:sz w:val="18"/>
                <w:szCs w:val="18"/>
                <w:b w:val="1"/>
                <w:bCs w:val="1"/>
                <w:color w:val="auto"/>
              </w:rPr>
              <w:t>(217)</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$(249,744)</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6,597</w:t>
            </w:r>
          </w:p>
        </w:tc>
        <w:tc>
          <w:tcPr>
            <w:tcW w:w="0" w:type="dxa"/>
            <w:vAlign w:val="bottom"/>
          </w:tcPr>
          <w:p>
            <w:pPr>
              <w:spacing w:after="0"/>
              <w:rPr>
                <w:sz w:val="1"/>
                <w:szCs w:val="1"/>
                <w:color w:val="auto"/>
              </w:rPr>
            </w:pPr>
          </w:p>
        </w:tc>
      </w:tr>
      <w:tr>
        <w:trPr>
          <w:trHeight w:val="432"/>
        </w:trPr>
        <w:tc>
          <w:tcPr>
            <w:tcW w:w="504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645</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Loss for the period</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(9,211)</w:t>
            </w:r>
          </w:p>
        </w:tc>
        <w:tc>
          <w:tcPr>
            <w:tcW w:w="3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151"/>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At March 31, 2010</w:t>
            </w: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vMerge w:val="continue"/>
          </w:tcPr>
          <w:p>
            <w:pPr>
              <w:spacing w:after="0"/>
              <w:rPr>
                <w:sz w:val="19"/>
                <w:szCs w:val="19"/>
                <w:color w:val="auto"/>
              </w:rPr>
            </w:pP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98,801,982</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84,219</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172,984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(217)</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$(258,955)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61"/>
        </w:trPr>
        <w:tc>
          <w:tcPr>
            <w:tcW w:w="928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9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18,294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Adjustments to reconcile income (loss) to net cash used in operating activities: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Stock-based compensation—warrants</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Shares issued for services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(Gain) loss on changes in fair value of derivative liability</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(25,342)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Change in lease liability</w:t>
            </w: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22"/>
        </w:trPr>
        <w:tc>
          <w:tcPr>
            <w:tcW w:w="9280" w:type="dxa"/>
            <w:vAlign w:val="bottom"/>
          </w:tcPr>
          <w:p>
            <w:pPr>
              <w:ind w:left="440"/>
              <w:spacing w:after="0"/>
              <w:rPr>
                <w:sz w:val="20"/>
                <w:szCs w:val="20"/>
                <w:color w:val="auto"/>
              </w:rPr>
            </w:pPr>
            <w:r>
              <w:rPr>
                <w:rFonts w:ascii="Arial" w:cs="Arial" w:eastAsia="Arial" w:hAnsi="Arial"/>
                <w:sz w:val="18"/>
                <w:szCs w:val="18"/>
                <w:color w:val="auto"/>
              </w:rPr>
              <w:t>Accounts payable and other liabilities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(3,217)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96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(8,809)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17"/>
        </w:trPr>
        <w:tc>
          <w:tcPr>
            <w:tcW w:w="9280" w:type="dxa"/>
            <w:vAlign w:val="bottom"/>
          </w:tcPr>
          <w:p>
            <w:pPr>
              <w:ind w:left="100"/>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Purchases of equipment</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7"/>
        </w:trPr>
        <w:tc>
          <w:tcPr>
            <w:tcW w:w="9280" w:type="dxa"/>
            <w:vAlign w:val="bottom"/>
          </w:tcPr>
          <w:p>
            <w:pPr>
              <w:ind w:left="10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Proceeds from issuance of common stock, net of transaction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98,671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Payments under capital leases</w:t>
            </w:r>
          </w:p>
        </w:tc>
        <w:tc>
          <w:tcPr>
            <w:tcW w:w="1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9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98,040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(7,765)</w:t>
            </w:r>
          </w:p>
        </w:tc>
        <w:tc>
          <w:tcPr>
            <w:tcW w:w="0" w:type="dxa"/>
            <w:vAlign w:val="bottom"/>
          </w:tcPr>
          <w:p>
            <w:pPr>
              <w:spacing w:after="0"/>
              <w:rPr>
                <w:sz w:val="1"/>
                <w:szCs w:val="1"/>
                <w:color w:val="auto"/>
              </w:rPr>
            </w:pPr>
          </w:p>
        </w:tc>
      </w:tr>
      <w:tr>
        <w:trPr>
          <w:trHeight w:val="222"/>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129,482</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44,493</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80" w:type="dxa"/>
            <w:vAlign w:val="bottom"/>
          </w:tcPr>
          <w:p>
            <w:pPr>
              <w:ind w:left="440"/>
              <w:spacing w:after="0"/>
              <w:rPr>
                <w:sz w:val="20"/>
                <w:szCs w:val="20"/>
                <w:color w:val="auto"/>
              </w:rPr>
            </w:pPr>
            <w:r>
              <w:rPr>
                <w:rFonts w:ascii="Arial" w:cs="Arial" w:eastAsia="Arial" w:hAnsi="Arial"/>
                <w:sz w:val="18"/>
                <w:szCs w:val="18"/>
                <w:color w:val="auto"/>
              </w:rPr>
              <w:t>Cash paid during the year for:</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tcPr>
          <w:p>
            <w:pPr>
              <w:ind w:left="880"/>
              <w:spacing w:after="0"/>
              <w:rPr>
                <w:sz w:val="20"/>
                <w:szCs w:val="20"/>
                <w:color w:val="auto"/>
              </w:rPr>
            </w:pPr>
            <w:r>
              <w:rPr>
                <w:rFonts w:ascii="Arial" w:cs="Arial" w:eastAsia="Arial" w:hAnsi="Arial"/>
                <w:sz w:val="18"/>
                <w:szCs w:val="18"/>
                <w:color w:val="auto"/>
              </w:rPr>
              <w:t>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vMerge w:val="restart"/>
          </w:tcPr>
          <w:p>
            <w:pPr>
              <w:ind w:left="880"/>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280" w:type="dxa"/>
            <w:vAlign w:val="bottom"/>
            <w:vMerge w:val="restart"/>
          </w:tcPr>
          <w:p>
            <w:pPr>
              <w:ind w:left="520"/>
              <w:spacing w:after="0"/>
              <w:rPr>
                <w:sz w:val="20"/>
                <w:szCs w:val="20"/>
                <w:color w:val="auto"/>
              </w:rPr>
            </w:pPr>
            <w:r>
              <w:rPr>
                <w:rFonts w:ascii="Arial" w:cs="Arial" w:eastAsia="Arial" w:hAnsi="Arial"/>
                <w:sz w:val="18"/>
                <w:szCs w:val="18"/>
                <w:color w:val="auto"/>
              </w:rPr>
              <w:t>Non-cash transactions: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9280" w:type="dxa"/>
            <w:vAlign w:val="bottom"/>
          </w:tcPr>
          <w:p>
            <w:pPr>
              <w:ind w:left="880"/>
              <w:spacing w:after="0"/>
              <w:rPr>
                <w:sz w:val="20"/>
                <w:szCs w:val="20"/>
                <w:color w:val="auto"/>
              </w:rPr>
            </w:pPr>
            <w:r>
              <w:rPr>
                <w:rFonts w:ascii="Arial" w:cs="Arial" w:eastAsia="Arial" w:hAnsi="Arial"/>
                <w:sz w:val="18"/>
                <w:szCs w:val="18"/>
                <w:color w:val="auto"/>
              </w:rPr>
              <w:t>Transfer from derivative liability to equity, fair value of warrants exercised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29,229</w:t>
            </w:r>
          </w:p>
        </w:tc>
        <w:tc>
          <w:tcPr>
            <w:tcW w:w="2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ORPORATION PLC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206"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Basis of Presentation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Amarin Corporation plc, “Amarin” or the “Company”, is a public limited company with its primary stock market listing in the United States on the NASDAQ Capital Market (AMRN). Amarin was originally incorporated in England as a private limited company on March 1, 1989 under the Companies Act 1985, and re-registered in England as a public limited company on March 19, 1993.</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Amarin is a clinical-stage biopharmaceutical company focused on developing improved treatments for cardiovascular disease. The Company is currently focusing its efforts on AMR101 (icosapent ethyl), a prescription-only omega-3 fatty acid, comprising not less than 96% ultra pure icosapent ethyl (ethyl-EPA).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accompanying unaudited condensed consolidated financial statements of the Company and subsidiaries are unaudited and have been prepared on a basis that assumes that the Company will continue as a going concern, which contemplates the realization of assets and the satisfaction of liabilities and commitments in the normal course of business. Certain information and footnote disclosures normally included in financial statements prepared in accordance with accounting principles generally accepted in the United States (“U.S. GAAP”) have been condensed or omitted pursuant to the rules and regulations of the U.S. Securities and Exchange Commission. These financial statements should be read in conjunction with the audited financial statements and notes included in the Company’s Annual Report on Form 10-K for the year ended December 31, 2010. The Company’s current focus is on the development and commercialization of AMR101, which is still under development and not available for sale. However, the Company is not considered a development stage business, as the release and sale of the previous product represented the exit of the Company from the development stage.</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notes and accompanying condensed consolidated financial statements are unaudited. The information furnished reflects all adjustments, which, in the opinion of management, are necessary for a fair presentation of results for the interim periods. Such adjustments consisted only of normal recurring items. The interim periods are not necessarily indicative of the results expected for the full year or any future period.</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net sales and expenses during the reporting period. Actual results could differ from those estimates.</w:t>
      </w:r>
    </w:p>
    <w:p>
      <w:pPr>
        <w:spacing w:after="0" w:line="107"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At March 31, 2011, the Company had cash and cash equivalents of $129.5 million. The Company’s consolidated balance sheet also includes a significant derivative liability (see footnote 3—warrants and derivative liability) reflecting the fair value of outstanding warrants to purchase shares of the Company’s common stock. This liability can only be settled in shares of the Company’s stock and, as such, would only result in cash inflows upon the exercise of the warrants—not a cash outflow. Accordingly, this warrant derivative liability presents neither a short nor long-term claim on the liquid assets of the Company.</w:t>
      </w:r>
    </w:p>
    <w:p>
      <w:pPr>
        <w:spacing w:after="0" w:line="113"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January 2011, the Company completed an offering of 13.8 million American Depository Shares (ADSs), with each ADS representing one share of the Company’s common stock. The shares were sold at a price of $7.60 per share, and resulted in net proceeds of $98.7 million.</w:t>
      </w:r>
    </w:p>
    <w:p>
      <w:pPr>
        <w:spacing w:after="0" w:line="8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Company believes its cash will be sufficient to fund its projected operations for the next twelve months which contemplates not only working capital and general corporate needs but also the filing of a New Drug Application (NDA) and commercial preparation of AMR101 as further described below. This is based on management’s current operational plans and does not assume any cash inflows from strategic collaborations, warrant exercises or from equity or debt financings which may occur in future periods. If the Company elects to commercialize AMR101 alone, rather than through a partner, or decides to commence a cardiovascular outcomes study, additional funds will be needed to complete such activities.</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Cash and cash equivalents consist of cash, deposits held at call with banks, and short term highly liquid instruments with remaining maturities at the date of purchase of 90 days or less.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90"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4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Net Income (Loss) per Share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Basic net income (loss) per share is determined by dividing net income (loss) by the weighted average shares of common stock outstanding during the period. Diluted net income (loss) per share is determined by dividing net income (loss) by diluted weighted average shares outstanding. Diluted weighted average shares reflects the dilutive effect, if any, of potentially dilutive common shares, such as common stock options and warrants calculated using the treasury stock method and convertible notes using the “if-converted” method. In periods with reported net operating losses, all common stock options and warrants are deemed anti dilutive such that basic net loss per share and diluted net loss per share are equal.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calculation of both basic and diluted net income (loss) per share:</w:t>
      </w:r>
    </w:p>
    <w:p>
      <w:pPr>
        <w:spacing w:after="0" w:line="206" w:lineRule="exact"/>
        <w:rPr>
          <w:sz w:val="20"/>
          <w:szCs w:val="20"/>
          <w:color w:val="auto"/>
        </w:rPr>
      </w:pPr>
    </w:p>
    <w:p>
      <w:pPr>
        <w:jc w:val="center"/>
        <w:ind w:left="8500"/>
        <w:spacing w:after="0"/>
        <w:rPr>
          <w:sz w:val="20"/>
          <w:szCs w:val="20"/>
          <w:color w:val="auto"/>
        </w:rPr>
      </w:pPr>
      <w:r>
        <w:rPr>
          <w:rFonts w:ascii="Arial" w:cs="Arial" w:eastAsia="Arial" w:hAnsi="Arial"/>
          <w:sz w:val="18"/>
          <w:szCs w:val="18"/>
          <w:b w:val="1"/>
          <w:bCs w:val="1"/>
          <w:color w:val="auto"/>
        </w:rPr>
        <w:t>Three Months Ended</w:t>
      </w:r>
    </w:p>
    <w:p>
      <w:pPr>
        <w:spacing w:after="0" w:line="12" w:lineRule="exact"/>
        <w:rPr>
          <w:sz w:val="20"/>
          <w:szCs w:val="20"/>
          <w:color w:val="auto"/>
        </w:rPr>
      </w:pPr>
    </w:p>
    <w:p>
      <w:pPr>
        <w:jc w:val="center"/>
        <w:ind w:left="8500"/>
        <w:spacing w:after="0"/>
        <w:rPr>
          <w:sz w:val="20"/>
          <w:szCs w:val="20"/>
          <w:color w:val="auto"/>
        </w:rPr>
      </w:pPr>
      <w:r>
        <w:rPr>
          <w:rFonts w:ascii="Arial" w:cs="Arial" w:eastAsia="Arial" w:hAnsi="Arial"/>
          <w:sz w:val="14"/>
          <w:szCs w:val="14"/>
          <w:b w:val="1"/>
          <w:bCs w:val="1"/>
          <w:color w:val="auto"/>
        </w:rPr>
        <w:t>(In thousands, except per share</w:t>
      </w:r>
    </w:p>
    <w:p>
      <w:pPr>
        <w:jc w:val="center"/>
        <w:ind w:left="8500"/>
        <w:spacing w:after="0" w:line="219" w:lineRule="auto"/>
        <w:rPr>
          <w:sz w:val="20"/>
          <w:szCs w:val="20"/>
          <w:color w:val="auto"/>
        </w:rPr>
      </w:pPr>
      <w:r>
        <w:rPr>
          <w:rFonts w:ascii="Arial" w:cs="Arial" w:eastAsia="Arial" w:hAnsi="Arial"/>
          <w:sz w:val="14"/>
          <w:szCs w:val="14"/>
          <w:b w:val="1"/>
          <w:bCs w:val="1"/>
          <w:color w:val="auto"/>
        </w:rPr>
        <w:t>amounts)</w:t>
      </w:r>
    </w:p>
    <w:tbl>
      <w:tblPr>
        <w:tblLayout w:type="fixed"/>
        <w:tblInd w:w="24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840" w:type="dxa"/>
            <w:vAlign w:val="bottom"/>
            <w:tcBorders>
              <w:top w:val="single" w:sz="8" w:color="auto"/>
            </w:tcBorders>
            <w:gridSpan w:val="3"/>
          </w:tcPr>
          <w:p>
            <w:pPr>
              <w:ind w:left="20"/>
              <w:spacing w:after="0" w:line="195" w:lineRule="exact"/>
              <w:rPr>
                <w:sz w:val="20"/>
                <w:szCs w:val="20"/>
                <w:color w:val="auto"/>
              </w:rPr>
            </w:pPr>
            <w:r>
              <w:rPr>
                <w:rFonts w:ascii="Arial" w:cs="Arial" w:eastAsia="Arial" w:hAnsi="Arial"/>
                <w:sz w:val="18"/>
                <w:szCs w:val="18"/>
                <w:b w:val="1"/>
                <w:bCs w:val="1"/>
                <w:color w:val="auto"/>
                <w:w w:val="96"/>
              </w:rPr>
              <w:t>March 31,</w:t>
            </w:r>
          </w:p>
        </w:tc>
        <w:tc>
          <w:tcPr>
            <w:tcW w:w="5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6"/>
                <w:szCs w:val="16"/>
                <w:color w:val="auto"/>
              </w:rPr>
            </w:pPr>
          </w:p>
        </w:tc>
      </w:tr>
      <w:tr>
        <w:trPr>
          <w:trHeight w:val="228"/>
        </w:trPr>
        <w:tc>
          <w:tcPr>
            <w:tcW w:w="62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2011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9"/>
              </w:rPr>
              <w:t>2010</w:t>
            </w:r>
          </w:p>
        </w:tc>
        <w:tc>
          <w:tcPr>
            <w:tcW w:w="60" w:type="dxa"/>
            <w:vAlign w:val="bottom"/>
          </w:tcPr>
          <w:p>
            <w:pPr>
              <w:spacing w:after="0"/>
              <w:rPr>
                <w:sz w:val="19"/>
                <w:szCs w:val="19"/>
                <w:color w:val="auto"/>
              </w:rPr>
            </w:pPr>
          </w:p>
        </w:tc>
      </w:tr>
      <w:tr>
        <w:trPr>
          <w:trHeight w:val="212"/>
        </w:trPr>
        <w:tc>
          <w:tcPr>
            <w:tcW w:w="6220" w:type="dxa"/>
            <w:vAlign w:val="bottom"/>
          </w:tcPr>
          <w:p>
            <w:pPr>
              <w:spacing w:after="0"/>
              <w:rPr>
                <w:sz w:val="20"/>
                <w:szCs w:val="20"/>
                <w:color w:val="auto"/>
              </w:rPr>
            </w:pPr>
            <w:r>
              <w:rPr>
                <w:rFonts w:ascii="Arial" w:cs="Arial" w:eastAsia="Arial" w:hAnsi="Arial"/>
                <w:sz w:val="18"/>
                <w:szCs w:val="18"/>
                <w:color w:val="auto"/>
              </w:rPr>
              <w:t>Net income (loss)</w:t>
            </w:r>
          </w:p>
        </w:tc>
        <w:tc>
          <w:tcPr>
            <w:tcW w:w="23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18,294</w:t>
            </w:r>
          </w:p>
        </w:tc>
        <w:tc>
          <w:tcPr>
            <w:tcW w:w="20" w:type="dxa"/>
            <w:vAlign w:val="bottom"/>
            <w:tcBorders>
              <w:bottom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123,426</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98,782</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Dilutive effect of employee stock options and warrants</w:t>
            </w: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28,074</w:t>
            </w: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6220" w:type="dxa"/>
            <w:vAlign w:val="bottom"/>
          </w:tcPr>
          <w:p>
            <w:pPr>
              <w:spacing w:after="0"/>
              <w:rPr>
                <w:sz w:val="20"/>
                <w:szCs w:val="20"/>
                <w:color w:val="auto"/>
              </w:rPr>
            </w:pPr>
            <w:r>
              <w:rPr>
                <w:rFonts w:ascii="Arial" w:cs="Arial" w:eastAsia="Arial" w:hAnsi="Arial"/>
                <w:sz w:val="18"/>
                <w:szCs w:val="18"/>
                <w:color w:val="auto"/>
              </w:rPr>
              <w:t>Diluted weighted average shares outstanding</w:t>
            </w: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151,500</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98,782</w:t>
            </w:r>
          </w:p>
        </w:tc>
      </w:tr>
      <w:tr>
        <w:trPr>
          <w:trHeight w:val="20"/>
        </w:trPr>
        <w:tc>
          <w:tcPr>
            <w:tcW w:w="6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9"/>
        </w:trPr>
        <w:tc>
          <w:tcPr>
            <w:tcW w:w="6220" w:type="dxa"/>
            <w:vAlign w:val="bottom"/>
          </w:tcPr>
          <w:p>
            <w:pPr>
              <w:spacing w:after="0"/>
              <w:rPr>
                <w:sz w:val="20"/>
                <w:szCs w:val="20"/>
                <w:color w:val="auto"/>
              </w:rPr>
            </w:pPr>
            <w:r>
              <w:rPr>
                <w:rFonts w:ascii="Arial" w:cs="Arial" w:eastAsia="Arial" w:hAnsi="Arial"/>
                <w:sz w:val="18"/>
                <w:szCs w:val="18"/>
                <w:color w:val="auto"/>
              </w:rPr>
              <w:t>Basic income (loss) per share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(0.09)</w:t>
            </w:r>
          </w:p>
        </w:tc>
      </w:tr>
      <w:tr>
        <w:trPr>
          <w:trHeight w:val="222"/>
        </w:trPr>
        <w:tc>
          <w:tcPr>
            <w:tcW w:w="622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(0.09)</w:t>
            </w:r>
          </w:p>
        </w:tc>
      </w:tr>
    </w:tbl>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Potentially dilutive securities representing approximately 1.1 million and 44.2 million shares of common stock for the three month periods ended March 31, 2011 and March 31, 2010, respectively, were excluded from the computation of diluted earnings per share for these periods because their effect would have been anti-dilutive.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Stock-based compensation cost is measured at the grant date, based on the fair value of the award, and is recognized as compensation cost over the requisite service period.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or a Monte Carlo simulation depending on the nature of instrument.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the terms of warrants that initially require the warrants to be classified as derivative financial liabilities lapse, the derivative financial liability is reclassified out of financial liabilities into equity at its fair value on that date. At settlement date, if the instruments are settled in shares the carrying value of the warrants are derecognised and transferred to equity at their fair value at that date. The cash proceeds received from exercises of warrants are recorded in common stock and additional paid-in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All subsidiaries use the United States dollar as the functional currency. Monetary assets and liabilities denominated in a foreign currency are remeasured into United States dollars at year-end exchange rates. Non-monetary assets and liabilities carried in a foreign currency are remeasured into United States dollars using rates of exchange prevailing when such assets or liabilities were obtained or incurred, and expenses are generally remeasured using rates of exchange prevailing when such expenses are incurred. Gains and losses from the remeasurement are included in other income, net in the consolidated financial statements of operations. For transactions settled during the period, gains and losses are included in other income, net in the consolidated statements of operations. Foreign exchange gains (and losses) have not been significant in the periods presented.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0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table presents information about the Company’s liability as of March 31, 2011 and December 31, 2010 that is measured at fair value on a recurring basis and indicates the fair value hierarchy of the valuation techniques the Company utilized to determine such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March 31, 2011</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82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r>
      <w:tr>
        <w:trPr>
          <w:trHeight w:val="201"/>
        </w:trPr>
        <w:tc>
          <w:tcPr>
            <w:tcW w:w="8200" w:type="dxa"/>
            <w:vAlign w:val="bottom"/>
          </w:tcPr>
          <w:p>
            <w:pPr>
              <w:spacing w:after="0" w:line="201"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174,819</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174,819</w:t>
            </w:r>
          </w:p>
        </w:tc>
      </w:tr>
      <w:tr>
        <w:trPr>
          <w:trHeight w:val="20"/>
        </w:trPr>
        <w:tc>
          <w:tcPr>
            <w:tcW w:w="8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60"/>
        </w:trPr>
        <w:tc>
          <w:tcPr>
            <w:tcW w:w="82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December 31, 2010</w:t>
            </w: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8200" w:type="dxa"/>
            <w:vAlign w:val="bottom"/>
          </w:tcPr>
          <w:p>
            <w:pPr>
              <w:spacing w:after="0" w:line="142" w:lineRule="exact"/>
              <w:rPr>
                <w:sz w:val="20"/>
                <w:szCs w:val="20"/>
                <w:color w:val="auto"/>
              </w:rPr>
            </w:pPr>
            <w:r>
              <w:rPr>
                <w:rFonts w:ascii="Arial" w:cs="Arial" w:eastAsia="Arial" w:hAnsi="Arial"/>
                <w:sz w:val="14"/>
                <w:szCs w:val="14"/>
                <w:b w:val="1"/>
                <w:bCs w:val="1"/>
                <w:i w:val="1"/>
                <w:iCs w:val="1"/>
                <w:color w:val="auto"/>
              </w:rPr>
              <w:t>In thousands</w:t>
            </w:r>
          </w:p>
        </w:tc>
        <w:tc>
          <w:tcPr>
            <w:tcW w:w="10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9"/>
              </w:rPr>
              <w:t>Total</w:t>
            </w: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00" w:type="dxa"/>
            <w:vAlign w:val="bottom"/>
          </w:tcPr>
          <w:p>
            <w:pPr>
              <w:spacing w:after="0"/>
              <w:rPr>
                <w:sz w:val="12"/>
                <w:szCs w:val="12"/>
                <w:color w:val="auto"/>
              </w:rPr>
            </w:pPr>
          </w:p>
        </w:tc>
        <w:tc>
          <w:tcPr>
            <w:tcW w:w="420" w:type="dxa"/>
            <w:vAlign w:val="bottom"/>
          </w:tcPr>
          <w:p>
            <w:pPr>
              <w:spacing w:after="0" w:line="142" w:lineRule="exact"/>
              <w:rPr>
                <w:sz w:val="20"/>
                <w:szCs w:val="20"/>
                <w:color w:val="auto"/>
              </w:rPr>
            </w:pPr>
            <w:r>
              <w:rPr>
                <w:rFonts w:ascii="Arial" w:cs="Arial" w:eastAsia="Arial" w:hAnsi="Arial"/>
                <w:sz w:val="14"/>
                <w:szCs w:val="14"/>
                <w:b w:val="1"/>
                <w:bCs w:val="1"/>
                <w:color w:val="auto"/>
                <w:w w:val="84"/>
              </w:rPr>
              <w:t>Level 2</w:t>
            </w:r>
          </w:p>
        </w:tc>
        <w:tc>
          <w:tcPr>
            <w:tcW w:w="3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Level 3</w:t>
            </w:r>
          </w:p>
        </w:tc>
      </w:tr>
      <w:tr>
        <w:trPr>
          <w:trHeight w:val="201"/>
        </w:trPr>
        <w:tc>
          <w:tcPr>
            <w:tcW w:w="8200" w:type="dxa"/>
            <w:vAlign w:val="bottom"/>
          </w:tcPr>
          <w:p>
            <w:pPr>
              <w:spacing w:after="0" w:line="201" w:lineRule="exact"/>
              <w:rPr>
                <w:sz w:val="20"/>
                <w:szCs w:val="20"/>
                <w:color w:val="auto"/>
              </w:rPr>
            </w:pPr>
            <w:r>
              <w:rPr>
                <w:rFonts w:ascii="Arial" w:cs="Arial" w:eastAsia="Arial" w:hAnsi="Arial"/>
                <w:sz w:val="18"/>
                <w:szCs w:val="18"/>
                <w:b w:val="1"/>
                <w:bCs w:val="1"/>
                <w:color w:val="auto"/>
              </w:rPr>
              <w:t>Liability:</w:t>
            </w:r>
          </w:p>
        </w:tc>
        <w:tc>
          <w:tcPr>
            <w:tcW w:w="6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68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230,069</w:t>
            </w:r>
          </w:p>
        </w:tc>
        <w:tc>
          <w:tcPr>
            <w:tcW w:w="320" w:type="dxa"/>
            <w:vAlign w:val="bottom"/>
          </w:tcPr>
          <w:p>
            <w:pPr>
              <w:spacing w:after="0"/>
              <w:rPr>
                <w:sz w:val="19"/>
                <w:szCs w:val="19"/>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980" w:type="dxa"/>
            <w:vAlign w:val="bottom"/>
            <w:gridSpan w:val="2"/>
          </w:tcPr>
          <w:p>
            <w:pPr>
              <w:jc w:val="center"/>
              <w:ind w:left="232"/>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230,069</w:t>
            </w:r>
          </w:p>
        </w:tc>
      </w:tr>
      <w:tr>
        <w:trPr>
          <w:trHeight w:val="20"/>
        </w:trPr>
        <w:tc>
          <w:tcPr>
            <w:tcW w:w="8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At December 31, 2010, the fair value of the warrant derivative liability was determined to be $230.1 million using the Black-Scholes option valuation model applying the following assumptions: (i) risk-free rate of 1.52%, (ii) remaining term of 3.8 years, (iii) no dividend yield (iv) volatility of 117%, and (v) the stock price on the date of measurement.</w:t>
      </w:r>
    </w:p>
    <w:p>
      <w:pPr>
        <w:spacing w:after="0" w:line="14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At March 31, 2011, the fair value of the warrant derivative liability was determined to be $174.8 million using the Black-Scholes option valuation model applying the following assumptions: (i) risk-free rate of 1.77%, (ii) remaining term of 3.5 years, (iii) no dividend yield (iv) volatility of 113%, and (v) the stock price on the date of measurement. The $55.2 million decrease in the fair value of the warrant liability during the three months ended March 31, 2011 was recognized as: (i) a $29.2 million transfer from warrant liability to additional paid-in capital for the fair value of warrants exercised during the three months ended March 31, 2011,</w:t>
      </w:r>
    </w:p>
    <w:p>
      <w:pPr>
        <w:spacing w:after="0" w:line="3" w:lineRule="exact"/>
        <w:rPr>
          <w:sz w:val="20"/>
          <w:szCs w:val="20"/>
          <w:color w:val="auto"/>
        </w:rPr>
      </w:pPr>
    </w:p>
    <w:p>
      <w:pPr>
        <w:ind w:right="400" w:firstLine="8"/>
        <w:spacing w:after="0" w:line="250"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a $25.3 million gain on change in fair value of the remaining derivative liability and (iii) $0.7 million compensation income for change in fair value of warrants issued to former employees, both amounts are included in the consolidated statement of operations for the three months ended March 31, 2011. The change in the fair value of the warrant derivative liability is as follows (in thousands):</w:t>
      </w:r>
    </w:p>
    <w:tbl>
      <w:tblPr>
        <w:tblLayout w:type="fixed"/>
        <w:tblInd w:w="1840" w:type="dxa"/>
        <w:tblCellMar>
          <w:top w:w="0" w:type="dxa"/>
          <w:left w:w="0" w:type="dxa"/>
          <w:bottom w:w="0" w:type="dxa"/>
          <w:right w:w="0" w:type="dxa"/>
        </w:tblCellMar>
      </w:tblPr>
      <w:tr>
        <w:trPr>
          <w:trHeight w:val="13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39" w:lineRule="exact"/>
              <w:rPr>
                <w:sz w:val="20"/>
                <w:szCs w:val="20"/>
                <w:color w:val="auto"/>
              </w:rPr>
            </w:pPr>
            <w:r>
              <w:rPr>
                <w:rFonts w:ascii="Arial" w:cs="Arial" w:eastAsia="Arial" w:hAnsi="Arial"/>
                <w:sz w:val="14"/>
                <w:szCs w:val="14"/>
                <w:b w:val="1"/>
                <w:bCs w:val="1"/>
                <w:color w:val="auto"/>
                <w:w w:val="89"/>
              </w:rPr>
              <w:t>October</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2009</w:t>
            </w:r>
          </w:p>
        </w:tc>
        <w:tc>
          <w:tcPr>
            <w:tcW w:w="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41,520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920" w:type="dxa"/>
            <w:vAlign w:val="bottom"/>
          </w:tcPr>
          <w:p>
            <w:pPr>
              <w:spacing w:after="0"/>
              <w:rPr>
                <w:sz w:val="20"/>
                <w:szCs w:val="20"/>
                <w:color w:val="auto"/>
              </w:rPr>
            </w:pPr>
            <w:r>
              <w:rPr>
                <w:rFonts w:ascii="Arial" w:cs="Arial" w:eastAsia="Arial" w:hAnsi="Arial"/>
                <w:sz w:val="18"/>
                <w:szCs w:val="18"/>
                <w:color w:val="auto"/>
              </w:rPr>
              <w:t>Loss on change in fair value of derivative liability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9"/>
              </w:rPr>
              <w:t>Compensation expense for change in fair value of warrants issued to former employees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6920" w:type="dxa"/>
            <w:vAlign w:val="bottom"/>
          </w:tcPr>
          <w:p>
            <w:pPr>
              <w:spacing w:after="0"/>
              <w:rPr>
                <w:sz w:val="20"/>
                <w:szCs w:val="20"/>
                <w:color w:val="auto"/>
              </w:rPr>
            </w:pPr>
            <w:r>
              <w:rPr>
                <w:rFonts w:ascii="Arial" w:cs="Arial" w:eastAsia="Arial" w:hAnsi="Arial"/>
                <w:sz w:val="18"/>
                <w:szCs w:val="18"/>
                <w:b w:val="1"/>
                <w:bCs w:val="1"/>
                <w:color w:val="auto"/>
              </w:rPr>
              <w:t>Balance at March 31, 2010</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43,686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October</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December 31, 2010</w:t>
            </w:r>
          </w:p>
        </w:tc>
        <w:tc>
          <w:tcPr>
            <w:tcW w:w="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Warrants</w:t>
            </w:r>
          </w:p>
        </w:tc>
        <w:tc>
          <w:tcPr>
            <w:tcW w:w="0" w:type="dxa"/>
            <w:vAlign w:val="bottom"/>
          </w:tcPr>
          <w:p>
            <w:pPr>
              <w:spacing w:after="0"/>
              <w:rPr>
                <w:sz w:val="1"/>
                <w:szCs w:val="1"/>
                <w:color w:val="auto"/>
              </w:rPr>
            </w:pPr>
          </w:p>
        </w:tc>
      </w:tr>
      <w:tr>
        <w:trPr>
          <w:trHeight w:val="222"/>
        </w:trPr>
        <w:tc>
          <w:tcPr>
            <w:tcW w:w="69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230,069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920" w:type="dxa"/>
            <w:vAlign w:val="bottom"/>
          </w:tcPr>
          <w:p>
            <w:pPr>
              <w:spacing w:after="0"/>
              <w:rPr>
                <w:sz w:val="20"/>
                <w:szCs w:val="20"/>
                <w:color w:val="auto"/>
              </w:rPr>
            </w:pPr>
            <w:r>
              <w:rPr>
                <w:rFonts w:ascii="Arial" w:cs="Arial" w:eastAsia="Arial" w:hAnsi="Arial"/>
                <w:sz w:val="18"/>
                <w:szCs w:val="18"/>
                <w:color w:val="auto"/>
              </w:rPr>
              <w:t>Gain on change in fair value of derivative liability</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(25,342)</w:t>
            </w: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Compensation income for change in fair value of warrants issued to former employees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Transfers to equity</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(29,229)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b w:val="1"/>
                <w:bCs w:val="1"/>
                <w:color w:val="auto"/>
              </w:rPr>
              <w:t>Balance at March 31, 2011</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920" w:type="dxa"/>
            <w:vAlign w:val="bottom"/>
            <w:vMerge w:val="continue"/>
          </w:tcPr>
          <w:p>
            <w:pPr>
              <w:spacing w:after="0"/>
              <w:rPr>
                <w:sz w:val="24"/>
                <w:szCs w:val="24"/>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174,819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the three months ended March 31, 2011 and 2010, the Company has reported its business as a single reporting segment. The Company’s chief decision maker, who is the Chief Executive Officer, regularly evaluates the Company on a consolidated basis.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90"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the Company as of the specified effective date. The Company believes that the impact of other recently issued but not yet adopted accounting pronouncements will not have a material impact on consolidated financial position, results of operations, and cash flows, or do not apply to the Company’s operations.</w:t>
      </w:r>
    </w:p>
    <w:p>
      <w:pPr>
        <w:spacing w:after="0" w:line="25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Derivative Liability</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Company has 29,437,368 warrants to purchase common shares outstanding at March 31, 2011 at a weighted-average exercise price of $1.48, as summarized in the following table:</w:t>
      </w:r>
    </w:p>
    <w:p>
      <w:pPr>
        <w:spacing w:after="0" w:line="249" w:lineRule="exact"/>
        <w:rPr>
          <w:sz w:val="20"/>
          <w:szCs w:val="20"/>
          <w:color w:val="auto"/>
        </w:rPr>
      </w:pPr>
    </w:p>
    <w:tbl>
      <w:tblPr>
        <w:tblLayout w:type="fixed"/>
        <w:tblInd w:w="3700" w:type="dxa"/>
        <w:tblCellMar>
          <w:top w:w="0" w:type="dxa"/>
          <w:left w:w="0" w:type="dxa"/>
          <w:bottom w:w="0" w:type="dxa"/>
          <w:right w:w="0" w:type="dxa"/>
        </w:tblCellMar>
      </w:tblPr>
      <w:tr>
        <w:trPr>
          <w:trHeight w:val="161"/>
        </w:trPr>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Issue Date</w:t>
            </w: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Exercise Price</w:t>
            </w:r>
          </w:p>
        </w:tc>
        <w:tc>
          <w:tcPr>
            <w:tcW w:w="9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Expiration Date</w:t>
            </w:r>
          </w:p>
        </w:tc>
      </w:tr>
      <w:tr>
        <w:trPr>
          <w:trHeight w:val="201"/>
        </w:trPr>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4/27/07</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w w:val="90"/>
              </w:rPr>
              <w:t>17,500</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17.90</w:t>
            </w:r>
          </w:p>
        </w:tc>
        <w:tc>
          <w:tcPr>
            <w:tcW w:w="9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1/17/2014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6/1/07</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57,400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7.20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5/31/12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6/21/07</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11/28/12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12/5/07</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647,132</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12/3/12</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6/4/09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55,555</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6/3/14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7/31/09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138,888</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7/30/14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7/31/09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1,666,000</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7/30/14</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w w:val="88"/>
              </w:rPr>
              <w:t>10/16/09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26,149,888</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10/15/14</w:t>
            </w:r>
          </w:p>
        </w:tc>
      </w:tr>
      <w:tr>
        <w:trPr>
          <w:trHeight w:val="223"/>
        </w:trPr>
        <w:tc>
          <w:tcPr>
            <w:tcW w:w="640" w:type="dxa"/>
            <w:vAlign w:val="bottom"/>
          </w:tcPr>
          <w:p>
            <w:pPr>
              <w:jc w:val="right"/>
              <w:spacing w:after="0"/>
              <w:rPr>
                <w:sz w:val="20"/>
                <w:szCs w:val="20"/>
                <w:color w:val="auto"/>
              </w:rPr>
            </w:pPr>
            <w:r>
              <w:rPr>
                <w:rFonts w:ascii="Arial" w:cs="Arial" w:eastAsia="Arial" w:hAnsi="Arial"/>
                <w:sz w:val="18"/>
                <w:szCs w:val="18"/>
                <w:color w:val="auto"/>
                <w:w w:val="88"/>
              </w:rPr>
              <w:t>10/16/09</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704,005</w:t>
            </w:r>
          </w:p>
        </w:tc>
        <w:tc>
          <w:tcPr>
            <w:tcW w:w="1900" w:type="dxa"/>
            <w:vAlign w:val="bottom"/>
            <w:gridSpan w:val="3"/>
          </w:tcPr>
          <w:p>
            <w:pPr>
              <w:jc w:val="right"/>
              <w:spacing w:after="0"/>
              <w:rPr>
                <w:sz w:val="20"/>
                <w:szCs w:val="20"/>
                <w:color w:val="auto"/>
              </w:rPr>
            </w:pPr>
            <w:r>
              <w:rPr>
                <w:rFonts w:ascii="Arial" w:cs="Arial" w:eastAsia="Arial" w:hAnsi="Arial"/>
                <w:sz w:val="18"/>
                <w:szCs w:val="18"/>
                <w:color w:val="auto"/>
              </w:rPr>
              <w:t>1.50</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10/15/14</w:t>
            </w:r>
          </w:p>
        </w:tc>
      </w:tr>
      <w:tr>
        <w:trPr>
          <w:trHeight w:val="224"/>
        </w:trPr>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29,437,368</w:t>
            </w:r>
          </w:p>
        </w:tc>
        <w:tc>
          <w:tcPr>
            <w:tcW w:w="180" w:type="dxa"/>
            <w:vAlign w:val="bottom"/>
          </w:tcPr>
          <w:p>
            <w:pPr>
              <w:spacing w:after="0"/>
              <w:rPr>
                <w:sz w:val="19"/>
                <w:szCs w:val="19"/>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  1.48</w:t>
            </w: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October 2009 Warrants</w:t>
      </w:r>
    </w:p>
    <w:p>
      <w:pPr>
        <w:spacing w:after="0" w:line="9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4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warrants issued in connection with the October 2009 financing contained a pricing variability feature which provided for an increase to the exercise price if the exchange rate between the U.S. dollar and British pound adjusts such that the warrants could be issued at a price less than the £0.5 par value of the common stock – 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 The fair value of this warrant derivative liability is remeasured at each reporting period, with changes in fair value recognized in the statement of operations. The fair value of the warrants at December 31, 2010 was determined to be approximately $230.1 million using the Black-Scholes option pricing model.</w:t>
      </w:r>
    </w:p>
    <w:p>
      <w:pPr>
        <w:spacing w:after="0" w:line="11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Although the warrants contain a pricing variability feature, the number of warrants issuable remains fixed. Therefore, as of March 31, 2011 the maximum number of common shares issuable as a result of the October 2009 private placement is 26.9 million. During the three months ended March 31, 2011, approximately</w:t>
      </w:r>
    </w:p>
    <w:p>
      <w:pPr>
        <w:ind w:right="100"/>
        <w:spacing w:after="0" w:line="290" w:lineRule="auto"/>
        <w:rPr>
          <w:sz w:val="20"/>
          <w:szCs w:val="20"/>
          <w:color w:val="auto"/>
        </w:rPr>
      </w:pPr>
      <w:r>
        <w:rPr>
          <w:rFonts w:ascii="Arial" w:cs="Arial" w:eastAsia="Arial" w:hAnsi="Arial"/>
          <w:sz w:val="16"/>
          <w:szCs w:val="16"/>
          <w:color w:val="auto"/>
        </w:rPr>
        <w:t>3.9 million of the October 2009 warrants were exercised, resulting in gross proceeds to the Company of approximately $5.9 million. No warrants were exercised in the three months ended March 31, 2010. Upon exercise, the fair value of the warrants exercised is remeasured and reclassified from warrant liability to additional paid-in capital. The $29.2 million fair value of the exercised warrants was transferred from warrant liability to additional paid in capital with the change in the fair value on the exercise date recognized in the statement of operations. The fair value of the warrant liability at March 31, 2011 for the remaining warrants was determined to be approximately $174.8 million. The Company recognized a gain on change in fair value of derivative liability of $25.3 million and compensation income of $0.7 million for the three month period ended March 31, 2011.</w:t>
      </w:r>
    </w:p>
    <w:p>
      <w:pPr>
        <w:spacing w:after="0" w:line="15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Royalty and Milestone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party to certain milestone and royalty obligations under several product development agreements, as follows:</w:t>
      </w:r>
    </w:p>
    <w:p>
      <w:pPr>
        <w:spacing w:after="0" w:line="90" w:lineRule="exact"/>
        <w:rPr>
          <w:sz w:val="20"/>
          <w:szCs w:val="20"/>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agreement in respect of certain patents and other intellectual property rights relating to a formulation of the compound Apomorphine, no longer in development;</w:t>
      </w:r>
    </w:p>
    <w:p>
      <w:pPr>
        <w:spacing w:after="0" w:line="50" w:lineRule="exact"/>
        <w:rPr>
          <w:rFonts w:ascii="Arial" w:cs="Arial" w:eastAsia="Arial" w:hAnsi="Arial"/>
          <w:sz w:val="18"/>
          <w:szCs w:val="18"/>
          <w:color w:val="auto"/>
        </w:rPr>
      </w:pPr>
    </w:p>
    <w:p>
      <w:pPr>
        <w:ind w:left="900" w:right="160" w:hanging="325"/>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2010 supply agreement with the Company’s existing Japan-based supplier: (i) a one-time non refundable payment of $0.5 million is due to the supplier upon the first marketing approval of AMR101 in the United States (ii) the Company is subject to minimum supply purchase commitments; and (iii) if the Company is not successful in obtaining NDA approval for AMR101, a penalty equal to the facility expansion costs incurred by the supplier to meet the supply demands, not to exceed $5.0 million, less any profits paid to the supplier for purchased materials under the existing agreement;</w:t>
      </w:r>
    </w:p>
    <w:p>
      <w:pPr>
        <w:spacing w:after="0" w:line="61" w:lineRule="exact"/>
        <w:rPr>
          <w:rFonts w:ascii="Arial" w:cs="Arial" w:eastAsia="Arial" w:hAnsi="Arial"/>
          <w:sz w:val="18"/>
          <w:szCs w:val="18"/>
          <w:color w:val="auto"/>
        </w:rPr>
      </w:pPr>
    </w:p>
    <w:p>
      <w:pPr>
        <w:ind w:left="900" w:right="160" w:hanging="325"/>
        <w:spacing w:after="0" w:line="306"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2009 Lorazepam sale agreement with Elan, whereunder Elan did not assume any obligations under a related Neurostat development agreement and, as a result, Amarin retained a potential obligation to make two milestone payments to Neurostat, contingent upon future events: (i) a $0.2 million payment if the drug is administered to human subjects and (ii) a $0.2 million payment if the drug is tested in an efficacy study; and</w:t>
      </w:r>
    </w:p>
    <w:p>
      <w:pPr>
        <w:spacing w:after="0" w:line="25" w:lineRule="exact"/>
        <w:rPr>
          <w:rFonts w:ascii="Arial" w:cs="Arial" w:eastAsia="Arial" w:hAnsi="Arial"/>
          <w:sz w:val="16"/>
          <w:szCs w:val="16"/>
          <w:color w:val="auto"/>
        </w:rPr>
      </w:pPr>
    </w:p>
    <w:p>
      <w:pPr>
        <w:ind w:left="900" w:right="5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commercialization of AMR101, prior to the end of 2012 we are required to pay potential royalties of 1% on net sales up to £100 million ($160 million at March 31, 2011); 0.5% for net sales between £100 million ($160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0" w:lineRule="auto"/>
        <w:rPr>
          <w:sz w:val="20"/>
          <w:szCs w:val="20"/>
          <w:color w:val="auto"/>
        </w:rPr>
      </w:pPr>
      <w:r>
        <w:rPr>
          <w:rFonts w:ascii="Arial" w:cs="Arial" w:eastAsia="Arial" w:hAnsi="Arial"/>
          <w:sz w:val="16"/>
          <w:szCs w:val="16"/>
          <w:color w:val="auto"/>
        </w:rPr>
        <w:t>million) and £500 million ($802 million); and 0.25% for sales in excess of £500 million. In addition, upon receipt of marketing approval in the U.S. and/or Europe for the first indication for AMR101 (or first indication of any product containing Amarin Neuroscience intellectual property acquired from Laxdale Limited in 2004), Amarin must make an aggregate stock or cash payment (at the sole option of each of the sellers) of £7.5 million ($12 million) for each of the two potential marketing approvals (i.e. £15 million maximum, or $24 million). In addition, upon receipt of a marketing approval in the U.S. or Europe for a further indication of AMR101 (or further indication of any other product using Amarin Neuroscience intellectual property), the Company must make an aggregate stock or cash payment (at the sole option of each of the sellers) of £5 million ($8 million) for each of the two potential market approvals (i.e. £10 million maximum, or $16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these obligations since the amounts are either not probable or estimable at March 31, 2011.</w:t>
      </w:r>
    </w:p>
    <w:p>
      <w:pPr>
        <w:spacing w:after="0" w:line="28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 January 2011, Amarin sold 13.8 million common shares to both existing and new investors at a price of $7.60 per share, resulting in net proceeds of $98.7 million.</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During the three months ended March 31, 2011, the Company issued 994,749 shares as a result of the exercise of stock options, resulting in net proceeds of $1.7 million. In addition the Company issued 4,557,364 shares as a result of the exercise of warrants, resulting in net proceeds of $6.5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2010 and below under Part II, Item IA, “Risk Factors”.</w:t>
      </w:r>
    </w:p>
    <w:p>
      <w:pPr>
        <w:spacing w:after="0" w:line="120"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are a clinical-stage biopharmaceutical company focused on developing improved treatments for cardiovascular disease. We are currently focusing our efforts on AMR101, a semi-synthetic omega-3 fatty acid, comprising not less than 96% ultra pure icosapent ethyl (ethyl-EPA). On October 16, 2009, we completed a private placement resulting in gross proceeds of $70.0 million. These proceeds were used primarily to fund the MARINE and ANCHOR studies for AMR101. In connection with this private placement, a significant portion of our board of directors and executive management were changed, and our research and development activities, as well as certain executive functions, were consolidated from multiple offices to our research and development headquarters in the United States. In connection with these changes, we re-focused our efforts on developing improved treatments for cardiovascular disease and ceased development of all product candidates outside of our cardiovascular disease focus.</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November 2010, we reported positive top-line results from the MARINE trial, the first to complete of our two concurrently run Phase 3 clinical trials of AMR101. In the MARINE trial, AMR101 was investigated as a treatment for patients with very high triglycerides (³500 mg/dL). The MARINE trial was a multi-center, placebo-controlled, randomized, double-blind, 12-week pivotal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study to evaluate the efficacy and safety of 2 grams and 4 grams of AMR101 in 229 patients with fasting triglyceride levels ³500 mg/dL. Patients with this level of triglycerides are characterized as having very high triglyceride levels, as outlined in the National Cholesterol Education Program (NCEP) Expert Panel (Adult Treatment Panel III, 2002), or the NCEP Guidelines. The primary endpoint in the trial was the percentage change in triglyceride level from baseline compared to placebo after 12 weeks of treatment. Reported top-line results of this study included announcement that AMR101 met the primary endpoint at both the 4 gram and 2 gram doses. In addition to achieving the primary endpoint of the trial, no statistically significant increase in low-density lipoprotein cholesterol, or LDL-C, was observed in this trial at either dose. Additionally, we observed in the trial a safety profile for AMR101 similar to placebo.</w:t>
      </w:r>
    </w:p>
    <w:p>
      <w:pPr>
        <w:spacing w:after="0" w:line="20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April 2011, we reported positive top-line results from the ANCHOR trial, the second of our two Phase 3 clinical trials of AMR101. In the ANCHOR trial, AMR101 was investigated as a treatment for patients with high triglycerides (</w:t>
      </w:r>
      <w:r>
        <w:rPr>
          <w:rFonts w:ascii="Arial" w:cs="Arial" w:eastAsia="Arial" w:hAnsi="Arial"/>
          <w:sz w:val="16"/>
          <w:szCs w:val="16"/>
          <w:u w:val="single" w:color="auto"/>
          <w:color w:val="auto"/>
        </w:rPr>
        <w:t>&gt;</w:t>
      </w:r>
      <w:r>
        <w:rPr>
          <w:rFonts w:ascii="Arial" w:cs="Arial" w:eastAsia="Arial" w:hAnsi="Arial"/>
          <w:sz w:val="16"/>
          <w:szCs w:val="16"/>
          <w:color w:val="auto"/>
        </w:rPr>
        <w:t>200 and &lt;500 mg/dL) who are also receiving statin therapy. The ANCHOR trial was a multi-center, placebo-controlled, randomized, double-blind, 12-week pivotal study to evaluate the efficacy and safety of 2 grams and 4 grams of AMR101 in 702 patients with high triglycerides who were on optimized statin therapy. Patients in this trial are characterized as having high triglyceride levels, as outlined in the NCEP Guidelines, with mixed dyslipidemia (two or more lipid disorders). The primary endpoint in the trial was the percentage change in triglyceride level from baseline compared to placebo after 12 weeks of treatment. No prescription omega-3 based drug is currently approved in the U.S. for treating high triglyceride levels in statin-treated patients who have mixed dyslipidemia. Reported top-line results of this study included an announcement that AMR101 met the study’s primary endpoint at both the 4 gram and 2 gram doses. In addition, AMR101 met each of the secondary endpoints in the trial, including at both doses the key secondary endpoint of LDL-C non-inferiority to statin therapy alone. Additionally, we observed in the trial a safety profile for AMR101 similar to placebo.</w:t>
      </w:r>
    </w:p>
    <w:p>
      <w:pPr>
        <w:spacing w:after="0" w:line="12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MARINE and ANCHOR trials were conducted under separate SPAs with the FDA. An SPA is an evaluation by the FDA of a protocol with the goal of reaching an agreement that the Phase III trial protocol design, clinical endpoints, and statistical analyses are acceptable to support regulatory approval. The FDA agreed that, based on the information we submitted to the agency, the design and planned analysis of the MARINE and ANCHOR trials adequately address the objectives necessary to support a regulatory submission. An SPA is generally binding upon the FDA unless a substantial scientific issue essential to determining safety or efficacy is identified after the testing begins. Although we are not aware of any such issue, there is no assurance that the FDA will ultimately consider either of our SPAs to be binding. Moreover, any change to a study protocol can invalidate an SPA. If the FDA does not consider either of the SPA</w:t>
      </w:r>
      <w:r>
        <w:rPr>
          <w:rFonts w:ascii="Arial" w:cs="Arial" w:eastAsia="Arial" w:hAnsi="Arial"/>
          <w:sz w:val="16"/>
          <w:szCs w:val="16"/>
          <w:b w:val="1"/>
          <w:bCs w:val="1"/>
          <w:color w:val="auto"/>
        </w:rPr>
        <w:t>s</w:t>
      </w:r>
      <w:r>
        <w:rPr>
          <w:rFonts w:ascii="Arial" w:cs="Arial" w:eastAsia="Arial" w:hAnsi="Arial"/>
          <w:sz w:val="16"/>
          <w:szCs w:val="16"/>
          <w:color w:val="auto"/>
        </w:rPr>
        <w:t xml:space="preserve"> to be binding, the agency could assert that additional studies or data are required to support a regulatory submission.</w:t>
      </w:r>
    </w:p>
    <w:p>
      <w:pPr>
        <w:spacing w:after="0" w:line="11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currently expect to submit a New Drug Application, or NDA, to the FDA in the third quarter of 2011 requesting approval to market and sell AMR101 for the indication studied in the MARINE trial (for the treatment of patients with very high triglycerides) in the United States. We may elect to add the ANCHOR trial results to the NDA we are preparing. If the ANCHOR results are added to the NDA, we currently expect that the NDA would seek approval for the indication studied in the MARINE trial with the ANCHOR results supporting either a separate and additional indication (for the treatment of patients with high triglycerides who have mixed dyslipidemia) or referenced in the Other Clinical Experience section of the label as data supporting the safe use of AMR101 in the treatment of high triglyceride levels in statin-treated patients who have mixed dyslipidemia. In order to obtain a separate indication for AMR101 based on the ANCHOR trial results, our SPA with the FDA requires that we have a clinical outcomes study substantially underway at the time of the NDA submission. The final results of an outcomes study are not required for FDA approval of the broader indication and an outcomes study is not required for the indication being studied in the MARINE trial. We are in the late stages of designing an outcomes study to support the indication studied in the ANCHOR trial. Such outcomes study may also seek additional indications for AMR101 beyond the indication studied in the ANCHOR trial, such as an indication for prevention of cardiac events, although there can be no assurance as to whether any such outcomes study we may conduct will be designed support to any such indication. If we commence an outcomes study in 2011, we will seek to have it substantially enrolled by the end of 2012. We have begun to solicit proposals from CROs to support us in the conduct of such a study. The decision on whether to commence such study will include evaluation of feedback from potential strategic marketing partners and evaluation of various financial considerations, including the costs and timing of payments for such study and the financing of such costs over multiple years.</w:t>
      </w:r>
    </w:p>
    <w:p>
      <w:pPr>
        <w:spacing w:after="0" w:line="128"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We are in discussions with pharmaceutical companies regarding such a collaboration, although there can be no assurance that these discussions will result in any such transaction. Accordingly, we are also developing plans to launch, market and sell AMR101 on our own. If we do not enter into a strategic collaboration in connection with the launch, marketing and sale of AMR101, we will need to raise additional capital to support these efforts.</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as described above, we may commence an outcomes study to support the filing of an NDA for the clinical indication evaluated in the ANCHOR trial, whether or not we ultimately enter into a collaboration agreement with a strategic partner. The cost of an outcomes study would be considerable, and we will require additional funds to prepare for and complete these activities.</w:t>
      </w:r>
    </w:p>
    <w:p>
      <w:pPr>
        <w:sectPr>
          <w:pgSz w:w="11900" w:h="16838" w:orient="portrait"/>
          <w:cols w:equalWidth="0" w:num="1">
            <w:col w:w="11400"/>
          </w:cols>
          <w:pgMar w:left="240" w:top="459" w:right="259" w:bottom="1440" w:gutter="0" w:footer="0" w:header="0"/>
        </w:sectPr>
      </w:pPr>
    </w:p>
    <w:bookmarkStart w:id="13" w:name="page14"/>
    <w:bookmarkEnd w:id="13"/>
    <w:p>
      <w:pPr>
        <w:ind w:right="280"/>
        <w:spacing w:after="0" w:line="268" w:lineRule="auto"/>
        <w:rPr>
          <w:sz w:val="20"/>
          <w:szCs w:val="20"/>
          <w:color w:val="auto"/>
        </w:rPr>
      </w:pPr>
      <w:r>
        <w:rPr>
          <w:rFonts w:ascii="Arial" w:cs="Arial" w:eastAsia="Arial" w:hAnsi="Arial"/>
          <w:sz w:val="18"/>
          <w:szCs w:val="18"/>
          <w:color w:val="auto"/>
        </w:rPr>
        <w:t>Opportunities to market and sell AMR101 outside of the United States are also under evaluation. If we do not enter into a strategic collaboration in connection with these opportunities, we will need to raise additional capital to support these efforts.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we seek to raise additional funds, we may do so through the sale of additional equity, debt or convertible securities. The terms of any financings may be dilutive to, or otherwise adversely affect, holders of our outstanding securities. There can be no assurance that additional financing will be available in amounts or on terms acceptable to us, if at all.</w:t>
      </w:r>
    </w:p>
    <w:p>
      <w:pPr>
        <w:spacing w:after="0" w:line="14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As of March 31, 2011, our cash balance was $129.5 million, including net proceeds of approximately $98.7 million, after deducting underwriting commissions and expenses payable by us, associated with our sale in January 2011 of 13.8 million shares of our common shares, par value £0.50 per share.</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9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consists primarily of fees paid to professional service providers in conjunction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monitoring of our clinical trials and acquiring and evaluating data in conjunction with our clinical trials, fees paid to independent researchers, costs of contract manufacturing,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We expense research and development costs as incurred.</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executive, business development, marketing, finance and information technology functions. Other costs primarily include facility costs and professional fees for accounting, consulting and legal services.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Interest and Other Income (Expense), Net. </w:t>
      </w:r>
      <w:r>
        <w:rPr>
          <w:rFonts w:ascii="Arial" w:cs="Arial" w:eastAsia="Arial" w:hAnsi="Arial"/>
          <w:sz w:val="18"/>
          <w:szCs w:val="18"/>
          <w:color w:val="auto"/>
        </w:rPr>
        <w:t>Interest expense consists of interest incurred under lease obligations. Interest income consists of interest earned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Other income, net, consists primarily of foreign exchange gains and losses.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6"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There have been no changes in our significant accounting policies, judgments, and estimates as described in Note 2 to our consolidated financial statements included in our Annual Report on Form 10-K for the year ended December 31, 2010 filed with the SEC on March 16, 2011.</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new accounting pronouncements are issued by FASB and are adopted by us as of the specified effective date. Unless otherwise discussed, we believe that the impact of recently issued accounting pronouncements will not have a material impact on consolidated financial position, results of operations, and cash flows, or do not apply to our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2011 versus March 31, 2010</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recorded no revenue in 2011 or 2010.</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March 31, 2011 was $4.4 million, versus $5.2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period, a decrease of $0.8 million, or 15.4%. Research and development expenses for the three months ended March 31,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4"/>
          </w:tcPr>
          <w:p>
            <w:pPr>
              <w:jc w:val="right"/>
              <w:ind w:right="197"/>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600" w:type="dxa"/>
            <w:vAlign w:val="bottom"/>
            <w:gridSpan w:val="2"/>
            <w:vMerge w:val="restart"/>
          </w:tcPr>
          <w:p>
            <w:pPr>
              <w:ind w:left="920"/>
              <w:spacing w:after="0"/>
              <w:rPr>
                <w:sz w:val="20"/>
                <w:szCs w:val="20"/>
                <w:color w:val="auto"/>
              </w:rPr>
            </w:pPr>
            <w:r>
              <w:rPr>
                <w:rFonts w:ascii="Arial" w:cs="Arial" w:eastAsia="Arial" w:hAnsi="Arial"/>
                <w:sz w:val="18"/>
                <w:szCs w:val="18"/>
                <w:color w:val="auto"/>
              </w:rPr>
              <w:t>Research and development expenses, excluding non-cash expense (1)</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01"/>
        </w:trPr>
        <w:tc>
          <w:tcPr>
            <w:tcW w:w="8600" w:type="dxa"/>
            <w:vAlign w:val="bottom"/>
            <w:gridSpan w:val="2"/>
            <w:vMerge w:val="continue"/>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4,149</w:t>
            </w:r>
          </w:p>
        </w:tc>
        <w:tc>
          <w:tcPr>
            <w:tcW w:w="4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23"/>
        </w:trPr>
        <w:tc>
          <w:tcPr>
            <w:tcW w:w="8600" w:type="dxa"/>
            <w:vAlign w:val="bottom"/>
            <w:gridSpan w:val="2"/>
          </w:tcPr>
          <w:p>
            <w:pPr>
              <w:ind w:left="920"/>
              <w:spacing w:after="0"/>
              <w:rPr>
                <w:sz w:val="20"/>
                <w:szCs w:val="20"/>
                <w:color w:val="auto"/>
              </w:rPr>
            </w:pPr>
            <w:r>
              <w:rPr>
                <w:rFonts w:ascii="Arial" w:cs="Arial" w:eastAsia="Arial" w:hAnsi="Arial"/>
                <w:sz w:val="18"/>
                <w:szCs w:val="18"/>
                <w:color w:val="auto"/>
              </w:rPr>
              <w:t>Non-cash stock based compensation expense (2)</w:t>
            </w: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7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4,449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5,152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Research and development expense, excluding non-cash charges, for the three months ended March 31, 2011 was $4.1 million, versus $4.8 million in the prior year period, a decrease of $0.7 million, or 14.6%. The decrease in research and development expense was primarily due to lower costs in 2011 for our AMR101 cardiovascular program, primarily costs associated with our two Phase III clinical trials incurred through Medpace, the clinical research organization (CRO) we engaged in late 2009 to help manage the two trials. We began enrolling patients in these trials in early 2010 and announced the completion of enrollment in both trials during the second half of 2010 with top-line results announced in November 2010 and April 2011 for the MARINE and ANCHOR trials, respectively.</w:t>
      </w:r>
    </w:p>
    <w:p>
      <w:pPr>
        <w:spacing w:after="0" w:line="4"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 based compensation expense included within research and development was $0.3 million and $0.4 million for the three months ended March 31, 2011 and 2010,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We expect research and development expenses associated with the MARINE and ANCHOR studies to decrease during 2011 as those trials near completion. However, if we elect to conduct an outcomes study, which decision will follow upon finalization of an outcome study design and funding, the anticipated decline in research and development expenditures could be substantially offset by costs associated with the outcomes study.</w:t>
      </w:r>
    </w:p>
    <w:p>
      <w:pPr>
        <w:spacing w:after="0" w:line="10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color w:val="auto"/>
        </w:rPr>
        <w:t xml:space="preserve">Marketing, General and Administrative Expense. </w:t>
      </w:r>
      <w:r>
        <w:rPr>
          <w:rFonts w:ascii="Arial" w:cs="Arial" w:eastAsia="Arial" w:hAnsi="Arial"/>
          <w:sz w:val="18"/>
          <w:szCs w:val="18"/>
          <w:color w:val="auto"/>
        </w:rPr>
        <w:t>Marketing, general and administrative expense for the three months ended March 31, 2011 was $2.7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versus $2.3 million in the prior year period, an increase of $0.4 million, or 17.4%. Marketing, general and administrative expenses for the three months ended March 31, 2011 and 2010 are summarized in the table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216"/>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tcPr>
          <w:p>
            <w:pPr>
              <w:jc w:val="right"/>
              <w:ind w:right="3"/>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8580" w:type="dxa"/>
            <w:vAlign w:val="bottom"/>
            <w:gridSpan w:val="2"/>
            <w:vMerge w:val="restart"/>
          </w:tcPr>
          <w:p>
            <w:pPr>
              <w:ind w:left="920"/>
              <w:spacing w:after="0"/>
              <w:rPr>
                <w:sz w:val="20"/>
                <w:szCs w:val="20"/>
                <w:color w:val="auto"/>
              </w:rPr>
            </w:pPr>
            <w:r>
              <w:rPr>
                <w:rFonts w:ascii="Arial" w:cs="Arial" w:eastAsia="Arial" w:hAnsi="Arial"/>
                <w:sz w:val="18"/>
                <w:szCs w:val="18"/>
                <w:color w:val="auto"/>
              </w:rPr>
              <w:t>Marketing, general and administrative expenses, excluding non-cash expenses (1)</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6"/>
              </w:rPr>
              <w:t>2010</w:t>
            </w:r>
          </w:p>
        </w:tc>
        <w:tc>
          <w:tcPr>
            <w:tcW w:w="0" w:type="dxa"/>
            <w:vAlign w:val="bottom"/>
          </w:tcPr>
          <w:p>
            <w:pPr>
              <w:spacing w:after="0"/>
              <w:rPr>
                <w:sz w:val="1"/>
                <w:szCs w:val="1"/>
                <w:color w:val="auto"/>
              </w:rPr>
            </w:pPr>
          </w:p>
        </w:tc>
      </w:tr>
      <w:tr>
        <w:trPr>
          <w:trHeight w:val="201"/>
        </w:trPr>
        <w:tc>
          <w:tcPr>
            <w:tcW w:w="85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2,165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201" w:lineRule="exact"/>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8580" w:type="dxa"/>
            <w:vAlign w:val="bottom"/>
            <w:gridSpan w:val="2"/>
          </w:tcPr>
          <w:p>
            <w:pPr>
              <w:ind w:left="920"/>
              <w:spacing w:after="0"/>
              <w:rPr>
                <w:sz w:val="20"/>
                <w:szCs w:val="20"/>
                <w:color w:val="auto"/>
              </w:rPr>
            </w:pPr>
            <w:r>
              <w:rPr>
                <w:rFonts w:ascii="Arial" w:cs="Arial" w:eastAsia="Arial" w:hAnsi="Arial"/>
                <w:sz w:val="18"/>
                <w:szCs w:val="18"/>
                <w:color w:val="auto"/>
              </w:rPr>
              <w:t>Non-cash stock based compensation expense (2)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1,240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3"/>
        </w:trPr>
        <w:tc>
          <w:tcPr>
            <w:tcW w:w="8580" w:type="dxa"/>
            <w:vAlign w:val="bottom"/>
            <w:gridSpan w:val="2"/>
          </w:tcPr>
          <w:p>
            <w:pPr>
              <w:ind w:left="920"/>
              <w:spacing w:after="0"/>
              <w:rPr>
                <w:sz w:val="20"/>
                <w:szCs w:val="20"/>
                <w:color w:val="auto"/>
              </w:rPr>
            </w:pPr>
            <w:r>
              <w:rPr>
                <w:rFonts w:ascii="Arial" w:cs="Arial" w:eastAsia="Arial" w:hAnsi="Arial"/>
                <w:sz w:val="18"/>
                <w:szCs w:val="18"/>
                <w:color w:val="auto"/>
              </w:rPr>
              <w:t>Non-cash warrant related compensation (income) expense (3)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color w:val="auto"/>
              </w:rPr>
              <w:t>(679)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2,726</w:t>
            </w:r>
          </w:p>
        </w:tc>
        <w:tc>
          <w:tcPr>
            <w:tcW w:w="2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general and administrative expense, excluding non-cash compensation charges for stock compensation and warrants, for the three months ended March 31, 2011 was $2.2 million, versus $1.9 million in the prior year period, an increase of $0.3 million, or 15.8%. The increase was primarily due to higher staffing in 2011 to prepare for the commercialization of AMR101.</w:t>
      </w:r>
    </w:p>
    <w:p>
      <w:pPr>
        <w:ind w:left="460" w:right="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Stock based compensation expense for the three months ended March 31, 2011 was $1.2 million, versus $0.3 million in the prior year period, an increase of $0.9 million reflecting an increase in option awards for the year ended December 31, 2010 to attract and retain qualified employees.</w:t>
      </w:r>
    </w:p>
    <w:p>
      <w:pPr>
        <w:spacing w:after="0" w:line="1" w:lineRule="exact"/>
        <w:rPr>
          <w:rFonts w:ascii="Arial" w:cs="Arial" w:eastAsia="Arial" w:hAnsi="Arial"/>
          <w:sz w:val="16"/>
          <w:szCs w:val="16"/>
          <w:color w:val="auto"/>
        </w:rPr>
      </w:pPr>
    </w:p>
    <w:p>
      <w:pPr>
        <w:ind w:left="460" w:right="20" w:hanging="452"/>
        <w:spacing w:after="0" w:line="287"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Warrant related compensation (income) expense for the three months ended March 31, 2011 was income of $0.7 million, versus expense of $0.1 million in the prior year period. Warrant related compensation expense for the period ended March 31, 2011 reflects a non-cash change in fair value of the warrant derivative liability associated with warrants issued in October 2009 to three former employees of Amarin, net of warrants exercised. The increase in the fair value of the warrants for the three months ended March 31, 2011 is due primarily to a decrease in our stock price between December 31, 2010 and March 31, 2011. We anticipate that the value of this warrant derivative liability may increase or decrease from period to period based upon changes in the price of our common stock. Such non-cash changes in valuation could be significant as the history of our stock price has been volatile. The gain or loss resulting from such non-cash changes in valuation could have a material impact on our reported net income or loss from period to period. In particular, if the price of our stock increases, the change in valuation of this warrant derivative liability will add to our history of operating losses.</w:t>
      </w:r>
    </w:p>
    <w:p>
      <w:pPr>
        <w:spacing w:after="0" w:line="12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expect marketing, general and administrative costs in 2011 to increase as we prepare for the commercialization of AMR101, including costs for market research, sales force preparation and inventory management.</w:t>
      </w:r>
    </w:p>
    <w:p>
      <w:pPr>
        <w:spacing w:after="0" w:line="13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Gain (loss) on Change in Fair Value of Derivative Liability</w:t>
      </w:r>
      <w:r>
        <w:rPr>
          <w:rFonts w:ascii="Arial" w:cs="Arial" w:eastAsia="Arial" w:hAnsi="Arial"/>
          <w:sz w:val="16"/>
          <w:szCs w:val="16"/>
          <w:color w:val="auto"/>
        </w:rPr>
        <w:t>. Gain (loss) on change in fair value of derivative liability for the three months ended March 31, 2011</w:t>
      </w:r>
      <w:r>
        <w:rPr>
          <w:rFonts w:ascii="Arial" w:cs="Arial" w:eastAsia="Arial" w:hAnsi="Arial"/>
          <w:sz w:val="16"/>
          <w:szCs w:val="16"/>
          <w:i w:val="1"/>
          <w:iCs w:val="1"/>
          <w:color w:val="auto"/>
        </w:rPr>
        <w:t xml:space="preserve"> </w:t>
      </w:r>
      <w:r>
        <w:rPr>
          <w:rFonts w:ascii="Arial" w:cs="Arial" w:eastAsia="Arial" w:hAnsi="Arial"/>
          <w:sz w:val="16"/>
          <w:szCs w:val="16"/>
          <w:color w:val="auto"/>
        </w:rPr>
        <w:t>a gain of $25.3 million versus a loss of $2.1 million in the prior year period. (Loss) gain on change in fair value of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at December 31, 2010 was $230.1 million and we recognized a $25.3 million gain on change in fair value of derivative liability for the period ended March 31, 2011 for these warrants. The fair value of the warrant derivative liability at December 31, 2009 was $41.5 million and we recognized a $2.1 million loss on change in fair value of derivative liability for the period ended March 31, 2010. The decrease or increase in the fair value of the warrant derivative liability is due primarily to the decrease or increase in the price of our common stock on the date of valuation.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includes interest earned on cash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income primarily includes gains and losses on foreign exchange transactions.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sources of liquidity as of March 31, 2011 include cash and cash equivalents of $129.5 million. Our projected uses of cash include the completion of our two Phase III clinical trials for AMR101, including final analysis of results of the ANCHOR study and completion of the patient-optional open-label extension period of the MARINE study (results from which are not needed for the NDA submission), the submission of an NDA, commercial preparation of AMR101, working capital and other general corporate activities. Our cash flows from operating, investing and financing activities, as reflected in the consolidated statements of cash flows, are summarized in the following table (in millions):</w:t>
      </w:r>
    </w:p>
    <w:p>
      <w:pPr>
        <w:spacing w:after="0" w:line="13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1"/>
        </w:trPr>
        <w:tc>
          <w:tcPr>
            <w:tcW w:w="6340" w:type="dxa"/>
            <w:vAlign w:val="bottom"/>
            <w:vMerge w:val="restart"/>
          </w:tcPr>
          <w:p>
            <w:pPr>
              <w:spacing w:after="0"/>
              <w:rPr>
                <w:sz w:val="20"/>
                <w:szCs w:val="20"/>
                <w:color w:val="auto"/>
              </w:rPr>
            </w:pPr>
            <w:r>
              <w:rPr>
                <w:rFonts w:ascii="Arial" w:cs="Arial" w:eastAsia="Arial" w:hAnsi="Arial"/>
                <w:sz w:val="18"/>
                <w:szCs w:val="18"/>
                <w:color w:val="auto"/>
              </w:rPr>
              <w:t>Cash (used in) provided by continuing operations: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(8.8)</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(7.8)</w:t>
            </w:r>
          </w:p>
        </w:tc>
        <w:tc>
          <w:tcPr>
            <w:tcW w:w="0" w:type="dxa"/>
            <w:vAlign w:val="bottom"/>
          </w:tcPr>
          <w:p>
            <w:pPr>
              <w:spacing w:after="0"/>
              <w:rPr>
                <w:sz w:val="1"/>
                <w:szCs w:val="1"/>
                <w:color w:val="auto"/>
              </w:rPr>
            </w:pPr>
          </w:p>
        </w:tc>
      </w:tr>
      <w:tr>
        <w:trPr>
          <w:trHeight w:val="216"/>
        </w:trPr>
        <w:tc>
          <w:tcPr>
            <w:tcW w:w="63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3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3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98.0</w:t>
            </w:r>
          </w:p>
        </w:tc>
        <w:tc>
          <w:tcPr>
            <w:tcW w:w="28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w w:val="86"/>
              </w:rPr>
              <w:t>(7.8)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had no debt obligations at March 31, 2011 or December 31, 2010.</w:t>
      </w:r>
    </w:p>
    <w:p>
      <w:pPr>
        <w:spacing w:after="0" w:line="17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In January 2011, we sold 13.8 million shares of our common shares, par value £0.50 per share, at a price of $7.60 per share, resulting in net proceeds of approximately $98.7 million after deducting underwriting commissions and expenses payable by us associated with this transaction.</w:t>
      </w:r>
    </w:p>
    <w:p>
      <w:pPr>
        <w:spacing w:after="0" w:line="8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believe that our cash will be sufficient to fund our projected operations for the next twelve months which contemplates not only working capital and general corporate needs but also, the filing of an NDA and commercial preparations for AMR101. This is based on our current operational plans and activities at normal levels and does not assume any cash inflows from partnerships, warrant exercises or other dilutive or non-dilutive financings in the longer-term. If we elect to commercialize AMR101 ourselves, rather than through a collaborator, or decide to commence an outcome study, we will need additional funds to complete such activities. The sale of any equity or debt securities may result in additional dilution to our stockholders, and we cannot be certain that additional financing will be available in amounts or on terms acceptable to us, if at all.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at March 31, 2011 and the effects such obligations are expected to have on our liquidity and cash flows in future periods (in millions):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by Period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2012</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3"/>
              </w:rPr>
              <w:t>2014</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Contractual Obligations:</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89"/>
              </w:rPr>
              <w:t>Total</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3"/>
              </w:rPr>
              <w:t>2011</w:t>
            </w:r>
          </w:p>
        </w:tc>
        <w:tc>
          <w:tcPr>
            <w:tcW w:w="40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to 2013</w:t>
            </w:r>
          </w:p>
        </w:tc>
        <w:tc>
          <w:tcPr>
            <w:tcW w:w="420" w:type="dxa"/>
            <w:vAlign w:val="bottom"/>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to 2015</w:t>
            </w:r>
          </w:p>
        </w:tc>
        <w:tc>
          <w:tcPr>
            <w:tcW w:w="360" w:type="dxa"/>
            <w:vAlign w:val="bottom"/>
          </w:tcPr>
          <w:p>
            <w:pPr>
              <w:spacing w:after="0"/>
              <w:rPr>
                <w:sz w:val="14"/>
                <w:szCs w:val="14"/>
                <w:color w:val="auto"/>
              </w:rPr>
            </w:pPr>
          </w:p>
        </w:tc>
        <w:tc>
          <w:tcPr>
            <w:tcW w:w="6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After 2015</w:t>
            </w:r>
          </w:p>
        </w:tc>
        <w:tc>
          <w:tcPr>
            <w:tcW w:w="0" w:type="dxa"/>
            <w:vAlign w:val="bottom"/>
          </w:tcPr>
          <w:p>
            <w:pPr>
              <w:spacing w:after="0"/>
              <w:rPr>
                <w:sz w:val="1"/>
                <w:szCs w:val="1"/>
                <w:color w:val="auto"/>
              </w:rPr>
            </w:pPr>
          </w:p>
        </w:tc>
      </w:tr>
      <w:tr>
        <w:trPr>
          <w:trHeight w:val="201"/>
        </w:trPr>
        <w:tc>
          <w:tcPr>
            <w:tcW w:w="70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Purchase obligations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12.6</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7060" w:type="dxa"/>
            <w:vAlign w:val="bottom"/>
            <w:gridSpan w:val="2"/>
          </w:tcPr>
          <w:p>
            <w:pPr>
              <w:ind w:left="440"/>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06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500" w:type="dxa"/>
            <w:vAlign w:val="bottom"/>
            <w:gridSpan w:val="2"/>
          </w:tcPr>
          <w:p>
            <w:pPr>
              <w:ind w:left="42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98"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Represents minimum purchase obligations under a supplier agreement with a Japan-based supplier. We paid $0.8 million during the three months ended March 31, 2011 and have additional purchase obligations of $12.6 million in 2012. Not included in this obligation is a non-refundable milestone payment of $0.5 million payable upon the first marketing approval of AMR101 in the United States. Additional future minimum purchases will be required, subject to an NDA approval, and in preparation for commercialization of AMR101 we may purchase more than the minimum amount.</w:t>
      </w:r>
    </w:p>
    <w:p>
      <w:pPr>
        <w:spacing w:after="0" w:line="31" w:lineRule="exact"/>
        <w:rPr>
          <w:rFonts w:ascii="Arial" w:cs="Arial" w:eastAsia="Arial" w:hAnsi="Arial"/>
          <w:sz w:val="16"/>
          <w:szCs w:val="16"/>
          <w:color w:val="auto"/>
        </w:rPr>
      </w:pPr>
    </w:p>
    <w:p>
      <w:pPr>
        <w:ind w:left="460" w:right="20"/>
        <w:spacing w:after="0" w:line="255" w:lineRule="auto"/>
        <w:rPr>
          <w:rFonts w:ascii="Arial" w:cs="Arial" w:eastAsia="Arial" w:hAnsi="Arial"/>
          <w:sz w:val="16"/>
          <w:szCs w:val="16"/>
          <w:color w:val="auto"/>
        </w:rPr>
      </w:pPr>
      <w:r>
        <w:rPr>
          <w:rFonts w:ascii="Arial" w:cs="Arial" w:eastAsia="Arial" w:hAnsi="Arial"/>
          <w:sz w:val="18"/>
          <w:szCs w:val="18"/>
          <w:color w:val="auto"/>
        </w:rPr>
        <w:t>In addition, provided the supplier has expanded its manufacturing capacity in accordance with the agreement, the supplier may terminate the agreement in the event that (i) Amarin does not receive marketing approval for AMR101 in the United States on or before December 31, 2014 or (ii) in the event that Amarin abandons development of AMR101 for hypertriglyceridemia in the United States. In either case, Amarin will be required to reimburse the supplier for certain costs incurred by the supplier in connection with its manufacturing expansion, less the amount of profit received as a result of purchases of ethyl-EPA by Amarin, not to exceed $5.0 million.</w:t>
      </w:r>
    </w:p>
    <w:p>
      <w:pPr>
        <w:spacing w:after="0" w:line="61" w:lineRule="exact"/>
        <w:rPr>
          <w:rFonts w:ascii="Arial" w:cs="Arial" w:eastAsia="Arial" w:hAnsi="Arial"/>
          <w:sz w:val="16"/>
          <w:szCs w:val="16"/>
          <w:color w:val="auto"/>
        </w:rPr>
      </w:pPr>
    </w:p>
    <w:p>
      <w:pPr>
        <w:jc w:val="both"/>
        <w:ind w:left="460" w:right="420"/>
        <w:spacing w:after="0" w:line="306" w:lineRule="auto"/>
        <w:rPr>
          <w:rFonts w:ascii="Arial" w:cs="Arial" w:eastAsia="Arial" w:hAnsi="Arial"/>
          <w:sz w:val="16"/>
          <w:szCs w:val="16"/>
          <w:color w:val="auto"/>
        </w:rPr>
      </w:pPr>
      <w:r>
        <w:rPr>
          <w:rFonts w:ascii="Arial" w:cs="Arial" w:eastAsia="Arial" w:hAnsi="Arial"/>
          <w:sz w:val="16"/>
          <w:szCs w:val="16"/>
          <w:color w:val="auto"/>
        </w:rPr>
        <w:t>We anticipate incurring certain costs associated with the qualification of product produced by this Japan-based supplier. In an effort to further expand production capacity at this supplier or through the addition of supplemental suppliers, we may make capital commitments to support their expansion, particularly if such commitments further reduce the cost to us of the manufactured product.</w:t>
      </w:r>
    </w:p>
    <w:p>
      <w:pPr>
        <w:sectPr>
          <w:pgSz w:w="11900" w:h="16838" w:orient="portrait"/>
          <w:cols w:equalWidth="0" w:num="1">
            <w:col w:w="11360"/>
          </w:cols>
          <w:pgMar w:left="240" w:top="459" w:right="2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We do not enter into financial instruments for trading or speculative purposes.</w:t>
      </w:r>
    </w:p>
    <w:p>
      <w:pPr>
        <w:spacing w:after="0" w:line="17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In addition to the obligations in the table above, we have approximately $0.5 million of gross liability for uncertain tax positions that have been recorded as liabilities at December 31, 2010. We are not able to reasonably estimate in which future periods these amounts will ultimately be settled.</w:t>
      </w:r>
    </w:p>
    <w:p>
      <w:pPr>
        <w:spacing w:after="0" w:line="8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above table does not reflect our contract with Medpace for the conduct of our two registration trials for AMR101. We paid $3.7 million to Medpace during the three months ended March 31, 2011 and anticipate paying an additional $5.3 million to Medpace in 2011 prior to the completion of this project.</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our 2004 share repurchase agreement with Laxdale Limited, in connection with commercialization of AMR101 for cardiovascular indications, prior to the end of 2012 we are required to pay potential royalties of 1% royalty on net sales up to £100 million ($160 million); 0.5% for net sales between £100 million ($160 million) and £500 million; and 0.25% for sales in excess of £500 million ($802 million). In addition, upon receipt of marketing approval in the United States and/or Europe for the first indication for AMR101 (or any product containing Amarin Neuroscience intellectual property acquired from Laxdale Limited in 2004), we must make an aggregate stock or cash payment (at the sole option of each of the sellers) of £7.5 million ($12 million) for each of the two potential market approvals (i.e. £15 million maximum, or $24 million). In addition, upon receipt of a marketing approval in the United States or Europe for any other product using Amarin Neuroscience intellectual property or for a different indication of a previously approved product, we must make an aggregate stock or cash payment (at the sole option of each of the sellers) of £5 million ($8 million) for each of the two potential market approvals (i.e. £10 million maximum, or $16 million).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 Statement</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March 29, 2011, we filed with the SEC a universal shelf registration statement on Form S-3 (Registration No. 333-173132), which provides for the offer, from time to time, of an indeterminate and unlimited amount of: ordinary shares, which may be represented by American Depositary Shares; preference shares, which may be represented by American Depositary Shares; senior or subordinated debt securities; warrants to purchase any of these securities; and any combination of these securities, individually or as units. In addition, if we identify any security holder(s) in a prospectus supplement, they may also offer identified securities under this registration statement although we will not receive any of the proceeds from the sale of securities by any of these selling security holders. This universal shelf registration statement was automatically effective upon its filing. The addition of any newly issued equity securities into the market may be dilutive to existing stockholders and new issuances by us or sales by our selling security holders could have an adverse effect on the price of our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are exposed to market risks, which include changes in interest rates, changes in credit worthiness and liquidity of our marketable securities. We do not use derivative financial instruments in our investment portfolio and have no foreign exchange contracts.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record as a liability the fair value of warrants to purchase 26.9 million shares of our common stock issued to investors. The fair value of this warrant liability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is determined using the Black-Scholes option valuation model and is therefore sensitive to changes in the market price and volatility of our common stock among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factors. In the event of a hypothetical 10% increase in the market price of our common stock ($8.03 based on the $7.30 market price of our stock at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March 31, 2011) on which the March 31, 2011 valuation was based, the value would have increased by $19.1 million. Such increase would have been reflected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additional loss on revaluation of the warrant liability in our statement of operations. Subsequent to March 31, 2011, the price of our common shares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more than 10% which, if sustained on subsequent measurement periods will result in a greater increase in the value of the derivative liability and a greater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additional loss than reflected in this hypothetical example.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w:t>
      </w:r>
    </w:p>
    <w:p>
      <w:pPr>
        <w:ind w:right="580" w:firstLine="8"/>
        <w:spacing w:after="0" w:line="261"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our principal executive officer and principal financial officer, to allow timely decisions regarding required disclosure.</w:t>
      </w:r>
    </w:p>
    <w:p>
      <w:pPr>
        <w:spacing w:after="0" w:line="13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As of March 31, 2011,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March 31, 2011, our disclosure controls and procedures were not effective at the reasonable assurance level, due to a material weakness in internal control over financial reporting described below.</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quarter ended March 31, 2011,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 other than as described below.</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described in Item 9A “Controls and Procedures” in our Annual Report on Form 10-K filed for the year ended December 31, 2010, our management identified a material weakness in internal control over financial reporting as of December 31, 2009 and which persisted on December 31, 2010. Specifically, our management concluded there was a deficiency in the company’s internal control over financial reporting relating to the technical expertise and review over the accounting for complex, non-routine transactions that could result in a material misstatement of the consolidated financial statements that would not be prevented or detected on a timely basis. In response to this material weakness, our management, with the input, oversight, and support of the Audit Committee, identified and took the following steps beginning during the second half of 2010 and all of which efforts continued into the first quarter of 2011: non ordinary course transactions are considered and evaluated by senior finance management; we continued to prepare accounting position papers for all complex transactions; and, where appropriate, management seeks the advice of outside consultants on accounting matters related to the application of U.S. GAAP to complex, non-ordinary course transactions and in other instances as warranted. In addition, as a result of the relocation of the accounting functions from Dublin, Ireland to our Mystic, CT offices, in the quarter ended March 31, 2011, we hired new accounting personnel, continued to implement new controls over financial reporting, continued to implement new accounting software, and continued to use the assistance of outside professionals to ensure that data and reports can be relied upon for the purpose of accurately and timely recording transactions in accordance with U.S. GAAP.</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Investment in our securities involves a high degree of risk. Our Annual Report on Form 10-K for the year ended December 31, 2010, which was filed with the SEC on March 16, 2011, contains numerous risk factors relating to our business and operations, our intellectual property, clinical trials, regulatory matters, our dependence on third parties, our industry and our common stock.</w:t>
      </w:r>
    </w:p>
    <w:p>
      <w:pPr>
        <w:spacing w:after="0" w:line="2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following risk factors are either new or have changed materially from those set forth in our Annual Report on Form 10-K for the year ended December 31, 2010. You should carefully review the risks involved and those described in our Annual Report on Form 10-K and in other reports we file with the Securities and Exchange Commission in evaluating our business.</w:t>
      </w:r>
    </w:p>
    <w:p>
      <w:pPr>
        <w:spacing w:after="0" w:line="221" w:lineRule="exact"/>
        <w:rPr>
          <w:sz w:val="20"/>
          <w:szCs w:val="20"/>
          <w:color w:val="auto"/>
        </w:rPr>
      </w:pPr>
    </w:p>
    <w:p>
      <w:pPr>
        <w:ind w:left="240" w:right="640"/>
        <w:spacing w:after="0" w:line="268" w:lineRule="auto"/>
        <w:rPr>
          <w:sz w:val="20"/>
          <w:szCs w:val="20"/>
          <w:color w:val="auto"/>
        </w:rPr>
      </w:pPr>
      <w:r>
        <w:rPr>
          <w:rFonts w:ascii="Arial" w:cs="Arial" w:eastAsia="Arial" w:hAnsi="Arial"/>
          <w:sz w:val="18"/>
          <w:szCs w:val="18"/>
          <w:b w:val="1"/>
          <w:bCs w:val="1"/>
          <w:i w:val="1"/>
          <w:iCs w:val="1"/>
          <w:color w:val="auto"/>
        </w:rPr>
        <w:t>We will require substantial additional resources to fund our operations and to develop our product candidates. If we cannot find additional capital resources, we will have difficulty in operating as a going concern and growing our business.</w:t>
      </w:r>
    </w:p>
    <w:p>
      <w:pPr>
        <w:spacing w:after="0" w:line="5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currently operate with limited resources. At March 31, 2011, we had a cash and cash equivalents balance of approximately $129.5 million. Based upon current business activities and existing cash resources, we believe our current resources are sufficient to enable us to file an NDA requesting approval to market and sell AMR101 for the indication evaluated in the MARINE trial (for the treatment of patients with very high triglycerides) and to prepare for the commercialization of, but potentially not to commercialize, AMR101 for this indication in the United States.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Although we are in discussions with pharmaceutical companies regarding such a collaboration, there can be no assurance that these discussions will result in any such transaction. Accordingly, we are also developing plans to launch, market and sell AMR101 in the United States on our own. If we do not enter into a strategic collaboration in connection with the launch, marketing and sale of AMR101, we will need to raise additional capital to support these efforts.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addition, we may elect to add the ANCHOR trial results to the NDA we are preparing. If the ANCHOR results are added to the NDA, we currently expect that the NDA would seek approval for the indication studied in the MARINE trial with the ANCHOR results supporting either a separate and additional indication (for the treatment of patients with high triglycerides who have mixed dyslipidemia) or referenced in the Other Clinical Experience section of the label as data supporting the safe use of AMR101 in the treatment of high triglyceride levels in statin-treated patients who have mixed dyslipidemia. In order to obtain a separate indication for AMR101 based on the ANCHOR trial results, our SPA with the FDA requires that we have a clinical outcomes study substantially underway at the time of the NDA submission. Under the terms of our SPA, the final results of an outcomes study are not required for FDA approval of the broader indication and an outcomes study is not required for the indication being studied in the MARINE trial. We are in the late stages of designing an outcomes study to support the indication studied in the ANCHOR trial. Such outcomes study may also seek additional indications for AMR101 beyond the indication studied in the ANCHOR trial, such as an indication for prevention of cardiac events, although there can be no assurance as to whether any such outcomes study we may conduct will be designed support to any such indication.</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anticipate being ready to commence an outcomes study in 2011 and we have begun to solicit proposals from CROs to support us in the conduct of such a study. The decision on whether to commence such study will include evaluation of feedback from potential strategic marketing partners and evaluation of various financial considerations, including the costs and timing of payments for such study and the financing of such costs over multiple years. The cost of an outcomes study would be considerable, and we will require additional funds to complete these activities.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we seek to raise additional funds, we may do so through the sale of additional equity, debt or convertible securities. The terms of any financings may be dilutive to, or otherwise adversely affect, holders of our outstanding securities. There can be no assurance that additional financing will be available in amounts or on terms acceptable to us, if at all. Any inability to obtain additional funds when needed would have a material adverse effect on our business and on our ability to operate on an ongoing basis.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90" w:lineRule="exact"/>
        <w:rPr>
          <w:sz w:val="20"/>
          <w:szCs w:val="20"/>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we enter into a strategic collaboration in connection with the launch, marketing and sale of AMR101;</w:t>
      </w:r>
    </w:p>
    <w:p>
      <w:pPr>
        <w:spacing w:after="0" w:line="90" w:lineRule="exact"/>
        <w:rPr>
          <w:rFonts w:ascii="Arial" w:cs="Arial" w:eastAsia="Arial" w:hAnsi="Arial"/>
          <w:sz w:val="18"/>
          <w:szCs w:val="18"/>
          <w:color w:val="auto"/>
        </w:rPr>
      </w:pPr>
    </w:p>
    <w:p>
      <w:pPr>
        <w:ind w:left="1120" w:right="300" w:hanging="315"/>
        <w:spacing w:after="0" w:line="268" w:lineRule="auto"/>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or not we elect to commence an outcomes study to support the filing of an NDA for the clinical indication evaluated in the ANCHOR trial;</w:t>
      </w:r>
    </w:p>
    <w:p>
      <w:pPr>
        <w:spacing w:after="0" w:line="50" w:lineRule="exact"/>
        <w:rPr>
          <w:rFonts w:ascii="Arial" w:cs="Arial" w:eastAsia="Arial" w:hAnsi="Arial"/>
          <w:sz w:val="18"/>
          <w:szCs w:val="18"/>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 and costs involved in obtaining regulatory approvals for AMR101;</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additional product candidates we may pursue;</w:t>
      </w:r>
    </w:p>
    <w:p>
      <w:pPr>
        <w:spacing w:after="0" w:line="90" w:lineRule="exact"/>
        <w:rPr>
          <w:rFonts w:ascii="Arial" w:cs="Arial" w:eastAsia="Arial" w:hAnsi="Arial"/>
          <w:sz w:val="18"/>
          <w:szCs w:val="18"/>
          <w:color w:val="auto"/>
        </w:rPr>
      </w:pPr>
    </w:p>
    <w:p>
      <w:pPr>
        <w:ind w:left="1120" w:hanging="315"/>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involved in filing and prosecuting patent applications and enforcing or defending patent claims; and</w:t>
      </w:r>
    </w:p>
    <w:p>
      <w:pPr>
        <w:spacing w:after="0" w:line="90" w:lineRule="exact"/>
        <w:rPr>
          <w:rFonts w:ascii="Arial" w:cs="Arial" w:eastAsia="Arial" w:hAnsi="Arial"/>
          <w:sz w:val="18"/>
          <w:szCs w:val="18"/>
          <w:color w:val="auto"/>
        </w:rPr>
      </w:pPr>
    </w:p>
    <w:p>
      <w:pPr>
        <w:ind w:left="1120" w:right="80" w:hanging="315"/>
        <w:spacing w:after="0" w:line="332" w:lineRule="auto"/>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costs associated with commercializing our product candidates if they receive regulatory approval, including the cost and timing of developing sales and marketing capabilities, or entering into strategic collaboration with others relating to the commercialization of our product candidates.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we do not enter into a collaboration agreement as described above, or if adequate funds are not available to us in amounts or on terms acceptable to us or on a timely basis, or at all, we may be required to terminate or delay our development efforts in support of our product candidates or delay our establishment of sales and marketing capabilities or other activities that may be necessary to commercialize AMR101 in the event we obtain regulatory approval for this product candidate.</w:t>
      </w:r>
    </w:p>
    <w:p>
      <w:pPr>
        <w:sectPr>
          <w:pgSz w:w="11900" w:h="16838" w:orient="portrait"/>
          <w:cols w:equalWidth="0" w:num="1">
            <w:col w:w="11420"/>
          </w:cols>
          <w:pgMar w:left="240" w:top="459" w:right="2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 order to commercialize any future product that is approved for marketing, we may need to find a collaborative partner to help with marketing and sales.</w:t>
      </w:r>
    </w:p>
    <w:p>
      <w:pPr>
        <w:spacing w:after="0" w:line="20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order to commercialize AMR101, we must either develop a sales, marketing and distribution infrastructure or collaborate with third parties that have such experience. We plan to consider collaboration opportunities with larger pharmaceutical companies for the launch, marketing and sale of AMR101. If we do complete such a collaboration agreement, we will be reliant on one or more of these strategic partners to generate revenue on our behalf. In the event that we are not successful in finding a suitable partner, we may choose to commercialize AMR101 ourselves. This would require that we build a substantial commercialization infrastructure in order to compete with larger companies with established marketing and sales capabilities.</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not be successful in finding a collaborative partner to help market and sell our products, or may be delayed in doing so, in which case we would not receive revenue or royalties on the timeframe and to the extent that we currently anticipate. We face significant competition in seeking appropriate collaborators and these collaborations are complex and time-consuming to negotiate and document. We may not be able to negotiate collaborations on acceptable terms, or at all. If that were to occur, we may have to curtail the development of a particular product candidate, reduce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will need to obtain additional capital, which may not be available to us on acceptable terms, or at all. If we cannot raise sufficient funds, we will not be able to bring our product candidates to market and generate product revenue.</w:t>
      </w:r>
    </w:p>
    <w:p>
      <w:pPr>
        <w:spacing w:after="0" w:line="118"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For example, in October 2009, we announced our heightened strategic and operating focus on cardiovascular disease and our cessation of research and development of product candidates to treat central nervous system disorders. Subsequent to October 2009, we did not receive any acceptable offers to acquire, out-license or otherwise continue the development of any of these product candidates to treat central nervous system disorders.</w:t>
      </w:r>
    </w:p>
    <w:p>
      <w:pPr>
        <w:spacing w:after="0" w:line="188"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b w:val="1"/>
          <w:bCs w:val="1"/>
          <w:i w:val="1"/>
          <w:iCs w:val="1"/>
          <w:color w:val="auto"/>
        </w:rPr>
        <w:t>There can be no assurance that the FDA will accept an NDA for the indication studied in the MARINE trial if the NDA also seeks approval for the indication studied in the ANCHOR trial unless a clinical outcomes study is substantially underway at the time of the NDA submission. In the event that we elect to submit an NDA for the indication studied in the ANCHOR trial, and the FDA requires that we have a clinical outcomes study substantially underway at the time of the NDA submission, the submission of our NDA may be delayed.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expect to submit an NDA to the FDA in the third quarter of 2011 requesting approval to market and sell AMR101 for the indication studied in the MARINE trial (for the treatment of patients with very high triglycerides) in the United States. However, we are also considering adding the ANCHOR trial results to the NDA we are preparing. If the ANCHOR results are added to the NDA, we currently expect that the NDA would seek approval for the indication studied in the MARINE trial with the ANCHOR results supporting either a separate and additional indication (for the treatment of patients with high triglycerides who have mixed dyslipidemia) or referenced in the Other Clinical Experience section of the label as data supporting the safe use of AMR101 in the treatment of high triglyceride levels in statin-treated patients who have mixed dyslipidemia.</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There can be no assurance that the FDA would accept an NDA for the indication studied in the ANCHOR trial unless a clinical outcomes study is substantially underway at the time of the NDA submission as specified in our SPA with the FDA or allow for ANCHOR trial data to be included in the Other Clinical Experience section of the label. Although we are making preparations to commence an outcomes study and anticipate being ready to ready to commence an outcomes study in 2011, we will not have a clinical outcomes study substantially underway in the third quarter of 2011. In the event that we elect to submit an NDA for the indication studied in the ANCHOR trial, and the FDA requires that we have a clinical outcomes study substantially underway at the time of the NDA submission, the filing of our NDA may be delayed.</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can be no assurance that, if we commence and outcomes study, we will be able to complete substantial enrolment in this study in 2012 or at all. In the event we experience delays in achieving substantial completion of enrolment for such an outcomes study, our filing of a supplemental NDA seeking approval of an indication based on the ANCHOR trial results will be delayed.</w:t>
      </w:r>
    </w:p>
    <w:p>
      <w:pPr>
        <w:sectPr>
          <w:pgSz w:w="11900" w:h="16838" w:orient="portrait"/>
          <w:cols w:equalWidth="0" w:num="1">
            <w:col w:w="11400"/>
          </w:cols>
          <w:pgMar w:left="240" w:top="459" w:right="259" w:bottom="1440" w:gutter="0" w:footer="0" w:header="0"/>
        </w:sectPr>
      </w:pPr>
    </w:p>
    <w:bookmarkStart w:id="21" w:name="page22"/>
    <w:bookmarkEnd w:id="21"/>
    <w:p>
      <w:pPr>
        <w:ind w:left="240"/>
        <w:spacing w:after="0" w:line="332" w:lineRule="auto"/>
        <w:rPr>
          <w:sz w:val="20"/>
          <w:szCs w:val="20"/>
          <w:color w:val="auto"/>
        </w:rPr>
      </w:pPr>
      <w:r>
        <w:rPr>
          <w:rFonts w:ascii="Arial" w:cs="Arial" w:eastAsia="Arial" w:hAnsi="Arial"/>
          <w:sz w:val="16"/>
          <w:szCs w:val="16"/>
          <w:b w:val="1"/>
          <w:bCs w:val="1"/>
          <w:i w:val="1"/>
          <w:iCs w:val="1"/>
          <w:color w:val="auto"/>
        </w:rPr>
        <w:t>Even if we obtain marketing approval for AMR101 in the United States, there can be no assurance as to the final indication approved by the FDA, and the actual number of patients with the condition included in such approved indication may be smaller than we anticipate.</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Whether we elect to submit an NDA to the FDA requesting approval to market and sell AMR101 for the indication studied in the MARINE trial alone or we elect to submit an NDA also requesting approval to market and sell AMR101 for the indication studied in the ANCHOR trial or we elect to submit an NDA requesting approval to market and sell AMR101 for the indication studied in the MARINE trial with the ANCHOR results referenced in the Other Clinical Experience section of the label, there can be no assurance as to the final indication approved by the FDA in the event that marketing approval is obtained. Even if marketing approval is obtained, the number of actual patients with the condition included in such approved indication may be smaller than we anticipate. Even if we obtain marketing approval, the FDA may impose restrictions on the product’s conditions for use, distribution or marketing and in some cases may impose ongoing requirements for post-market surveillance, post-approval studies or clinical trials. If any such approved indication is more narrow than we anticipate, the market potential for our product candidate would suffer.</w:t>
      </w:r>
    </w:p>
    <w:p>
      <w:pPr>
        <w:spacing w:after="0" w:line="199" w:lineRule="exact"/>
        <w:rPr>
          <w:sz w:val="20"/>
          <w:szCs w:val="20"/>
          <w:color w:val="auto"/>
        </w:rPr>
      </w:pPr>
    </w:p>
    <w:p>
      <w:pPr>
        <w:ind w:left="240" w:right="260"/>
        <w:spacing w:after="0" w:line="268"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are found to have improperly promoted off-label uses, we may become subject to significant liability.</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If we receive marketing approval for AMR101, physicians may nevertheless prescribe AMR101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become subject to product liability claims as a result of our prior sales and marketing activities related to Permax.</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Amarin was responsible for the sales and marketing of Permax</w:t>
      </w:r>
      <w:r>
        <w:rPr>
          <w:rFonts w:ascii="Arial" w:cs="Arial" w:eastAsia="Arial" w:hAnsi="Arial"/>
          <w:sz w:val="10"/>
          <w:szCs w:val="10"/>
          <w:color w:val="auto"/>
        </w:rPr>
        <w:t>®</w:t>
      </w:r>
      <w:r>
        <w:rPr>
          <w:rFonts w:ascii="Arial" w:cs="Arial" w:eastAsia="Arial" w:hAnsi="Arial"/>
          <w:sz w:val="16"/>
          <w:szCs w:val="16"/>
          <w:color w:val="auto"/>
        </w:rPr>
        <w:t xml:space="preserve"> (pergolide mesylate), as an adjunctive treatment for Parkinson’s disease, from May 2001 until February 2004. On May 17, 2001, Amarin acquired the U.S. sales and marketing rights to Permax from Elan Corporation, or Elan. An affiliate of Elan had previously obtained the licensing rights to Permax from Eli Lilly and Company in 1993. Eli Lilly originally obtained approval for Permax on December 30, 1988, and has been responsible for the manufacture and supply of Permax since that date. On February 25, 2004, Amarin sold its U.S. subsidiary, Amarin Pharmaceuticals, Inc., including the rights to Permax, to Valeant Pharmaceuticals.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March 29, 2007, the FDA announced that the manufacturers of pergolide drug products would voluntarily remove these drug products, including Permax, from the market because of the risk of serious damage to patients’ heart valves. Further information about the removal of Permax and other pergolide drug products is available on the FDA’s website.</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Six cases alleging claims related to cardiac valvulopathy and Permax were filed in April 2008 in the United States and currently remain pending. Eli Lilly, Valeant, Amarin Pharmaceuticals (sold to Valeant in 2004 as described above) and unidentified parties were named as defendants in these cases. Amarin was never named as a defendant or served with the complaints from these cases. We understand that, as of the date of this Quarterly Report on Form 10-Q, all of these cases have either settled or been dismissed.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exhibits are incorporated by reference or filed as part of this report.</w:t>
      </w:r>
    </w:p>
    <w:p>
      <w:pPr>
        <w:sectPr>
          <w:pgSz w:w="11900" w:h="16838" w:orient="portrait"/>
          <w:cols w:equalWidth="0" w:num="1">
            <w:col w:w="10780"/>
          </w:cols>
          <w:pgMar w:left="240" w:top="459" w:right="879" w:bottom="1440" w:gutter="0" w:footer="0" w:header="0"/>
        </w:sect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b w:val="1"/>
          <w:bCs w:val="1"/>
          <w:u w:val="single" w:color="auto"/>
          <w:color w:val="auto"/>
        </w:rPr>
        <w:t>Description</w:t>
      </w:r>
    </w:p>
    <w:p>
      <w:pPr>
        <w:spacing w:after="0" w:line="225" w:lineRule="exact"/>
        <w:rPr>
          <w:sz w:val="20"/>
          <w:szCs w:val="20"/>
          <w:color w:val="auto"/>
        </w:rPr>
      </w:pPr>
    </w:p>
    <w:p>
      <w:pPr>
        <w:sectPr>
          <w:pgSz w:w="11900" w:h="16838" w:orient="portrait"/>
          <w:cols w:equalWidth="0" w:num="2">
            <w:col w:w="5140" w:space="720"/>
            <w:col w:w="4920"/>
          </w:cols>
          <w:pgMar w:left="240" w:top="459" w:right="879" w:bottom="1440" w:gutter="0" w:footer="0" w:header="0"/>
          <w:type w:val="continuous"/>
        </w:sectPr>
      </w:pPr>
    </w:p>
    <w:p>
      <w:pPr>
        <w:spacing w:after="0" w:line="31"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Paul Huff offer letter, dated January 28, 2011</w:t>
      </w:r>
    </w:p>
    <w:p>
      <w:pPr>
        <w:spacing w:after="0" w:line="225"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(Principal Executive Officer) pursuant to Section 302 of Sarbanes-Oxley Act of 2002</w:t>
      </w:r>
    </w:p>
    <w:p>
      <w:pPr>
        <w:spacing w:after="0" w:line="117" w:lineRule="exact"/>
        <w:rPr>
          <w:sz w:val="20"/>
          <w:szCs w:val="20"/>
          <w:color w:val="auto"/>
        </w:rPr>
      </w:pPr>
    </w:p>
    <w:p>
      <w:pPr>
        <w:ind w:left="12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President (Principal Financial Officer) pursuant to Section 302 of Sarbanes-Oxley Act of 2002</w:t>
      </w:r>
    </w:p>
    <w:p>
      <w:pPr>
        <w:spacing w:after="0" w:line="117" w:lineRule="exact"/>
        <w:rPr>
          <w:sz w:val="20"/>
          <w:szCs w:val="20"/>
          <w:color w:val="auto"/>
        </w:rPr>
      </w:pPr>
    </w:p>
    <w:p>
      <w:pPr>
        <w:ind w:left="960" w:hanging="841"/>
        <w:spacing w:after="0" w:line="268" w:lineRule="auto"/>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(Principal Executive Officer) and President (Principal Financial Officer) pursuant to Section 906 of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80"/>
          </w:cols>
          <w:pgMar w:left="240" w:top="459" w:right="8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MARIN</w:t>
      </w:r>
      <w:r>
        <w:rPr>
          <w:rFonts w:ascii="Arial" w:cs="Arial" w:eastAsia="Arial" w:hAnsi="Arial"/>
          <w:sz w:val="18"/>
          <w:szCs w:val="18"/>
          <w:color w:val="auto"/>
        </w:rPr>
        <w:t xml:space="preserve"> C</w:t>
      </w:r>
      <w:r>
        <w:rPr>
          <w:rFonts w:ascii="Arial" w:cs="Arial" w:eastAsia="Arial" w:hAnsi="Arial"/>
          <w:sz w:val="14"/>
          <w:szCs w:val="14"/>
          <w:color w:val="auto"/>
        </w:rPr>
        <w:t>ORPORATION</w:t>
      </w:r>
      <w:r>
        <w:rPr>
          <w:rFonts w:ascii="Arial" w:cs="Arial" w:eastAsia="Arial" w:hAnsi="Arial"/>
          <w:sz w:val="18"/>
          <w:szCs w:val="18"/>
          <w:color w:val="auto"/>
        </w:rPr>
        <w:t xml:space="preserve"> P</w:t>
      </w:r>
      <w:r>
        <w:rPr>
          <w:rFonts w:ascii="Arial" w:cs="Arial" w:eastAsia="Arial" w:hAnsi="Arial"/>
          <w:sz w:val="14"/>
          <w:szCs w:val="14"/>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7240"/>
        <w:spacing w:after="0"/>
        <w:tabs>
          <w:tab w:leader="none" w:pos="75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 xml:space="preserve">President </w:t>
      </w:r>
      <w:r>
        <w:rPr>
          <w:rFonts w:ascii="Arial" w:cs="Arial" w:eastAsia="Arial" w:hAnsi="Arial"/>
          <w:sz w:val="18"/>
          <w:szCs w:val="18"/>
          <w:color w:val="auto"/>
        </w:rPr>
        <w:t>(Principal Financial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14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180"/>
          </w:cols>
          <w:pgMar w:left="240" w:top="459" w:right="47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118110</wp:posOffset>
            </wp:positionV>
            <wp:extent cx="1749425" cy="38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4942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Mystic Packer Building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Roosevelt Ave, 3</w:t>
      </w:r>
      <w:r>
        <w:rPr>
          <w:rFonts w:ascii="Arial" w:cs="Arial" w:eastAsia="Arial" w:hAnsi="Arial"/>
          <w:sz w:val="11"/>
          <w:szCs w:val="11"/>
          <w:color w:val="auto"/>
        </w:rPr>
        <w:t>rd</w:t>
      </w:r>
      <w:r>
        <w:rPr>
          <w:rFonts w:ascii="Arial" w:cs="Arial" w:eastAsia="Arial" w:hAnsi="Arial"/>
          <w:sz w:val="18"/>
          <w:szCs w:val="18"/>
          <w:color w:val="auto"/>
        </w:rPr>
        <w:t xml:space="preserve">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Mystic, CT 06355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860-572-4979 Fax: 860-572-4940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Paul E. Huff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Paul,</w:t>
      </w:r>
    </w:p>
    <w:p>
      <w:pPr>
        <w:spacing w:after="0" w:line="171"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On behalf of Amarin Corporation plc and subsidiaries (“Amarin”), I am very pleased to extend an offer of employment to you for the position of Chief Commercial Officer, a Vice President of Amarin, responsible for all sales, marketing and market development activities for Amarin’s products and product candidates. In this position you will be reporting to John Thero, President. The position is offered on the following terms.</w:t>
      </w:r>
    </w:p>
    <w:p>
      <w:pPr>
        <w:spacing w:after="0" w:line="22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Date/Location</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will mutually agree upon your specific start date at Amarin which will be no later than January 28, 2011. The actual first date of your employment shall be referred to herein as the “Commencement Date.”</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Promptly after you commence employment, we will mutually agree upon a location in the New Jersey-area to create Amarin’s commercial office which location will become your principal place of work. Until such office is agreed to and established, your principal place of work shall be your home. You will be required to travel periodically to Amarin’s R&amp;D headquarters in Mystic, Connecticut and otherwise to the extent such travel is reasonably necessary to perform your duties hereunder.</w:t>
      </w:r>
    </w:p>
    <w:p>
      <w:pPr>
        <w:spacing w:after="0" w:line="25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Your semi-monthly salary will be $11,458.33 ($275,000 annualized), less appropriate withholdings.</w:t>
      </w:r>
    </w:p>
    <w:p>
      <w:pPr>
        <w:spacing w:after="0" w:line="28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Bonus Eligibility</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You will be eligible for an annual bonus of up to 35% of annual salary (pro-rated based on Commencement Date). Award of such bonus is based on determination of the company’s Remuneration Committee based on assessment of individual and corporate performance and achievement of goals.</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You will be recommended for 900,000 options to purchase Ordinary Shares in the Company, subject to approval by the Remuneration Committee at their first meeting following your Commencement Date. The exercise price per share of the options will be the closing price of the Company’s ADSs on the NASDAQ Capital Market on the latter of the date of grant or your start date. The options will vest and become exercisable in four equal annual instalments, beginning on the first anniversary of the date of grant and continuing on each of the following three anniversaries of the date of grant, so long as your employment continues through such vesting dates. The terms and conditions set forth in the applicable plan and stock option agreement shall govern any such option award, including with respect to acceleration in the event of a change of control.</w:t>
      </w:r>
    </w:p>
    <w:p>
      <w:pPr>
        <w:spacing w:after="0" w:line="236"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You will be eligible to participate in Amarin’s comprehensive benefits program which includes: medical and dental coverage for you and your eligible dependents; Amarin’s 401(k) Retirement Plan; life insurance; long term disability coverage; and a flexible spending account plan. We regularly review our benefits programs to keep them up to date and competitive. As a result, these programs are subject to periodic adjustments so that certain features may be added, modified or deleted over time.</w:t>
      </w:r>
    </w:p>
    <w:p>
      <w:pPr>
        <w:spacing w:after="0" w:line="25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Amarin shall reimburse you for all reasonable expenses you incur while carrying out your duties on behalf of Amarin provided that you follow the appropriate reimbursement claims procedure, including providing reasonable documentation of such expenses.</w:t>
      </w:r>
    </w:p>
    <w:p>
      <w:pPr>
        <w:spacing w:after="0" w:line="248"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Hours of Work</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Your normal hours of work are weekdays 8:30 am to 5:00 pm, although Amarin expects you to work such hours and at such times as may be reasonably necessary in order for you to carry out your duties effectively.</w:t>
      </w:r>
    </w:p>
    <w:p>
      <w:pPr>
        <w:spacing w:after="0" w:line="248"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Vacation</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are entitled to paid vacation of 15 business days, accrued monthly, prorated to date of hire. The vacation year is from January 1 to December 31 and unused vacation days up to a maximum of five may be carried forward to the subsequent year. Vacation must be taken at times convenient to Amarin and sufficient notice of intention to take vacation must be given.</w:t>
      </w:r>
    </w:p>
    <w:p>
      <w:pPr>
        <w:sectPr>
          <w:pgSz w:w="11900" w:h="16838" w:orient="portrait"/>
          <w:cols w:equalWidth="0" w:num="1">
            <w:col w:w="11420"/>
          </w:cols>
          <w:pgMar w:left="240" w:top="2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It is understood that your employment with the Company will be on an “at will” basis. In other words, you or the Company may terminate your employment for any reason and at any time, with or without cause. Although your job duties, title, compensation and benefits, as well as the Company’s benefit plans and personnel policies and procedures, may change from time to time, the “at will” nature of your employment may only be changed in an express written agreement signed by you and the Company.</w:t>
      </w:r>
    </w:p>
    <w:p>
      <w:pPr>
        <w:spacing w:after="0" w:line="25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Severance</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the event the Company terminates your employment without Cause (as defined below) or you terminate your employment with the Company for Good Reason (as defined below), the Company shall provide to you the following termination benefits (the “Termination Benefits”) for a period of six (6) months:</w:t>
      </w:r>
    </w:p>
    <w:p>
      <w:pPr>
        <w:spacing w:after="0" w:line="4" w:lineRule="exact"/>
        <w:rPr>
          <w:sz w:val="20"/>
          <w:szCs w:val="20"/>
          <w:color w:val="auto"/>
        </w:rPr>
      </w:pPr>
    </w:p>
    <w:p>
      <w:pPr>
        <w:ind w:left="900" w:right="8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continuation of your base salary at the rate then in effect in accordance with the terms of the Company’s standard payroll schedule (solely for purposes of Section 409A of the Internal Revenue Code of 1986, as amended, each payment is considered a separate payment (“Salary Continuation Payments”); and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continuation of group health plan benefits to the extent authorized by and consistent with 29 U.S.C. § 1161 et seq. (commonly known as “COBRA”), with the cost of the regular premium for such benefits shared in the same relative proportion by the Company and you as in effect on the date of termination.</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Notwithstanding anything to the contrary in this Offer Letter, you may not terminate your employment with the Company for Good Reason unless you satisfy the “Good Reason Process” which means that: (A) you determine in good faith that a Good Reason Condition has occurred; (B) you notify the Company in writing of the occurrence of the Good Reason Condition within 60 days of the occurrence of such condition; (C) you provide the Company with a period not less than 30 days following such notice (the “Cure Period”) to remedy the Good Reason Condition; (D) notwithstanding such efforts, the Good Reason Condition continues to exist; and (E) you terminate employment within 60 days after the end of the Cure Period. If the Company cures the Good Reason Condition during the Cure Period, Good Reason shall be deemed not to have occurred.</w:t>
      </w:r>
    </w:p>
    <w:p>
      <w:pPr>
        <w:spacing w:after="0" w:line="12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Notwithstanding anything to the contrary in this Offer Letter, you shall not be entitled to any Termination Benefits unless, within the time period specified by the Company not to exceed 30 days after the last day of your employment, you: (i) enter into, do not revoke, and comply with the terms of a separation agreement in a form reasonably acceptable to the Company which shall include a release against the Company and related persons and entities and a confirmation of</w:t>
      </w:r>
    </w:p>
    <w:p>
      <w:pPr>
        <w:sectPr>
          <w:pgSz w:w="11900" w:h="16838" w:orient="portrait"/>
          <w:cols w:equalWidth="0" w:num="1">
            <w:col w:w="11400"/>
          </w:cols>
          <w:pgMar w:left="240" w:top="28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your then existing post-employment obligations to the Company but shall not include any additional post-employment obligations or restrictions except for non-disparagement and post-employment litigation and regulatory cooperation; (ii) resign from any and all positions, including, without implication of limitation, as a director, trustee, and officer, that you then hold with the Company and any affiliate of the Company; and (iii) return all Company property and comply with any instructions related to deleting and purging duplicates of such Company property. The Salary Continuation Payments shall commence on the Company’s next regular payroll date that follows the thirty day period that immediately follows the Termination Date. All compensation and benefits payable to you, other than the Termination Benefits, shall terminate on the date of termination of your employment.</w:t>
      </w:r>
    </w:p>
    <w:p>
      <w:pPr>
        <w:spacing w:after="0" w:line="12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For purposes of this Offer Letter, “Cause” means (a) gross negligence or wilful misconduct in the performance of your duties which results in material harm to the Company or its affiliates; (b) your conviction of, or plea of nolo contendere to, (i) any felony or (ii) any other crime involving either moral turpitude or your personal enrichment at the expense of the Company or its affiliates; (c) your refusal to perform your lawful duties and responsibilities with the Company or its affiliates; or (d) the material breach by you of any of the provisions contained in the Employee Confidentiality and Assignment Agreement or any other written agreement by and between the you and the Company. For purposes of this Offer Letter, “Good Reason Condition” means a significant change in your responsibilities and/or duties which constitutes a material demotion or material diminution of duty. The ending of your employment as a result of your death or disability will not constitute a without Cause termination by the Company for purposes of this Offer Letter.</w:t>
      </w:r>
    </w:p>
    <w:p>
      <w:pPr>
        <w:spacing w:after="0" w:line="2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will be provided the opportunity to enter into the Deed of Indemnity offered to Amarin’s executive officers and directors.</w:t>
      </w:r>
    </w:p>
    <w:p>
      <w:pPr>
        <w:spacing w:after="0" w:line="287"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Regarding Other Obligations</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You also will be required to sign, as a condition of your employment, the Company’s Confidentiality/Non-Disclosure Agreement/Agreement to Assign Inventions and Patents (“Employee Agreement”). This offer is conditioned on your representation that you are not subject to any confidentiality, non-competition or other agreements that restrict your employment activities or that may affect your ability to devote full time and attention to your work at the Company. If you have entered into any agreement that may restrict your activities on behalf of the Company, please provide me with a copy of the agreement as soon as possible. You further represent that you have not used and will not use or disclose any trade secret or other proprietary right of any previous employer or any other party.</w:t>
      </w:r>
    </w:p>
    <w:p>
      <w:pPr>
        <w:sectPr>
          <w:pgSz w:w="11900" w:h="16838" w:orient="portrait"/>
          <w:cols w:equalWidth="0" w:num="1">
            <w:col w:w="11400"/>
          </w:cols>
          <w:pgMar w:left="240" w:top="280"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5"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Taxes; Section 409A</w:t>
      </w:r>
    </w:p>
    <w:p>
      <w:pPr>
        <w:spacing w:after="0" w:line="9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All forms of compensation referred to in this Offer Letter are subject to reduction to reflect applicable withholding and payroll taxes and other deductions required by law. You hereby acknowledge that the Company does not have a duty to design its compensation policies in a manner that minimizes your tax liabilities, and you will not make any claim against the Company or its board of directors related to tax liabilities arising from your compensation. Anything in this Offer Letter to the contrary notwithstanding, if at the time of your separation from service within the meaning of Section 409A of the Code, the Company determines that you are a “specified employee” within the meaning of Section 409A(a)(2)(B)(i) of the Code, then to the extent any payment or benefit that you becomes entitled to under this Agreement on account of your separation from service would be considered deferred compensation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your separation from service, or (B) your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 All in-kind benefits provided and expenses eligible for reimbursement under this Offer Letter shall be provided by the Company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To the extent that any payment or benefit described in this Agreement constitutes “non-qualified deferred compensation” under Section 409A of the Code, and to the extent that such payment or benefit is payable upon your termination of employment, then such payments or benefits shall be payable only upon your “separation from service.” The determination of whether and when a separation from service has occurred shall be made in accordance with the presumptions set forth in Treasury Regulation Section 1.409A-1(h). The Company and you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The Company makes no representation or warranty and shall have no liability to you or any other person if any provisions of this Agreement are determined to constitute deferred compensation subject to Section 409A of the Code but do not satisfy an exemption from, or the conditions of, such Section.</w:t>
      </w:r>
    </w:p>
    <w:p>
      <w:pPr>
        <w:sectPr>
          <w:pgSz w:w="11900" w:h="16838" w:orient="portrait"/>
          <w:cols w:equalWidth="0" w:num="1">
            <w:col w:w="11400"/>
          </w:cols>
          <w:pgMar w:left="240" w:top="28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5"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Amendment and Enforcement</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Offer Letter, the Employee Agreement, the Deed of Indemnity and any plans and agreements applicable to the stock option grants referred to in this Offer Letter constitute the complete agreement between you and the Company, contain all of the terms of your employment with the Company and supersede any prior agreements, representations or understandings (whether written, oral or implied) between you and the Company. The terms of this Offer will be governed by Connecticut law. You and the Company submit to the exclusive personal jurisdiction of the federal and state courts located in the State of Connecticut in connection with any dispute or any claim related to this Offer Letter.</w:t>
      </w:r>
    </w:p>
    <w:p>
      <w:pPr>
        <w:spacing w:after="0" w:line="258"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 addition, this offer is subject satisfactory background and reference checks as well as a Company-paid initial-employment physical and drug screen. As with all employees, our offer to you is also contingent on your submission of satisfactory proof of your identity and your legal authorization to work in the United States.</w:t>
      </w:r>
    </w:p>
    <w:p>
      <w:pPr>
        <w:spacing w:after="0" w:line="8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you decide to accept the offer on the above terms, please sign and return the copy of this Offer Letter no later than January 28, 2011 to John Thero, President, Amarin Corporation plc, Mystic Packer Building, 12 Roosevelt Avenue, Mystic, CT 06355.</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you joining our company, and we are confident you will have a successful and challenging career with Amarin.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Signed for and on behalf of:</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AMARIN CORPORATION PLC</w:t>
      </w:r>
    </w:p>
    <w:p>
      <w:pPr>
        <w:spacing w:after="0" w:line="21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John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John Thero, President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1/28/2011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Huff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28,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5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 accept the offer of employment for the position of Chief Commercial Officer under the terms and conditions stated above, and I hereby acknowledge that my employment is at-will, meaning that either Amarin or I may terminate my employment at any time, with or without notice, and with or without cause.</w:t>
      </w:r>
    </w:p>
    <w:p>
      <w:pPr>
        <w:spacing w:after="0" w:line="12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Signed:</w:t>
        <w:tab/>
        <w:t>/s/ Paul E. Huff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3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Paul E. Huff</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1/28/2011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10795</wp:posOffset>
            </wp:positionV>
            <wp:extent cx="24269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LIBB/1724094.2</w:t>
      </w:r>
    </w:p>
    <w:p>
      <w:pPr>
        <w:sectPr>
          <w:pgSz w:w="11900" w:h="16838" w:orient="portrait"/>
          <w:cols w:equalWidth="0" w:num="1">
            <w:col w:w="11140"/>
          </w:cols>
          <w:pgMar w:left="240" w:top="280" w:right="5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Joseph Zakrzewski, certify that:</w:t>
      </w:r>
    </w:p>
    <w:p>
      <w:pPr>
        <w:spacing w:after="0" w:line="9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26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5"/>
          <w:szCs w:val="15"/>
          <w:color w:val="auto"/>
        </w:rPr>
        <w:t>/s/ Joseph Zakrzewski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Joseph Zakrzewski</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90"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8240" w:val="left"/>
        </w:tabs>
        <w:rPr>
          <w:sz w:val="20"/>
          <w:szCs w:val="20"/>
          <w:color w:val="auto"/>
        </w:rPr>
      </w:pPr>
      <w:r>
        <w:rPr>
          <w:rFonts w:ascii="Arial" w:cs="Arial" w:eastAsia="Arial" w:hAnsi="Arial"/>
          <w:sz w:val="18"/>
          <w:szCs w:val="18"/>
          <w:color w:val="auto"/>
        </w:rPr>
        <w:t>Date: May 10, 2011</w:t>
      </w:r>
      <w:r>
        <w:rPr>
          <w:sz w:val="20"/>
          <w:szCs w:val="20"/>
          <w:color w:val="auto"/>
        </w:rPr>
        <w:tab/>
      </w:r>
      <w:r>
        <w:rPr>
          <w:rFonts w:ascii="Arial" w:cs="Arial" w:eastAsia="Arial" w:hAnsi="Arial"/>
          <w:sz w:val="15"/>
          <w:szCs w:val="15"/>
          <w:color w:val="auto"/>
        </w:rPr>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John F. Thero</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177" w:lineRule="exact"/>
        <w:rPr>
          <w:sz w:val="20"/>
          <w:szCs w:val="20"/>
          <w:color w:val="auto"/>
        </w:rPr>
      </w:pPr>
    </w:p>
    <w:p>
      <w:pPr>
        <w:ind w:right="620"/>
        <w:spacing w:after="0" w:line="306"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Joseph Zakrzweski, Chief Executive Officer (Principal Executive Officer) of Amarin Corporation plc and John F. Thero, President (Principal Financial Officer) of the Company, each hereby certifies that, to the best of his knowledge:</w:t>
      </w:r>
    </w:p>
    <w:p>
      <w:pPr>
        <w:spacing w:after="0" w:line="26" w:lineRule="exact"/>
        <w:rPr>
          <w:sz w:val="20"/>
          <w:szCs w:val="20"/>
          <w:color w:val="auto"/>
        </w:rPr>
      </w:pPr>
    </w:p>
    <w:p>
      <w:pPr>
        <w:ind w:left="460" w:right="2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2011, to which this Certification is attached as Exhibit 32.1 (the “Quarterly Report”) fully complies with the requirements of Section 13(a) or 15(d) of the Securities Exchange Act of 1934; and</w:t>
      </w:r>
    </w:p>
    <w:p>
      <w:pPr>
        <w:spacing w:after="0" w:line="5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 at the end of such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Zakrzewski</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May 10, 2011</w:t>
            </w:r>
          </w:p>
        </w:tc>
        <w:tc>
          <w:tcPr>
            <w:tcW w:w="5600" w:type="dxa"/>
            <w:vAlign w:val="bottom"/>
          </w:tcPr>
          <w:p>
            <w:pPr>
              <w:spacing w:after="0"/>
              <w:rPr>
                <w:sz w:val="20"/>
                <w:szCs w:val="20"/>
                <w:color w:val="auto"/>
              </w:rPr>
            </w:pPr>
            <w:r>
              <w:rPr>
                <w:rFonts w:ascii="Arial" w:cs="Arial" w:eastAsia="Arial" w:hAnsi="Arial"/>
                <w:sz w:val="18"/>
                <w:szCs w:val="18"/>
                <w:color w:val="auto"/>
              </w:rPr>
              <w:t>Joseph Zakrzweski</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Executive Officer (Principal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Date: May 10, 2011</w:t>
            </w:r>
          </w:p>
        </w:tc>
        <w:tc>
          <w:tcPr>
            <w:tcW w:w="560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22"/>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President (Principal Financial Officer)</w:t>
            </w:r>
          </w:p>
        </w:tc>
      </w:tr>
    </w:tbl>
    <w:p>
      <w:pPr>
        <w:spacing w:after="0" w:line="15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2"/>
    </w:lvl>
  </w:abstractNum>
  <w:abstractNum w:abstractNumId="4">
    <w:nsid w:val="7C83E458"/>
    <w:multiLevelType w:val="hybridMultilevel"/>
    <w:lvl w:ilvl="0">
      <w:lvlJc w:val="left"/>
      <w:lvlText w:val="(%1)"/>
      <w:numFmt w:val="lowerRoman"/>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4"/>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5"/>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2"/>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3"/>
    </w:lvl>
  </w:abstractNum>
  <w:abstractNum w:abstractNumId="17">
    <w:nsid w:val="4353D0CD"/>
    <w:multiLevelType w:val="hybridMultilevel"/>
    <w:lvl w:ilvl="0">
      <w:lvlJc w:val="left"/>
      <w:lvlText w:val="%1."/>
      <w:numFmt w:val="decimal"/>
      <w:start w:val="4"/>
    </w:lvl>
  </w:abstractNum>
  <w:abstractNum w:abstractNumId="18">
    <w:nsid w:val="B03E0C6"/>
    <w:multiLevelType w:val="hybridMultilevel"/>
    <w:lvl w:ilvl="0">
      <w:lvlJc w:val="left"/>
      <w:lvlText w:val="%1."/>
      <w:numFmt w:val="decimal"/>
      <w:start w:val="5"/>
    </w:lvl>
  </w:abstractNum>
  <w:abstractNum w:abstractNumId="19">
    <w:nsid w:val="189A769B"/>
    <w:multiLevelType w:val="hybridMultilevel"/>
    <w:lvl w:ilvl="0">
      <w:lvlJc w:val="left"/>
      <w:lvlText w:val="%1."/>
      <w:numFmt w:val="decimal"/>
      <w:start w:val="6"/>
    </w:lvl>
  </w:abstractNum>
  <w:abstractNum w:abstractNumId="20">
    <w:nsid w:val="54E49EB4"/>
    <w:multiLevelType w:val="hybridMultilevel"/>
    <w:lvl w:ilvl="0">
      <w:lvlJc w:val="left"/>
      <w:lvlText w:val="%1."/>
      <w:numFmt w:val="decimal"/>
      <w:start w:val="7"/>
    </w:lvl>
  </w:abstractNum>
  <w:abstractNum w:abstractNumId="21">
    <w:nsid w:val="71F32454"/>
    <w:multiLevelType w:val="hybridMultilevel"/>
    <w:lvl w:ilvl="0">
      <w:lvlJc w:val="left"/>
      <w:lvlText w:val="%1."/>
      <w:numFmt w:val="decimal"/>
      <w:start w:val="8"/>
    </w:lvl>
  </w:abstractNum>
  <w:abstractNum w:abstractNumId="22">
    <w:nsid w:val="2CA88611"/>
    <w:multiLevelType w:val="hybridMultilevel"/>
    <w:lvl w:ilvl="0">
      <w:lvlJc w:val="left"/>
      <w:lvlText w:val="%1."/>
      <w:numFmt w:val="decimal"/>
      <w:start w:val="9"/>
    </w:lvl>
  </w:abstractNum>
  <w:abstractNum w:abstractNumId="23">
    <w:nsid w:val="836C40E"/>
    <w:multiLevelType w:val="hybridMultilevel"/>
    <w:lvl w:ilvl="0">
      <w:lvlJc w:val="left"/>
      <w:lvlText w:val="%1."/>
      <w:numFmt w:val="decimal"/>
      <w:start w:val="10"/>
    </w:lvl>
  </w:abstractNum>
  <w:abstractNum w:abstractNumId="24">
    <w:nsid w:val="2901D82"/>
    <w:multiLevelType w:val="hybridMultilevel"/>
    <w:lvl w:ilvl="0">
      <w:lvlJc w:val="left"/>
      <w:lvlText w:val="(%1)"/>
      <w:numFmt w:val="lowerRoman"/>
      <w:start w:val="1"/>
    </w:lvl>
  </w:abstractNum>
  <w:abstractNum w:abstractNumId="25">
    <w:nsid w:val="3A95F874"/>
    <w:multiLevelType w:val="hybridMultilevel"/>
    <w:lvl w:ilvl="0">
      <w:lvlJc w:val="left"/>
      <w:lvlText w:val="%1."/>
      <w:numFmt w:val="decimal"/>
      <w:start w:val="11"/>
    </w:lvl>
  </w:abstractNum>
  <w:abstractNum w:abstractNumId="26">
    <w:nsid w:val="8138641"/>
    <w:multiLevelType w:val="hybridMultilevel"/>
    <w:lvl w:ilvl="0">
      <w:lvlJc w:val="left"/>
      <w:lvlText w:val="%1."/>
      <w:numFmt w:val="decimal"/>
      <w:start w:val="12"/>
    </w:lvl>
  </w:abstractNum>
  <w:abstractNum w:abstractNumId="27">
    <w:nsid w:val="1E7FF521"/>
    <w:multiLevelType w:val="hybridMultilevel"/>
    <w:lvl w:ilvl="0">
      <w:lvlJc w:val="left"/>
      <w:lvlText w:val="%1."/>
      <w:numFmt w:val="decimal"/>
      <w:start w:val="13"/>
    </w:lvl>
  </w:abstractNum>
  <w:abstractNum w:abstractNumId="28">
    <w:nsid w:val="7C3DBD3D"/>
    <w:multiLevelType w:val="hybridMultilevel"/>
    <w:lvl w:ilvl="0">
      <w:lvlJc w:val="left"/>
      <w:lvlText w:val="%1."/>
      <w:numFmt w:val="decimal"/>
      <w:start w:val="14"/>
    </w:lvl>
  </w:abstractNum>
  <w:abstractNum w:abstractNumId="29">
    <w:nsid w:val="737B8DDC"/>
    <w:multiLevelType w:val="hybridMultilevel"/>
    <w:lvl w:ilvl="0">
      <w:lvlJc w:val="left"/>
      <w:lvlText w:val="%1."/>
      <w:numFmt w:val="decimal"/>
      <w:start w:val="15"/>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2019-12-10T12:24:44Z</dcterms:created>
  <dcterms:modified xsi:type="dcterms:W3CDTF">2019-12-10T12:24:44Z</dcterms:modified>
</cp:coreProperties>
</file>