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Amarin Corporation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5380" w:type="dxa"/>
            <w:vAlign w:val="bottom"/>
          </w:tcPr>
          <w:p>
            <w:pPr>
              <w:jc w:val="center"/>
              <w:ind w:right="1564"/>
              <w:spacing w:after="0"/>
              <w:rPr>
                <w:sz w:val="20"/>
                <w:szCs w:val="20"/>
                <w:color w:val="auto"/>
              </w:rPr>
            </w:pPr>
            <w:r>
              <w:rPr>
                <w:rFonts w:ascii="Arial" w:cs="Arial" w:eastAsia="Arial" w:hAnsi="Arial"/>
                <w:sz w:val="18"/>
                <w:szCs w:val="18"/>
                <w:b w:val="1"/>
                <w:bCs w:val="1"/>
                <w:color w:val="auto"/>
                <w:w w:val="88"/>
              </w:rPr>
              <w:t>England and Wales</w:t>
            </w:r>
          </w:p>
        </w:tc>
        <w:tc>
          <w:tcPr>
            <w:tcW w:w="2940" w:type="dxa"/>
            <w:vAlign w:val="bottom"/>
          </w:tcPr>
          <w:p>
            <w:pPr>
              <w:jc w:val="center"/>
              <w:ind w:left="1584"/>
              <w:spacing w:after="0"/>
              <w:rPr>
                <w:sz w:val="20"/>
                <w:szCs w:val="20"/>
                <w:color w:val="auto"/>
              </w:rPr>
            </w:pPr>
            <w:r>
              <w:rPr>
                <w:rFonts w:ascii="Arial" w:cs="Arial" w:eastAsia="Arial" w:hAnsi="Arial"/>
                <w:sz w:val="18"/>
                <w:szCs w:val="18"/>
                <w:b w:val="1"/>
                <w:bCs w:val="1"/>
                <w:color w:val="auto"/>
                <w:w w:val="87"/>
              </w:rPr>
              <w:t>Not applicable</w:t>
            </w:r>
          </w:p>
        </w:tc>
      </w:tr>
      <w:tr>
        <w:trPr>
          <w:trHeight w:val="149"/>
        </w:trPr>
        <w:tc>
          <w:tcPr>
            <w:tcW w:w="5380" w:type="dxa"/>
            <w:vAlign w:val="bottom"/>
          </w:tcPr>
          <w:p>
            <w:pPr>
              <w:jc w:val="center"/>
              <w:ind w:right="15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40" w:type="dxa"/>
            <w:vAlign w:val="bottom"/>
          </w:tcPr>
          <w:p>
            <w:pPr>
              <w:jc w:val="center"/>
              <w:ind w:left="16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380" w:type="dxa"/>
            <w:vAlign w:val="bottom"/>
          </w:tcPr>
          <w:p>
            <w:pPr>
              <w:jc w:val="center"/>
              <w:ind w:right="1564"/>
              <w:spacing w:after="0"/>
              <w:rPr>
                <w:sz w:val="20"/>
                <w:szCs w:val="20"/>
                <w:color w:val="auto"/>
              </w:rPr>
            </w:pPr>
            <w:r>
              <w:rPr>
                <w:rFonts w:ascii="Arial" w:cs="Arial" w:eastAsia="Arial" w:hAnsi="Arial"/>
                <w:sz w:val="14"/>
                <w:szCs w:val="14"/>
                <w:b w:val="1"/>
                <w:bCs w:val="1"/>
                <w:color w:val="auto"/>
                <w:w w:val="89"/>
              </w:rPr>
              <w:t>Incorporation or Organization)</w:t>
            </w:r>
          </w:p>
        </w:tc>
        <w:tc>
          <w:tcPr>
            <w:tcW w:w="2940" w:type="dxa"/>
            <w:vAlign w:val="bottom"/>
          </w:tcPr>
          <w:p>
            <w:pPr>
              <w:jc w:val="center"/>
              <w:ind w:left="16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5380" w:type="dxa"/>
            <w:vAlign w:val="bottom"/>
          </w:tcPr>
          <w:p>
            <w:pPr>
              <w:jc w:val="center"/>
              <w:ind w:right="1584"/>
              <w:spacing w:after="0"/>
              <w:rPr>
                <w:sz w:val="20"/>
                <w:szCs w:val="20"/>
                <w:color w:val="auto"/>
              </w:rPr>
            </w:pPr>
            <w:r>
              <w:rPr>
                <w:rFonts w:ascii="Arial" w:cs="Arial" w:eastAsia="Arial" w:hAnsi="Arial"/>
                <w:sz w:val="18"/>
                <w:szCs w:val="18"/>
                <w:b w:val="1"/>
                <w:bCs w:val="1"/>
                <w:color w:val="auto"/>
                <w:w w:val="87"/>
              </w:rPr>
              <w:t>2 Pembroke House, Upper Pembroke Street 28-32</w:t>
            </w:r>
          </w:p>
        </w:tc>
        <w:tc>
          <w:tcPr>
            <w:tcW w:w="2940" w:type="dxa"/>
            <w:vAlign w:val="bottom"/>
          </w:tcPr>
          <w:p>
            <w:pPr>
              <w:jc w:val="center"/>
              <w:ind w:left="1584"/>
              <w:spacing w:after="0"/>
              <w:rPr>
                <w:sz w:val="20"/>
                <w:szCs w:val="20"/>
                <w:color w:val="auto"/>
              </w:rPr>
            </w:pPr>
            <w:r>
              <w:rPr>
                <w:rFonts w:ascii="Arial" w:cs="Arial" w:eastAsia="Arial" w:hAnsi="Arial"/>
                <w:sz w:val="18"/>
                <w:szCs w:val="18"/>
                <w:b w:val="1"/>
                <w:bCs w:val="1"/>
                <w:color w:val="auto"/>
                <w:w w:val="91"/>
              </w:rPr>
              <w:t>Dublin 2, Ireland</w:t>
            </w:r>
          </w:p>
        </w:tc>
      </w:tr>
      <w:tr>
        <w:trPr>
          <w:trHeight w:val="174"/>
        </w:trPr>
        <w:tc>
          <w:tcPr>
            <w:tcW w:w="5380" w:type="dxa"/>
            <w:vAlign w:val="bottom"/>
          </w:tcPr>
          <w:p>
            <w:pPr>
              <w:jc w:val="center"/>
              <w:ind w:right="156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40" w:type="dxa"/>
            <w:vAlign w:val="bottom"/>
          </w:tcPr>
          <w:p>
            <w:pPr>
              <w:jc w:val="center"/>
              <w:ind w:left="16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240" w:space="160"/>
            <w:col w:w="340" w:space="80"/>
            <w:col w:w="160" w:space="180"/>
            <w:col w:w="260" w:space="80"/>
            <w:col w:w="2920"/>
          </w:cols>
          <w:pgMar w:left="240" w:top="230" w:right="239" w:bottom="1440" w:gutter="0" w:footer="0" w:header="0"/>
          <w:type w:val="continuous"/>
        </w:sectPr>
      </w:pPr>
    </w:p>
    <w:p>
      <w:pPr>
        <w:ind w:right="500"/>
        <w:spacing w:after="0" w:line="268" w:lineRule="auto"/>
        <w:rPr>
          <w:sz w:val="20"/>
          <w:szCs w:val="20"/>
          <w:color w:val="auto"/>
        </w:rPr>
      </w:pPr>
      <w:r>
        <w:rPr>
          <w:rFonts w:ascii="Arial" w:cs="Arial" w:eastAsia="Arial" w:hAnsi="Arial"/>
          <w:sz w:val="18"/>
          <w:szCs w:val="18"/>
          <w:color w:val="auto"/>
        </w:rPr>
        <w:t>137,578,304 shares held as American Depository Shares (ADS), each representing one Ordinary Share, 50 pence par value per share, and 313,284 ordinary shares, were outstanding as of May 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60" w:type="dxa"/>
            <w:vAlign w:val="bottom"/>
            <w:gridSpan w:val="12"/>
            <w:vMerge w:val="restart"/>
          </w:tcPr>
          <w:p>
            <w:pPr>
              <w:jc w:val="center"/>
              <w:ind w:right="1940"/>
              <w:spacing w:after="0"/>
              <w:rPr>
                <w:sz w:val="20"/>
                <w:szCs w:val="20"/>
                <w:color w:val="auto"/>
              </w:rPr>
            </w:pPr>
            <w:r>
              <w:rPr>
                <w:rFonts w:ascii="Arial" w:cs="Arial" w:eastAsia="Arial" w:hAnsi="Arial"/>
                <w:sz w:val="18"/>
                <w:szCs w:val="18"/>
                <w:b w:val="1"/>
                <w:bCs w:val="1"/>
                <w:color w:val="auto"/>
                <w:w w:val="91"/>
              </w:rPr>
              <w:t>PART I –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60" w:type="dxa"/>
            <w:vAlign w:val="bottom"/>
            <w:gridSpan w:val="12"/>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6"/>
        </w:trPr>
        <w:tc>
          <w:tcPr>
            <w:tcW w:w="12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5"/>
          </w:tcPr>
          <w:p>
            <w:pPr>
              <w:spacing w:after="0"/>
              <w:rPr>
                <w:sz w:val="20"/>
                <w:szCs w:val="20"/>
                <w:color w:val="auto"/>
              </w:rPr>
            </w:pPr>
            <w:r>
              <w:rPr>
                <w:rFonts w:ascii="Arial" w:cs="Arial" w:eastAsia="Arial" w:hAnsi="Arial"/>
                <w:sz w:val="18"/>
                <w:szCs w:val="18"/>
                <w:color w:val="auto"/>
              </w:rPr>
              <w:t>Financial Statements:</w:t>
            </w:r>
          </w:p>
        </w:tc>
        <w:tc>
          <w:tcPr>
            <w:tcW w:w="2400" w:type="dxa"/>
            <w:vAlign w:val="bottom"/>
            <w:tcBorders>
              <w:top w:val="single" w:sz="8" w:color="auto"/>
            </w:tcBorders>
            <w:gridSpan w:val="6"/>
          </w:tcPr>
          <w:p>
            <w:pPr>
              <w:spacing w:after="0"/>
              <w:rPr>
                <w:sz w:val="24"/>
                <w:szCs w:val="24"/>
                <w:color w:val="auto"/>
              </w:rPr>
            </w:pPr>
          </w:p>
        </w:tc>
        <w:tc>
          <w:tcPr>
            <w:tcW w:w="380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00" w:type="dxa"/>
            <w:vAlign w:val="bottom"/>
            <w:tcBorders>
              <w:bottom w:val="single" w:sz="8" w:color="0000EE"/>
            </w:tcBorders>
            <w:gridSpan w:val="10"/>
          </w:tcPr>
          <w:p>
            <w:pPr>
              <w:spacing w:after="0" w:line="184"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at March 31, 2012 and December 31, 2011</w:t>
              </w:r>
            </w:hyperlink>
          </w:p>
        </w:tc>
        <w:tc>
          <w:tcPr>
            <w:tcW w:w="3880" w:type="dxa"/>
            <w:vAlign w:val="bottom"/>
            <w:gridSpan w:val="6"/>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for the three months ended March 31, 2012 and 2011</w:t>
              </w:r>
            </w:hyperlink>
          </w:p>
        </w:tc>
        <w:tc>
          <w:tcPr>
            <w:tcW w:w="24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8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Changes in (Deficit) Equity at March 31, 2012 and March 31,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40" w:type="dxa"/>
            <w:vAlign w:val="bottom"/>
            <w:tcBorders>
              <w:top w:val="single" w:sz="8" w:color="0000EE"/>
            </w:tcBorders>
            <w:gridSpan w:val="15"/>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for the three months ended March 31, 2012 and 2011</w:t>
              </w:r>
            </w:hyperlink>
          </w:p>
        </w:tc>
        <w:tc>
          <w:tcPr>
            <w:tcW w:w="23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4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Management’s Discussion and Analysis of Financial Condition and Results of Operations</w:t>
              </w:r>
            </w:hyperlink>
          </w:p>
        </w:tc>
        <w:tc>
          <w:tcPr>
            <w:tcW w:w="34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260" w:type="dxa"/>
            <w:vAlign w:val="bottom"/>
            <w:gridSpan w:val="4"/>
          </w:tcPr>
          <w:p>
            <w:pPr>
              <w:spacing w:after="0" w:line="196" w:lineRule="exact"/>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Quantitative and Qualitative Disclosures about Market Risk</w:t>
              </w:r>
            </w:hyperlink>
          </w:p>
        </w:tc>
        <w:tc>
          <w:tcPr>
            <w:tcW w:w="55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260" w:type="dxa"/>
            <w:vAlign w:val="bottom"/>
            <w:gridSpan w:val="4"/>
          </w:tcPr>
          <w:p>
            <w:pPr>
              <w:spacing w:after="0" w:line="196" w:lineRule="exact"/>
              <w:rPr>
                <w:sz w:val="20"/>
                <w:szCs w:val="20"/>
                <w:color w:val="auto"/>
              </w:rPr>
            </w:pPr>
            <w:r>
              <w:rPr>
                <w:rFonts w:ascii="Arial" w:cs="Arial" w:eastAsia="Arial" w:hAnsi="Arial"/>
                <w:sz w:val="18"/>
                <w:szCs w:val="18"/>
                <w:color w:val="auto"/>
              </w:rPr>
              <w:t>Item 4.</w:t>
            </w:r>
          </w:p>
        </w:tc>
        <w:tc>
          <w:tcPr>
            <w:tcW w:w="9780" w:type="dxa"/>
            <w:vAlign w:val="bottom"/>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20" w:type="dxa"/>
            <w:vAlign w:val="bottom"/>
            <w:gridSpan w:val="10"/>
          </w:tcPr>
          <w:p>
            <w:pPr>
              <w:jc w:val="center"/>
              <w:ind w:right="3900"/>
              <w:spacing w:after="0"/>
              <w:rPr>
                <w:sz w:val="20"/>
                <w:szCs w:val="20"/>
                <w:color w:val="auto"/>
              </w:rPr>
            </w:pPr>
            <w:r>
              <w:rPr>
                <w:rFonts w:ascii="Arial" w:cs="Arial" w:eastAsia="Arial" w:hAnsi="Arial"/>
                <w:sz w:val="18"/>
                <w:szCs w:val="18"/>
                <w:b w:val="1"/>
                <w:bCs w:val="1"/>
                <w:color w:val="auto"/>
                <w:w w:val="94"/>
              </w:rPr>
              <w:t>PART II –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2360" w:type="dxa"/>
            <w:vAlign w:val="bottom"/>
            <w:gridSpan w:val="3"/>
          </w:tcPr>
          <w:p>
            <w:pPr>
              <w:spacing w:after="0"/>
              <w:rPr>
                <w:sz w:val="24"/>
                <w:szCs w:val="24"/>
                <w:color w:val="auto"/>
              </w:rPr>
            </w:pPr>
          </w:p>
        </w:tc>
        <w:tc>
          <w:tcPr>
            <w:tcW w:w="2220" w:type="dxa"/>
            <w:vAlign w:val="bottom"/>
            <w:tcBorders>
              <w:top w:val="single" w:sz="8" w:color="auto"/>
            </w:tcBorders>
            <w:gridSpan w:val="3"/>
          </w:tcPr>
          <w:p>
            <w:pPr>
              <w:spacing w:after="0"/>
              <w:rPr>
                <w:sz w:val="24"/>
                <w:szCs w:val="24"/>
                <w:color w:val="auto"/>
              </w:rPr>
            </w:pPr>
          </w:p>
        </w:tc>
        <w:tc>
          <w:tcPr>
            <w:tcW w:w="39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260" w:type="dxa"/>
            <w:vAlign w:val="bottom"/>
            <w:gridSpan w:val="4"/>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Risk Factors</w:t>
              </w:r>
            </w:hyperlink>
          </w:p>
        </w:tc>
        <w:tc>
          <w:tcPr>
            <w:tcW w:w="89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260" w:type="dxa"/>
            <w:vAlign w:val="bottom"/>
            <w:gridSpan w:val="4"/>
          </w:tcPr>
          <w:p>
            <w:pPr>
              <w:spacing w:after="0" w:line="196" w:lineRule="exact"/>
              <w:rPr>
                <w:sz w:val="20"/>
                <w:szCs w:val="20"/>
                <w:color w:val="auto"/>
              </w:rPr>
            </w:pPr>
            <w:r>
              <w:rPr>
                <w:rFonts w:ascii="Arial" w:cs="Arial" w:eastAsia="Arial" w:hAnsi="Arial"/>
                <w:sz w:val="18"/>
                <w:szCs w:val="18"/>
                <w:color w:val="auto"/>
              </w:rPr>
              <w:t>Item 6.</w:t>
            </w:r>
          </w:p>
        </w:tc>
        <w:tc>
          <w:tcPr>
            <w:tcW w:w="9780" w:type="dxa"/>
            <w:vAlign w:val="bottom"/>
            <w:gridSpan w:val="1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26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600" w:type="dxa"/>
            <w:vAlign w:val="bottom"/>
            <w:tcBorders>
              <w:top w:val="single" w:sz="8" w:color="0000EE"/>
              <w:bottom w:val="single" w:sz="8" w:color="auto"/>
            </w:tcBorders>
          </w:tcPr>
          <w:p>
            <w:pPr>
              <w:spacing w:after="0" w:line="196" w:lineRule="exact"/>
              <w:rPr>
                <w:sz w:val="20"/>
                <w:szCs w:val="20"/>
                <w:color w:val="auto"/>
              </w:rPr>
            </w:pPr>
            <w:r>
              <w:rPr>
                <w:rFonts w:ascii="Arial" w:cs="Arial" w:eastAsia="Arial" w:hAnsi="Arial"/>
                <w:sz w:val="18"/>
                <w:szCs w:val="18"/>
                <w:color w:val="auto"/>
                <w:w w:val="89"/>
              </w:rPr>
              <w:t>EX-10.1</w:t>
            </w:r>
          </w:p>
        </w:tc>
        <w:tc>
          <w:tcPr>
            <w:tcW w:w="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EX-10.2</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EX-31.1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EX-31.2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EX-32.1</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March 31,</w:t>
            </w:r>
          </w:p>
        </w:tc>
        <w:tc>
          <w:tcPr>
            <w:tcW w:w="2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89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20" w:type="dxa"/>
            <w:vAlign w:val="bottom"/>
            <w:shd w:val="clear" w:color="auto" w:fill="CCEEFF"/>
          </w:tcPr>
          <w:p>
            <w:pPr>
              <w:ind w:left="4200"/>
              <w:spacing w:after="0" w:line="196" w:lineRule="exact"/>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245,822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Deferred tax asset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920" w:type="dxa"/>
            <w:vAlign w:val="bottom"/>
          </w:tcPr>
          <w:p>
            <w:pPr>
              <w:ind w:left="130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251,323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118,972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plant and equipment,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Deferred tax asset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7,368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 term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9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260,840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126,379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180"/>
              <w:spacing w:after="0"/>
              <w:rPr>
                <w:sz w:val="20"/>
                <w:szCs w:val="20"/>
                <w:color w:val="auto"/>
              </w:rPr>
            </w:pPr>
            <w:r>
              <w:rPr>
                <w:rFonts w:ascii="Arial" w:cs="Arial" w:eastAsia="Arial" w:hAnsi="Arial"/>
                <w:sz w:val="18"/>
                <w:szCs w:val="18"/>
                <w:b w:val="1"/>
                <w:bCs w:val="1"/>
                <w:color w:val="auto"/>
              </w:rPr>
              <w:t>LIABILITIES AND STOCKHOLDERS’ (DEFICIT) EQUITY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5,016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8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920" w:type="dxa"/>
            <w:vAlign w:val="bottom"/>
          </w:tcPr>
          <w:p>
            <w:pPr>
              <w:spacing w:after="0"/>
              <w:rPr>
                <w:sz w:val="20"/>
                <w:szCs w:val="20"/>
                <w:color w:val="auto"/>
              </w:rPr>
            </w:pPr>
            <w:r>
              <w:rPr>
                <w:rFonts w:ascii="Arial" w:cs="Arial" w:eastAsia="Arial" w:hAnsi="Arial"/>
                <w:sz w:val="18"/>
                <w:szCs w:val="18"/>
                <w:color w:val="auto"/>
              </w:rPr>
              <w:t>Long-Term Liabilities:</w:t>
            </w: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 derivative liability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191,387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Long term debt and other long-term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124,283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8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325,254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920" w:type="dxa"/>
            <w:vAlign w:val="bottom"/>
          </w:tcPr>
          <w:p>
            <w:pPr>
              <w:spacing w:after="0"/>
              <w:rPr>
                <w:sz w:val="20"/>
                <w:szCs w:val="20"/>
                <w:color w:val="auto"/>
              </w:rPr>
            </w:pPr>
            <w:r>
              <w:rPr>
                <w:rFonts w:ascii="Arial" w:cs="Arial" w:eastAsia="Arial" w:hAnsi="Arial"/>
                <w:sz w:val="18"/>
                <w:szCs w:val="18"/>
                <w:color w:val="auto"/>
              </w:rPr>
              <w:t>Commitments and contingencies (Note 5)</w:t>
            </w: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20" w:type="dxa"/>
            <w:vAlign w:val="bottom"/>
          </w:tcPr>
          <w:p>
            <w:pPr>
              <w:ind w:left="440"/>
              <w:spacing w:after="0"/>
              <w:rPr>
                <w:sz w:val="20"/>
                <w:szCs w:val="20"/>
                <w:color w:val="auto"/>
              </w:rPr>
            </w:pPr>
            <w:r>
              <w:rPr>
                <w:rFonts w:ascii="Arial" w:cs="Arial" w:eastAsia="Arial" w:hAnsi="Arial"/>
                <w:sz w:val="18"/>
                <w:szCs w:val="18"/>
                <w:color w:val="auto"/>
                <w:w w:val="93"/>
              </w:rPr>
              <w:t>Common stock, £0.50 par, unlimited authorized; 136,427,695 issued, 136,407,616 outstanding at March 31, 2012;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ind w:left="660"/>
              <w:spacing w:after="0"/>
              <w:rPr>
                <w:sz w:val="20"/>
                <w:szCs w:val="20"/>
                <w:color w:val="auto"/>
              </w:rPr>
            </w:pPr>
            <w:r>
              <w:rPr>
                <w:rFonts w:ascii="Arial" w:cs="Arial" w:eastAsia="Arial" w:hAnsi="Arial"/>
                <w:sz w:val="18"/>
                <w:szCs w:val="18"/>
                <w:color w:val="auto"/>
              </w:rPr>
              <w:t>135,832,542 issued, 135,812,463 outstanding at December 31, 2011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113,790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478,757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Treasury stock; 20,079 shares at March 31, 2012 and December 31, 2011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(656,744)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(568,459)</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920" w:type="dxa"/>
            <w:vAlign w:val="bottom"/>
          </w:tcPr>
          <w:p>
            <w:pPr>
              <w:ind w:left="1300"/>
              <w:spacing w:after="0"/>
              <w:rPr>
                <w:sz w:val="20"/>
                <w:szCs w:val="20"/>
                <w:color w:val="auto"/>
              </w:rPr>
            </w:pPr>
            <w:r>
              <w:rPr>
                <w:rFonts w:ascii="Arial" w:cs="Arial" w:eastAsia="Arial" w:hAnsi="Arial"/>
                <w:sz w:val="18"/>
                <w:szCs w:val="18"/>
                <w:color w:val="auto"/>
              </w:rPr>
              <w:t>Total stockholders’ deficit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(64,414)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116"/>
        </w:trPr>
        <w:tc>
          <w:tcPr>
            <w:tcW w:w="8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TOTAL LIABILITIES AND STOCKHOLDERS’ DEFICIT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260,840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8"/>
              </w:rPr>
              <w:t>Three months 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4,756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Marketing, general and administrative</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14,027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92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(18,783)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(Loss) gain on change in fair value of derivative liability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9240" w:type="dxa"/>
            <w:vAlign w:val="bottom"/>
            <w:gridSpan w:val="2"/>
          </w:tcPr>
          <w:p>
            <w:pPr>
              <w:spacing w:after="0"/>
              <w:rPr>
                <w:sz w:val="20"/>
                <w:szCs w:val="20"/>
                <w:color w:val="auto"/>
              </w:rPr>
            </w:pPr>
            <w:r>
              <w:rPr>
                <w:rFonts w:ascii="Arial" w:cs="Arial" w:eastAsia="Arial" w:hAnsi="Arial"/>
                <w:sz w:val="18"/>
                <w:szCs w:val="18"/>
                <w:color w:val="auto"/>
              </w:rPr>
              <w:t>(Loss) income from operations before taxes</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(88,875)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24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(88,285)</w:t>
            </w:r>
          </w:p>
        </w:tc>
        <w:tc>
          <w:tcPr>
            <w:tcW w:w="3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18,294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(Loss) income per share: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(0.65)</w:t>
            </w:r>
          </w:p>
        </w:tc>
        <w:tc>
          <w:tcPr>
            <w:tcW w:w="3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(0.65)</w:t>
            </w:r>
          </w:p>
        </w:tc>
        <w:tc>
          <w:tcPr>
            <w:tcW w:w="3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136,011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136,011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(DEFICIT)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6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earnings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2011</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135,832,542</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113,321</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449,393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shd w:val="clear" w:color="auto" w:fill="CCEEFF"/>
          </w:tcPr>
          <w:p>
            <w:pPr>
              <w:jc w:val="center"/>
              <w:ind w:left="276"/>
              <w:spacing w:after="0"/>
              <w:rPr>
                <w:sz w:val="20"/>
                <w:szCs w:val="20"/>
                <w:color w:val="auto"/>
              </w:rPr>
            </w:pPr>
            <w:r>
              <w:rPr>
                <w:rFonts w:ascii="Arial" w:cs="Arial" w:eastAsia="Arial" w:hAnsi="Arial"/>
                <w:sz w:val="18"/>
                <w:szCs w:val="18"/>
                <w:b w:val="1"/>
                <w:bCs w:val="1"/>
                <w:color w:val="auto"/>
                <w:w w:val="90"/>
              </w:rPr>
              <w:t>(217)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(568,459)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(5,962)</w:t>
            </w:r>
          </w:p>
        </w:tc>
        <w:tc>
          <w:tcPr>
            <w:tcW w:w="0" w:type="dxa"/>
            <w:vAlign w:val="bottom"/>
          </w:tcPr>
          <w:p>
            <w:pPr>
              <w:spacing w:after="0"/>
              <w:rPr>
                <w:sz w:val="1"/>
                <w:szCs w:val="1"/>
                <w:color w:val="auto"/>
              </w:rPr>
            </w:pPr>
          </w:p>
        </w:tc>
      </w:tr>
      <w:tr>
        <w:trPr>
          <w:trHeight w:val="322"/>
        </w:trPr>
        <w:tc>
          <w:tcPr>
            <w:tcW w:w="4280" w:type="dxa"/>
            <w:vAlign w:val="bottom"/>
            <w:gridSpan w:val="2"/>
          </w:tcPr>
          <w:p>
            <w:pPr>
              <w:spacing w:after="0"/>
              <w:rPr>
                <w:sz w:val="20"/>
                <w:szCs w:val="20"/>
                <w:color w:val="auto"/>
              </w:rPr>
            </w:pPr>
            <w:r>
              <w:rPr>
                <w:rFonts w:ascii="Arial" w:cs="Arial" w:eastAsia="Arial" w:hAnsi="Arial"/>
                <w:sz w:val="18"/>
                <w:szCs w:val="18"/>
                <w:color w:val="auto"/>
              </w:rPr>
              <w:t>Warrants exercised</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 of fair value of warrants exercised from</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liabilities to equity</w:t>
            </w:r>
          </w:p>
        </w:tc>
        <w:tc>
          <w:tcPr>
            <w:tcW w:w="11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Conversion option of exchangeable notes</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554,259</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438</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80" w:type="dxa"/>
            <w:vAlign w:val="bottom"/>
            <w:gridSpan w:val="2"/>
          </w:tcPr>
          <w:p>
            <w:pPr>
              <w:spacing w:after="0"/>
              <w:rPr>
                <w:sz w:val="20"/>
                <w:szCs w:val="20"/>
                <w:color w:val="auto"/>
              </w:rPr>
            </w:pPr>
            <w:r>
              <w:rPr>
                <w:rFonts w:ascii="Arial" w:cs="Arial" w:eastAsia="Arial" w:hAnsi="Arial"/>
                <w:sz w:val="18"/>
                <w:szCs w:val="18"/>
                <w:color w:val="auto"/>
                <w:w w:val="99"/>
              </w:rPr>
              <w:t>Tax benefits realized from stock-based compensation</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issued for services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80" w:type="dxa"/>
            <w:vAlign w:val="bottom"/>
            <w:gridSpan w:val="2"/>
          </w:tcPr>
          <w:p>
            <w:pPr>
              <w:spacing w:after="0"/>
              <w:rPr>
                <w:sz w:val="20"/>
                <w:szCs w:val="20"/>
                <w:color w:val="auto"/>
              </w:rPr>
            </w:pPr>
            <w:r>
              <w:rPr>
                <w:rFonts w:ascii="Arial" w:cs="Arial" w:eastAsia="Arial" w:hAnsi="Arial"/>
                <w:sz w:val="18"/>
                <w:szCs w:val="18"/>
                <w:color w:val="auto"/>
              </w:rPr>
              <w:t>Share based compensation</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(88,285)</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(88,285)</w:t>
            </w:r>
          </w:p>
        </w:tc>
        <w:tc>
          <w:tcPr>
            <w:tcW w:w="0" w:type="dxa"/>
            <w:vAlign w:val="bottom"/>
          </w:tcPr>
          <w:p>
            <w:pPr>
              <w:spacing w:after="0"/>
              <w:rPr>
                <w:sz w:val="1"/>
                <w:szCs w:val="1"/>
                <w:color w:val="auto"/>
              </w:rPr>
            </w:pPr>
          </w:p>
        </w:tc>
      </w:tr>
      <w:tr>
        <w:trPr>
          <w:trHeight w:val="20"/>
        </w:trPr>
        <w:tc>
          <w:tcPr>
            <w:tcW w:w="4280" w:type="dxa"/>
            <w:vAlign w:val="bottom"/>
            <w:tcBorders>
              <w:right w:val="single" w:sz="8" w:color="auto"/>
            </w:tcBorders>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At March 31, 2012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136,427,695</w:t>
            </w:r>
          </w:p>
        </w:tc>
        <w:tc>
          <w:tcPr>
            <w:tcW w:w="260" w:type="dxa"/>
            <w:vAlign w:val="bottom"/>
          </w:tcPr>
          <w:p>
            <w:pPr>
              <w:spacing w:after="0"/>
              <w:rPr>
                <w:sz w:val="24"/>
                <w:szCs w:val="24"/>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113,790</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478,757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tcPr>
          <w:p>
            <w:pPr>
              <w:jc w:val="center"/>
              <w:ind w:left="276"/>
              <w:spacing w:after="0"/>
              <w:rPr>
                <w:sz w:val="20"/>
                <w:szCs w:val="20"/>
                <w:color w:val="auto"/>
              </w:rPr>
            </w:pPr>
            <w:r>
              <w:rPr>
                <w:rFonts w:ascii="Arial" w:cs="Arial" w:eastAsia="Arial" w:hAnsi="Arial"/>
                <w:sz w:val="18"/>
                <w:szCs w:val="18"/>
                <w:b w:val="1"/>
                <w:bCs w:val="1"/>
                <w:color w:val="auto"/>
                <w:w w:val="90"/>
              </w:rPr>
              <w:t>(217)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(656,744)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(64,414)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8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11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5"/>
              </w:rPr>
              <w:t>earnings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2010</w:t>
            </w:r>
          </w:p>
        </w:tc>
        <w:tc>
          <w:tcPr>
            <w:tcW w:w="11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106,856,731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90,465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206,718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(217)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(499,333)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(202,367)</w:t>
            </w:r>
          </w:p>
        </w:tc>
        <w:tc>
          <w:tcPr>
            <w:tcW w:w="0" w:type="dxa"/>
            <w:vAlign w:val="bottom"/>
          </w:tcPr>
          <w:p>
            <w:pPr>
              <w:spacing w:after="0"/>
              <w:rPr>
                <w:sz w:val="1"/>
                <w:szCs w:val="1"/>
                <w:color w:val="auto"/>
              </w:rPr>
            </w:pPr>
          </w:p>
        </w:tc>
      </w:tr>
      <w:tr>
        <w:trPr>
          <w:trHeight w:val="322"/>
        </w:trPr>
        <w:tc>
          <w:tcPr>
            <w:tcW w:w="4280" w:type="dxa"/>
            <w:vAlign w:val="bottom"/>
            <w:gridSpan w:val="2"/>
          </w:tcPr>
          <w:p>
            <w:pPr>
              <w:spacing w:after="0"/>
              <w:rPr>
                <w:sz w:val="20"/>
                <w:szCs w:val="20"/>
                <w:color w:val="auto"/>
              </w:rPr>
            </w:pPr>
            <w:r>
              <w:rPr>
                <w:rFonts w:ascii="Arial" w:cs="Arial" w:eastAsia="Arial" w:hAnsi="Arial"/>
                <w:sz w:val="18"/>
                <w:szCs w:val="18"/>
                <w:color w:val="auto"/>
              </w:rPr>
              <w:t>Warrants exercised</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4,557,364</w:t>
            </w:r>
          </w:p>
        </w:tc>
        <w:tc>
          <w:tcPr>
            <w:tcW w:w="14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2,813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left="256"/>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6,454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 of fair value of warrants exercised from</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liabilities to equity</w:t>
            </w:r>
          </w:p>
        </w:tc>
        <w:tc>
          <w:tcPr>
            <w:tcW w:w="11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29,229</w:t>
            </w:r>
          </w:p>
        </w:tc>
        <w:tc>
          <w:tcPr>
            <w:tcW w:w="1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center"/>
              <w:ind w:left="256"/>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4280" w:type="dxa"/>
            <w:vAlign w:val="bottom"/>
            <w:gridSpan w:val="2"/>
          </w:tcPr>
          <w:p>
            <w:pPr>
              <w:spacing w:after="0"/>
              <w:rPr>
                <w:sz w:val="20"/>
                <w:szCs w:val="20"/>
                <w:color w:val="auto"/>
              </w:rPr>
            </w:pPr>
            <w:r>
              <w:rPr>
                <w:rFonts w:ascii="Arial" w:cs="Arial" w:eastAsia="Arial" w:hAnsi="Arial"/>
                <w:sz w:val="18"/>
                <w:szCs w:val="18"/>
                <w:color w:val="auto"/>
              </w:rPr>
              <w:t>Shares issued in January financing</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13,800,000</w:t>
            </w:r>
          </w:p>
        </w:tc>
        <w:tc>
          <w:tcPr>
            <w:tcW w:w="14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10,723</w:t>
            </w:r>
          </w:p>
        </w:tc>
        <w:tc>
          <w:tcPr>
            <w:tcW w:w="12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87,948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left="256"/>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98,671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1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994,749</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932</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left="256"/>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80" w:type="dxa"/>
            <w:vAlign w:val="bottom"/>
            <w:gridSpan w:val="2"/>
          </w:tcPr>
          <w:p>
            <w:pPr>
              <w:spacing w:after="0"/>
              <w:rPr>
                <w:sz w:val="20"/>
                <w:szCs w:val="20"/>
                <w:color w:val="auto"/>
              </w:rPr>
            </w:pPr>
            <w:r>
              <w:rPr>
                <w:rFonts w:ascii="Arial" w:cs="Arial" w:eastAsia="Arial" w:hAnsi="Arial"/>
                <w:sz w:val="18"/>
                <w:szCs w:val="18"/>
                <w:color w:val="auto"/>
              </w:rPr>
              <w:t>Shares issued for services</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685</w:t>
            </w:r>
          </w:p>
        </w:tc>
        <w:tc>
          <w:tcPr>
            <w:tcW w:w="140" w:type="dxa"/>
            <w:vAlign w:val="bottom"/>
          </w:tcPr>
          <w:p>
            <w:pPr>
              <w:spacing w:after="0"/>
              <w:rPr>
                <w:sz w:val="24"/>
                <w:szCs w:val="24"/>
                <w:color w:val="auto"/>
              </w:rPr>
            </w:pPr>
          </w:p>
        </w:tc>
        <w:tc>
          <w:tcPr>
            <w:tcW w:w="11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left="256"/>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11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1,540</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left="256"/>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80" w:type="dxa"/>
            <w:vAlign w:val="bottom"/>
            <w:gridSpan w:val="2"/>
          </w:tcPr>
          <w:p>
            <w:pPr>
              <w:spacing w:after="0"/>
              <w:rPr>
                <w:sz w:val="20"/>
                <w:szCs w:val="20"/>
                <w:color w:val="auto"/>
              </w:rPr>
            </w:pPr>
            <w:r>
              <w:rPr>
                <w:rFonts w:ascii="Arial" w:cs="Arial" w:eastAsia="Arial" w:hAnsi="Arial"/>
                <w:sz w:val="18"/>
                <w:szCs w:val="18"/>
                <w:color w:val="auto"/>
              </w:rPr>
              <w:t>Income for the period</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left="256"/>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18,294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18,294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2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March 31, 2011</w:t>
            </w:r>
          </w:p>
        </w:tc>
        <w:tc>
          <w:tcPr>
            <w:tcW w:w="11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126,209,529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105,621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329,186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(217)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(481,039)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(46,449)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8"/>
              </w:rPr>
              <w:t>Three Months 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8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(loss) income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(88,285)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income to net cash used in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Stock-based compensation—warrants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for services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Excess tax benefit from stock-based awards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(1,884)</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 payable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Loss (gain) on change in fair value of derivative liability</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66,209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(3,131)</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Change in lease liability</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Other non-current liabilities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(17,737)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(8,809)</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Arial" w:cs="Arial" w:eastAsia="Arial" w:hAnsi="Arial"/>
                <w:sz w:val="18"/>
                <w:szCs w:val="18"/>
                <w:b w:val="1"/>
                <w:bCs w:val="1"/>
                <w:color w:val="auto"/>
              </w:rPr>
              <w:t>CASH FLOWS FROM INVESTING ACTIVITIES:</w:t>
            </w:r>
          </w:p>
        </w:tc>
        <w:tc>
          <w:tcPr>
            <w:tcW w:w="1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CASH FLOWS FROM FINANCING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98,671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exchangeable debt, net of transaction costs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144,316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Excess tax benefit from stock-based awards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147,049</w:t>
            </w: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116,602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31,442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6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245,822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200"/>
              <w:spacing w:after="0"/>
              <w:rPr>
                <w:sz w:val="20"/>
                <w:szCs w:val="20"/>
                <w:color w:val="auto"/>
              </w:rPr>
            </w:pPr>
            <w:r>
              <w:rPr>
                <w:rFonts w:ascii="Arial" w:cs="Arial" w:eastAsia="Arial" w:hAnsi="Arial"/>
                <w:sz w:val="18"/>
                <w:szCs w:val="18"/>
                <w:color w:val="auto"/>
              </w:rPr>
              <w:t>Supplemental disclosure of cash flow information:</w:t>
            </w: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76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Interest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640"/>
              <w:spacing w:after="0"/>
              <w:rPr>
                <w:sz w:val="20"/>
                <w:szCs w:val="20"/>
                <w:color w:val="auto"/>
              </w:rPr>
            </w:pPr>
            <w:r>
              <w:rPr>
                <w:rFonts w:ascii="Arial" w:cs="Arial" w:eastAsia="Arial" w:hAnsi="Arial"/>
                <w:sz w:val="18"/>
                <w:szCs w:val="18"/>
                <w:color w:val="auto"/>
              </w:rPr>
              <w:t>Non-cash transactions:</w:t>
            </w: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76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Transfer from derivative liability to equity, fair value of warrants exercised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28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Amarin Corporation plc, “Amarin” or the “Company”, is a public limited company with its primary stock market listing in the United States on the NASDAQ Global Market. Amarin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Amarin is a late-stage biopharmaceutical company with expertise in lipid science focused on the treatment of cardiovascular disease. The Company’s lead product candidate is AMR101, an ultra-pure omega-3 fatty acid, comprising not less than 96% ultra pure icosapent ethyl, or ethyl-EPA. Amarin is developing AMR101 for the treatment of patients with very high triglyceride levels and high triglyceride levels, or hypertriglyceridemia. Triglycerides are fats in the blood.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Prior to 2004, the Company was in the business of selling a previous biopharmaceutical compound, which has since been discontinued. The Company’s current focus is on the development and commercialization of AMR101, which is still under development and not available for sale. However, the Company is not considered a development stage business, as the release and sale of the previous product represented the exit of the Company from the development stage.</w:t>
      </w:r>
    </w:p>
    <w:p>
      <w:pPr>
        <w:spacing w:after="0" w:line="100"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At March 31, 2012, the Company had cash and cash equivalents of $245.8 million. The Company’s consolidated balance sheet also includes a significant derivative liability (see footnote 3—Warrants and Derivative Liability) reflecting the fair value of outstanding warrants to purchase shares of the Company’s common stock. This liability can only be settled in shares of the Company’s stock and, as such, would only result in cash inflows upon the exercise of the warrants—not a cash outflow. Accordingly, this warrant derivative liability presents neither a short nor long-term claim on the liquid assets of the Company.</w:t>
      </w:r>
    </w:p>
    <w:p>
      <w:pPr>
        <w:spacing w:after="0" w:line="113"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On January 9, 2012, Amarin, through its wholly-owned subsidiary Corsicanto Limited, a private limited company incorporated under the laws of Ireland, completed a private placement of $150.0 million in aggregate principal amount of its 3.5% exchangeable senior notes due 2032 resulting in net proceeds to the Company of $144.3 million. The notes are the senior unsecured obligations of Corsicanto Limited and are guaranteed by Amarin.</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believes its cash, including the net proceeds from the January 2012 financing, will be sufficient to fund its projected operations for at least the next twelve months, including advancement of the REDUCE-IT cardiovascular outcomes study, commercial preparation and, subject to regulatory approval, projected launch of AMR101, working capital and other general corporate activities. This is based on management’s current operational plans and activities at normal levels and does not assume any cash inflows from partnerships, warrant exercises or other dilutive or non-dilutive financings in the long-term.</w:t>
      </w:r>
    </w:p>
    <w:p>
      <w:pPr>
        <w:spacing w:after="0" w:line="228" w:lineRule="exact"/>
        <w:rPr>
          <w:sz w:val="20"/>
          <w:szCs w:val="20"/>
          <w:color w:val="auto"/>
        </w:rPr>
      </w:pPr>
    </w:p>
    <w:p>
      <w:pPr>
        <w:ind w:left="240" w:right="8640" w:hanging="232"/>
        <w:spacing w:after="0" w:line="417" w:lineRule="auto"/>
        <w:tabs>
          <w:tab w:leader="none" w:pos="458"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Cash and Cash Equivalents</w:t>
      </w:r>
    </w:p>
    <w:p>
      <w:pPr>
        <w:spacing w:after="0" w:line="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Cash and cash equivalents consist of cash, deposits held at call with banks, and short-term highly liquid instruments with remaining maturities at the date of purchase of 90 days or less.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Marketing, General and Administrative Costs</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Warrant related expense from non-cash changes in fair value of the warrant derivative liability associated with warrants issued in October 2009 to former officers of Amarin is recorded as compensation expense and classified as part of marketing, general and administrative costs, net of warrants exercised.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Net (Loss) Income per Share</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Basic net (loss) income per share is determined by dividing net (loss) income by the weighted average shares of common stock outstanding during the period. Diluted net (loss) income per share is determined by dividing net (loss) income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both basic and diluted net (loss) income per share: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 thousands, except per share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43"/>
              <w:spacing w:after="0"/>
              <w:rPr>
                <w:sz w:val="20"/>
                <w:szCs w:val="20"/>
                <w:color w:val="auto"/>
              </w:rPr>
            </w:pPr>
            <w:r>
              <w:rPr>
                <w:rFonts w:ascii="Arial" w:cs="Arial" w:eastAsia="Arial" w:hAnsi="Arial"/>
                <w:sz w:val="14"/>
                <w:szCs w:val="14"/>
                <w:b w:val="1"/>
                <w:bCs w:val="1"/>
                <w:color w:val="auto"/>
                <w:w w:val="85"/>
              </w:rPr>
              <w:t>amounts)</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78"/>
              <w:spacing w:after="0" w:line="129" w:lineRule="exact"/>
              <w:rPr>
                <w:sz w:val="20"/>
                <w:szCs w:val="20"/>
                <w:color w:val="auto"/>
              </w:rPr>
            </w:pPr>
            <w:r>
              <w:rPr>
                <w:rFonts w:ascii="Arial" w:cs="Arial" w:eastAsia="Arial" w:hAnsi="Arial"/>
                <w:sz w:val="14"/>
                <w:szCs w:val="14"/>
                <w:b w:val="1"/>
                <w:bCs w:val="1"/>
                <w:color w:val="auto"/>
                <w:w w:val="89"/>
              </w:rPr>
              <w:t>March 31,</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(88,285</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06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136,011</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123,426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employee stock options and warrants</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06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136,011</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 (loss) income per share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Diluted (loss) income per share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Potentially dilutive securities representing approximately 51.5 million and 1.1 million shares of common stock for the three month period ended March 31, 2012 and March 31, 2011, respectively, were excluded from the computation of diluted earnings per share because their effect would have been anti-dilutive.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compensation cost over the requisite service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or a Monte Carlo simulation depending on the nature of instrument.</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the terms of warrants that initially require the warrants to be classified as derivative financial liabilities lapse, the derivative financial liability is reclassified out of financial liabilities into equity at its fair value on that date. At settlement date, if the instruments are settled in shares the carrying value of the warrants are derecognised and transferred to equity at their fair value at that date. The cash proceeds received from exercises of warrants are recorded in common stock and additional paid-in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statement of operations as interest expense at each period end while such instruments are outstanding. If the Company issues shares to discharge the liability, the debt obligation is derecognized and common stock and additional paid-in capital are recognized on the issuance of those shares.</w:t>
      </w:r>
    </w:p>
    <w:p>
      <w:pPr>
        <w:spacing w:after="0" w:line="107"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Our exchangeable notes contain a conversion option which is classified as equity. The fair value of the liability component of the debt instrument was deducted from the initial proceeds to determine the proceeds to be allocated to the conversion option. The embedded conversion option is indexed to the Company’s stock and treated as equity on the balance sheet. The conversion option is evaluated on a quarterly basis to determine if it still meets the criteria to be equity classified. The excess principal amount of the debt over the carrying value of the liability is amortized over its estimated life.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year-end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income, net in the consolidated financial statements of operations. For transactions settled during the period, gains and losses are included in other income, net in the consolidated statements of operations. Foreign exchange gains (and losses) have not been significant in the periods presented.</w:t>
      </w:r>
    </w:p>
    <w:p>
      <w:pPr>
        <w:sectPr>
          <w:pgSz w:w="11900" w:h="16838" w:orient="portrait"/>
          <w:cols w:equalWidth="0" w:num="1">
            <w:col w:w="11360"/>
          </w:cols>
          <w:pgMar w:left="240" w:top="459" w:right="299" w:bottom="234" w:gutter="0" w:footer="0" w:header="0"/>
        </w:sectPr>
      </w:pP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60"/>
          </w:cols>
          <w:pgMar w:left="240" w:top="459" w:right="299" w:bottom="234"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presents information about the Company’s liability as of March 31, 2012 and December 31, 2011 that is measured at fair value on a recurring basis and indicates the fair value hierarchy of the valuation techniques the Company utilized to determine such fair value:</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presents information about the Company’s liability as of March 31, 2012 and December 31, 2011 that is measured at fair value on a recurring basis and indicates the fair value hierarchy of the valuation techniques the Company utilized to determine such fair value:</w:t>
      </w:r>
    </w:p>
    <w:p>
      <w:pPr>
        <w:spacing w:after="0" w:line="2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March 31, 2012</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1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37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60" w:type="dxa"/>
            <w:vAlign w:val="bottom"/>
            <w:gridSpan w:val="2"/>
          </w:tcPr>
          <w:p>
            <w:pPr>
              <w:spacing w:after="0"/>
              <w:rPr>
                <w:sz w:val="20"/>
                <w:szCs w:val="20"/>
                <w:color w:val="auto"/>
              </w:rPr>
            </w:pPr>
            <w:r>
              <w:rPr>
                <w:rFonts w:ascii="Arial" w:cs="Arial" w:eastAsia="Arial" w:hAnsi="Arial"/>
                <w:sz w:val="18"/>
                <w:szCs w:val="18"/>
                <w:color w:val="auto"/>
              </w:rPr>
              <w:t>Warrant derivative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191,387</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191,387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2011</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1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39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60" w:type="dxa"/>
            <w:vAlign w:val="bottom"/>
            <w:gridSpan w:val="2"/>
          </w:tcPr>
          <w:p>
            <w:pPr>
              <w:spacing w:after="0"/>
              <w:rPr>
                <w:sz w:val="20"/>
                <w:szCs w:val="20"/>
                <w:color w:val="auto"/>
              </w:rPr>
            </w:pPr>
            <w:r>
              <w:rPr>
                <w:rFonts w:ascii="Arial" w:cs="Arial" w:eastAsia="Arial" w:hAnsi="Arial"/>
                <w:sz w:val="18"/>
                <w:szCs w:val="18"/>
                <w:color w:val="auto"/>
              </w:rPr>
              <w:t>Warrant derivative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123,125</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123,125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December 31, 2011, the fair value of the warrant derivative liability was determined to be $123.1 million using the Black-Scholes option valuation model applying the following assumptions: (i) risk-free rate of 0.36%, (ii) remaining term of 2.8 years, (iii) no dividend yield (iv) volatility of 118%, and (v) the stock price on the date of measurement.</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March 31, 2012, the fair value of the warrant derivative liability was determined to be $191.4 million using the Black-Scholes option valuation model applying the following assumptions: (i) risk-free rate of 0.42%, (ii) remaining term of 2.5 years, (iii) no dividend yield (iv) volatility of 119%, and (v) the stock price on the date of measurement. The $68.3 million increase in the fair value of the warrant liability during the three months ended March 31, 2012 was recognized as: (i) a $0.3 million transfer from warrant liability to additional paid-in capital for the fair value of warrants exercised during the three months ended March 31, 2012, (ii) a $66.2 million loss on change in fair value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remaining derivative liability and (iii) $2.4 million compensation expense for change in fair value of warrants issued to former employees, both amounts are included in the consolidated statement of operations for the three months ended March 31, 2012. The change in the fair value of the warrant derivative liability is as follows (in thousands):</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October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00" w:type="dxa"/>
            <w:vAlign w:val="bottom"/>
            <w:gridSpan w:val="2"/>
          </w:tcPr>
          <w:p>
            <w:pPr>
              <w:jc w:val="center"/>
              <w:ind w:left="337"/>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Warrants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$230,069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60" w:type="dxa"/>
            <w:vAlign w:val="bottom"/>
            <w:gridSpan w:val="2"/>
          </w:tcPr>
          <w:p>
            <w:pPr>
              <w:spacing w:after="0"/>
              <w:rPr>
                <w:sz w:val="20"/>
                <w:szCs w:val="20"/>
                <w:color w:val="auto"/>
              </w:rPr>
            </w:pPr>
            <w:r>
              <w:rPr>
                <w:rFonts w:ascii="Arial" w:cs="Arial" w:eastAsia="Arial" w:hAnsi="Arial"/>
                <w:sz w:val="18"/>
                <w:szCs w:val="18"/>
                <w:color w:val="auto"/>
              </w:rPr>
              <w:t>Gain on change in fair value of derivative liability</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(25,342)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4"/>
              </w:rPr>
              <w:t>Compensation income for change in fair value of warrants issued to former employees</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Transfers to equity</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(29,229)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2011</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174,819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October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00" w:type="dxa"/>
            <w:vAlign w:val="bottom"/>
            <w:gridSpan w:val="2"/>
          </w:tcPr>
          <w:p>
            <w:pPr>
              <w:jc w:val="center"/>
              <w:ind w:left="337"/>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Warrants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$123,125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60" w:type="dxa"/>
            <w:vAlign w:val="bottom"/>
            <w:gridSpan w:val="2"/>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66,209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3"/>
              </w:rPr>
              <w:t>Compensation expense for change in fair value of warrants issued to former employees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Transfers to equity</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191,387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fair value of this warrant liability is determined using the Black-Scholes option valuation model and is therefore sensitive to changes in the market price of our common stock among other factors. In the event of a hypothetical 10% increase in the market price of our common stock ($12.45 based on the $11.32 market price of our stock at March 31, 2012) on which the March 31, 2012 valuation was based, the value would have increased by $20.7 million. Such increase would have been reflected as additional loss on revaluation of the warrant liability in our statement of operations. Significant increases (decreases) in this input in isolation would result in a significantly higher (lower) fair value asset measurement.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three months ended March 31, 2012 and 2011, the Company has reported its business as a single reporting segment. The Company’s chief decision maker, who is the Chief Executive Officer, regularly evaluates the Company on a consolidated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the Company as of the specified effective date. 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25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Derivative Liability</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had 21,066,363 warrants to purchase common shares outstanding at March 31, 2012 at a weighted-average exercise price of $1.48, as summarized in the following table:</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Issue Date</w:t>
            </w:r>
          </w:p>
        </w:tc>
        <w:tc>
          <w:tcPr>
            <w:tcW w:w="4140" w:type="dxa"/>
            <w:vAlign w:val="bottom"/>
          </w:tcPr>
          <w:p>
            <w:pPr>
              <w:spacing w:after="0"/>
              <w:rPr>
                <w:sz w:val="15"/>
                <w:szCs w:val="15"/>
                <w:color w:val="auto"/>
              </w:rPr>
            </w:pPr>
          </w:p>
        </w:tc>
        <w:tc>
          <w:tcPr>
            <w:tcW w:w="860" w:type="dxa"/>
            <w:vAlign w:val="bottom"/>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tcPr>
          <w:p>
            <w:pPr>
              <w:ind w:left="600"/>
              <w:spacing w:after="0"/>
              <w:rPr>
                <w:sz w:val="20"/>
                <w:szCs w:val="20"/>
                <w:color w:val="auto"/>
              </w:rPr>
            </w:pPr>
            <w:r>
              <w:rPr>
                <w:rFonts w:ascii="Arial" w:cs="Arial" w:eastAsia="Arial" w:hAnsi="Arial"/>
                <w:sz w:val="14"/>
                <w:szCs w:val="14"/>
                <w:b w:val="1"/>
                <w:bCs w:val="1"/>
                <w:color w:val="auto"/>
                <w:w w:val="83"/>
              </w:rPr>
              <w:t>Exercise Price</w:t>
            </w:r>
          </w:p>
        </w:tc>
        <w:tc>
          <w:tcPr>
            <w:tcW w:w="1640" w:type="dxa"/>
            <w:vAlign w:val="bottom"/>
            <w:gridSpan w:val="3"/>
          </w:tcPr>
          <w:p>
            <w:pPr>
              <w:ind w:left="600"/>
              <w:spacing w:after="0"/>
              <w:rPr>
                <w:sz w:val="20"/>
                <w:szCs w:val="20"/>
                <w:color w:val="auto"/>
              </w:rPr>
            </w:pPr>
            <w:r>
              <w:rPr>
                <w:rFonts w:ascii="Arial" w:cs="Arial" w:eastAsia="Arial" w:hAnsi="Arial"/>
                <w:sz w:val="14"/>
                <w:szCs w:val="14"/>
                <w:b w:val="1"/>
                <w:bCs w:val="1"/>
                <w:color w:val="auto"/>
                <w:w w:val="99"/>
              </w:rPr>
              <w:t>Expiration Date</w:t>
            </w:r>
          </w:p>
        </w:tc>
        <w:tc>
          <w:tcPr>
            <w:tcW w:w="0" w:type="dxa"/>
            <w:vAlign w:val="bottom"/>
          </w:tcPr>
          <w:p>
            <w:pPr>
              <w:spacing w:after="0"/>
              <w:rPr>
                <w:sz w:val="1"/>
                <w:szCs w:val="1"/>
                <w:color w:val="auto"/>
              </w:rPr>
            </w:pPr>
          </w:p>
        </w:tc>
      </w:tr>
      <w:tr>
        <w:trPr>
          <w:trHeight w:val="203"/>
        </w:trPr>
        <w:tc>
          <w:tcPr>
            <w:tcW w:w="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4/27/07</w:t>
            </w:r>
          </w:p>
        </w:tc>
        <w:tc>
          <w:tcPr>
            <w:tcW w:w="4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17,500</w:t>
            </w:r>
          </w:p>
        </w:tc>
        <w:tc>
          <w:tcPr>
            <w:tcW w:w="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17.90</w:t>
            </w:r>
          </w:p>
        </w:tc>
        <w:tc>
          <w:tcPr>
            <w:tcW w:w="6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1/17/2014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6/1/07</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55,737</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5/31/12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9"/>
              </w:rPr>
              <w:t>12/5/07</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516,300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w w:val="99"/>
              </w:rPr>
              <w:t>7/31/09</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138,888</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7/30/14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9"/>
              </w:rPr>
              <w:t>7/31/09</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1,666,000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w w:val="85"/>
              </w:rPr>
              <w:t>10/16/09</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18,024,888</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10/15/14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85"/>
              </w:rPr>
              <w:t>10/16/09</w:t>
            </w:r>
          </w:p>
        </w:tc>
        <w:tc>
          <w:tcPr>
            <w:tcW w:w="4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647,050</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20" w:type="dxa"/>
            <w:vAlign w:val="bottom"/>
          </w:tcPr>
          <w:p>
            <w:pPr>
              <w:spacing w:after="0"/>
              <w:rPr>
                <w:sz w:val="24"/>
                <w:szCs w:val="24"/>
                <w:color w:val="auto"/>
              </w:rPr>
            </w:pPr>
          </w:p>
        </w:tc>
        <w:tc>
          <w:tcPr>
            <w:tcW w:w="5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21,066,363</w:t>
            </w:r>
          </w:p>
        </w:tc>
        <w:tc>
          <w:tcPr>
            <w:tcW w:w="84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140" w:type="dxa"/>
            <w:vAlign w:val="bottom"/>
            <w:vMerge w:val="restart"/>
          </w:tcPr>
          <w:p>
            <w:pPr>
              <w:jc w:val="right"/>
              <w:ind w:right="292"/>
              <w:spacing w:after="0"/>
              <w:rPr>
                <w:sz w:val="20"/>
                <w:szCs w:val="20"/>
                <w:color w:val="auto"/>
              </w:rPr>
            </w:pPr>
            <w:r>
              <w:rPr>
                <w:rFonts w:ascii="Arial" w:cs="Arial" w:eastAsia="Arial" w:hAnsi="Arial"/>
                <w:sz w:val="18"/>
                <w:szCs w:val="18"/>
                <w:color w:val="auto"/>
              </w:rPr>
              <w:t>8</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October 2009 Warrants</w:t>
      </w:r>
    </w:p>
    <w:p>
      <w:pPr>
        <w:spacing w:after="0" w:line="9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at an exercise price of $1.50 per ADS. The total number of warrants issued in conjunction with the financing was 35.2 million.</w:t>
      </w:r>
    </w:p>
    <w:p>
      <w:pPr>
        <w:spacing w:after="0" w:line="14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warrants issued in connection with the October 2009 financing contained a pricing variability feature which provided for an increase to the exercise price if the exchange rate between the U.S. dollar and British pound adjusts such that the warrants could be issued at a price less than the £0.5 par value of the common stock – 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 The fair value of this warrant derivative liability is remeasured at each reporting period, with changes in fair value recognized in the statement of operations. The fair value of the warrants at December 31, 2011 was determined to be approximately $123.1 million using the Black-Scholes option pricing model.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Although the warrants contain a pricing variability feature, the number of common shares issuable under the warrants remains fixed. Therefore, as of March 31,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2012 the maximum number of common shares issuable as a result of the October 2009 private placement is 18.7 million. During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2012, approximately 40,000 of the October 2009 warrants were exercised, resulting in gross proceeds to the Company of approximately $0.1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2011, approximately 3.9 million of the October 2009 warrants were exercised, resulting in gross proceeds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of approximately $5.9 million. Upon exercise, the fair value of the warrants exercised is remeasured and reclassified from warrant liability to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paid-in capital. During the three months ended March 31, 2012 and 2011, the fair value of the exercised warrants of $0.3 million and $29.2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transferred from warrant liability to additional paid in capital with the change in the fair value on the exercise date recognized in the statement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warrant liability at March 31, 2012 for the remaining warrants was determined to be approximately $191.4 million.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a loss on change in fair value of derivative liability of $66.2 million and compensation expense of $2.4 million for the three month period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2012. The Company recognized a gain on change in fair value of derivative liability of $25.3 million and compensation income of $0.7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month period ended March 31, 2011.</w:t>
      </w:r>
    </w:p>
    <w:p>
      <w:pPr>
        <w:spacing w:after="0" w:line="28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Exchangeable Senior Notes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January 2012, the Company issued $150.0 million in principal amount of 3.5% Exchangeable Senior Notes due 2032 (the “Notes”). The Notes were issued by Corsicanto Limited, an Irish limited company acquired by Amarin in January 2012. Corsicanto Limited is a wholly-owned subsidiary of Amarin. The general, unsecured, senior obligations are guaranteed by Amarin. Net proceeds to the Company, after payment of underwriting fees and estimated expenses, were approximately $144.3 million.</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Notes have a stated interest rate of 3.5% per year, payable semiannually in arrears on January 15 and July 15 of each year beginning on July 15, 2012, and ending upon the Notes’ maturity on January 15, 2032. The Notes are subject to repurchase by the Company at the option of the holders on each of January 19, 2017, January 19, 2022, and January 19, 2027, at a price equal to 100% of the principal amount of the Notes to be repurchased, plus accrued and unpaid interest to, but excluding, the repurchase date. The Notes are exchangeable under certain circumstances into cash, ADSs, or a combination of cash and ADSs, at the Company’s election, with an initial exchange rate of 113.4752 ADSs per $1,000 principal amount of Notes. If the Company elected physical settlement, the Notes would initially be exchangeable into 17,021,280 ADSs. Based on the closing price of the Company’s stock at March 31, 2012, the value of the shares if converted on that date would exceed the principal amount of the Notes by $42.7 million.</w:t>
      </w:r>
    </w:p>
    <w:p>
      <w:pPr>
        <w:spacing w:after="0" w:line="11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Additional covenants include: (i) limitations on any future indebtedness, (ii) the timely filing of documents and reports pursuant to Section 13 or 15(d) of the Exchange Act with both the SEC and the Trustee, and (iii) maintaining the tradability of the Notes. The Company is required to use commercially reasonable efforts to procure and maintain the listing of the Notes on the Global Exchange Market operated under the supervision of the Irish Stock Exchange (or other recognized stock exchange as defined in the Note Indenture) prior to July 15, 2012. If the Notes are not freely tradable, as a result of restrictions pursuant to U.S. securities law or the terms of the Indenture or the Notes, the Company shall pay additional interest on the Notes at the rate of 0.50% per annum of the principal amount of Notes outstanding for each day during such period for which the Company’s failure to file has occurred and is continuing or for which the Notes are not freely tradable. On April 24, 2012 the Notes were admitted to the Global Exchange Market of the Irish Stock Exchange.</w:t>
      </w:r>
    </w:p>
    <w:p>
      <w:pPr>
        <w:spacing w:after="0" w:line="11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Company may not redeem the Notes prior to January 19, 2017, other than in connection with certain changes in the tax law of a relevant taxing jurisdiction that results in additional amounts becoming due with respect to payments and/or deliveries on the Note. On or after January 19, 2017 and prior to the maturity date, the Company may redeem for cash all or part of the Notes at a redemption price equal to 100% of the principal amount of the Notes to be redeemed, plus accrued and unpaid interest to, but excluding, the redemption date. No sinking fund is provided for the Notes. If the Company undergoes a fundamental change, holders may require the Company to repurchase for cash all or part of their Notes at a repurchase price equal to 100% of the principal amount of the Notes to be repurchased, plus accrued and unpaid interest to, but excluding, the fundamental change repurchase date. The Notes are the Company’s senior unsecured obligations and rank senior in right of payment to the Company’s future indebtedness that is expressly subordinated in right of payment to the Notes and equal in right of payment to the Company’s future unsecured indebtedness that is not so subordinated. The Notes are effectively junior in right of payment to future secured indebtedness to the extent of the value of the assets securing such indebtedness.</w:t>
      </w:r>
    </w:p>
    <w:p>
      <w:pPr>
        <w:spacing w:after="0" w:line="12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Notes are exchangeable under certain circumstances, and the proceeds allocated to this conversion option was determined to be $23.8 million and was deducted from the initial fair value of the $150.0 million debt obligation. The conversion option will not be subsequently remeasured as long as it continues to meet conditions for equity classification. The Notes fell under Level 3 of the fair value hierarchy. The Company determined the fair value of the liability component of the Notes to be $126.2 million, and the excess of the principal amount of the liability component over the liability is the amount allocated to the conversion option and also results in a discount on the debt. The discount created from allocating proceeds to the conversion option will be amortized to interest expense using the effective interest method over the Notes’ estimated remaining life, which was calculated to be a period of twenty-four months, and the effective interest rate of the Notes is 13.5%. As of March 31, 2012, the unamortized discount created from the allocation of the proceeds to the conversion option was $21.5 million.</w:t>
      </w:r>
    </w:p>
    <w:p>
      <w:pPr>
        <w:spacing w:after="0" w:line="14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Company also recorded a debt discount to reflect the value of the underwriter’s discounts and offering costs. A portion of the debt discount from underwriters discounts and offering costs was the equity and liability components of the Notes in proportion to the proceeds allocated to each component. The portion of the</w:t>
      </w:r>
    </w:p>
    <w:p>
      <w:pPr>
        <w:sectPr>
          <w:pgSz w:w="11900" w:h="16966" w:orient="portrait"/>
          <w:cols w:equalWidth="0" w:num="1">
            <w:col w:w="11420"/>
          </w:cols>
          <w:pgMar w:left="240" w:top="459" w:right="239" w:bottom="0" w:gutter="0" w:footer="0" w:header="0"/>
        </w:sectPr>
      </w:pPr>
    </w:p>
    <w:bookmarkStart w:id="11" w:name="page12"/>
    <w:bookmarkEnd w:id="11"/>
    <w:p>
      <w:pPr>
        <w:spacing w:after="0" w:line="291" w:lineRule="auto"/>
        <w:rPr>
          <w:sz w:val="20"/>
          <w:szCs w:val="20"/>
          <w:color w:val="auto"/>
        </w:rPr>
      </w:pPr>
      <w:r>
        <w:rPr>
          <w:rFonts w:ascii="Arial" w:cs="Arial" w:eastAsia="Arial" w:hAnsi="Arial"/>
          <w:sz w:val="16"/>
          <w:szCs w:val="16"/>
          <w:color w:val="auto"/>
        </w:rPr>
        <w:t>debt discount from underwriters discounts and offering costs allocated to the liability component is being amortized as interest expense over the estimated remaining life of the Notes of twenty-four months. As of March 31, 2012, the unamortized debt discount was $4.3 million was recorded as a direct reduction of debt on the balance sheet. The carrying value of the Notes, net of the unamortized discount, was $124.2 million. During the three months ended March 31, 2012, the Company recognized interest expense of $4.0 million related to the Notes, of which $2.3 million represents amortization of the debt discount created upon allocation of proceeds to the conversion option, $1.2 million represents contractual coupon interest, and $0.5 million represents the amortization of the discount from the underwriter’s discounts and offering costs.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13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Royalty and Milestone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certain milestone and royalty obligations under several product development agreements, as follows:</w:t>
      </w:r>
    </w:p>
    <w:p>
      <w:pPr>
        <w:spacing w:after="0" w:line="90" w:lineRule="exact"/>
        <w:rPr>
          <w:sz w:val="20"/>
          <w:szCs w:val="20"/>
          <w:color w:val="auto"/>
        </w:rPr>
      </w:pPr>
    </w:p>
    <w:p>
      <w:pPr>
        <w:ind w:left="900" w:right="160" w:hanging="325"/>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2010 supply agreement with the Company’s existing Japan-based supplier: (i) a one-time non-refundable payment of $0.5 million is due to the supplier upon the first marketing approval of AMR101 in the United States (ii) the Company is subject to minimum supply purchase commitments; and (iii) if the Company is not successful in obtaining NDA approval for AMR101, a penalty equal to the facility expansion costs incurred by the supplier to meet the supply demands, not to exceed $5.0 million, less any profits paid to the supplier for purchased materials under the existing agreement;</w:t>
      </w:r>
    </w:p>
    <w:p>
      <w:pPr>
        <w:spacing w:after="0" w:line="61" w:lineRule="exact"/>
        <w:rPr>
          <w:rFonts w:ascii="Arial" w:cs="Arial" w:eastAsia="Arial" w:hAnsi="Arial"/>
          <w:sz w:val="18"/>
          <w:szCs w:val="18"/>
          <w:color w:val="auto"/>
        </w:rPr>
      </w:pPr>
    </w:p>
    <w:p>
      <w:pPr>
        <w:ind w:left="900" w:hanging="325"/>
        <w:spacing w:after="0" w:line="289"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signed two agreements in 2011 for the supply of API materials for AMR101. These agreements provide access to additional API supply that is incremental to supply from its existing Japan-based API supplier. These agreements include requirements for the suppliers to qualify their materials and facilities. The Company anticipates incurring certain costs associated with the qualification of product produced by these suppliers. Following FDA approval of AMR101, these agreements include annual purchase levels to enable Amarin to maintain exclusivity with each respective supplier, and to prevent potential termination of the agreements. Because the Company has not yet obtained FDA approval for AMR101, no liability has been recorded. The 2011 supply agreements also include (i) development fees up to a maximum of $0.5 million (ii) material commitments of up to $5.0 million for initial raw materials, which will be credited against future API purchases and is refundable to Amarin if the supplier does not successfully develop and qualify the API by a certain date and (iii) a raw material purchase commitment of $1.1 million.</w:t>
      </w:r>
    </w:p>
    <w:p>
      <w:pPr>
        <w:spacing w:after="0" w:line="37"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Concurrent with its entry into one of the two agreements entered into in 2011 for the supply of API materials for AMR101, Amarin agreed to make a noncontrolling minority share equity investment in the supplier of up to $3.3 million. In July 2011, the Company invested $1.7 million under this agreement, which has been included in other long term assets and accounted for under the cost method at March 31, 2012.</w:t>
      </w:r>
    </w:p>
    <w:p>
      <w:pPr>
        <w:spacing w:after="0" w:line="25"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the 2009 Lorazepam sale agreement with Elan, Elan did not assume any obligations under a related Neurostat development agreement and, as a result, Amarin retained a potential obligation to make a $0.2 million milestone payment to Neurostat, contingent upon the drug being tested by Elan in an efficacy study.</w:t>
      </w:r>
    </w:p>
    <w:p>
      <w:pPr>
        <w:spacing w:after="0" w:line="59" w:lineRule="exact"/>
        <w:rPr>
          <w:rFonts w:ascii="Arial" w:cs="Arial" w:eastAsia="Arial" w:hAnsi="Arial"/>
          <w:sz w:val="18"/>
          <w:szCs w:val="18"/>
          <w:color w:val="auto"/>
        </w:rPr>
      </w:pPr>
    </w:p>
    <w:p>
      <w:pPr>
        <w:ind w:left="900" w:right="60" w:hanging="325"/>
        <w:spacing w:after="0" w:line="29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Under the 2004 share repurchase agreement with Laxdale Limited, in connection with commercialization of AMR101 for cardiovascular indications, prior to the end of 2012 the Company is required to pay potential royalties to a former employee of Laxdale of 1% on net sales up to £100 million (approximately $160 million at March 31, 2012); 0.5% for net sales between £100 million (approximately $160 million at March 31, 2012) and £500 million (approximately $799 million at March 31, 2012); and 0.25% for sales in excess of £500 million (approximately $799 million at March 31, 2012). These royalty obligations terminate on December 31, 2012.</w:t>
      </w:r>
    </w:p>
    <w:p>
      <w:pPr>
        <w:spacing w:after="0" w:line="34" w:lineRule="exact"/>
        <w:rPr>
          <w:rFonts w:ascii="Arial" w:cs="Arial" w:eastAsia="Arial" w:hAnsi="Arial"/>
          <w:sz w:val="16"/>
          <w:szCs w:val="16"/>
          <w:color w:val="auto"/>
        </w:rPr>
      </w:pPr>
    </w:p>
    <w:p>
      <w:pPr>
        <w:ind w:left="900" w:right="80" w:hanging="325"/>
        <w:spacing w:after="0" w:line="289"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Also under the 2004 share repurchase agreement with Laxdale Limited, upon receipt of marketing approval in the U.S. and/or Europe for the first indication for AMR101 (or first indication of any product containing Amarin Neuroscience intellectual property acquired from Laxdale Limited in 2004), the Company must make an aggregate stock or cash payment to the former shareholders of Laxdale Limited (at the sole option of each of the sellers) of £7.5 million (approximately $12 million at March 31, 2012) for each of the two potential marketing approvals (i.e. £15 million maximum, or approximately $24 million at March 31, 2012). In addition, upon receipt of a marketing approval in the U.S. or Europe for a further indication of AMR101 (or further indication of any other product using Amarin Neuroscience intellectual property), the Company must make an aggregate stock or cash payment (at the sole option of each of the sellers) of £5 million (approximately $8 million at March 31, 2012) for each of the two potential market approvals (i.e. £10 million maximum, or approximately $16 million at March 31, 2012).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provision for any of the obligations above since the amounts are either not probable or estimable at March 31, 2012.</w:t>
      </w:r>
    </w:p>
    <w:p>
      <w:pPr>
        <w:spacing w:after="0" w:line="287" w:lineRule="exact"/>
        <w:rPr>
          <w:sz w:val="20"/>
          <w:szCs w:val="20"/>
          <w:color w:val="auto"/>
        </w:rPr>
      </w:pPr>
    </w:p>
    <w:p>
      <w:pPr>
        <w:ind w:left="240" w:right="10140" w:hanging="232"/>
        <w:spacing w:after="0" w:line="417" w:lineRule="auto"/>
        <w:tabs>
          <w:tab w:leader="none" w:pos="458"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i w:val="1"/>
          <w:iCs w:val="1"/>
          <w:u w:val="single" w:color="auto"/>
          <w:color w:val="auto"/>
        </w:rPr>
        <w:t>Common stock</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2012, the Company issued 554,259 shares as a result of the exercise of stock options, resulting in gross proceeds of</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$0.8 million and net proceeds of $0.79 million. In addition the Company issued 40,000 shares as a result of the exercise of warrants, resulting in gross proceeds of $0.06 million and net proceeds of $0.059 million.</w:t>
      </w:r>
    </w:p>
    <w:p>
      <w:pPr>
        <w:spacing w:after="0" w:line="13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February 1, 2012, the Company granted 584,400 restricted stock units (“RSU’s”) to several employees under the Amarin Corporation plc 2011 Stock Incentive Plan. These RSUs vest upon the achievement of certain regulatory and time-based milestones and expire on February 1, 2015 if none of the milestones are achieved by such date. The RSUs will become fully vested upon a change of control of the Company. Upon vesting of each RSU, the participant shall be entitled to a payment equal to the fair market value of one share of Amarin common stock. The payment shall be paid to the participant in cash, or at the sole discretion of the Compensation Committee in shares or a combination of cash or shares. The fair value of the RSUs were determined on the date of grant, and compensation expense related to the RSUs is recognized once the related milestone is deemed probable. The Company recorded expense of $0.4 million during the period ended March 31, 2012 related to the vesting of the RSUs.</w:t>
      </w:r>
    </w:p>
    <w:p>
      <w:pPr>
        <w:spacing w:after="0" w:line="11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During the three months ended March 31, 2011, the Company issued 994,749 shares as a result of the exercise of stock options, resulting in gross proceeds of $1.75 million and net proceeds of $1.72 million. In addition the Company issued 4,557,364 shares as a result of the exercise of warrants, resulting in gross proceeds of $6.6 million and net proceeds of $6.5 million.</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January 2011, Amarin sold 13.8 million common shares to both existing and new investors at a price of $7.60 per share, resulting in gross proceeds of $104.9 million and net proceeds of $98.7 million.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2011 and below under Part II, Item IA, “Risk Factors”.</w:t>
      </w:r>
    </w:p>
    <w:p>
      <w:pPr>
        <w:spacing w:after="0" w:line="120"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are a late-stage biopharmaceutical company with expertise in lipid science focused on the treatment of cardiovascular disease. Our lead product candidate is AMR101, an ultra-pure omega-3 fatty acid, comprising not less than 96% ultra pure icosapent ethyl, or ethyl-EPA. We are developing AMR101 for the treatment of patients with very high triglyceride levels and high triglyceride levels, or hypertriglyceridemia. Triglycerides are fats in the blood.</w:t>
      </w:r>
    </w:p>
    <w:p>
      <w:pPr>
        <w:spacing w:after="0" w:line="1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September 2011, we filed a New Drug Application, or NDA, with the U.S. Food and Drug Administration, or FDA, seeking marketing approval for the use of AMR101 in the treatment of patients with very high triglyceride levels (³500 mg/dL), or what we refer to as the MARINE indication. The FDA has assigned a Prescription Drug User Fee Act, or PDUFA, date of July 26, 2012 for the completion of its review of this NDA. The NDA for the MARINE indication is supported by a Special Protocol Assessment, or SPA, agreement with the FDA.</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plan to separately seek approval for AMR101 for the treatment of patients with high triglyceride levels (³200 and &lt;500mg/dL) who are also on statin therapy for elevated low-density lipoprotein cholesterol, or LDL-C, levels (which we refer to as mixed dyslipidemia), or what we refer to as the ANCHOR indication. The ANCHOR indication is also supported by a SPA agreement with the FDA.</w:t>
      </w:r>
    </w:p>
    <w:p>
      <w:pPr>
        <w:spacing w:after="0" w:line="140" w:lineRule="exact"/>
        <w:rPr>
          <w:sz w:val="20"/>
          <w:szCs w:val="20"/>
          <w:color w:val="auto"/>
        </w:rPr>
      </w:pPr>
    </w:p>
    <w:p>
      <w:pPr>
        <w:ind w:right="660"/>
        <w:spacing w:after="0" w:line="291" w:lineRule="auto"/>
        <w:rPr>
          <w:sz w:val="20"/>
          <w:szCs w:val="20"/>
          <w:color w:val="auto"/>
        </w:rPr>
      </w:pPr>
      <w:r>
        <w:rPr>
          <w:rFonts w:ascii="Arial" w:cs="Arial" w:eastAsia="Arial" w:hAnsi="Arial"/>
          <w:sz w:val="16"/>
          <w:szCs w:val="16"/>
          <w:color w:val="auto"/>
        </w:rPr>
        <w:t>The potential efficacy and safety of AMR101 was studied in two Phase 3 clinical trials, the MARINE trial and the ANCHOR trial. These trials showed favorable clinical results in their respective patient populations in reducing triglyceride levels without a statistically significant increase in LDL-C levels, and in the 4 gram AMR101 ANCHOR results, with a statistically significant decrease in LDL-C levels. These trials also showed favorable results, particularly with the 4 gram dose of AMR101, in other important lipid and inflammation biomarkers, including Apo B (apolipoprotein B), non-high-density lipoprotein cholesterol, or HDL-C, Total-Cholesterol, very low-density lipoprotein cholesterol, or VLDL-C, Lp-PLA2 (lipoprotein-associated phospholipase), and hs-CRP (high sensitivity C-reactive protein). In each of these trials, AMR101 exhibited a safety profile comparable to placebo.</w:t>
      </w:r>
    </w:p>
    <w:p>
      <w:pPr>
        <w:spacing w:after="0" w:line="120"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In November 2010, we announced the favorable results of the Phase 3 MARINE trial, and in April 2011 we announced the favorable results of the Phase 3 ANCHOR trial. The results of both of these studies were submitted to the FDA as part of the NDA for the MARINE indication. To obtain FDA approval of AMR101 for the ANCHOR indication, based on communications with the FDA, we believe that we must first obtain approval of AMR101 in the MARINE indication and be substantially underway with a cardiovascular outcomes study at the time of the submission of an NDA to the FDA for the ANCHOR indication. Based upon feedback from the FDA and consistent with the respective SPAs for the MARINE trial and ANCHOR trial, we do not believe the final results of an outcomes study are required for FDA approval of AMR 101 for either indication.</w:t>
      </w:r>
    </w:p>
    <w:p>
      <w:pPr>
        <w:spacing w:after="0" w:line="12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December 2011, we announced commencement of patient dosing in our cardiovascular outcomes study of AMR101, titled REDUCE-IT (Reduction of Cardiovascular Events with EPA – Intervention Trial), that is designed to evaluate the efficacy of AMR101 in reducing major cardiovascular events in a high risk patient population on statin therapy. The REDUCE-IT study is also the subject of an SPA agreement with the FDA. If successful, we believe the results of this study could lead to a broadening of the market potential for AMR101 beyond the MARINE and ANCHOR indications.</w:t>
      </w:r>
    </w:p>
    <w:p>
      <w:pPr>
        <w:spacing w:after="0" w:line="11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Hypertriglyceridemia refers to a condition in which patients have high levels of triglycerides in the bloodstream and has been recognized as an independent risk factor for cardiac disease. We estimate that over 40 million adults in the United States have elevated triglyceride levels (³200mg/dL) and approximately 4.0 million people in the United States have very high triglyceride levels (³500 mg/dL). Triglycerides provide important information as a marker associated with the risk for heart disease and stroke, especially when an individual also has low high-density lipoprotein, or HDL-C (often referred to as “good” cholesterol), and elevated levels of LDL-C (often referred to as “bad” cholesterol).</w:t>
      </w:r>
    </w:p>
    <w:p>
      <w:pPr>
        <w:sectPr>
          <w:pgSz w:w="11900" w:h="16838" w:orient="portrait"/>
          <w:cols w:equalWidth="0" w:num="1">
            <w:col w:w="11420"/>
          </w:cols>
          <w:pgMar w:left="240" w:top="459" w:right="2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Supply</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goal in expanding our supply chain is to provide greater capacity to meet anticipated demand, enable supply diversification and flexibility and introduce cost competition. After conducting an extensive global search for manufactures capable of producing AMR101 API to our technical specifications, we entered into limited exclusivity, long-term agreements with two additional API suppliers in 2011. We are currently working to finalize terms and conditions with a fourth supplier. Certain of our API supply agreements contain provisions under which the cost of supply to us decreases as we purchase increased product volume.</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agreements with each of our API suppliers contemplate phased capacity expansion aimed at creating sufficient capacity to meet anticipated demand for API material for AMR101 following FDA approval. Accordingly, our current supplier, Nisshin Pharma, and our other potential suppliers are currently working to expand and qualify their production capabilities to meet regulatory requirements to manufacture the API for AMR101. These API suppliers are self-funding these expansion and qualification plans with contributions from Amarin. There can be no assurance that additional suppliers will fully-fund the capital costs of our engagement or that they will successfully qualify with the FDA.</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NDA for AMR101 references supply from Nisshin with which we have had the longest relationship and is best qualified to support our launch of AMR101. We have defined with the FDA our plan and specifications for qualifying the additional API suppliers. We intend to submit a supplemental NDA, or sNDA, for the use of these additional API suppliers after the suppliers successfully complete the qualification process and the NDA is approved. For API encapsulation, we submitted two commercial encapsulators as part of our NDA. We believe that both of these companies have the capacity to support our product launch requirements.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2012, we intend to increase our purchases of API and finished capsules of AMR101 in preparation of commercial launch. We plan to make certain of these purchases prior to NDA approval with the aim to further expand purchase levels of supply after NDA approval. We may elect to make API purchases from certain of our suppliers after we are satisfied that the material they produce and their facilities are qualified. However, in the event that we make such purchases, we will not be able to use such material for commercial sale until the sNDA for the applicable supplier is approved by the FDA. Similarly, if we are not compliant with other regulations with regard to this intended purchase of supply, our launch may be delayed.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currently considering three potential paths for the marketing and sale of AMR101: strategic collaboration, acquisition and self-commercialization, that latter of which could include a third-party collaboration. From time to time we have held discussions with larger pharmaceutical companies on potential collaborations and other strategic opportunities with larger pharmaceutical companies and we may have discussions regarding such opportunities in the future. These strategic opportunities may include licensing or similar transactions, joint ventures, partnerships, strategic alliances, business associations, or a sale of the company. However, we cannot estimate the timing of any such potential collaborations. No assurance can be given that we will enter into any such strategic transaction. Until such time when we enter into such a strategic transaction, if ever, we plan to continue to execute on our plans to launch, market and sell AMR101 on our own.</w:t>
      </w:r>
    </w:p>
    <w:p>
      <w:pPr>
        <w:spacing w:after="0" w:line="14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U.S. market is currently our primary focus for the initial commercial launch of AMR101. Opportunities to market and sell AMR101 outside of the United States are also under evaluation.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January 2012 Financing and Financial Position</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January 9, 2012, Amarin, through its wholly-owned subsidiary Corsicanto Limited, a private limited company incorporated under the laws of Ireland, completed a private placement of $150.0 million in aggregate principal amount of its 3.5% exchangeable senior notes due 2032. The notes are the senior unsecured obligations of Corsicanto Limited and are guaranteed by Amarin. The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require that we repurchase in cash the principal amount of the notes plus accrued and unpaid interest. At any time prior to January 15, 2032, upon certain circumstances, which circumstances include our issuing a notice of redemption to the note holders, the price of Amarin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Amarin’s election, subject to certain conditions, in cash, ADSs or a combination of cash and ADSs.</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March 31, 2012, our cash balance was $245.8 million, including net proceeds of approximately $144.3 million, after deducting underwriting commissions and expenses payable by us, associated with the issuance of $150.0 million in principal amount of our 3.5% exchangeable senior notes in January 2012. We believe that we have sufficient financial resources to fund our projected operations at least for the next twelve months, including advancement of the REDUCE-IT cardiovascular outcomes study, and preparations for and commercial launch of AMR101 on each of the three potential paths we are considering for commercialization, subject to timely regulatory approval. Unless we enter into a strategic collaboration in support of a commercial launch, we may need to raise additional capital to support these efforts on our own.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2012 or 2011.</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consists primarily of fees paid to professional service providers in conjunction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monitoring of our clinical trials and acquiring and evaluating data in conjunction with our clinical trials, fees paid to independent researchers, costs of contract manufacturing,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We expense research and development costs as incurred.</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consists primarily of salaries and other related costs for</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including stock-based compensation expense, in our executive, business development, marketing, finance and information technology functions. Other costs primarily include facility costs and professional fees for accounting, consulting and legal services.</w:t>
      </w:r>
    </w:p>
    <w:p>
      <w:pPr>
        <w:spacing w:after="0" w:line="140"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i w:val="1"/>
          <w:iCs w:val="1"/>
          <w:color w:val="auto"/>
        </w:rPr>
        <w:t xml:space="preserve">Interest and Other Income (Expense), Net. </w:t>
      </w:r>
      <w:r>
        <w:rPr>
          <w:rFonts w:ascii="Arial" w:cs="Arial" w:eastAsia="Arial" w:hAnsi="Arial"/>
          <w:sz w:val="16"/>
          <w:szCs w:val="16"/>
          <w:color w:val="auto"/>
        </w:rPr>
        <w:t>Interest expense consists of interest incurred under lease obligations, the amortization of the conversion option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Company’s exchangeable debt, the amortization of the debt discount and debt obligation coupon interest. Interest income consists of interest earned on our cash and cash equivalents. Other income, net, consists primarily of foreign exchange gains and losses.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 result of the issuance in January 2012 of our 3.5% exchangeable senior notes, we have included a Debt Issuance policy under our critical accounting policies at March 31, 2012. Other than this new Debt Issuance policy, there have been no other changes in our critical accounting policies, judgments, and estimates as described in Note 2 to our consolidated financial statements included in our Annual Report on Form 10-K for the year ended December 31, 2011 filed with the SEC on February 29,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consolidated financial position, results of operations, and cash flows, or do not apply to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2012 versus March 31,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2012 or 2011</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March 31, 2012 was $4.8 million, versus $4.4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 an increase of $0.4 million, or 9.1%. Research and development expenses for the three months ended March 31, 2012 and 2011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49"/>
        </w:trPr>
        <w:tc>
          <w:tcPr>
            <w:tcW w:w="5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62"/>
        </w:trPr>
        <w:tc>
          <w:tcPr>
            <w:tcW w:w="5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(in thousands)</w:t>
            </w:r>
          </w:p>
        </w:tc>
      </w:tr>
      <w:tr>
        <w:trPr>
          <w:trHeight w:val="161"/>
        </w:trPr>
        <w:tc>
          <w:tcPr>
            <w:tcW w:w="5980" w:type="dxa"/>
            <w:vAlign w:val="bottom"/>
          </w:tcPr>
          <w:p>
            <w:pPr>
              <w:spacing w:after="0"/>
              <w:rPr>
                <w:sz w:val="14"/>
                <w:szCs w:val="14"/>
                <w:color w:val="auto"/>
              </w:rPr>
            </w:pPr>
          </w:p>
        </w:tc>
        <w:tc>
          <w:tcPr>
            <w:tcW w:w="162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rPr>
              <w:t>2012</w:t>
            </w:r>
          </w:p>
        </w:tc>
        <w:tc>
          <w:tcPr>
            <w:tcW w:w="9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excluding non-cash expense (1)</w:t>
            </w:r>
          </w:p>
        </w:tc>
        <w:tc>
          <w:tcPr>
            <w:tcW w:w="1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$ 3,964</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$ 4,149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r>
      <w:tr>
        <w:trPr>
          <w:trHeight w:val="115"/>
        </w:trPr>
        <w:tc>
          <w:tcPr>
            <w:tcW w:w="5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59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$ 4,756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$ 4,449</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00" w:hanging="452"/>
        <w:spacing w:after="0" w:line="28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Research and development expense, excluding non-cash charges, for the three months ended March 31, 2012 was $4.0 million, versus $4.1 million in the prior year period, a decrease of $0.1 million, or 2.4%. The decrease in research and development expense was primarily due to decreased costs in 2012 for our AMR101 cardiovascular program, primarily costs associated with the ANCHOR trial, the top-line results of which were reported in April 2011. The decrease in costs for the ANCHOR trial for the three months ended March 31, 2012 versus the prior year period were partially offset by increased clinical costs for the REDUCE-IT cardiovascular outcomes study, which was initiated in the second half of 2011.</w:t>
      </w:r>
    </w:p>
    <w:p>
      <w:pPr>
        <w:spacing w:after="0" w:line="2" w:lineRule="exact"/>
        <w:rPr>
          <w:rFonts w:ascii="Arial" w:cs="Arial" w:eastAsia="Arial" w:hAnsi="Arial"/>
          <w:sz w:val="16"/>
          <w:szCs w:val="16"/>
          <w:color w:val="auto"/>
        </w:rPr>
      </w:pPr>
    </w:p>
    <w:p>
      <w:pPr>
        <w:ind w:left="460" w:right="34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$0.8 million and $0.3 million for the three months ended March 31, 2012 and 2011, respectively.</w:t>
      </w:r>
    </w:p>
    <w:p>
      <w:pPr>
        <w:spacing w:after="0" w:line="13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Although clinical costs for the MARINE and ANCHOR trials have decreased as a result of their completion in 2011, we expect these cost reductions to be offset in 2012 by costs for the REDUCE-IT cardiovascular outcomes study as part of which dosing of initial patients commenced in December 2011. We also anticipate increases in research and development costs during 2012 related to the purchase of supply of AMR101, which supply we intend to include as a component of research and development expense for accounting purposes prior to NDA approval. The amount of expense we incur for AMR101 supply during 2012 depends upon the timing of receipt of API from our suppliers and the timing of an NDA approval.</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for the three months ended March 31, 2012 was $14.0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versus $2.7 million in the prior year period, an increase of $11.3 million, or 419%. Marketing, general and administrative expenses for the three months ended March 31, 2012 and 2011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r>
      <w:tr>
        <w:trPr>
          <w:trHeight w:val="149"/>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left="322"/>
              <w:spacing w:after="0" w:line="149" w:lineRule="exact"/>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(in thousands)</w:t>
            </w:r>
          </w:p>
        </w:tc>
      </w:tr>
      <w:tr>
        <w:trPr>
          <w:trHeight w:val="161"/>
        </w:trPr>
        <w:tc>
          <w:tcPr>
            <w:tcW w:w="6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6"/>
              </w:rPr>
              <w:t>2012</w:t>
            </w:r>
          </w:p>
        </w:tc>
        <w:tc>
          <w:tcPr>
            <w:tcW w:w="5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Marketing, general and administrative expenses, excluding non-cash expenses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$2,165</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3,082</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expense (income)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w:t>
            </w: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6980" w:type="dxa"/>
            <w:vAlign w:val="bottom"/>
          </w:tcPr>
          <w:p>
            <w:pPr>
              <w:spacing w:after="0"/>
              <w:rPr>
                <w:sz w:val="24"/>
                <w:szCs w:val="2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14,027</w:t>
            </w:r>
          </w:p>
        </w:tc>
        <w:tc>
          <w:tcPr>
            <w:tcW w:w="5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2,726</w:t>
            </w:r>
          </w:p>
        </w:tc>
        <w:tc>
          <w:tcPr>
            <w:tcW w:w="100" w:type="dxa"/>
            <w:vAlign w:val="bottom"/>
          </w:tcPr>
          <w:p>
            <w:pPr>
              <w:spacing w:after="0"/>
              <w:rPr>
                <w:sz w:val="24"/>
                <w:szCs w:val="24"/>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both"/>
        <w:ind w:left="460" w:hanging="452"/>
        <w:spacing w:after="0" w:line="335"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Marketing, general and administrative expense, excluding non-cash compensation charges for stock compensation and warrants, for the three months ended March 31, 2012 was $8.6 million, versus $2.2 million in the prior year period, an increase of $6.4 million, or 291%. The increase was primarily due to cost increases in 2012 for staffing, and other marketing, general, and administrative costs incurred in order to prepare for the commercialization of AMR101.</w:t>
      </w:r>
    </w:p>
    <w:p>
      <w:pPr>
        <w:sectPr>
          <w:pgSz w:w="11900" w:h="16838" w:orient="portrait"/>
          <w:cols w:equalWidth="0" w:num="1">
            <w:col w:w="11400"/>
          </w:cols>
          <w:pgMar w:left="240" w:top="459" w:right="259" w:bottom="1440" w:gutter="0" w:footer="0" w:header="0"/>
        </w:sectPr>
      </w:pP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45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25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 based compensation expense for the three months ended March 31, 2012 was $3.1 million, versus $1.2 million in the prior year period, an increase of $1.9 million primarily reflecting an increase in the number of awards outstanding during the period ending March 31, 2012 versus the prior period, and also in the fair value of new option awards granted to attract and retain qualified employees.</w:t>
      </w:r>
    </w:p>
    <w:p>
      <w:pPr>
        <w:ind w:left="460" w:right="20" w:hanging="452"/>
        <w:spacing w:after="0" w:line="287"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Warrant related compensation expense (income) for the three months ended March 31, 2012 was expense of $2.4 million, versus income of $0.7 million in the prior year period. Warrant related compensation expense for the period ended March 31, 2012 reflects a non-cash change in fair value of the warrant derivative liability associated with warrants issued in October 2009 to three former employees of Amarin, net of warrants exercised. The increase in the fair value of the warrants for the three months ended March 31, 2012 is due primarily to an increase in our stock price between December 31, 2011 and March 31, 2012.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expect marketing, general and administrative costs in 2012 to increase as we prepare for the commercialization of AMR101, including costs for market research, sales force preparation and development of management information systems. The extent of such increases will depend in large part on the timing of NDA approval for AMR101 and whether we launch AMR101 on our own or with a strategic collaborator. If we launch AMR101 on our own, we anticipate that this launch will occur, subject to NDA approval, in early 2013 and that we would not hire the majority of the anticipated number of sales representatives until the fourth quarter of 2012.</w:t>
      </w:r>
    </w:p>
    <w:p>
      <w:pPr>
        <w:spacing w:after="0" w:line="14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Gain (loss) on Change in Fair Value of Derivative Liability</w:t>
      </w:r>
      <w:r>
        <w:rPr>
          <w:rFonts w:ascii="Arial" w:cs="Arial" w:eastAsia="Arial" w:hAnsi="Arial"/>
          <w:sz w:val="16"/>
          <w:szCs w:val="16"/>
          <w:color w:val="auto"/>
        </w:rPr>
        <w:t>. Gain (loss) on change in fair value of derivative liability for the three months ended March 31, 2012</w:t>
      </w:r>
      <w:r>
        <w:rPr>
          <w:rFonts w:ascii="Arial" w:cs="Arial" w:eastAsia="Arial" w:hAnsi="Arial"/>
          <w:sz w:val="16"/>
          <w:szCs w:val="16"/>
          <w:i w:val="1"/>
          <w:iCs w:val="1"/>
          <w:color w:val="auto"/>
        </w:rPr>
        <w:t xml:space="preserve"> </w:t>
      </w:r>
      <w:r>
        <w:rPr>
          <w:rFonts w:ascii="Arial" w:cs="Arial" w:eastAsia="Arial" w:hAnsi="Arial"/>
          <w:sz w:val="16"/>
          <w:szCs w:val="16"/>
          <w:color w:val="auto"/>
        </w:rPr>
        <w:t>was a loss of $66.2 million versus a gain of $25.3 million in the prior year period. (Loss) gain on change in fair value of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2011 was $123.1 million and we recognized a $66.2 million loss on change in fair value of derivative liability for the period ended March 31, 2012 for these warrants. The fair value of the warrant derivative liability at December 31, 2010 was $230.1 million and we recognized a $25.3 million gain on change in fair value of derivative liability for the period ended March 31, 2011. The decrease or increase in the fair value of the warrant derivative liability is due primarily to the decrease or increase in the price of our common stock on the date of valuation.</w:t>
      </w:r>
    </w:p>
    <w:p>
      <w:pPr>
        <w:spacing w:after="0" w:line="12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includes interest earned on cash balances. Interest expense includes the amortization of the conversion option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our exchangeable debt, the amortization of the debt discount and debt obligation coupon interest. During the three months ended March 31, 2012, we recognized interest expense of $4.0 million, of which $2.3 million represents amortization of the conversion option, $1.2 million represents contractual coupon interest, $0.5 million represents the amortization of the debt discount.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primarily includes gains and losses on foreign exchange transactions.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Our sources of liquidity as of March 31, 2012 include cash and cash equivalents of $245.8 million. In January 2012 we completed a convertible debt offering from which we received approximately $144.3 million in net proceeds. Our projected uses of cash include the continued funding of the REDUCE-IT study, commercial preparation and launch of AMR101, working capital and other general corporate activities. Our cash flows from operating, investing and financing activities, as reflected in the consolidated statements of cash flows, are summarized in the following table (in millions):</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 continuing operations:</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Operating activities</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(17.7)</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Financing activities</w:t>
            </w:r>
          </w:p>
        </w:tc>
        <w:tc>
          <w:tcPr>
            <w:tcW w:w="1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r>
              <w:rPr>
                <w:rFonts w:ascii="Arial" w:cs="Arial" w:eastAsia="Arial" w:hAnsi="Arial"/>
                <w:sz w:val="18"/>
                <w:szCs w:val="18"/>
                <w:u w:val="single" w:color="auto"/>
                <w:color w:val="auto"/>
              </w:rPr>
              <w:t>2</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debt obligations at December 31, 2011.</w:t>
      </w:r>
    </w:p>
    <w:p>
      <w:pPr>
        <w:sectPr>
          <w:pgSz w:w="11900" w:h="16838" w:orient="portrait"/>
          <w:cols w:equalWidth="0" w:num="1">
            <w:col w:w="11400"/>
          </w:cols>
          <w:pgMar w:left="240" w:top="459" w:right="259" w:bottom="1440" w:gutter="0" w:footer="0" w:header="0"/>
        </w:sectPr>
      </w:pPr>
    </w:p>
    <w:bookmarkStart w:id="18" w:name="page19"/>
    <w:bookmarkEnd w:id="18"/>
    <w:p>
      <w:pPr>
        <w:ind w:firstLine="456"/>
        <w:spacing w:after="0" w:line="287" w:lineRule="auto"/>
        <w:rPr>
          <w:sz w:val="20"/>
          <w:szCs w:val="20"/>
          <w:color w:val="auto"/>
        </w:rPr>
      </w:pPr>
      <w:r>
        <w:rPr>
          <w:rFonts w:ascii="Arial" w:cs="Arial" w:eastAsia="Arial" w:hAnsi="Arial"/>
          <w:sz w:val="16"/>
          <w:szCs w:val="16"/>
          <w:color w:val="auto"/>
        </w:rPr>
        <w:t>On January 9, 2012, Amarin, through our wholly-owned subsidiary Corsicanto Limited, a private limited company incorporated under the laws of Ireland, completed a private placement of $150.0 in aggregate principal amount of its 3.5% exchangeable senior notes due 2032. The proceeds received by Amarin from the January 2012 debt offering were approximately $144.3 million, net of fees and transaction costs. These notes were issued pursuant to an indenture dated as of January 9, 2012, by and among Corsicanto Limited, Amarin Corporation plc as guarantor, and Wells Fargo Bank, National Association, as trustee. The notes are the senior unsecured obligations of Corsicanto and are guaranteed by Amarin Corporation plc. The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Amarin shares trading above 130% of the exchange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31" w:right="279" w:bottom="1440" w:gutter="0" w:footer="0" w:header="0"/>
        </w:sectPr>
      </w:pPr>
    </w:p>
    <w:bookmarkStart w:id="19" w:name="page20"/>
    <w:bookmarkEnd w:id="19"/>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Amarin’s election, subject to certain conditions, in cash, ADSs or a combination of cash and ADSs.</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January 2011, we sold 13.8 million shares of our common shares, par value £0.50 per share, at a price of $7.60 per share, resulting in net proceeds of approximately $98.7 million after deducting underwriting commissions and expenses payable by us associated with this transaction.</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that our cash, including the net proceeds from the January 2012 financing, will be sufficient to fund our projected operations for at least the next twelve months, including advancement of the REDUCE-IT cardiovascular outcomes study, commercial preparations for and, subject to timely regulatory approval, launch of AMR101 on each of the three potential paths we are considering for commercialization, working capital and other general corporate activities. This is based on our current operational plans and activities at normal levels and does not assume any cash inflows from partnerships, warrant exercises or other dilutive or non-dilutive financings in the longer-term.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March 31, 2012 and the effects such obligations are expected to have on our liquidity and cash flows in future periods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to 2014</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to 2016</w:t>
            </w:r>
          </w:p>
        </w:tc>
        <w:tc>
          <w:tcPr>
            <w:tcW w:w="38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2016</w:t>
            </w:r>
          </w:p>
        </w:tc>
      </w:tr>
      <w:tr>
        <w:trPr>
          <w:trHeight w:val="196"/>
        </w:trPr>
        <w:tc>
          <w:tcPr>
            <w:tcW w:w="74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80" w:type="dxa"/>
            <w:vAlign w:val="bottom"/>
            <w:gridSpan w:val="2"/>
          </w:tcPr>
          <w:p>
            <w:pPr>
              <w:ind w:left="440"/>
              <w:spacing w:after="0"/>
              <w:rPr>
                <w:sz w:val="20"/>
                <w:szCs w:val="20"/>
                <w:color w:val="auto"/>
              </w:rPr>
            </w:pPr>
            <w:r>
              <w:rPr>
                <w:rFonts w:ascii="Arial" w:cs="Arial" w:eastAsia="Arial" w:hAnsi="Arial"/>
                <w:sz w:val="18"/>
                <w:szCs w:val="18"/>
                <w:color w:val="auto"/>
              </w:rPr>
              <w:t>Purchase obligations (1)</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$10.1</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9"/>
              <w:spacing w:after="0"/>
              <w:rPr>
                <w:sz w:val="20"/>
                <w:szCs w:val="20"/>
                <w:color w:val="auto"/>
              </w:rPr>
            </w:pPr>
            <w:r>
              <w:rPr>
                <w:rFonts w:ascii="Arial" w:cs="Arial" w:eastAsia="Arial" w:hAnsi="Arial"/>
                <w:sz w:val="18"/>
                <w:szCs w:val="18"/>
                <w:color w:val="auto"/>
              </w:rPr>
              <w:t>$ —</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lease obligations (2)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gridSpan w:val="2"/>
          </w:tcPr>
          <w:p>
            <w:pPr>
              <w:ind w:left="440"/>
              <w:spacing w:after="0"/>
              <w:rPr>
                <w:sz w:val="20"/>
                <w:szCs w:val="20"/>
                <w:color w:val="auto"/>
              </w:rPr>
            </w:pPr>
            <w:r>
              <w:rPr>
                <w:rFonts w:ascii="Arial" w:cs="Arial" w:eastAsia="Arial" w:hAnsi="Arial"/>
                <w:sz w:val="18"/>
                <w:szCs w:val="18"/>
                <w:color w:val="auto"/>
              </w:rPr>
              <w:t>Interest payment obligations (3)</w:t>
            </w: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115"/>
        </w:trPr>
        <w:tc>
          <w:tcPr>
            <w:tcW w:w="116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7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contractual cash obligations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21.8</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 —</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98"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minimum purchase obligations under a supplier agreement with a Japan-based supplier. We paid $2.4 million during the three months ended March 31, 2012 and have additional purchase obligations of $10.1 million in 2012. Not included in this obligation is a non-refundable milestone payment of $0.5 million payable upon the first marketing approval of AMR101 in the United States. Additional future minimum purchases will be required, subject to an NDA approval, and in preparation for commercialization of AMR101 we may purchase more than the minimum amount.</w:t>
      </w:r>
    </w:p>
    <w:p>
      <w:pPr>
        <w:spacing w:after="0" w:line="31" w:lineRule="exact"/>
        <w:rPr>
          <w:rFonts w:ascii="Arial" w:cs="Arial" w:eastAsia="Arial" w:hAnsi="Arial"/>
          <w:sz w:val="16"/>
          <w:szCs w:val="16"/>
          <w:color w:val="auto"/>
        </w:rPr>
      </w:pPr>
    </w:p>
    <w:p>
      <w:pPr>
        <w:ind w:left="460" w:right="80"/>
        <w:spacing w:after="0" w:line="255" w:lineRule="auto"/>
        <w:rPr>
          <w:rFonts w:ascii="Arial" w:cs="Arial" w:eastAsia="Arial" w:hAnsi="Arial"/>
          <w:sz w:val="16"/>
          <w:szCs w:val="16"/>
          <w:color w:val="auto"/>
        </w:rPr>
      </w:pPr>
      <w:r>
        <w:rPr>
          <w:rFonts w:ascii="Arial" w:cs="Arial" w:eastAsia="Arial" w:hAnsi="Arial"/>
          <w:sz w:val="18"/>
          <w:szCs w:val="18"/>
          <w:color w:val="auto"/>
        </w:rPr>
        <w:t>In addition, provided the supplier has expanded its manufacturing capacity in accordance with the agreement, the supplier may terminate the agreement in the event that (i) Amarin does not receive marketing approval for AMR101 in the United States on or before December 31, 2014 or (ii) in the event that Amarin abandons development of AMR101 for hypertriglyceridemia in the United States. In either case, Amarin will be required to reimburse the supplier for certain costs incurred by the supplier in connection with its manufacturing expansion, less the amount of profit received as a result of purchases of ethyl-EPA by Amarin, not to exceed $5.0 million.</w:t>
      </w:r>
    </w:p>
    <w:p>
      <w:pPr>
        <w:spacing w:after="0" w:line="61" w:lineRule="exact"/>
        <w:rPr>
          <w:rFonts w:ascii="Arial" w:cs="Arial" w:eastAsia="Arial" w:hAnsi="Arial"/>
          <w:sz w:val="16"/>
          <w:szCs w:val="16"/>
          <w:color w:val="auto"/>
        </w:rPr>
      </w:pPr>
    </w:p>
    <w:p>
      <w:pPr>
        <w:jc w:val="both"/>
        <w:ind w:left="460" w:right="480"/>
        <w:spacing w:after="0" w:line="306" w:lineRule="auto"/>
        <w:rPr>
          <w:rFonts w:ascii="Arial" w:cs="Arial" w:eastAsia="Arial" w:hAnsi="Arial"/>
          <w:sz w:val="16"/>
          <w:szCs w:val="16"/>
          <w:color w:val="auto"/>
        </w:rPr>
      </w:pPr>
      <w:r>
        <w:rPr>
          <w:rFonts w:ascii="Arial" w:cs="Arial" w:eastAsia="Arial" w:hAnsi="Arial"/>
          <w:sz w:val="16"/>
          <w:szCs w:val="16"/>
          <w:color w:val="auto"/>
        </w:rPr>
        <w:t>We anticipate incurring certain costs associated with the qualification of product produced by this Japan-based supplier. In an effort to further expand production capacity at this supplier or through the addition of supplemental suppliers, we may make capital commitments to support their expansion, particularly if such commitments further reduce the cost to us of the manufactured product.</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Bedminster, NJ, and Groton, CT.</w:t>
      </w:r>
    </w:p>
    <w:p>
      <w:pPr>
        <w:spacing w:after="0" w:line="90"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interest payments due under the terms of our 3.5% exchangeable senior notes (“notes”) due 2032, assuming they remain outstanding for 24 months and have not been exchanged for ADRs. The above table does not reflect the repayment of the $150.0 million notes as they may be exchanged for ADRs.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do not enter into financial instruments for trading or speculative purposes.</w:t>
      </w:r>
    </w:p>
    <w:p>
      <w:pPr>
        <w:spacing w:after="0" w:line="171"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color w:val="auto"/>
        </w:rPr>
        <w:t>The above table also does not reflect potential material purchases under the API supply agreements signed during 2011 with two additional API suppliers. We are currently working to finalize terms and conditions with a fourth supplier. These agreements provide access to additional API supply that is incremental to supply from Nisshin Pharma, our existing API supplier. Each of these API agreements contemplates a phased capacity expansion plan aimed at creating sufficient capacity to meet anticipated demand for API material for AMR101 following FDA approval. These API suppliers are self-funding these expansion plans with contributions from Amarin. These agreements include requirements for the suppliers to qualify their materials and facilities. We anticipate incurring certain costs associated with the qualification of product produced by these suppliers. Following FDA approval of AMR101, these agreements include annual purchase levels enabling Amarin to maintain supply exclusivity with each respective supplier, and to prevent potential termination of the agreements. Because we have not yet obtained FDA approval for AMR101, these amounts are excluded from the above table. The two supply agreements entered into in 2011 also include</w:t>
      </w:r>
    </w:p>
    <w:p>
      <w:pPr>
        <w:spacing w:after="0" w:line="6" w:lineRule="exact"/>
        <w:rPr>
          <w:sz w:val="20"/>
          <w:szCs w:val="20"/>
          <w:color w:val="auto"/>
        </w:rPr>
      </w:pPr>
    </w:p>
    <w:p>
      <w:pPr>
        <w:ind w:right="300" w:firstLine="8"/>
        <w:spacing w:after="0" w:line="255" w:lineRule="auto"/>
        <w:tabs>
          <w:tab w:leader="none" w:pos="2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fees up to a maximum of $0.5 million, (ii) material commitments of up to $5.0 million for initial raw materials, which will be credited against future API purchases, and is refundable to Amarin if a supplier does not successfully develop and qualify the API by a certain date and (iii) a raw material purchase commitment of $1.1 million.</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Concurrent with one of these supply agreements, our agreement with Chemport located in South Korea, we agreed to make a minority share equity investment in Chemport of up to $3.3 million. In July 2011, we paid to Chemport $1.7 million, which has been included in other long term assets at December 31, 2011 and March 31, 2012. Under this agreement, we paid an additional $0.8 million in April 2012. Subject to Chemport meeting certain milestones, we anticipate making the remaining $0.8 million investment during 2012.</w:t>
      </w:r>
    </w:p>
    <w:p>
      <w:pPr>
        <w:spacing w:after="0" w:line="143" w:lineRule="exact"/>
        <w:rPr>
          <w:sz w:val="20"/>
          <w:szCs w:val="20"/>
          <w:color w:val="auto"/>
        </w:rPr>
      </w:pPr>
    </w:p>
    <w:p>
      <w:pPr>
        <w:jc w:val="both"/>
        <w:ind w:right="220" w:firstLine="456"/>
        <w:spacing w:after="0" w:line="284" w:lineRule="auto"/>
        <w:rPr>
          <w:sz w:val="20"/>
          <w:szCs w:val="20"/>
          <w:color w:val="auto"/>
        </w:rPr>
      </w:pPr>
      <w:r>
        <w:rPr>
          <w:rFonts w:ascii="Arial" w:cs="Arial" w:eastAsia="Arial" w:hAnsi="Arial"/>
          <w:sz w:val="16"/>
          <w:szCs w:val="16"/>
          <w:color w:val="auto"/>
        </w:rPr>
        <w:t>Under our 2004 share repurchase agreement with Laxdale Limited, in connection with any commercialization of AMR101 for cardiovascular indications prior to the end of 2012, we are required to pay potential royalties to a former employee of Laxdale of 1% on net sales up to £100 million (approximately $160 million at March 31, 2012); 0.5% for net sales between £100 million (approximately $160 million at March 31, 2012) and £500 million (approximately</w:t>
      </w:r>
    </w:p>
    <w:p>
      <w:pPr>
        <w:spacing w:after="0" w:line="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$799 million at March 31, 2012); and 0.25% for sales in excess of £500 million (approximately $799 million at March 31, 2012). These royalty obligations terminate on December 31, 2012.</w:t>
      </w:r>
    </w:p>
    <w:p>
      <w:pPr>
        <w:spacing w:after="0" w:line="138"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Under this same agreement with Laxdale Limited, upon receipt of marketing approval in the United States and/or Europe for the first indication for AMR101 (or first indication of any product containing Amarin Neuroscience intellectual property acquired from Laxdale Limited in 2004), we must make an</w:t>
      </w:r>
    </w:p>
    <w:p>
      <w:pPr>
        <w:sectPr>
          <w:pgSz w:w="11900" w:h="16871" w:orient="portrait"/>
          <w:cols w:equalWidth="0" w:num="1">
            <w:col w:w="11420"/>
          </w:cols>
          <w:pgMar w:left="240" w:top="459" w:right="239" w:bottom="0" w:gutter="0" w:footer="0" w:header="0"/>
        </w:sectPr>
      </w:pPr>
    </w:p>
    <w:bookmarkStart w:id="20" w:name="page21"/>
    <w:bookmarkEnd w:id="20"/>
    <w:p>
      <w:pPr>
        <w:ind w:right="80"/>
        <w:spacing w:after="0" w:line="294" w:lineRule="auto"/>
        <w:rPr>
          <w:sz w:val="20"/>
          <w:szCs w:val="20"/>
          <w:color w:val="auto"/>
        </w:rPr>
      </w:pPr>
      <w:r>
        <w:rPr>
          <w:rFonts w:ascii="Arial" w:cs="Arial" w:eastAsia="Arial" w:hAnsi="Arial"/>
          <w:sz w:val="16"/>
          <w:szCs w:val="16"/>
          <w:color w:val="auto"/>
        </w:rPr>
        <w:t>aggregate stock or cash payment (at the sole option of each of the sellers) of £7.5 million (approximately $12 million at March 31, 2012) for each of the two potential marketing approvals (i.e., £15 million maximum, or approximately $24 million at March 31, 2012). In addition, upon receipt of a marketing approval in the United States or Europe for a further indication of AMR101 (or further indication of any other product using Amarin Neuroscience intellectual property), we must make an aggregate stock or cash payment (at the sole option of each of the sellers) of £5 million (approximately $8 million at March 31, 2012) for each of the two potential market approvals (i.e. £10 million maximum, or approximately $16 million at March 31, 2012).</w:t>
      </w:r>
    </w:p>
    <w:p>
      <w:pPr>
        <w:spacing w:after="0" w:line="116"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In addition to the obligations in the table above, we have approximately $0.7 million of liability for uncertain tax positions that have been recorded in long-term liabilities at December 31, 2011 and March 31, 2012. We are not able to reasonably estimate in which future periods these amounts will ultimately be settled.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March 29, 2011, we filed with the SEC a universal shelf registration statement on Form S-3 (Registration No. 333-173132), which provides for the offer, from time to time, of an indeterminate and unlimited amount of: ordinary shares, which may be represented by American Depositary Shares; preference shares, which may be represented by American Depositary Shares; senior or subordinated debt securities; warrants to purchase any of these securities; and any combination of these securities, individually or as units. In addition, if we identify any security holder(s) in a prospectus supplement, they may also offer identified securities under this registration statement although we will not receive any of the proceeds from the sale of securities by any of these selling security holders. This universal shelf registration statement was automatically effective upon its filing. The addition of any newly issued equity securities into the market may be dilutive to existing stockholders and new issuances by us or sales by our selling security holders could have an adverse effect on the price of our securities.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are exposed to market risks, which include changes in interest rates, changes in credit worthiness and liquidity of our marketable securities. We do not use derivative financial instruments in our investment portfolio and have no foreign exchange contracts.</w:t>
      </w:r>
    </w:p>
    <w:p>
      <w:pPr>
        <w:spacing w:after="0" w:line="13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At March 31, 2012, we record as a liability the fair value of warrants to purchase 18.7 million shares of our common stock issued to investors. The fair value of this warrant liability is determined using the Black-Scholes option valuation model and is therefore sensitive to changes in the market price and volatility of our common stock among other factors. In the event of a hypothetical 10% increase in the market price of our common stock ($12.45 based on the $11.32 market price of our stock at March 31, 2012) on which the March 31, 2012 valuation was based, the value would have increased by $20.7 million. Such increase would have been reflected as additional loss on revaluation of the warrant liability in our statement of operations. Subsequent to March 31, 2012, the price of our common shares increased more than 10% which, if sustained on subsequent measurement periods will result in a greater increase in the value of the derivative liability and a greater additional loss than reflected in this hypothetical example.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As of March 31, 2012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the Evaluation Date,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first quarter of 2012 that have materially affected, or are reasonably likely to materially affect, our internal control over financial reporting, other than described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March 31, 2012, we were not party to any legal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Investment in our securities involves a high degree of risk. Our Annual Report on Form 10-K for the year ended December 31, 2011, which was filed with the SEC on February 29, 2012, contains in Part I, Item 1A numerous risk factors relating to our business and operations, our intellectual property, clinical trials, regulatory matters, our dependence on third parties, our industry and our common stock.</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During the three months ended March 31, 2012, there were no material changes to the risk factors that were disclosed in Part I, Item 1A of our Annual Report on Form 10-K for the year ended December 31, 2011.</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Exhibit</w:t>
            </w:r>
          </w:p>
        </w:tc>
        <w:tc>
          <w:tcPr>
            <w:tcW w:w="5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16"/>
        </w:trPr>
        <w:tc>
          <w:tcPr>
            <w:tcW w:w="920" w:type="dxa"/>
            <w:vAlign w:val="bottom"/>
            <w:gridSpan w:val="3"/>
          </w:tcPr>
          <w:p>
            <w:pPr>
              <w:spacing w:after="0"/>
              <w:rPr>
                <w:sz w:val="20"/>
                <w:szCs w:val="20"/>
                <w:color w:val="auto"/>
              </w:rPr>
            </w:pPr>
            <w:r>
              <w:rPr>
                <w:rFonts w:ascii="Arial" w:cs="Arial" w:eastAsia="Arial" w:hAnsi="Arial"/>
                <w:sz w:val="18"/>
                <w:szCs w:val="18"/>
                <w:color w:val="auto"/>
              </w:rPr>
              <w:t>10.1†</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88"/>
              </w:rPr>
              <w:t>Second Amendment to API Supply Agreement by and between Amarin Pharmaceuticals Ireland Ltd. and Equateq Limited dated January 9, 2012.</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10.2†</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92"/>
              </w:rPr>
              <w:t>Third Amendment to API Supply Agreement by and between Amarin Pharmaceuticals Ireland Ltd. and Equateq Limited dated May 7, 2012.</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(Principal Executive Officer) pursuant to Section 302 of Sarbanes-Oxley Act of 2002</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Certification of President (Principal Financial Officer) pursuant to Section 302 of Sarbanes-Oxley Act of 2002</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94"/>
              </w:rPr>
              <w:t>Certification of Chief Executive Officer (Principal Executive Officer) and President (Principal Financial Officer) pursuant to Section 906 of</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as amended, are deemed not filed for purposes of Section 18 of the Exchange Act and otherwise are not subject to liability under those sections.</w:t>
      </w:r>
    </w:p>
    <w:p>
      <w:pPr>
        <w:spacing w:after="0" w:line="59" w:lineRule="exact"/>
        <w:rPr>
          <w:sz w:val="20"/>
          <w:szCs w:val="20"/>
          <w:color w:val="auto"/>
        </w:rPr>
      </w:pPr>
    </w:p>
    <w:p>
      <w:pPr>
        <w:jc w:val="both"/>
        <w:ind w:left="460" w:right="18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this exhibit pursuant to an application requesting confidential treatment under Rule 24b-2 of the Securities Exchange Act of 1934. A complete copy of this exhibit, including the redacted terms, has been separately filed with the Securities and Exchange Commission.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 xml:space="preserve">President </w:t>
      </w:r>
      <w:r>
        <w:rPr>
          <w:rFonts w:ascii="Arial" w:cs="Arial" w:eastAsia="Arial" w:hAnsi="Arial"/>
          <w:sz w:val="16"/>
          <w:szCs w:val="16"/>
          <w:color w:val="auto"/>
        </w:rPr>
        <w:t>(Principal Financial and Accounting Officer)</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8, 2012</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171"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149860</wp:posOffset>
            </wp:positionV>
            <wp:extent cx="28213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API SUPPLY AGREEMENT</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SECOND A</w:t>
      </w:r>
      <w:r>
        <w:rPr>
          <w:rFonts w:ascii="Arial" w:cs="Arial" w:eastAsia="Arial" w:hAnsi="Arial"/>
          <w:sz w:val="14"/>
          <w:szCs w:val="14"/>
          <w:color w:val="auto"/>
        </w:rPr>
        <w:t>MENDMENT TO</w:t>
      </w:r>
      <w:r>
        <w:rPr>
          <w:rFonts w:ascii="Arial" w:cs="Arial" w:eastAsia="Arial" w:hAnsi="Arial"/>
          <w:sz w:val="18"/>
          <w:szCs w:val="18"/>
          <w:color w:val="auto"/>
        </w:rPr>
        <w:t xml:space="preserve"> API S</w:t>
      </w:r>
      <w:r>
        <w:rPr>
          <w:rFonts w:ascii="Arial" w:cs="Arial" w:eastAsia="Arial" w:hAnsi="Arial"/>
          <w:sz w:val="14"/>
          <w:szCs w:val="14"/>
          <w:color w:val="auto"/>
        </w:rPr>
        <w:t>UPPLY</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(the “Second Amendment”) is made as of this 9</w:t>
      </w:r>
      <w:r>
        <w:rPr>
          <w:rFonts w:ascii="Arial" w:cs="Arial" w:eastAsia="Arial" w:hAnsi="Arial"/>
          <w:sz w:val="11"/>
          <w:szCs w:val="11"/>
          <w:color w:val="auto"/>
        </w:rPr>
        <w:t>th</w:t>
      </w:r>
      <w:r>
        <w:rPr>
          <w:rFonts w:ascii="Arial" w:cs="Arial" w:eastAsia="Arial" w:hAnsi="Arial"/>
          <w:sz w:val="18"/>
          <w:szCs w:val="18"/>
          <w:color w:val="auto"/>
        </w:rPr>
        <w:t xml:space="preserve"> day of January, 2012 (the “Second Amendment Effective Date”), by and between Amarin Pharmaceuticals Ireland Ltd., a corporation organized under the laws of Ireland and having its principal office at First Floor, Block 3, The Oval, Shelbourne Road, Ballsbridge, Dublin 4, Ireland (“Amarin”), and Equateq Limited, a company incorporated in England with registered number 5507387 and with its registered office at Lion House, Red Lion Street, London, WC1R 4GB but with its principal offices at Callanish, Isle of Lewis, HS2 9ED (“Equateq”).</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WHEREAS, the Parties entered into that certain API Supply Agreement as of May 25, 2011 and as amended by an Amendment document dated 19 October 2011 (the “First Amendment) (and both together, the “Agreement”);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further amend the Agreement as set forth herein.</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premises and mutual covenants herein below, and for other good and valuable consideration, the receipt and sufficiency of which are hereby acknowledged, the Parties agree as follows:</w:t>
      </w:r>
    </w:p>
    <w:p>
      <w:pPr>
        <w:spacing w:after="0" w:line="132" w:lineRule="exact"/>
        <w:rPr>
          <w:sz w:val="20"/>
          <w:szCs w:val="20"/>
          <w:color w:val="auto"/>
        </w:rPr>
      </w:pPr>
    </w:p>
    <w:p>
      <w:pPr>
        <w:ind w:left="1000" w:hanging="53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Capitalized terms used but not defined herein shall have the meanings given to them in the Agreement.</w:t>
      </w:r>
    </w:p>
    <w:p>
      <w:pPr>
        <w:spacing w:after="0" w:line="171" w:lineRule="exact"/>
        <w:rPr>
          <w:rFonts w:ascii="Arial" w:cs="Arial" w:eastAsia="Arial" w:hAnsi="Arial"/>
          <w:sz w:val="18"/>
          <w:szCs w:val="18"/>
          <w:color w:val="auto"/>
        </w:rPr>
      </w:pPr>
    </w:p>
    <w:p>
      <w:pPr>
        <w:ind w:right="80" w:firstLine="464"/>
        <w:spacing w:after="0" w:line="259"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Parties acknowledge that despite their efforts and without fault on either Party to do so they have not finalised the Development Plan within thirty (30) days after the Effective Date as required pursuant to Section 2.1. However, the Parties agree that the attached Development Plan replaces Schedule 2.1 of the Agreement.</w:t>
      </w:r>
    </w:p>
    <w:p>
      <w:pPr>
        <w:spacing w:after="0" w:line="140" w:lineRule="exact"/>
        <w:rPr>
          <w:rFonts w:ascii="Arial" w:cs="Arial" w:eastAsia="Arial" w:hAnsi="Arial"/>
          <w:sz w:val="18"/>
          <w:szCs w:val="18"/>
          <w:color w:val="auto"/>
        </w:rPr>
      </w:pPr>
    </w:p>
    <w:p>
      <w:pPr>
        <w:ind w:right="120" w:firstLine="464"/>
        <w:spacing w:after="0" w:line="332" w:lineRule="auto"/>
        <w:tabs>
          <w:tab w:leader="none" w:pos="9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Conditional upon Equateq having [***] as determined in [***], the second sentence of Section 2.2 of the Agreement shall be deleted in its entirety and replaced with the following sentence: “Equateq shall use commercially reasonable efforts to complete the Expansion within [***] after the Effective Date.”</w:t>
      </w:r>
    </w:p>
    <w:p>
      <w:pPr>
        <w:spacing w:after="0" w:line="85" w:lineRule="exact"/>
        <w:rPr>
          <w:rFonts w:ascii="Arial" w:cs="Arial" w:eastAsia="Arial" w:hAnsi="Arial"/>
          <w:sz w:val="16"/>
          <w:szCs w:val="16"/>
          <w:color w:val="auto"/>
        </w:rPr>
      </w:pPr>
    </w:p>
    <w:p>
      <w:pPr>
        <w:ind w:right="140" w:firstLine="464"/>
        <w:spacing w:after="0" w:line="26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Second Amendment and any other future amendment of the Agreement may be executed in two (2) or more counterparts, each of which shall be an original, but all of which</w:t>
      </w:r>
    </w:p>
    <w:p>
      <w:pPr>
        <w:sectPr>
          <w:pgSz w:w="11900" w:h="16838" w:orient="portrait"/>
          <w:cols w:equalWidth="0" w:num="1">
            <w:col w:w="11420"/>
          </w:cols>
          <w:pgMar w:left="240" w:top="125" w:right="239" w:bottom="1440" w:gutter="0" w:footer="0" w:header="0"/>
        </w:sectPr>
      </w:pPr>
    </w:p>
    <w:bookmarkStart w:id="26" w:name="page27"/>
    <w:bookmarkEnd w:id="2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together shall constitute one and the same instrument. To evidence the fact that it has executed this Second Amendment and any other future amendment of the Agreement, a Party may send a copy of its executed counterpart to the other Parties by facsimile transmission or by email transmission in portable document format, or similar format. Signatures of the Parties transmitted by facsimile or by email transmission in portable document format, or similar format, shall be deemed to be their original signatures for all purposes.</w:t>
      </w:r>
    </w:p>
    <w:p>
      <w:pPr>
        <w:spacing w:after="0" w:line="143" w:lineRule="exact"/>
        <w:rPr>
          <w:sz w:val="20"/>
          <w:szCs w:val="20"/>
          <w:color w:val="auto"/>
        </w:rPr>
      </w:pPr>
    </w:p>
    <w:p>
      <w:pPr>
        <w:ind w:left="1000" w:hanging="536"/>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expressly provided in this Second Amendment, all other provisions of the Agreement shall remain unmodified and in full force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280" w:right="479" w:bottom="1440" w:gutter="0" w:footer="0" w:header="0"/>
        </w:sectPr>
      </w:pPr>
    </w:p>
    <w:bookmarkStart w:id="27" w:name="page28"/>
    <w:bookmarkEnd w:id="2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their duly authorized representative to execute this Second Amendment effective as of the Second Amendment Effective Date.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AMARIN PHARMACEUTICALS IRELAND LTD.</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Thomas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EQUATEQ LIMITED</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Kelliher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Adam Kelliher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0980"/>
          </w:cols>
          <w:pgMar w:left="240" w:top="280" w:right="6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10.2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171"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149860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AMENDMENT TO API SUPPLY AGREEMENT</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THIRD A</w:t>
      </w:r>
      <w:r>
        <w:rPr>
          <w:rFonts w:ascii="Arial" w:cs="Arial" w:eastAsia="Arial" w:hAnsi="Arial"/>
          <w:sz w:val="14"/>
          <w:szCs w:val="14"/>
          <w:color w:val="auto"/>
        </w:rPr>
        <w:t>MENDMENT TO</w:t>
      </w:r>
      <w:r>
        <w:rPr>
          <w:rFonts w:ascii="Arial" w:cs="Arial" w:eastAsia="Arial" w:hAnsi="Arial"/>
          <w:sz w:val="18"/>
          <w:szCs w:val="18"/>
          <w:color w:val="auto"/>
        </w:rPr>
        <w:t xml:space="preserve"> API S</w:t>
      </w:r>
      <w:r>
        <w:rPr>
          <w:rFonts w:ascii="Arial" w:cs="Arial" w:eastAsia="Arial" w:hAnsi="Arial"/>
          <w:sz w:val="14"/>
          <w:szCs w:val="14"/>
          <w:color w:val="auto"/>
        </w:rPr>
        <w:t>UPPLY</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(the “Third Amendment”) is made as of this 7</w:t>
      </w:r>
      <w:r>
        <w:rPr>
          <w:rFonts w:ascii="Arial" w:cs="Arial" w:eastAsia="Arial" w:hAnsi="Arial"/>
          <w:sz w:val="11"/>
          <w:szCs w:val="11"/>
          <w:color w:val="auto"/>
        </w:rPr>
        <w:t>th</w:t>
      </w:r>
      <w:r>
        <w:rPr>
          <w:rFonts w:ascii="Arial" w:cs="Arial" w:eastAsia="Arial" w:hAnsi="Arial"/>
          <w:sz w:val="18"/>
          <w:szCs w:val="18"/>
          <w:color w:val="auto"/>
        </w:rPr>
        <w:t xml:space="preserve"> day of May, 2012 (the “Third Amendment Effective Date”), by and between Amarin Pharmaceuticals Ireland Ltd., a corporation organized under the laws of Ireland and having its principal office at First Floor, Block 3, The Oval, Shelbourne Road, Ballsbridge, Dublin 4, Ireland (“Amarin”), and Equateq Limited, a company incorporated in England with registered number 5507387 and with its registered office at Lion House, Red Lion Street, London, WC1R 4GB but with its principal offices at Callanish, Isle of Lewis, HS2 9ED (“Equateq”).</w:t>
      </w:r>
    </w:p>
    <w:p>
      <w:pPr>
        <w:spacing w:after="0" w:line="143"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color w:val="auto"/>
        </w:rPr>
        <w:t>WHEREAS, the Parties entered into that certain API Supply Agreement as of May 25, 2011 (the “Original Agreement”) and as amended by an Amendment and Second Amendment documents dated October 19, 2011 and January 9, 2012 respectively (and all together the “Agreement”);</w:t>
      </w:r>
    </w:p>
    <w:p>
      <w:pPr>
        <w:spacing w:after="0" w:line="8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WHEREAS, the Parties have not yet finalised the Development Plan referenced in Section 2.1 of the Original Agreement and clause 2 the Second Amendment;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further amend the Agreement as set forth herein.</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premises and mutual covenants herein below, and for other good and valuable consideration, the receipt and sufficiency of which are hereby acknowledged, the Parties agree as follows:</w:t>
      </w:r>
    </w:p>
    <w:p>
      <w:pPr>
        <w:spacing w:after="0" w:line="132"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Capitalized terms used but not defined herein shall have the meanings given to them in the Agreement.</w:t>
      </w:r>
    </w:p>
    <w:p>
      <w:pPr>
        <w:spacing w:after="0" w:line="171" w:lineRule="exact"/>
        <w:rPr>
          <w:rFonts w:ascii="Arial" w:cs="Arial" w:eastAsia="Arial" w:hAnsi="Arial"/>
          <w:sz w:val="18"/>
          <w:szCs w:val="18"/>
          <w:color w:val="auto"/>
        </w:rPr>
      </w:pPr>
    </w:p>
    <w:p>
      <w:pPr>
        <w:ind w:right="1000" w:firstLine="464"/>
        <w:spacing w:after="0" w:line="268"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Conditional upon Equateq having raised sufficient capital to perform its obligations under the Agreement as determined in accordance with Section 4.1(a):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 the penultimate paragraph of Section 4.1(c) of the Agreement shall be deleted in its entirety and replaced with the following paragraph:</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event that Equateq has not completed the Expansion or the Expanded Manufacturing Process has not been validated and become operational within [***] after the Effective Date and there is no reasonable prospect of it being so completed or validated and operational as appropriate within a further [***], or if Equateq has not completed the Expansion or the</w:t>
      </w:r>
    </w:p>
    <w:p>
      <w:pPr>
        <w:sectPr>
          <w:pgSz w:w="11900" w:h="16838" w:orient="portrait"/>
          <w:cols w:equalWidth="0" w:num="1">
            <w:col w:w="11420"/>
          </w:cols>
          <w:pgMar w:left="240" w:top="131" w:right="239" w:bottom="1440" w:gutter="0" w:footer="0" w:header="0"/>
        </w:sectPr>
      </w:pPr>
    </w:p>
    <w:bookmarkStart w:id="29" w:name="page30"/>
    <w:bookmarkEnd w:id="29"/>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Expanded Manufacturing Process has not been validated and become operational within [***] after the Effective Date, or in either case such longer period where the additional time is reasonably required by Equateq as a result of scheduling or other delays by the FDA beyond the reasonable control of Equateq, Equateq shall refund within [***] the Third Party Materials Payment to Amarin (the “Third Party Materials Payment Refund”).”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Section 15.5(a) of the Agreement shall be deleted in its entirety and replaced with the following:</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Failure to Validate Expanded Manufacturing Process.</w:t>
      </w:r>
      <w:r>
        <w:rPr>
          <w:rFonts w:ascii="Arial" w:cs="Arial" w:eastAsia="Arial" w:hAnsi="Arial"/>
          <w:sz w:val="18"/>
          <w:szCs w:val="18"/>
          <w:color w:val="auto"/>
        </w:rPr>
        <w:t xml:space="preserve"> Equateq fails to complete the validation of the Expanded Manufacturing Process prior to [***] months after the Effective Date and provided that Equateq fails to complete or has no reasonable prospect of completing the said validation within [***] Days following notice from Amarin of its intention to terminate.”</w:t>
      </w:r>
    </w:p>
    <w:p>
      <w:pPr>
        <w:spacing w:after="0" w:line="140" w:lineRule="exact"/>
        <w:rPr>
          <w:sz w:val="20"/>
          <w:szCs w:val="20"/>
          <w:color w:val="auto"/>
        </w:rPr>
      </w:pPr>
    </w:p>
    <w:p>
      <w:pPr>
        <w:jc w:val="both"/>
        <w:ind w:right="120" w:firstLine="464"/>
        <w:spacing w:after="0" w:line="256"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Parties acknowledge that despite their efforts and without fault on either Party to do so, they have not finalised the Development Plan referenced in Section 2.1 of the Original Agreement and clause 2 the Second Amendment. The Parties agree and acknowledge that Schedule 2.1 of the Original Agreement is and shall be in full force and effect until a Development Plan is finalised and signed by both Parties. For the avoidance of doubt, the Parties agree and acknowledge that there was and is no attachment to the Second Amendment.</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Schedule 2.2 of the Agreement shall be deleted in its entirety and replaced with the Summary Expansion Plan,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firstLine="464"/>
        <w:spacing w:after="0" w:line="294"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Third Amendment and any other future amendment of the Agreement may be executed in two (2) or more counterparts, each of which shall be an original, but all of which together shall constitute one and the same instrument. To evidence the fact that it has executed this Third Amendment and any other future amendment of the Agreement, a Party may send a copy of its executed counterpart to the other Parties by facsimile transmission or by email transmission in portable document format, or similar format. Signatures of the Parties transmitted by facsimile or by email transmission in portable document format, or similar format, shall be deemed to be their original signatures for all purposes.</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as expressly provided in this Third Amendment, all other provisions of the Agreement shall remain unmodified and in full force and effect.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to Follow</w:t>
      </w: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bookmarkStart w:id="30" w:name="page31"/>
    <w:bookmarkEnd w:id="30"/>
    <w:p>
      <w:pPr>
        <w:ind w:right="7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their duly authorized representative to execute this Third Amendment effective as of the Third Amendment Effective Date.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AMARIN PHARMACEUTICALS IRELAND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G. Lynch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Thomas G. Lynch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419"/>
        </w:trPr>
        <w:tc>
          <w:tcPr>
            <w:tcW w:w="4560" w:type="dxa"/>
            <w:vAlign w:val="bottom"/>
            <w:gridSpan w:val="2"/>
          </w:tcPr>
          <w:p>
            <w:pPr>
              <w:spacing w:after="0"/>
              <w:rPr>
                <w:sz w:val="20"/>
                <w:szCs w:val="20"/>
                <w:color w:val="auto"/>
              </w:rPr>
            </w:pPr>
            <w:r>
              <w:rPr>
                <w:rFonts w:ascii="Arial" w:cs="Arial" w:eastAsia="Arial" w:hAnsi="Arial"/>
                <w:sz w:val="18"/>
                <w:szCs w:val="18"/>
                <w:color w:val="auto"/>
              </w:rPr>
              <w:t>EQUATEQ LIMITED</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Adam Kelliher</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Adam Kelliher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CEO</w:t>
            </w:r>
          </w:p>
        </w:tc>
      </w:tr>
    </w:tbl>
    <w:p>
      <w:pPr>
        <w:sectPr>
          <w:pgSz w:w="11900" w:h="16838" w:orient="portrait"/>
          <w:cols w:equalWidth="0" w:num="1">
            <w:col w:w="11420"/>
          </w:cols>
          <w:pgMar w:left="240" w:top="280" w:right="23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ectPr>
          <w:pgSz w:w="11900" w:h="16838" w:orient="portrait"/>
          <w:cols w:equalWidth="0" w:num="1">
            <w:col w:w="9019"/>
          </w:cols>
          <w:pgMar w:left="1440" w:top="280"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80" w:right="1440"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Joseph Zakrzewski,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580" w:val="left"/>
          <w:tab w:leader="none" w:pos="7920" w:val="left"/>
        </w:tabs>
        <w:rPr>
          <w:sz w:val="20"/>
          <w:szCs w:val="20"/>
          <w:color w:val="auto"/>
        </w:rPr>
      </w:pPr>
      <w:r>
        <w:rPr>
          <w:rFonts w:ascii="Arial" w:cs="Arial" w:eastAsia="Arial" w:hAnsi="Arial"/>
          <w:sz w:val="18"/>
          <w:szCs w:val="18"/>
          <w:color w:val="auto"/>
        </w:rPr>
        <w:t>Date: May 8, 2012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Joseph Zakrzewski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Joseph Zakrzewski</w:t>
      </w:r>
    </w:p>
    <w:p>
      <w:pPr>
        <w:spacing w:after="0" w:line="1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80" w:val="left"/>
          <w:tab w:leader="none" w:pos="8120" w:val="left"/>
        </w:tabs>
        <w:rPr>
          <w:sz w:val="20"/>
          <w:szCs w:val="20"/>
          <w:color w:val="auto"/>
        </w:rPr>
      </w:pPr>
      <w:r>
        <w:rPr>
          <w:rFonts w:ascii="Arial" w:cs="Arial" w:eastAsia="Arial" w:hAnsi="Arial"/>
          <w:sz w:val="18"/>
          <w:szCs w:val="18"/>
          <w:color w:val="auto"/>
        </w:rPr>
        <w:t>Date: May 8, 2012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Joseph Zakrzweski, Chief Executive Officer (Principal Executive Officer) of Amarin Corporation plc and John F. Thero, President (Principal Financial Officer) of the Company, each hereby certifies that, to the best of his knowledge:</w:t>
      </w:r>
    </w:p>
    <w:p>
      <w:pPr>
        <w:spacing w:after="0" w:line="26" w:lineRule="exact"/>
        <w:rPr>
          <w:sz w:val="20"/>
          <w:szCs w:val="20"/>
          <w:color w:val="auto"/>
        </w:rPr>
      </w:pPr>
    </w:p>
    <w:p>
      <w:pPr>
        <w:ind w:left="4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2012, to which this Certification is attached as Exhibit 32.1 (the “Quarterly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Zakrzewski</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May 8, 2012</w:t>
            </w:r>
          </w:p>
        </w:tc>
        <w:tc>
          <w:tcPr>
            <w:tcW w:w="5600" w:type="dxa"/>
            <w:vAlign w:val="bottom"/>
          </w:tcPr>
          <w:p>
            <w:pPr>
              <w:spacing w:after="0"/>
              <w:rPr>
                <w:sz w:val="20"/>
                <w:szCs w:val="20"/>
                <w:color w:val="auto"/>
              </w:rPr>
            </w:pPr>
            <w:r>
              <w:rPr>
                <w:rFonts w:ascii="Arial" w:cs="Arial" w:eastAsia="Arial" w:hAnsi="Arial"/>
                <w:sz w:val="18"/>
                <w:szCs w:val="18"/>
                <w:color w:val="auto"/>
              </w:rPr>
              <w:t>Joseph Zakrzweski</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58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May 8, 2012</w:t>
            </w:r>
          </w:p>
        </w:tc>
        <w:tc>
          <w:tcPr>
            <w:tcW w:w="560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2"/>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lowerRoman"/>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5"/>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3"/>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2019-12-11T01:30:24Z</dcterms:created>
  <dcterms:modified xsi:type="dcterms:W3CDTF">2019-12-11T01:30:24Z</dcterms:modified>
</cp:coreProperties>
</file>