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257"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71"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color w:val="auto"/>
                <w:w w:val="88"/>
              </w:rPr>
              <w:t>(Exact name of registrant as specified in its charter)</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88"/>
              </w:rPr>
              <w:t>England and Wales</w:t>
            </w:r>
          </w:p>
        </w:tc>
        <w:tc>
          <w:tcPr>
            <w:tcW w:w="2260" w:type="dxa"/>
            <w:vAlign w:val="bottom"/>
            <w:gridSpan w:val="2"/>
          </w:tcPr>
          <w:p>
            <w:pPr>
              <w:jc w:val="center"/>
              <w:ind w:left="484"/>
              <w:spacing w:after="0"/>
              <w:rPr>
                <w:sz w:val="20"/>
                <w:szCs w:val="20"/>
                <w:color w:val="auto"/>
              </w:rPr>
            </w:pPr>
            <w:r>
              <w:rPr>
                <w:rFonts w:ascii="Arial" w:cs="Arial" w:eastAsia="Arial" w:hAnsi="Arial"/>
                <w:sz w:val="18"/>
                <w:szCs w:val="18"/>
                <w:b w:val="1"/>
                <w:bCs w:val="1"/>
                <w:color w:val="auto"/>
                <w:w w:val="89"/>
              </w:rPr>
              <w:t>Not applicable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880" w:type="dxa"/>
            <w:vAlign w:val="bottom"/>
            <w:gridSpan w:val="5"/>
          </w:tcPr>
          <w:p>
            <w:pPr>
              <w:jc w:val="center"/>
              <w:ind w:right="18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60" w:type="dxa"/>
            <w:vAlign w:val="bottom"/>
            <w:gridSpan w:val="2"/>
          </w:tcPr>
          <w:p>
            <w:pPr>
              <w:jc w:val="center"/>
              <w:ind w:left="4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8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w w:val="88"/>
              </w:rPr>
              <w:t>incorporation or organization)</w:t>
            </w:r>
          </w:p>
        </w:tc>
        <w:tc>
          <w:tcPr>
            <w:tcW w:w="22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Identification No.)</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2 Pembroke House</w:t>
            </w:r>
          </w:p>
        </w:tc>
        <w:tc>
          <w:tcPr>
            <w:tcW w:w="1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90"/>
              </w:rPr>
              <w:t>Upper Pembroke Street 28-32, Dublin 2, Ireland</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(Address of principal executive offices)</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40" w:type="dxa"/>
            <w:vAlign w:val="bottom"/>
            <w:gridSpan w:val="4"/>
          </w:tcPr>
          <w:p>
            <w:pPr>
              <w:jc w:val="center"/>
              <w:ind w:left="4097"/>
              <w:spacing w:after="0"/>
              <w:rPr>
                <w:sz w:val="20"/>
                <w:szCs w:val="20"/>
                <w:color w:val="auto"/>
              </w:rPr>
            </w:pPr>
            <w:r>
              <w:rPr>
                <w:rFonts w:ascii="Arial" w:cs="Arial" w:eastAsia="Arial" w:hAnsi="Arial"/>
                <w:sz w:val="18"/>
                <w:szCs w:val="18"/>
                <w:b w:val="1"/>
                <w:bCs w:val="1"/>
                <w:color w:val="auto"/>
                <w:w w:val="88"/>
              </w:rPr>
              <w:t>+353 (0) 1 6699 020</w:t>
            </w: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80" w:type="dxa"/>
            <w:vAlign w:val="bottom"/>
            <w:gridSpan w:val="3"/>
          </w:tcPr>
          <w:p>
            <w:pPr>
              <w:jc w:val="center"/>
              <w:ind w:left="636"/>
              <w:spacing w:after="0"/>
              <w:rPr>
                <w:sz w:val="20"/>
                <w:szCs w:val="20"/>
                <w:color w:val="auto"/>
              </w:rPr>
            </w:pPr>
            <w:r>
              <w:rPr>
                <w:rFonts w:ascii="Arial" w:cs="Arial" w:eastAsia="Arial" w:hAnsi="Arial"/>
                <w:sz w:val="14"/>
                <w:szCs w:val="14"/>
                <w:color w:val="auto"/>
                <w:w w:val="86"/>
              </w:rPr>
              <w:t>(Registrant’s telephone number, including area code)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gridSpan w:val="3"/>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80" w:type="dxa"/>
            <w:vAlign w:val="bottom"/>
            <w:gridSpan w:val="5"/>
          </w:tcPr>
          <w:p>
            <w:pPr>
              <w:jc w:val="center"/>
              <w:ind w:right="1800"/>
              <w:spacing w:after="0" w:line="201" w:lineRule="exact"/>
              <w:rPr>
                <w:sz w:val="20"/>
                <w:szCs w:val="20"/>
                <w:color w:val="auto"/>
              </w:rPr>
            </w:pPr>
            <w:r>
              <w:rPr>
                <w:rFonts w:ascii="Arial" w:cs="Arial" w:eastAsia="Arial" w:hAnsi="Arial"/>
                <w:sz w:val="18"/>
                <w:szCs w:val="18"/>
                <w:color w:val="auto"/>
                <w:w w:val="87"/>
              </w:rPr>
              <w:t>American Depositary Shares, each representing one Ordinary Share</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gridSpan w:val="5"/>
          </w:tcPr>
          <w:p>
            <w:pPr>
              <w:jc w:val="center"/>
              <w:ind w:right="1800"/>
              <w:spacing w:after="0"/>
              <w:rPr>
                <w:sz w:val="20"/>
                <w:szCs w:val="20"/>
                <w:color w:val="auto"/>
              </w:rPr>
            </w:pPr>
            <w:r>
              <w:rPr>
                <w:rFonts w:ascii="Arial" w:cs="Arial" w:eastAsia="Arial" w:hAnsi="Arial"/>
                <w:sz w:val="18"/>
                <w:szCs w:val="18"/>
                <w:color w:val="auto"/>
                <w:w w:val="86"/>
              </w:rPr>
              <w:t>Ordinary Shares, 50 pence par value per share</w:t>
            </w:r>
          </w:p>
        </w:tc>
        <w:tc>
          <w:tcPr>
            <w:tcW w:w="29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The NASDAQ Stock Market LLC</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00" w:type="dxa"/>
            <w:vAlign w:val="bottom"/>
            <w:gridSpan w:val="4"/>
          </w:tcPr>
          <w:p>
            <w:pPr>
              <w:jc w:val="center"/>
              <w:ind w:right="70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None</w:t>
            </w: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1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gridSpan w:val="2"/>
          </w:tcPr>
          <w:p>
            <w:pPr>
              <w:spacing w:after="0"/>
              <w:rPr>
                <w:sz w:val="13"/>
                <w:szCs w:val="13"/>
                <w:color w:val="auto"/>
              </w:rPr>
            </w:pPr>
          </w:p>
        </w:tc>
        <w:tc>
          <w:tcPr>
            <w:tcW w:w="7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4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40" w:type="dxa"/>
            <w:vAlign w:val="bottom"/>
          </w:tcPr>
          <w:p>
            <w:pPr>
              <w:ind w:left="16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68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600" w:space="720"/>
            <w:col w:w="6160" w:space="720"/>
            <w:col w:w="134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600" w:space="720"/>
            <w:col w:w="160" w:space="40"/>
            <w:col w:w="6000" w:space="720"/>
            <w:col w:w="1940" w:space="8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80"/>
            <w:col w:w="320" w:space="100"/>
            <w:col w:w="160" w:space="180"/>
            <w:col w:w="240" w:space="100"/>
            <w:col w:w="1820"/>
          </w:cols>
          <w:pgMar w:left="240" w:top="230" w:right="239" w:bottom="1440" w:gutter="0" w:footer="0" w:header="0"/>
          <w:type w:val="continuous"/>
        </w:sectPr>
      </w:pPr>
    </w:p>
    <w:p>
      <w:pPr>
        <w:ind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2012 was approximately $1.92 billion, based upon the closing price on the NASDAQ Capital Market reported for such date.</w:t>
      </w:r>
    </w:p>
    <w:p>
      <w:pPr>
        <w:spacing w:after="0" w:line="24"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149,991,187 shares held as American Depository Shares (ADS), each representing one Ordinary Share, 50 pence par value per share, and 380,694 Ordinary Shares, were outstanding as of February 20, 2013.</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160" w:type="dxa"/>
            <w:vAlign w:val="bottom"/>
            <w:gridSpan w:val="7"/>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r>
      <w:tr>
        <w:trPr>
          <w:trHeight w:val="353"/>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96"/>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4"/>
              </w:rPr>
              <w:t>PART 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gridSpan w:val="2"/>
          </w:tcPr>
          <w:p>
            <w:pPr>
              <w:spacing w:after="0" w:line="184"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520" w:type="dxa"/>
            <w:vAlign w:val="bottom"/>
            <w:gridSpan w:val="19"/>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92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81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50">
              <w:r>
                <w:rPr>
                  <w:rFonts w:ascii="Arial" w:cs="Arial" w:eastAsia="Arial" w:hAnsi="Arial"/>
                  <w:sz w:val="18"/>
                  <w:szCs w:val="18"/>
                  <w:color w:val="0000EE"/>
                  <w:w w:val="85"/>
                </w:rPr>
                <w:t>Legal Proceedings</w:t>
              </w:r>
            </w:hyperlink>
          </w:p>
        </w:tc>
        <w:tc>
          <w:tcPr>
            <w:tcW w:w="88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9"/>
              </w:rPr>
              <w:t>PART II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10140" w:type="dxa"/>
            <w:vAlign w:val="bottom"/>
            <w:gridSpan w:val="21"/>
          </w:tcPr>
          <w:p>
            <w:pPr>
              <w:spacing w:after="0" w:line="184" w:lineRule="exact"/>
              <w:rPr>
                <w:rFonts w:ascii="Arial" w:cs="Arial" w:eastAsia="Arial" w:hAnsi="Arial"/>
                <w:sz w:val="18"/>
                <w:szCs w:val="18"/>
                <w:color w:val="0000EE"/>
              </w:rPr>
            </w:pPr>
            <w:hyperlink w:anchor="page51">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49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Selected Financial Data</w:t>
              </w:r>
            </w:hyperlink>
          </w:p>
        </w:tc>
        <w:tc>
          <w:tcPr>
            <w:tcW w:w="6240" w:type="dxa"/>
            <w:vAlign w:val="bottom"/>
            <w:tcBorders>
              <w:top w:val="single" w:sz="8" w:color="0000EE"/>
            </w:tcBorders>
            <w:gridSpan w:val="13"/>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Quantitative and Qualitative Disclosures about Market Risk</w:t>
              </w:r>
            </w:hyperlink>
          </w:p>
        </w:tc>
        <w:tc>
          <w:tcPr>
            <w:tcW w:w="59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Financial Statements and Supplementary Data</w:t>
              </w:r>
            </w:hyperlink>
          </w:p>
        </w:tc>
        <w:tc>
          <w:tcPr>
            <w:tcW w:w="69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Changes in and Disagreements with Accountants on Accounting and Financial Disclosure</w:t>
              </w:r>
            </w:hyperlink>
          </w:p>
        </w:tc>
        <w:tc>
          <w:tcPr>
            <w:tcW w:w="38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Controls and Procedures</w:t>
              </w:r>
            </w:hyperlink>
          </w:p>
        </w:tc>
        <w:tc>
          <w:tcPr>
            <w:tcW w:w="84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140" w:type="dxa"/>
            <w:vAlign w:val="bottom"/>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10140" w:type="dxa"/>
            <w:vAlign w:val="bottom"/>
            <w:gridSpan w:val="21"/>
          </w:tcPr>
          <w:p>
            <w:pPr>
              <w:spacing w:after="0" w:line="184" w:lineRule="exact"/>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w:t>
              </w:r>
            </w:hyperlink>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70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61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140" w:type="dxa"/>
            <w:vAlign w:val="bottom"/>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Transactions, and Director Independence</w:t>
              </w:r>
            </w:hyperlink>
          </w:p>
        </w:tc>
        <w:tc>
          <w:tcPr>
            <w:tcW w:w="30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Accountant Fees and Services</w:t>
              </w:r>
            </w:hyperlink>
          </w:p>
        </w:tc>
        <w:tc>
          <w:tcPr>
            <w:tcW w:w="48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8"/>
              </w:rPr>
              <w:t>PART IV</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2"/>
          </w:tcPr>
          <w:p>
            <w:pPr>
              <w:spacing w:after="0" w:line="184"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Exhibits and Financial Statement Schedules</w:t>
              </w:r>
            </w:hyperlink>
          </w:p>
        </w:tc>
        <w:tc>
          <w:tcPr>
            <w:tcW w:w="7060" w:type="dxa"/>
            <w:vAlign w:val="bottom"/>
            <w:gridSpan w:val="9"/>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71</w:t>
            </w:r>
          </w:p>
        </w:tc>
      </w:tr>
      <w:tr>
        <w:trPr>
          <w:trHeight w:val="304"/>
        </w:trPr>
        <w:tc>
          <w:tcPr>
            <w:tcW w:w="1102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SPECIAL NOTE REGARDING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Vascepa in its first approved indication, the MARINE indication, the potential for, and timing of, approval of the Vascepa Supplemental New Drug Application, or sNDA, by the United States Food and Drug Administration, or FDA, in its potential second indication, the ANCHOR indication; the safety and efficacy of our product candidates; the scope of our intellectual property protection and the likelihood of securing additional patent protection and regulatory exclusivity; estimates of the potential markets for our product candidates; the likelihood of qualifying additional third party manufacturing suppliers and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2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report to “Amarin,” the “Company,” “we,” “our” and “us” refer to Amarin Corporation plc and its subsidiaries, on a consolidated basis, unless otherwise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Amarin Corporation plc (formerly Ethical Holdings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registered office is located at One New Change, London EC4M 9AF, England. Our principal offices are located at 2 Pembroke House, Upper Pembroke Street 28-32, Dublin 2 Ireland. Our primary office in the United States is located at 1430 Route 206, Bedminster, NJ 07921, USA. Our telephone number at that location is (908) 719-1315.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Annual Report on Form 10-K, our ordinary shares may also be referred to as “common shares” or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biopharmaceutical company focused on the commercialization and development of therapeutics to improve cardiovascular health. On July 26, 2012, we received approval from the U.S. Food and Drug Administration, or FDA, to market and sell our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(formerly known as AMR101) as an adjunct to diet to reduce triglyceride, or TG, levels in adult patients with severe (TG ³500mg/dL) hypertriglyceridemia, which we sometimes refer to as the MARINE indication. Vascepa became commercially available in the United States by prescription in January 2013, when we commenced sales and shipments to our network of U.S.-based wholesalers. On January 28, 2013, we commenced our full commercial launch of Vascepa in the United States for the MARINE indication.</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 In late February 2013, we submitted a Supplemental New Drug Application, or sNDA, for the ANCHOR indication with the FDA. If our sNDA is accepted by the FDA, assuming a ten-month FDA review period, we expect the FDA to assign a Prescription Drug User Fee Act, or PDUFA, action date which is not later than the end of 2013.</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2011, we announced commencement of patient dosing in our cardiovascular outcomes study of Vascepa, titled REDUCE-IT (Reduction of Cardiovascular Events with EPA—Intervention Trial), that is designed to evaluate the efficacy of Vascepa in reducing major cardiovascular events in a high risk patient population on statin therapy. Based on communications with the FDA, we believe that we are required to be “substantially underway” with a cardiovascular outcomes study at the time of the submission of our sNDA seeking approval of the ANCHOR indication. We believe that we achieved this requirement prior to submitting the sNDA. However, there can be no assurance that the FDA will agree with our assessment or that they will accept our sNDA for the ANCHOR indication. We do not believe the final results of the REDUCE-IT study will be required for FDA approval of Vascepa for the ANCHOR indication.</w:t>
      </w:r>
    </w:p>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Hypertriglyceridemia refers to a condition in which patients have high levels of triglycerides in the bloodstream. Triglycerides are fats in the blood. It is estimated that over 40 million adults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have elevated triglyceride levels greater than 200mg/dL and approximately 4.0 million people in the United States have severely high (TG ³500mg/dL) triglyceride levels, commonly known as very high triglyceride levels. According to </w:t>
      </w:r>
      <w:r>
        <w:rPr>
          <w:rFonts w:ascii="Arial" w:cs="Arial" w:eastAsia="Arial" w:hAnsi="Arial"/>
          <w:sz w:val="16"/>
          <w:szCs w:val="16"/>
          <w:i w:val="1"/>
          <w:iCs w:val="1"/>
          <w:color w:val="auto"/>
        </w:rPr>
        <w:t>The American Heart Association Scientific Statement on Triglycerides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Cardiovascular Disease </w:t>
      </w:r>
      <w:r>
        <w:rPr>
          <w:rFonts w:ascii="Arial" w:cs="Arial" w:eastAsia="Arial" w:hAnsi="Arial"/>
          <w:sz w:val="16"/>
          <w:szCs w:val="16"/>
          <w:color w:val="auto"/>
        </w:rPr>
        <w:t>(2011), triglycerides also provide important information as a marker associated with the risk for heart disease and stroke, especially when</w:t>
      </w:r>
      <w:r>
        <w:rPr>
          <w:rFonts w:ascii="Arial" w:cs="Arial" w:eastAsia="Arial" w:hAnsi="Arial"/>
          <w:sz w:val="16"/>
          <w:szCs w:val="16"/>
          <w:i w:val="1"/>
          <w:iCs w:val="1"/>
          <w:color w:val="auto"/>
        </w:rPr>
        <w:t xml:space="preserve"> </w:t>
      </w:r>
      <w:r>
        <w:rPr>
          <w:rFonts w:ascii="Arial" w:cs="Arial" w:eastAsia="Arial" w:hAnsi="Arial"/>
          <w:sz w:val="16"/>
          <w:szCs w:val="16"/>
          <w:color w:val="auto"/>
        </w:rPr>
        <w:t>an individual also has low high-density lipoprotein,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in patients with hypertriglyceridemia has not been determined. The effect of Vascepa on the risk for pancreatitis in patients with hypertriglyceridemia has not been determined.</w:t>
      </w:r>
    </w:p>
    <w:p>
      <w:pPr>
        <w:spacing w:after="0" w:line="118"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The potential efficacy and safety of Vascepa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of Vascepa</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for use in the MARINE indication. In preparation for our commercial launch, we recently hired and trained a direct sales force of approximately 275 sales representatives. We also employ various marketing and medical affairs personnel to support our commercialization of Vascepa. Our clinical and commercial supply is provided to us under agreements with various third-party suppliers. As of the date of this Annual Report, we have announced that 18 patent applications in the United States have been either issued or allowed and more than 30 additional patent applications are pending in the United States. We are also pursuing patent applications related to Vascepa in multiple jurisdictions outside the United States. These patent applications are part of our strategy to protect the commercial potential of Vascepa, which generally includes obtaining and maintaining intellectual property rights, maintaining trade secrets, seeking regulatory exclusivity and taking advantage of manufacturing barriers to entry.</w:t>
      </w:r>
    </w:p>
    <w:p>
      <w:pPr>
        <w:spacing w:after="0" w:line="12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believe that our sales and marketing teams are well positioned to support the commercialization of Vascepa for the MARINE indication. We also believe that a larger sales effort will be required to best support the commercialization of Vascepa for the ANCHOR indication, assuming FDA approval of the ANCHOR indication. To support the continued commercialization of Vascepa, we intend to consider strategic opportunities with larger pharmaceutical companies. From time to time we have held discussions with larger pharmaceutical companies on potential collaborations and other strategic opportunities, and we intend to continue having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strategic transaction, and no assurance can be given that we will enter into any such strategic transaction. Until such time when we enter into such a strategic transaction, if ever, we plan to continue to execute on our plans to market and sell Vascepa on our own.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U.S. market is currently our primary focus for Vascepa. Opportunities to seek regulatory approval and to market and sell Vascepa outside of the United States are also under evaluation.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believe that our cash balance of $260.2 million at December 31, 2012 is sufficient to fund our projected operations for at least the next twelve months, including commercialization of Vascepa in the United States for the MARINE indication, preparations for commercialization of Vascepa in the United States for the ANCHOR indication and the advancement of the REDUCE-IT cardiovascular outcomes study. In order to fund our commercialization plans, in particular to fully support the launch, marketing and sale of Vascepa in the ANCHOR indication, we will likely need enter into a strategic collaboration or raise additional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Lipid Disorders and Cardiovascular Disease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Heart attacks, strokes and other cardiovascular events represent the leading cause of death and disability among men and women in western societies. According to the </w:t>
      </w:r>
      <w:r>
        <w:rPr>
          <w:rFonts w:ascii="Arial" w:cs="Arial" w:eastAsia="Arial" w:hAnsi="Arial"/>
          <w:sz w:val="18"/>
          <w:szCs w:val="18"/>
          <w:i w:val="1"/>
          <w:iCs w:val="1"/>
          <w:color w:val="auto"/>
        </w:rPr>
        <w:t>2012 At-A-Glance Report</w:t>
      </w:r>
      <w:r>
        <w:rPr>
          <w:rFonts w:ascii="Arial" w:cs="Arial" w:eastAsia="Arial" w:hAnsi="Arial"/>
          <w:sz w:val="18"/>
          <w:szCs w:val="18"/>
          <w:color w:val="auto"/>
        </w:rPr>
        <w:t xml:space="preserve"> from the U.S. Center for Disease Control, more than 1 out of every 3 adults in the U.S. (approximately 83 million) currently lives with one or more types of cardiovascular disease; an estimated 935,000 heart attacks and 795,000 strokes occur each year; an estimated 71 million adults have high cholesterol (i.e. high levels of low-density lipoprotein cholesterol, or LDL-C); and only 1 out of 3 adults with high LDL cholesterol has the condition under control.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Hypertriglyceridemia refers to a condition in which patients have high levels of triglycerides in the bloodstream and has been recognized as an independent risk factor for cardiovascular disease. Triglyceride levels provide important information as a marker associated with the risk for heart disease and stroke, especially when an individual also has low HDL-C and elevated levels of LDL-C. The effect of Vascepa on cardiovascular mortality and morbidity in patients with hypertriglyceridemia has not been determined.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Guidelines for the management of very high triglyceride levels (</w:t>
      </w:r>
      <w:r>
        <w:rPr>
          <w:rFonts w:ascii="Arial" w:cs="Arial" w:eastAsia="Arial" w:hAnsi="Arial"/>
          <w:sz w:val="18"/>
          <w:szCs w:val="18"/>
          <w:u w:val="single" w:color="auto"/>
          <w:color w:val="auto"/>
        </w:rPr>
        <w:t>&gt;</w:t>
      </w:r>
      <w:r>
        <w:rPr>
          <w:rFonts w:ascii="Arial" w:cs="Arial" w:eastAsia="Arial" w:hAnsi="Arial"/>
          <w:sz w:val="18"/>
          <w:szCs w:val="18"/>
          <w:color w:val="auto"/>
        </w:rPr>
        <w:t>500 mg/dL) suggest that reducing triglyceride levels is the primary goal in patients to reduce the risk of acute pancreatitis. Under these guidelines, targeting LDL-C goal for all patients remains important. Other important parameters to consider in patients with very high TGs include levels of apo B, non—HDL-C, VLDL-C, TC, and HDL-C. The effect of Vascepa on the risk for pancreatitis in patients with hypertriglyceridemia has not been determined.</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It is estimated that over 40 million adults in the United States have elevated triglyceride levels &gt;200mg/dL and approximately 4.0 million people in the United States have very high triglyceride levels (</w:t>
      </w:r>
      <w:r>
        <w:rPr>
          <w:rFonts w:ascii="Arial" w:cs="Arial" w:eastAsia="Arial" w:hAnsi="Arial"/>
          <w:sz w:val="16"/>
          <w:szCs w:val="16"/>
          <w:u w:val="single" w:color="auto"/>
          <w:color w:val="auto"/>
        </w:rPr>
        <w:t>&gt;</w:t>
      </w:r>
      <w:r>
        <w:rPr>
          <w:rFonts w:ascii="Arial" w:cs="Arial" w:eastAsia="Arial" w:hAnsi="Arial"/>
          <w:sz w:val="16"/>
          <w:szCs w:val="16"/>
          <w:color w:val="auto"/>
        </w:rPr>
        <w:t>500 mg/dL). Since 1976, mean triglyceride levels have increased, in concert with the growing epidemic of obesity, insulin resistance, and type 2 diabetes mellitus. In contrast, mean LDL-C levels have decreased.</w:t>
      </w:r>
    </w:p>
    <w:p>
      <w:pPr>
        <w:spacing w:after="0" w:line="10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It is estimated that fewer than 4% of U.S. adults with triglyceride levels ³ 200 mg/dL are currently receiving prescription medication for lowering triglycerides. Many of these patients are taking statin therapy directed primarily at lowering their LDL-C levels.</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leading treatments to lower triglyceride levels are fibrates (fenofibrate and gemfibrozil), statins and a prescription only omega-3 fatty acid, known as Lovaza</w:t>
      </w:r>
      <w:r>
        <w:rPr>
          <w:rFonts w:ascii="Arial" w:cs="Arial" w:eastAsia="Arial" w:hAnsi="Arial"/>
          <w:sz w:val="10"/>
          <w:szCs w:val="10"/>
          <w:color w:val="auto"/>
        </w:rPr>
        <w:t>®</w:t>
      </w:r>
      <w:r>
        <w:rPr>
          <w:rFonts w:ascii="Arial" w:cs="Arial" w:eastAsia="Arial" w:hAnsi="Arial"/>
          <w:sz w:val="16"/>
          <w:szCs w:val="16"/>
          <w:color w:val="auto"/>
        </w:rPr>
        <w:t xml:space="preserve"> in the United States, and as Omacor</w:t>
      </w:r>
      <w:r>
        <w:rPr>
          <w:rFonts w:ascii="Arial" w:cs="Arial" w:eastAsia="Arial" w:hAnsi="Arial"/>
          <w:sz w:val="10"/>
          <w:szCs w:val="10"/>
          <w:color w:val="auto"/>
        </w:rPr>
        <w:t>®</w:t>
      </w:r>
      <w:r>
        <w:rPr>
          <w:rFonts w:ascii="Arial" w:cs="Arial" w:eastAsia="Arial" w:hAnsi="Arial"/>
          <w:sz w:val="16"/>
          <w:szCs w:val="16"/>
          <w:color w:val="auto"/>
        </w:rPr>
        <w:t xml:space="preserve"> in Europe. The use of fenofibrates can lead to abnormal liver function tests (an increase in ALT (alanine transaminase) or AST (aspartate transaminase), which are liver enzymes, and are commonly measured clinically as a part of a diagnostic liver function test to determine liver health), especially when used with statins. The use of gemfibrozil can lead to rhabdomyolysis (severe breakdown of muscles), especially when used with a statin. Lovaza is comprised of omega-3 ethyl esters, which the FDA has described as a complex mixture of eicosapentanoic acid,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or EPA, docosahexaenoic acid, or DHA, and other fatty acids. We believe that DHA may increase LDL-C levels and thereby partially offset one of the typically desired benefits of lipid-lowering therapies, which is lowering LDL-C. Also, in 2012, the FDA required an update to Lovaza product labeling to reflect the risk that Lovaza may increase the frequency of a heart rhythm problem known as atrial fibrillation, or heart flutter.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and Market Opportunity for Vascepa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Vascepa is comprised of not less than 96% pure icosapent ethyl, or ethyl-EPA, and contains no DHA. We believe that the removal of DHA mitigates against the LDL-C raising effect observed in omega-3 formulations that include DHA, as well removing the fishy taste and smell that is sometimes associated with DHA. Based on the results of the MARINE trial, Vascepa was the first omega-3 based product to demonstrate statistically significant triglyceride reduction without a statistically significant increase in LDL-C in this very high triglyceride population.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that the results of the MARINE trial and Vascepa’s EPA only/DHA-free composition suggest that Vascepa has the potential to become a “best-in-class” triglyceride-lowering agent in the United States and the European Union. In addition, currently no omega-3 based product is approved in the United States for lowering high triglycerides in patients with mixed dyslipidemia. We believe that Vascepa has the potential to become “first-in-class” in the prescription-only omega-3 market for lowering triglycerides in patients with mixed dyslipidemia.</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believe the potential market for Vascepa is large and growing. We estimate that drug treatment for hypercholesterolemia patients exceeds $53 billion per year in the United States, with sales dominated by statin therapies. U.S. sales of fibrates as a class of products were approximately $3.1 billion in 2012 with Tricor and Trilipix leading the class. U.S. gross sales of Lovaza in 2012 were over $1.3 billion.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of Vascepa</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for use in the MARINE indication. In preparation for our commercial launch, we recently hired and trained a direct sales force of approximately 275 sales representatives. We also employ various marketing and medical affairs personnel to support our commercialization of Vascepa. We continue to conduct the REDUCE-IT trial and will consider additional trials to further expand the potential indications of use for Vascepa. We do not believe the final results of our REDUCE-IT cardiovascular outcomes study will be required for FDA approval of Vascepa for use in the ANCHOR indication.</w:t>
      </w:r>
    </w:p>
    <w:p>
      <w:pPr>
        <w:spacing w:after="0" w:line="12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believe that our sales and marketing teams are well positioned to support the commercialization of Vascepa for the MARINE indication. We also believe that a larger sales force will be required to best support the commercialization of Vascepa for the ANCHOR indication, assuming FDA approval for the ANCHOR indication. To support the continued commercialization of Vascepa, we intend to consider strategic opportunities with larger pharmaceutical companies. From time to time we have held discussions with larger pharmaceutical companies on potential collaborations and other strategic opportunities, and we intend to continue having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strategic transaction and no assurance can be given that we will enter into any such strategic transaction. Until such time when we enter into such a strategic transaction, if ever, we plan to continue to execute on our plans to market and sell Vascepa on our own.</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U.S. market is currently our primary focus for Vascepa. Opportunities to seek regulatory approval of, and market and sell, Vascepa outside of the United States are also under evaluation.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MARINE Trial</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MARINE trial, the largest study ever conducted with the omega-3 fatty acid ethyl EPA in treating patients with very high triglycerides (³500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was required to meet a stringent level of statistical significance of 1% (p &lt; 0.01) in our Special Protocol Assessment, or SPA, agreement with the FDA.</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November 29,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 treated groups (-18% for the 4-gram group [p &lt; 0.001] and -8% for the 2-gram group [p &lt; 0.05]).</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w:t>
      </w:r>
    </w:p>
    <w:p>
      <w:pPr>
        <w:spacing w:after="0" w:line="14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 (NS). LDL particle size did not change significantly for the 2 or 4 grams doses.</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Vascepa was well tolerated in the MARINE trial, with a safety profile comparable to placebo and there were no treatment-related serious adverse events observed. No significant changes in fasting blood glucose, hemoglobin A1C, vital signs, electrocardiograms, or liver or kidney function were observed with either Vascepa dose.</w:t>
      </w:r>
    </w:p>
    <w:p>
      <w:pPr>
        <w:spacing w:after="0" w:line="140"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ANCHOR Trial</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ANCHOR trial was a multi-center, placebo-controlled, randomized, double-blind, 12-week pivotal study in patients with high triglycerides ( ³ 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Other secondary efficacy endpoints included the median placebo-adjusted percent change in non-high-density lipoprotein cholesterol (non-HDL-C), apolipoprotein B (apo B), and lipoprotein-associated phospholipase A2 (Lp-PLA2). The 4-gram dose was associated with statistically significant reductions in non-HDL-C (13.6%, p&lt;0.0001), apo B (9.3%, p&lt;0.0001), Lp-PLA2 (19%, p&lt;0.0001) and high-sensitivity C-reactive protein (hsCRP) (22%, p&lt;0.001), at week 12 compared to placebo. In addition to the previously reported favorable lipid effects of Vascepa on hypertriglyceridemic patients in the MARINE and ANCHOR studies, a recently published analysis of these studies showed that the Vascepa 4-gram daily dose also significantly decreased levels of the inflammatory marker oxidized low-density lipoprotein relative to placebo.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Efficacy of Ethyl-EPA</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Japan, ethyl-EPA is marketed under the product name of Epadel by Mochida Pharmaceutical Co. and is indicated for hyperlipidemia and peripheral vascular disease. Clinical data from Japan suggests that Epadel is effective in reducing triglycerides. In addition,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patients with triglyceride levels of ³ 150 mg/dL (average 269 mg/dL at entry) and HDL-C &lt;40 mg/dL.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Clinical Safety of Vascepa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commencing the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have been dosed with Vascepa in these studies, with over 100 receiving continuous treatment for a year or more. In all studies performed to date, Vascepa has shown a favorable safety and tolerability profile. In both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the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REDUCE-IT Study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2011, we reached agreement with the FDA on an SPA for the design of the REDUCE-IT (Reduction of Cardiovascular Events with EPA— Intervention Trial) cardiovascular outcomes study. An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An SPA is generally binding upon the FDA unless a substantial scientific issue essential to determining safety or efficacy is identified after the testing begins. Moreover, any change to a study protocol can invalidate an SPA. There can be no assurance that the FDA will ultimately consider our SPA to be binding. If the FDA does not consider the SPA to be binding or makes a determination that we did not follow the SPA appropriately, the agency could assert that additional studies or data are required to support a regulatory submission.</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September 2011, we engaged a clinical research organization, or CRO, and began initial trial and clinical site preparation for REDUCE-IT. In December 2011, we announced that the first patient was dosed in the study.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study duration is dependent on the rate of clinical events in the study which rate may be affected by the number of patients enrolled in the study and the epidemiology of the patients enrolled in the study. Based on preliminary assumptions for patient enrollment rates and the clinical profile of these patients, it is assumed that fewer than 10,000 patients will be required to complete the study with an optimized target in which the study is completed in approximately six years of 8,000 patients.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REDUCE-IT study is designed to evaluate the efficacy of Vascepa in reducing major cardiovascular events in an at-risk patient population also receiving statin therapy. REDUCE-IT is a multi-center,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is comprised of patients on optimized statin therapy. The active arm of the study is comprised of patients on optimized statin therapy plus Vascepa. All subjects enrolled in the study will have elevated triglyceride levels and either coronary heart disease or risk factors for coronary heart disease. This study will be conducted internationally. Based on the results of REDUCE-IT, we may seek additional indications for Vascepa beyond the indication studied in the ANCHOR and MARINE trials such as a potential indication for prevention of cardiovascular events, although there can be no assurance as to whether the results of the study will support any such indication.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Lipid Compounds and other Preclinical Programs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also considering development of other next generation compounds based on our internal lipid science expertise, including potential combination and derivative therapies.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December 2012, we completed dosing and pharmacokinetic sampling in a study to test a fixed-dose combination of Vascepa capsules and a leading statin. The clinical name for this combination product candidate is AMR102. The purpose of the AMR102 study is to determine the bioavailability of the Vascepa and statin components when taken as a fixed-dose combination product, relative to the individual reference agents taken concomitantly. We anticipate reviewing the results of this study in the first half of 2013.</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believe that Vascepa and other lipid-based compositions may have an impact on a number of biological factors in the body such as anti-inflammatory mechanisms, cell membrane composition and plasticity, triglyceride levels and regulation of glucose metabolism. Currently all other clinic developments are in formulative or pre-clinical stages.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Vascepa</w:t>
      </w:r>
    </w:p>
    <w:p>
      <w:pPr>
        <w:spacing w:after="0" w:line="96"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We currently use third party manufacturers and suppliers to manufacture clinical and commercial quantities of ethyl-EPA, which constitutes the only active pharmaceutical ingredient, or API, within Vascepa, to encapsulate, bottle and package Vascepa and to maintain inventory of Vascepa. The approval of Vascepa in July 2012 included the approval of one active pharmaceutical ingredient, or API, manufacturer, Nisshin Pharma, Inc., and one API encapsulator, Patheon, Inc.</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(formerly Banner Pharmacaps Europe BV). Nisshin and Patheon are the API manufacturer and API encapsulator, respectively, with which we have had the longest working relationships. Their facilities were inspected by regulatory authorities as part of the process that led to the FDA’s July 2012 approval of Vascepa, and we believe that the facilities are qualified to support our commercial launch of Vascepa. In October 2012, a second API encapsulator, Catalent Pharma Solutions LLC, was qualified to encapsulate API for Vascepa.</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API material that constitutes ethyl-EPA is a naturally occurring substance which is sourced from qualified producers of fish oil. A limited number of other manufacturers have the ability, know-how and suitable facilities to produce ethyl-EPA to a similar level of purity. Among the conditions for FDA approval of a pharmaceutical product is the requirement that the manufacturer’s quality control and manufacturing procedures conform to current Good Manufacturing Practice, or cGMP, which must be followed at all times. The FDA typically inspects manufacturing facilities before regulatory approval of a product candidate, such as Vascepa,</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and on an ongoing basis. In complying with cGMP regulations, pharmaceutical manufacturers must expend resources and time to ensure compliance with product specifications as well as production, record keeping, quality control, reporting, and other requirements.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goal is to expand our supply chain to provide greater capacity to meet anticipated demand, enable supply diversification and flexibility and introduce cost competition. We have defined with the FDA our plan and specifications for qualifying the additional API suppliers. We intend to submit sNDAs for the use of additional API suppliers after the suppliers successfully complete the specified process and facility qualifications. However, Nisshin is currently our only supplier of Vascepa API. In 2011, after conducting an extensive global search for manufacturers capable of producing Vascepa API to our technical specifications, we entered into limited exclusivity, long-term agreements with two additional API suppliers, Chemport, Inc. and BASF (formerly Equateq Limited). In December 2012, we announced an agreement with an exclusive consortium of companies led by Slanmhor Pharmaceutical, Inc. Slanmhor was spun-out from Ocean Nutrition Canada (ONC) prior to the May 2012 acquisition of ONC by Royal DSM N.V., a global leader in life sciences and materials sciences.</w:t>
      </w:r>
    </w:p>
    <w:p>
      <w:pPr>
        <w:spacing w:after="0" w:line="118"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In December 2012, we announced our submissions of two sNDAs to the FDA seeking approval for Chemport and BASF as additional Vascepa API suppliers. We intend to submit an additional sNDA for Slanmhor after it successfully completes the qualification process. Subject to appropriate regulatory approvals, the addition of Slanmhor would give us a total of four qualified worldwide suppliers of API for Vascepa to utilize in supporting the global commercialization of Vascepa.</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agreements with our API suppliers include annual purchase levels to enable Amarin to maintain exclusivity with each respective supplier and to prevent potential termination of the agreements. Certain of these agreements also contain provisions under which the cost of supply to us decreases as we purchase increased product volume. The agreements with each of our API suppliers that have not yet been approved by the FDA also contemplate phased capacity expansion aimed at creating sufficient capacity to meet anticipated demand for API material for Vascepa. Accordingly, these suppliers are currently working to expand their production capabilities to manufacture the API for Vascepa. These API suppliers are self-funding these expansion and qualification plans with contributions from Amarin. There can be no assurance that additional suppliers will fully-fund the capital costs of our engagement or that these additional suppliers will successfully qualify with the FDA.</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purchase increasing amounts of API to support the commercial launch of Vascepa. Our supply agreement with Nisshin contains minimum purchase commitments for metric tons of API, and we may purchase more than the minimum requirement. We received the majority of this API during 2012, in advance of our planned commercial launch of Vascepa. During 2013, we intend to further increase our purchases of API and finished capsules of Vascepa. These purchases are generally made on the basis of rolling twelve-month forecasts which in part are binding on us and the balance of which are subject to adjustment by us subject to certain limitations. We may elect to make certain of these purchases prior to sNDA approval of our added suppliers after we are satisfied that the material they produce and their facilities are qualified. However, in the event that we make such purchases, we will not be able to use such material for commercial sale until the sNDA for the applicable supplier is approved by the FDA. Similarly, if we are not compliant with other regulations with regard to this intended purchase of supply, the supply of product may be delayed.</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strategy is to expand capacity and to mitigate risk by having multiple API suppliers. Our aggregate capacity to produce API is dependent upon the qualification of our API suppliers. Each of our API suppliers has outlined plans for potential further capacity expansion. We anticipate purchasing qualified API from multiple suppliers for our first year of commercial sales of Vascepa, including purchases from BASF, Chemport and/or Slanmhor prior to FDA approval of the respective sNDAs for these suppliers. If an sNDA for any of these three API suppliers is not approved, we will not be able to use the supply from such supplier for commercial product. Also, if no additional API supplier is approved by the FDA, our API supply will be limited to the API we purchase from Nisshin. We believe that our overall API manufacturing plan provides a pathway to the production of API in sufficient quantities to meet anticipated demand, subject to API supplier capacity expansion,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qualification and regulatory approval. There can be no assurance that these expansion plans will be successful. If our third party manufacturing capacity is not expanded and compliant with application regulatory requirements, we may not be able to supply sufficient quantities of Vascepa to meet anticipated demand. Our purchase of supply may be insufficient to meet, or exceed, actual demand for Vascepa.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Plans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currently expanding our marketing, sales and distribution capabilities. In early 2013 we hired and trained approximately 275 sales representatives in the United States. Vascepa became commercially available in the United States by prescription in January 2013, when we commenced sales and shipments to our network of U.S.-based wholesalers. On January 28, 2013, we commenced our full commercial launch of Vascepa for use in the MARINE indication. We are initially targeting clinicians who are top prescribers of lipid regulating therapies.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Product Development Programs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October 2009, the majority of Amarin’s product development activities were focused on central nervous system and other non-cardiovascular disorders. In October 2009, we completed a private placement resulting in gross proceeds of $70.0 million. These proceeds were used primarily to fund the MARINE and ANCHOR studies for Vascepa. In connection with this private placement, our board of directors and executive management underwent significant change, and our research and development activities, as well as certain executive functions, were consolidated from multiple offices to our research and development headquarters in the United States. In connection with these changes, we re-focused our efforts on developing improved treatments for cardiovascular disease and ceased development of all product candidates outside of our cardiovascular disease focus. In particular, this decision resulted in our ceasing all direct development of product candidates on central nervous system disorders, which included product candidates for the treatment of Huntington’s disease, Myasthenia gravis and Parkinson’s disease.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very high triglycerides, and Abbott Laboratories, which currently markets Tricor, Trilipix and Niaspan for the treatment of very high triglycerides and mixed dyslipidemia and Niaspan, which is primarily used to increase HDL-C, but which is also used to lower triglycerides. In March 2011, Pronova BioPharma Norge AS, which owns the patents for Lovaza, entered into an agreement with Apotex Corp. and Apotex Inc. to settle their patent litigation in the United States related to Lovaza. Pursuant to the terms of the settlement agreement, Pronova granted Apotex a license to enter the U.S. market with a generic version of Lovaza in the first quarter of 2015, or earlier, depending on circumstances. We expect Apotex to compete against us as well. Other companies are also seeking to introduce generic versions of Lovaza.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would compete with Vascepa. These include a free fatty acid form of omega-3 (comprised of 55% EPA and 20% DHA) which is being developed by Omthera Pharmaceuticals which in April 2012 announced its top-line Phase 3 clinical trial results and indicated that it plans to submit an NDA during 2013 for the treatment of hypertriglyceridemia. In addition, Acasti Pharma, a subsidiary of Neptune Technologies &amp; Bioresources Inc., announced in December 2012 that it intends to conduct a Phase 3 clinical program to assess the safety and efficacy of its omega-3 prescription drug candidate derived from krill oil for the treatment of hypertriglyceridemia. We believe Resolvyx Pharmaceuticals and Catabasis Pharmaceuticals are also developing potential treatments for hypertriglyceridemia based on omega-3 fatty acids, but we believe that neither has initiated a Phase 2 clinical trial of its product. In addition, we are aware that Essentialis, Inc is developing a controlled release diazoxide product for the treatment of hypertriglyceridemia. Essentialis, Inc. has reported that they have completed Phase 2 clinical studies with this product.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Vascepa will also face competition from dietary supplement companies marketing naturally occurring omega-3 fatty acids as nutritional supplements. We cannot be sure physicians and pharmacists will view the FDA-approved prescription-only status, EPA-only purity of Vascepa and stringent regulatory oversight as significant advantages versus naturally occurring omega-3 fatty acid dietary supplements.</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addition, other drug companies, known as generic drug companies, may challenge the validity, enforceability or both of our patents and seek to design products around our issued patent claims and, after a period of FDA-granted regulatory exclusivity gain marketing approval for generic versions of Vascepa or gain marketing approval for branded competitive products based on new clinical studies.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Our drugs must be approved by the FDA through the NDA process before they may be legally marketed in the United States. For new chemical entities, the pre-clinical development stage generally involves synthesizing the active component, developing the formulation and determining the manufacturing process, as well as carrying out non-human toxicology, pharmacology and drug metabolism studies which support subsequent clinical testing.</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Drug Development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they may suspend or terminate the study at any time. Studies must be conducted in accordance with good clinical practice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FDA approval of an NDA must be obtained before marketing a drug in the United States. In addition, in order to seek approval for a potentially expanded indication based on the ANCHOR study, we are required to have been substantially enrolled subjects in our REDUCE-IT cardiovascular outcomes study at the time of our NDA submission for the ANCHOR indication. Based upon feedback from the FDA and in accordance with the SPA for the ANCHOR study, we do not believe that the results of the REDUCE-IT outcomes study are required for approval of the indication studied in the ANCHOR trial.</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FDA will likely re-analyze the clinical trial data, which could result in extensive discussions between the FDA and us during the review process. The review and evaluation of applications by the FDA is extensive and time consuming and may take longer than originally planned to complete. The FDA may conduct a pre-approval inspection of the manufacturing facilities for the new product to determine whether they comply with current good manufacturing practice requirements and may also audit data from clinical and pre-clinical trials.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There is no assurance that the FDA will ultimately approve a drug product for marketing in the United States. Even if future indications for Vascepa are approved, the FDA’s review will be lengthy and we may encounter significant difficulties or costs during the review process. After approving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the European Union, or E.U., our future products may also be subject to extensive regulatory requirements. As in the United States, the marketing of medicinal products has been subject to the granting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marketing authorizations by regulatory agencies. Particular emphasis is also being placed on more sophisticated and faster procedures for reporting of adverse events to the competent authorities.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Similar to the United States, the various phases of pre-clinical and clinical research in the E.U. are subject to significant regulatory controls. Although the regulatory controls on clinical research are currently undergoing a harmonization process following the adoption of the Clinical Trials Directive 2001/20/EC, there are currently significant variations in the member state regimes. However, all member states currently require independent institutional review board approval of interventional clinical trials. With the exception of U.K. Phase 1 studies in healthy volunteers, all clinical trials require either prior governmental notification or approval. Most regulators also require the submission of adverse event reports during a study and a copy of the final study report.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the E.U., approval of new medicinal products can be obtained through one of three processes: the mutual recognition procedure, the centralized procedure and the decentralized procedure.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Mutual Recognition Procedure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An applicant submits an application in one E.U. member state, known as the reference member state. Once the reference member state has granted the marketing authorization, the applicant may choose to submit applications in other concerned member states, requesting them to mutually recognize the marketing authorizations already granted. Under this mutual recognition process, authorities in other concerned member states have 55 days to raise objections, which must then be resolved by discussions among the concerned member states, the reference member state and the applicant within 90 days of the commencement of the mutual recognition procedure. If any disagreement remains, all considerations by authorities in the concerned member states are suspended and the disagreement is resolved through an arbitration process. The mutual recognition procedure results in separate national marketing authorizations in the reference member state and each concerned member state.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Centralized Procedure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procedure is currently mandatory for products developed by means of a biotechnological process and optional for new active substances and other “innovative medicinal products with novel characteristics.” Under this procedure, an application is submitted to the European Agency for the Evaluation of Medical Products. Two European Union member states are appointed to conduct an initial evaluation of each application. These countries each prepare an assessment report that is then used as the basis of a scientific opinion of the Committee on Proprietary Medical Products. If this opinion is favorable, it is sent to the European Commission, which drafts a decision. After consulting with the member states, the European Commission adopts a decision and grants a marketing authorization, which is valid throughout the European Union and confers the same rights and obligations in each of the member states as a marketing authorization granted by that member state.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Decentralized Procedure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most recently introduced of the three processes for obtaining approval of new medicinal processes in the E.U., the decentralized procedure is similar to the mutual recognition procedure described above, but with differences in the timing that key documents are provided to concerned member states by the reference member state, the overall timing of the procedure and the possibility of “clock stops” during the procedure, among others.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Following approval of a new product, a pharmaceutical company generally must engage in numerous specific monitoring and recordkeeping activities and continue to submit periodic and other reports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applicable regulatory agencies, including any cases of adverse events and appropriate quality control records. Modifications or enhancements to the products or labeling or changes of site of manufacture are often subject to the approval of the FDA and other regulators, which may or may not be received or may result in a lengthy review process.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U.S. Federal Food, Drug, and Cosmetic Act.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current good manufacturing practices, or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using, or causing to be made or used, a false statement to get a false claim paid.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company’s marketing of the product for unapproved, and thus non-reimbursable, uses.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Because of the breadth of these laws and the narrowness of the safe harbors, it is possible that some of our business activities could be subject to challenge under one or more of such laws. Such a challenge could have a material adverse effect on our business, financial condition and results of operations. As a company marketing an FDA-approved product in the United States, our operations may be directly, or indirectly through our customers, subject to various federal and state fraud and abuse laws, including, without limitation, the federal anti-kickback statute.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39" w:lineRule="exact"/>
        <w:rPr>
          <w:sz w:val="20"/>
          <w:szCs w:val="20"/>
          <w:color w:val="auto"/>
        </w:rPr>
      </w:pPr>
    </w:p>
    <w:p>
      <w:pPr>
        <w:ind w:left="900" w:right="6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900" w:right="60" w:hanging="325"/>
        <w:spacing w:after="0" w:line="33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8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w:t>
      </w:r>
    </w:p>
    <w:p>
      <w:pPr>
        <w:spacing w:after="0" w:line="12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American Recovery and Reinvestment Act of 2009 provides funding for the federal government to compare the effectiveness of different treatments for the same illness. A plan for the research will be developed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Most recently, in March 2010 the Patient Protection and Affordable Care Act, as amended by the Health Care and Education Reconciliation Act, or collectively the PPACA, was enacted, which includes measures to significantly change the way healthcare is financed by both governmental and private insurers. Among the provisions of the PPACA of greatest importance to the pharmaceutical and biotechnology industry are the following:</w:t>
      </w:r>
    </w:p>
    <w:p>
      <w:pPr>
        <w:spacing w:after="0" w:line="2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requirements to report certain financial arrangements with physicians and others, including reporting any “transfer of value” made or distributed to prescribers and other healthcare providers and reporting any investment interests held by physicians and their immediate family members;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will have authority to recommend certain changes to the Medicare program that could result in reduced payments for prescription drugs and those recommendations could have the effect of law even if Congress does not act on the recommendations; and</w:t>
      </w:r>
    </w:p>
    <w:p>
      <w:pPr>
        <w:spacing w:after="0" w:line="59"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Many of the details regarding the implementation of the PPACA are yet to be determined, and at this time, it remains unclear the full effect that the PPACA would have on our business.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the U.S. Medicare-Medicaid Anti-Fraud and Abuse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4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Market-exclusivity provisions under the Food, Drug and Cosmetic Act, or FDCA, also can delay the submission or the approval of certain applications. The FDCA provides a five-year period of non-patent marketing exclusivity within the United States to the first applicant to gain approval of an NDA for a new chemical entity, or NCE. A drug is an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tentative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2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With respect to Vascepa, we are seeking five-year NCE marketing exclusivity under the FDCA. We believe that the active pharmaceutical ingredient in Vascepa, at least 96% ethyl-EPA, may be considered a new chemical entity, and could therefore be eligible for five-year market exclusivity under the FDCA. The only other omega-3 based product approved by the FDA is Lovaza. We believe the active moiety in Lovaza and the active moiety in Vascepa are different. Lovaza was approved as a lipid-regulating agent by the FDA in 2004 and has been described in its FDA-approved product label as a combination of ethyl esters of omega-3 fatty acids, principally ethyl-EPA and ethyl-DHA. Our belief that Vascepa should be granted NCE exclusivity is based in part on precedent at the</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FDA for granting NCE status to a previously uncharacterized active moiety, in this case, potentially ethyl-EPA that was part of a previously approved product. It is currently unclear whether the FDA will view the ethyl-EPA in Vascepa as a characterized and previously approved active moiety in Lovaza and deny our request that Vascepa be granted NCE status and the associated period of regulatory exclusivity. The FDA typically makes a determination on NCE exclusivity in connection with, or soon after, an NDA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approval of a drug for a new indication. The FDA has not yet made its determination regarding NCE exclusivity of Vascepa for the MARINE indication. Separately, we expect to be granted three-year exclusivity of Vascepa for the ANCHOR indication. We cannot assure you that we will be granted our requested periods of exclusivity for the MARINE indication or the ANCHOR indication. If we are not granted NCE exclusivity for the MARINE indication, we expect that we will be granted three-year exclusivity. We also plan to seek regulatory exclusivity for Vascepa in Europe. There can be no assurance that we will be successful in securing marketing approval or regulatory exclusivity in the United States or in Europe.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Pediatric exclusivity is another type of exclusivity in the United States. Pediatric exclusivity, if granted, provides an additional six months to an existing exclusivity or a statutory delay in approval resulting from a patent certification. This six-month exclusivity, which runs from the end of other exclusivity protections or patent delay, may be granted based on the voluntary completion of a pediatric study in accordance with an FDA-issued “Written Request” for such a study. If market exclusivity, as described above, is successful, we will consider pursuing pediatric exclusivity, although there can be no assurance that we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Technology, Trade Secrets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We seek to protect our chemical compounds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 We, or our licensors, file patent applications directed to our key drug candidates in an effort to establish intellectual property positions for our product candidates as well as uses of our product candidates in the treatment of diseases. Our patenting strategy encompasses pursuing patents for compositions, formulations, indications/ uses and combinations with other drugs. Amarin is prosecuting multiple patent applications in an effort to protect the intellectual property developed during the Vascepa cardiovascular program.</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believe that patent protection of our technologies, processes and products is important to our future operations. The success of our products may depend, in part, upon our ability to obtain strong patent protection. There can, however, be no assurance that:</w:t>
      </w:r>
    </w:p>
    <w:p>
      <w:pPr>
        <w:spacing w:after="0" w:line="51" w:lineRule="exact"/>
        <w:rPr>
          <w:sz w:val="20"/>
          <w:szCs w:val="20"/>
          <w:color w:val="auto"/>
        </w:rPr>
      </w:pPr>
    </w:p>
    <w:p>
      <w:pPr>
        <w:ind w:left="900" w:right="7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patents will be granted from our pending patent applications directed to Vascepa or any of our future products in any or all appropriate jurisdictions;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patents that we or our licensees currently hold or may obtain will not be successfully challenged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technologies, processes or products will not infringe upon the patents of third parties;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any patents will be sufficient to prevent third parties from developing similar products.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strategy is to file patent applications where we think it is appropriate to protect and preserve the proprietary technology and inventions considered significant to our business. As of the date of this Annual Report, we have announced that 18 patent applications in the United States have been either issued or allowed and more than 30 additional patent applications are pending in the United States. Of such 18 allowed and issued applications, we currently have two issued U.S. patents directed to a pharmaceutical composition of Vascepa in a capsule that have terms that expire in 2020 and 2030, respectively, one issued U.S. patent covering highly pure EPA which expires in 2021, eight additional U.S. patents covering the use of Vascepa and potentially competitive products in either the MARINE or anticipated ANCHOR indication that have terms that expire in 2030, and have announced Notices of Allowance from the United States Patent and Trademark Office, or USPTO, for seven additional patent applications that have terms that expire in 2030 and are related to the use of Vascepa and potentially competitive products in either the MARINE or anticipated ANCHOR indication. A Notice of Allowance is issued after the USPTO makes a determination that a patent can be granted from 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application. A Notice of Allowance does not afford patent protection until the underlying patent is issued by the USPTO. No assurance can be given that our issued patents and our pending patents, if and when issued, will prevent competitors from competing with Vascepa.</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filed and are prosecuting numerous additional patent applications in the United States and internationally that seek to protect the proprietary position of Vascepa. For certain of these patent families, we have filed multiple patent applications. Collectively the patent applications include numerous independent claims and dependent claims. Several of our patent applications contain claims based upon what we believe are unexpected findings from the MARINE and ANCHOR trials. If granted, we believe that many of these resulting patents would expire in 2030 or beyond. However, no assurance can be given that any of our patent applications will be granted or, if they are granted, that they will prevent competitors from competing with Vascepa. 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submissions for regulatory approvals. We cannot predict the timing or results of patent applications. In addition, we may elect to submit, or the patent office may require, additional evidence to support certain of the claims we are pursuing. Providing such additional evidence could result in us incurring additional costs. We cannot be certain what commercial value any granted patent in our patent portfolio will provide to us.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also rely upon trade secrets and know-how to retain our competitive position.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in the United States, it is possible that those parties will obtain patents that will be sufficiently broad so as to prevent us from utilizing such technology. In addition, we may use unpatented proprietary technology, in which case there would be no assurance that others would not develop similar technology. See Item 1A “Risk Factors—Risks Related to our Intellectual Property and Regulatory Exclusivity— We are dependent on patents, proprietary rights and confidentiality,” and “Risk Factors—Risks Related to our Business—Potential technological changes in our field of business create considerable uncertainty”.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31, 2012, we had 111 full-time employees employed in marketing, general and administrative and research and development functions. We believe our relations with our employees are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2012, we had the following subsidiaries: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0"/>
              </w:rPr>
              <w:t>Country of</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89"/>
              </w:rPr>
              <w:t>Subsidiary Name</w:t>
            </w:r>
          </w:p>
        </w:tc>
        <w:tc>
          <w:tcPr>
            <w:tcW w:w="298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21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Ownership Interest and</w:t>
            </w:r>
          </w:p>
        </w:tc>
        <w:tc>
          <w:tcPr>
            <w:tcW w:w="0" w:type="dxa"/>
            <w:vAlign w:val="bottom"/>
          </w:tcPr>
          <w:p>
            <w:pPr>
              <w:spacing w:after="0"/>
              <w:rPr>
                <w:sz w:val="1"/>
                <w:szCs w:val="1"/>
                <w:color w:val="auto"/>
              </w:rPr>
            </w:pPr>
          </w:p>
        </w:tc>
      </w:tr>
      <w:tr>
        <w:trPr>
          <w:trHeight w:val="153"/>
        </w:trPr>
        <w:tc>
          <w:tcPr>
            <w:tcW w:w="1040" w:type="dxa"/>
            <w:vAlign w:val="bottom"/>
            <w:tcBorders>
              <w:bottom w:val="single" w:sz="8" w:color="auto"/>
            </w:tcBorders>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2120" w:type="dxa"/>
            <w:vAlign w:val="bottom"/>
            <w:gridSpan w:val="2"/>
          </w:tcPr>
          <w:p>
            <w:pPr>
              <w:jc w:val="center"/>
              <w:ind w:right="1180"/>
              <w:spacing w:after="0" w:line="148" w:lineRule="exact"/>
              <w:rPr>
                <w:sz w:val="20"/>
                <w:szCs w:val="20"/>
                <w:color w:val="auto"/>
              </w:rPr>
            </w:pPr>
            <w:r>
              <w:rPr>
                <w:rFonts w:ascii="Arial" w:cs="Arial" w:eastAsia="Arial" w:hAnsi="Arial"/>
                <w:sz w:val="14"/>
                <w:szCs w:val="14"/>
                <w:b w:val="1"/>
                <w:bCs w:val="1"/>
                <w:color w:val="auto"/>
                <w:w w:val="86"/>
              </w:rPr>
              <w:t>or Registration</w:t>
            </w:r>
          </w:p>
        </w:tc>
        <w:tc>
          <w:tcPr>
            <w:tcW w:w="1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Voting Power Held</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27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shd w:val="clear" w:color="auto" w:fill="CCEEFF"/>
          </w:tcPr>
          <w:p>
            <w:pPr>
              <w:spacing w:after="0"/>
              <w:rPr>
                <w:sz w:val="17"/>
                <w:szCs w:val="17"/>
                <w:color w:val="auto"/>
              </w:rPr>
            </w:pPr>
          </w:p>
        </w:tc>
        <w:tc>
          <w:tcPr>
            <w:tcW w:w="278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Ireland</w:t>
            </w:r>
          </w:p>
        </w:tc>
        <w:tc>
          <w:tcPr>
            <w:tcW w:w="118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78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27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Scotland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278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Ester Neurosciences Limited</w:t>
            </w:r>
          </w:p>
        </w:tc>
        <w:tc>
          <w:tcPr>
            <w:tcW w:w="27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Our registered office is located at One New Change, London EC4M 9AF, England. Our principal offices are located at 2 Pembroke House, Upper Pembroke Street 28-32, Dublin 2 Ireland. Our primary offices in the United States are located at 1430 Route 206, Bedminster, NJ 07921, USA. Our telephone number at that location is (908) 719-1315. Our website address is </w:t>
      </w:r>
      <w:r>
        <w:rPr>
          <w:rFonts w:ascii="Arial" w:cs="Arial" w:eastAsia="Arial" w:hAnsi="Arial"/>
          <w:sz w:val="18"/>
          <w:szCs w:val="18"/>
          <w:i w:val="1"/>
          <w:iCs w:val="1"/>
          <w:color w:val="auto"/>
        </w:rPr>
        <w:t>www.amarincorp.com .</w:t>
      </w:r>
      <w:r>
        <w:rPr>
          <w:rFonts w:ascii="Arial" w:cs="Arial" w:eastAsia="Arial" w:hAnsi="Arial"/>
          <w:sz w:val="18"/>
          <w:szCs w:val="18"/>
          <w:color w:val="auto"/>
        </w:rPr>
        <w:t xml:space="preserve"> No information contained on, or accessible through, our website is incorporated by reference into this Annual Report on Form 10-K.</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Amarin Neuroscience Limited, Corsicanto Ltd, or Ester Neurosciences Limited.</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January 9, 2012, Amarin, through its wholly-owned subsidiary Corsicanto Limited, a private limited company incorporated under the laws of Ireland, completed a private placement of $150.0 million in aggregate principal amount of its 3.50% exchangeable senior notes due 2032. The notes are the senior unsecured obligations of Corsicanto and are guaranteed by Amarin Corporation plc. Corsicanto was formed in November 2011 and was subsequently acquired by Amarin in January 2012 for the sole purpose of facilitating this financing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You are advised to read this Annual Report on Form 10-K in conjunction with other reports and documents that we file from time to time with the Securities and Exchange Commission, or SEC. You may obtain copies of these reports after the date of this annual report directly from us or from the SEC at the SEC’s Public Reference Room at 100 F Street, N.E. Washington, D.C. 20549. In addition, the SEC maintains information for electronic filers (including Amarin) at its website at www.sec.gov. The public may obtain information regarding the operation of the Public Reference Room by calling the SEC at 1-800-SEC-0330. We make our periodic and current reports, as well as any amendments to such reports, available on our internet website, free of charge, as soon as reasonably practicable after such material is electronically filed with, or furnished to, the SEC.</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are dependent upon the success of Vascepa, which only recently obtained FDA approval and launched commercially in the MARINE indication.</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our reliance on a single product and our primary focus on the U.S. market in the near-term, much of our near-term results and value as a company depends on our ability to execute our commercial strategy for Vascepa in the United States. If commercialization efforts for Vascepa in the MARINE indication or, if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approved, the ANCHOR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20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recently launched Vascepa in the MARINE indication in the United States with our own, newly established sales and marketing teams and distribution channels and we may not be successful.</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late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The commercial launch of a new pharmaceutical product is a complex undertaking for a company to manage, and we have no prior experience as a company operating in this area. Factors related to building and managing our own sales and marketing organization that can inhibit our efforts to successfully commercialize Vascepa on our own include:</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have to compete with other pharmaceutical and life sciences companies to recruit, hire, train and retain sales and marketing personnel, and turnover in our sales force and marketing personnel could negatively affect sales of Vascepa. If we are not successful in our efforts to market and sell Vascepa on our own, market acceptance of Vascepa may be harmed, our anticipated revenues will be materially and negatively impacted, and we may need additional funding or seek a strategic licensing or co-promotion transaction in certain territories as a means of raising additional funds.</w:t>
      </w:r>
    </w:p>
    <w:p>
      <w:pPr>
        <w:spacing w:after="0" w:line="194"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only recently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6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perceived efficacy and potential advantages of Vascepa, as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effectiveness and strength of marketing and distribution support, including our sales and marketing team;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90"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The pharmaceutical industry is highly competitive. In attempting to achieve the widespread commercialization of Vascepa, we will face competition to the extent other pharmaceutical companies have on the market, or are able to develop, products for the treatment of similar indications. Potential competitors in this market include companies with greater experience in commercializing pharmaceutical products, and greater resources and name recognition than we have.</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Furthermore, to the extent we are able to acquire or develop additional marketable products in the future, such products will compete with a variety of other products within the United States or elsewhere, possibly including established drugs and major brand names and also generic versions of these products.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1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success of Vascepa and any of our future products will also depend in large part on the willingness of physicians to prescribe these products to their patients. Vascepa will, and our future products may, compete against products that have achieved broad recognition and acceptance among medical professionals. In order to achieve an acceptable level of prescriptions for Vascepa or any future product, we must be able to meet the needs of both the medical community and end users with respect to cost, efficacy and other factors.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Abbott Laboratories, which currently markets Tricor and Trilipix for the treatment of severe hypertriglyceridemia and mixed dyslipidemia and Niaspan, which is primarily used to raise HDL-C, but is also used to lower triglycerides. In March 2011, Pronova BioPharma Norge AS, now owned by BASF, which owns the patents for Lovaza, entered into an agreement with Apotex Corp. and Apotex Inc. to settle their patent litigation in the United States related to Lovaza. Pursuant to the terms of the settlement agreement, Pronova granted Apotex a license to enter the United States market with a generic version of Lovaza in the first quarter of 2015, or earlier depending on circumstances. We expect Apotex to compete against us as well. Other companies are also seeking to introduce generic versions of Lovaza. These competitors have greater resources than we do, including financial, product development, marketing, personnel and other resources.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would compete with Vascepa. These include a free fatty acid form of omega-3 (comprised of 55% EPA and 20% DHA) which is being developed by Omthera Pharmaceuticals, which in April 2012 announced its top-line Phase 3 clinical trial results and indicated that it plans to submit an NDA during 2013 for the treatment of hypertriglyceridemia. In addition,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Resolvyx Pharmaceuticals and Catabasis Pharmaceuticals are also developing potential treatments for hypertriglyceridemia based on omega-3 fatty acids but, to our knowledge, neither has initiated a Phase 2 clinical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trial of its product. In addition, we are aware that Essentialis, Inc is developing a controlled release diazoxide product for the treatment of hypertriglyceridemia.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Essentialis, Inc. has reported that they have completed Phase 2 clinical studies with this product.</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Vascepa will also face competition from dietary supplement companies marketing naturally occurring omega-3 fatty acids as nutritional supplements. We cannot be sure physicians will view the FDA-approved prescription-only status, and EPA-only purity of Vascepa as having a superior therapeutic profile to naturally occurring omega-3 fatty acids and dietary supplements.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other drug companies (commonly known as generic drug companies) may challenge our patents and seek to design products around our issued patent claims and, after a period of FDA-granted regulatory exclusivity gain marketing approval for generic versions of Vascepa or gain marketing approval for branded competitive products based on new clinical studies.</w:t>
      </w:r>
    </w:p>
    <w:p>
      <w:pPr>
        <w:spacing w:after="0" w:line="221" w:lineRule="exact"/>
        <w:rPr>
          <w:sz w:val="20"/>
          <w:szCs w:val="20"/>
          <w:color w:val="auto"/>
        </w:rPr>
      </w:pPr>
    </w:p>
    <w:p>
      <w:pPr>
        <w:ind w:left="240" w:right="120"/>
        <w:spacing w:after="0" w:line="332" w:lineRule="auto"/>
        <w:rPr>
          <w:sz w:val="20"/>
          <w:szCs w:val="20"/>
          <w:color w:val="auto"/>
        </w:rPr>
      </w:pPr>
      <w:r>
        <w:rPr>
          <w:rFonts w:ascii="Arial" w:cs="Arial" w:eastAsia="Arial" w:hAnsi="Arial"/>
          <w:sz w:val="16"/>
          <w:szCs w:val="16"/>
          <w:b w:val="1"/>
          <w:bCs w:val="1"/>
          <w:i w:val="1"/>
          <w:iCs w:val="1"/>
          <w:color w:val="auto"/>
        </w:rPr>
        <w:t>Vascepa is a prescription-only omega-3 fatty acid. Omega-3 fatty acids are also marketed by other companies as non-prescription dietary supplements. As a result, Vascepa would be subject to non-prescription competition and consumer substitution.</w:t>
      </w:r>
    </w:p>
    <w:p>
      <w:pPr>
        <w:spacing w:after="0" w:line="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are not successful marketing and selling Vascepa on our own, we may need to find collaborative partners to help market and sell the product.</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are not successful marketing and selling Vascepa on our own, we may need to find collaborative partners to help market and sell the product or otherwise outsource these functions to third parties. Until such time as we choose to, and actually do, complete a strategic transaction with a third party to market and sell Vascepa, if ever, we will continue to market and sell Vascepa on our own. We are actively exploring collaboration opportunities for the continued marketing and sale of Vascepa as we approach the potential approval of Vascepa in the ANCHOR indication, assuming its regulatory approval.</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not be successful in finding a collaborative partner to help market and sell Vascepa, or may be delayed in doing so, if we determine such a collaborative partner is necessary, in which case we may not receive revenue to the extent that we currently anticipate. We face significant competition in seeking appropriate collaborators, and these collaborations are complex and time-consuming to negotiate and document. We may not be able to negotiate collaborations on acceptable terms, or at all. We likely will have little control over such third parties, and any of them may fail to devote the necessary resources and attention to sell and market our products effectively. If that were to occur, we may have to curtail the continued development of Vascepa for approval for additional indications beyond ANCHOR or increase our planned expenditures and undertake additional development or commercialization activities at our own expense. If we elect to increase our expenditures to fund development or commercialization activities on our own, we will need to obtain additional capital, which may not be available to us on acceptable terms, or at all, or which may not be possible due to our other financing arrangements, including our Purchase and Sale Agreement with Biopharma Secured Debt Fund II Holdings Cayman, L.P., or Biopharma. If we cannot raise sufficient funds, we may not be able to market and sell Vascepa effectively, and generate as much product revenue, as we could under collaboration.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357" w:lineRule="auto"/>
        <w:rPr>
          <w:sz w:val="20"/>
          <w:szCs w:val="20"/>
          <w:color w:val="auto"/>
        </w:rPr>
      </w:pPr>
      <w:r>
        <w:rPr>
          <w:rFonts w:ascii="Arial" w:cs="Arial" w:eastAsia="Arial" w:hAnsi="Arial"/>
          <w:sz w:val="15"/>
          <w:szCs w:val="15"/>
          <w:b w:val="1"/>
          <w:bCs w:val="1"/>
          <w:i w:val="1"/>
          <w:iCs w:val="1"/>
          <w:color w:val="auto"/>
        </w:rPr>
        <w:t>Our ability to generate increased revenue depends, in part, on FDA approval for the use of Vascepa in the ANCHOR indication in the United States and potentially on other regulatory approvals outside the United States, and we may be delayed in obtaining, or never obtain, such approvals.</w:t>
      </w:r>
    </w:p>
    <w:p>
      <w:pPr>
        <w:ind w:right="140" w:firstLine="456"/>
        <w:spacing w:after="0" w:line="289" w:lineRule="auto"/>
        <w:rPr>
          <w:sz w:val="20"/>
          <w:szCs w:val="20"/>
          <w:color w:val="auto"/>
        </w:rPr>
      </w:pPr>
      <w:r>
        <w:rPr>
          <w:rFonts w:ascii="Arial" w:cs="Arial" w:eastAsia="Arial" w:hAnsi="Arial"/>
          <w:sz w:val="16"/>
          <w:szCs w:val="16"/>
          <w:color w:val="auto"/>
        </w:rPr>
        <w:t>The costs involved in obtaining regulatory approvals for pharmaceutical products can be substantial. 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Further, while we recently filed a Supplemental New Drug Application, or sNDA, with the FDA for the use of Vascepa in the ANCHOR indication, the acceptance of this submission is dependent on our first reaching, in the opinion of the FDA, substantial enrollment in our REDUCE-IT cardiovascular outcomes study. While we believe that we met this requirement before we submitted our sNDA, the FDA may not agree with us, and thus acceptance of the sNDA could be delayed. Additionally, the FDA could deny approval of our sNDA and require additional testing or data. If the FDA takes any of these actions, they could have a material adverse effect on our operations and financial condition, including our ability to reach profitability.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SPAs with the FDA are not guarantees of FDA approval of Vascepa for the proposed ANCHOR and REDUCE-IT indications.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Special Protocol Assessment, or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with the FDA. The FDA agreed that, based on the information we submitted to the agency, the design and planned analysis of the ANCHOR trial is adequate to support use of the conducted study as the primary basis for approval with respect to effectiveness. An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Even though we have received regulatory approval of Vascepa for the MARINE indication, there is no assurance that the FDA will not identify a scientific issue and deem either or both of the ANCHOR or REDUCE-IT SPAs no longer binding. Moreover, any change to a study protocol after agreement with the FDA is reached can invalidate an SPA. While we amended the protocol for the ANCHOR trial after the initial SPA evaluation was completed, we obtained the FDA’s evaluation of, and agreement to, the amendment. If, for example, the FDA does not consider the applicable SPA to be binding during its review of our regulatory approval applications, or if the FDA determines that we did not follow the SPAs appropriately, the agency could assert that additional studies or data are required to support approval of the application.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9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With respect to sales and marketing activities, advertising and promotional materials must comply with FDA rules in addition to other applicable federal and local laws in the United States and in other countries.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201"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marketing approval for Vascepa for the MARINE indication only, physicians may nevertheless prescribe Vascepa to their patients in a manner that is inconsistent with the approved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21" w:lineRule="exact"/>
        <w:rPr>
          <w:sz w:val="20"/>
          <w:szCs w:val="20"/>
          <w:color w:val="auto"/>
        </w:rPr>
      </w:pPr>
    </w:p>
    <w:p>
      <w:pPr>
        <w:ind w:left="240" w:right="360"/>
        <w:spacing w:after="0" w:line="332" w:lineRule="auto"/>
        <w:rPr>
          <w:sz w:val="20"/>
          <w:szCs w:val="20"/>
          <w:color w:val="auto"/>
        </w:rPr>
      </w:pPr>
      <w:r>
        <w:rPr>
          <w:rFonts w:ascii="Arial" w:cs="Arial" w:eastAsia="Arial" w:hAnsi="Arial"/>
          <w:sz w:val="16"/>
          <w:szCs w:val="16"/>
          <w:b w:val="1"/>
          <w:bCs w:val="1"/>
          <w:i w:val="1"/>
          <w:iCs w:val="1"/>
          <w:color w:val="auto"/>
        </w:rPr>
        <w:t>The FDA may disagree with our assertion that our cardiovascular outcomes study, REDUCE-IT, was substantially underway at the time of our sNDA submission, thus delaying FDA review and approval of the ANCHOR indication and costing more than we expect.</w:t>
      </w:r>
    </w:p>
    <w:p>
      <w:pPr>
        <w:spacing w:after="0" w:line="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Based on our communications with the FDA, to obtain FDA marketing approval of the ANCHOR indication, we believe that we must have a cardiovascular outcomes study, the REDUCE-IT study, substantially underway at the time of the sNDA submission for the ANCHOR indication. In August 2011, we reached an agreement with the FDA on an SPA for the design of the REDUCE-IT cardiovascular outcomes study of Vascepa, and we began dosing patients in December 2011. We submitted our sNDA for approval of the ANCHOR indication in late February 2013 based on our belief that the REDUCE-IT study was substantially underway. The FDA will make the final determination as to whether or not our REDUCE-IT study is sufficiently underway for the FDA to accept the submission of our ANCHOR sNDA.</w:t>
      </w:r>
    </w:p>
    <w:p>
      <w:pPr>
        <w:spacing w:after="0" w:line="144"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the event the FDA does not agree that our REDUCE-IT study is substantially underway, it may reject our submission, repeatedly, until such time as it determines that its study enrollment requirement is met. If we then experience delays in initiating or achieving what the FDA would determine to be substantial enrollment for the REDUCE-IT study or the FDA requires that we enroll still more patients beyond our own expectation of what substantial enrollment entails, our re-submission of an sNDA seeking approval of the ANCHOR indication may be rejected again, or delayed.</w:t>
      </w:r>
    </w:p>
    <w:p>
      <w:pPr>
        <w:spacing w:after="0" w:line="113" w:lineRule="exact"/>
        <w:rPr>
          <w:sz w:val="20"/>
          <w:szCs w:val="20"/>
          <w:color w:val="auto"/>
        </w:rPr>
      </w:pPr>
    </w:p>
    <w:p>
      <w:pPr>
        <w:jc w:val="both"/>
        <w:ind w:right="480" w:firstLine="456"/>
        <w:spacing w:after="0" w:line="335" w:lineRule="auto"/>
        <w:rPr>
          <w:sz w:val="20"/>
          <w:szCs w:val="20"/>
          <w:color w:val="auto"/>
        </w:rPr>
      </w:pPr>
      <w:r>
        <w:rPr>
          <w:rFonts w:ascii="Arial" w:cs="Arial" w:eastAsia="Arial" w:hAnsi="Arial"/>
          <w:sz w:val="15"/>
          <w:szCs w:val="15"/>
          <w:color w:val="auto"/>
        </w:rPr>
        <w:t>Any delay in the acceptance of our submission of the ANCHOR sNDA could have a material adverse effect on our business by delaying the possible approval of Vascepa for use in the ANCHOR indication. In addition, to the extent that we experience delays or need to take actions to prevent delays in the REDUCE-IT cardiovascular outcomes study, the cost of this study will increase. The cost of this study is based on estimates and is not capped.</w:t>
      </w:r>
    </w:p>
    <w:p>
      <w:pPr>
        <w:spacing w:after="0" w:line="169"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Outcomes studies of certain other lipid modifying therapies have failed to achieve the endpoints of such studies. For example,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 JAMA meta-analysis may not be directly applicable to the use of Vascepa over time. For instance, nineteen of the twenty studies included in the JAMA meta-analysis involved the use of omega-3 supplements containing a mixture of EPA and DHA, and most were evaluated at relatively lower doses. Vascepa is comprised of highly-pure ethyl-EPA, and has been approved by the FDA for use in patients with severe hypertriglyceridemia at a dose of 4 grams per day. 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 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97"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inability to manufacture sufficient quantities of qualified materials under current good manufacturing practices for use in clinical trials;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920"/>
        <w:spacing w:after="0" w:line="357"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ind w:right="20" w:firstLine="456"/>
        <w:spacing w:after="0" w:line="289" w:lineRule="auto"/>
        <w:rPr>
          <w:sz w:val="20"/>
          <w:szCs w:val="20"/>
          <w:color w:val="auto"/>
        </w:rPr>
      </w:pPr>
      <w:r>
        <w:rPr>
          <w:rFonts w:ascii="Arial" w:cs="Arial" w:eastAsia="Arial" w:hAnsi="Arial"/>
          <w:sz w:val="16"/>
          <w:szCs w:val="16"/>
          <w:color w:val="auto"/>
        </w:rPr>
        <w:t>We only recently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As our operations expand,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supply of product for commercial supply and clinical trials is dependent upon relationships with third party manufacturers and key suppliers.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supply of ethyl-EPA it would have a material adverse effect on our ability to continue to commercialize Vascepa.</w:t>
      </w:r>
    </w:p>
    <w:p>
      <w:pPr>
        <w:spacing w:after="0" w:line="144"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currently purchase all of our supply of the bulk compound (ethyl-EPA), which constitutes the only active pharmaceutical ingredient, or API, of Vascepa, from a single supplier, Nisshin Pharma, or Nisshin, located in Japan. Nisshin currently obtains its supply of the key raw material to manufacture API from another third party single source of supply. While we have contractual freedom to source the API for Vascepa elsewhere and have entered into supply agreements with additional suppliers who rely on other third party suppliers of the key raw material to manufacture the API for Vascepa, Nisshin is the only supplier approved with our NDA to the FDA.</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purchase increasing amounts of API to support our commercialization of Vascepa. Our strategy is to expand manufacturing capacity and to partially mitigate the risk of reliance on too few suppliers by having multiple API suppliers beyond Nisshin. In December 2012, we announced our submissions of sNDAs to the FDA seeking approval for both Chemport, Inc. and BASF (formerly Equateq Limited) as additional Vascepa API suppliers. Both Chemport and BASF continue to expand their API manufacturing capacity and bring to three the potential number of qualified worldwide supplies of API for Vascepa. Also in December 2012 we announced the addition of an exclusive consortium of companies led by Slanmhor Pharmaceutical, Inc., or Slanmhor, to our planned API global supply chain for Vascepa. Slanmhor was spun-out from Ocean Nutrition Canada, or ONC,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prior to the May 2012 acquisition of ONC by Royal DSM N.V., a global leader in life sciences and materials sciences. Amarin now has a total of four suppliers for Vascepa API to utilize in supporting the global commercialization of Vascepa, subject to appropriate regulatory approvals. We intend to submit an additional sNDA for Slanhmor after it successfully completes the qualification process.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Expanding manufacturing capacity and qualifying such capacity is difficult and subject to numerous regulations and other operational challenges. The resources of our suppliers are limited and costs associated with projected expansion and qualification can be significant. The resources of our suppliers vary. For example, Chemport, which is one of the API suppliers that we see to qualify,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Nisshin.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cannot assure you that we can contract with any future manufacturer on acceptable terms or that any such alternative supplier will not require capital investment from us in order for them to meet our requirements.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currently rely on two suppliers, Banner and Catalent, for the encapsulation of API for all capsules of Vascepa. While we have contractual freedom to source the API encapsulation for Vascepa elsewhere, Banner and Catalent are the only encapsulators approved by the FDA for encapsulation of API for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201" w:lineRule="exact"/>
        <w:rPr>
          <w:sz w:val="20"/>
          <w:szCs w:val="20"/>
          <w:color w:val="auto"/>
        </w:rPr>
      </w:pPr>
    </w:p>
    <w:p>
      <w:pPr>
        <w:ind w:left="240" w:right="420"/>
        <w:spacing w:after="0" w:line="332" w:lineRule="auto"/>
        <w:rPr>
          <w:sz w:val="20"/>
          <w:szCs w:val="20"/>
          <w:color w:val="auto"/>
        </w:rPr>
      </w:pPr>
      <w:r>
        <w:rPr>
          <w:rFonts w:ascii="Arial" w:cs="Arial" w:eastAsia="Arial" w:hAnsi="Arial"/>
          <w:sz w:val="16"/>
          <w:szCs w:val="16"/>
          <w:b w:val="1"/>
          <w:bCs w:val="1"/>
          <w:i w:val="1"/>
          <w:iCs w:val="1"/>
          <w:color w:val="auto"/>
        </w:rPr>
        <w:t>We do not have sufficient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agreements with our suppliers typically include minimum purchase obligations and limited exclusivity provisions. These purchases are generally made on the basis of rolling twelve-month forecasts which in part are binding on us and the balance of which are subject to adjustment by us subject to certain limitations. We have no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97"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5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and comparable requirements of foreign regulatory bodies. There are a limited number of manufacturers that operate under these current good manufacturing practices regulations who are both capable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our NDA approved by the FDA had only one supplier of API for Vascepa, Nisshin, and Nisshin plans to expand it capacity to supply API to us by further expanding their current facility. If we are not able to manufacture Vascepa to required specifications through Nisshin, we may be delayed in successfully supplying the product to meet anticipated demand and our anticipated future revenues and financial results may be materially adversely affected.</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current good manufacturing practices, or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in December 2012, we filed two supplemental NDAs to add new manufacturing facilities for each of BASF and Chemport, and have plans to file another for Slanmhor, to manufacture API for Vascepa. If these third parties cannot establish, to the satisfaction of the FDA, that they are in substantial compliance with cGMPs, and that the products manufactured at the new site meet FDA requirements, we may not be able to manufacture API from that site, our supply of API for Vascepa may be delayed, and our anticipated future revenues and financial results may be materially adversely affected.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active pharmaceutical ingredient and the finished product in commercial quantities and of specified quality on a repeated basis, including proven product stability, and document our ability to do so. This requirement is referred to as process validation. We have not yet completed all of the steps and documentation necessary to validate the process for API manufacturing for Vascepa at any API contract supplier other than Nisshin. Each of our potential API suppliers uses a different method to manufacture API than that used by Nisshin, which has the potential to increase the risk to us that our manufacturers will not meet applicable regulatory requirements.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4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During 2013, we are increasing our purchases of API and finished capsules of Vascepa to further expand purchase levels of supply. We may elect to make API purchases from certain of our suppliers after we are satisfied that the material they produce and their facilities are qualified. However, in the event that we make such purchases from other suppliers, we will not be able to use such material for commercial sale until the sNDA for the applicable supplier is approved by the FDA. Similarly, if we are not compliant with other regulations with regard to this intended purchase of supply, our reaching profitability may be delayed.</w:t>
      </w:r>
    </w:p>
    <w:p>
      <w:pPr>
        <w:spacing w:after="0" w:line="17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reliance on third parties for clinical development activities reduces our control over these activities. However, if we sponsor clinical trials, we are responsible for ensuring that each of our clinical trials is conducted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Regulatory Exclusivity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preserve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the date of this Annual Report, we have announced that 18 patent applications in the United States have been either issued or allowed and more than 30 additional patent applications are pending in the United States. Of such 18 allowed and issued applications, we currently have two issued U.S. patents directed to a pharmaceutical composition of Vascepa in a capsule that have terms that expire in 2020 and 2030, respectively, one issued U.S. patent covering highly pure EPA which expires in 2021, eight additional U.S. patents covering the use of Vascepa and potentially competitive products in either the MARINE or anticipated ANCHOR indication that have terms that expire in 2030, and have announced Notices of Allowance from the United States Patent and Trademark Office, or USPTO, for seven additional patent applications that have terms that expire in 2030 and are related to the use of Vascepa and potentially competitive products in either the MARINE or anticipated ANCHOR indication. A Notice of Allowance is issued after the USPTO makes a determination that a patent can be granted from an application. A Notice of Allowance does not afford patent protection until the underlying patent is issued by the USPTO. No assurance can be given that our issued patents and our pending patents, if and when issued, will prevent competitors from competing with Vascepa.</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pursuing patent applications related to Vascepa in multiple jurisdictions outside the United States, including an application for our MARINE method of use patent in Europe for which we received an Intention to Grant letter from the European Patent Office.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go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in the future discover the existence of products that infringe upon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even if the opposition or challenge has little or no merit. Patent opposition proceedings and challenges are generally highly technical, time consuming and expensive to pursue. Were we to be subject to one or more patent oppositions or challenges, that effort could consume substantial time and resources, with no assurances of success, even when holding an issued patent.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issued patents and our pending patents, if and when issued, may not prevent competitors from competing with Vascepa.</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plan to vigorously defend our rights under issued patents. Other drug companies may challenge the validity, enforceability or both of the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We may not have sufficient resources to bring these actions to a successful conclusion.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9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supplemental NDA submissions. We cannot predict the timing or results of any patent application. In addition, we may elect to submit, or the patent office may require, additional evidence to support certain of the claims we are pursuing. Providing such additional evidence could prolong the patent office’s review of our applications and result in us incurring additional costs. We cannot be certain what commercial value any granted patent in our patent estate will provide to us.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Vascepa is not granted new chemical entity exclusivity protection from the FDA our business may be materially harmed.</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Sections 505(c)(3)(E)(ii) and 505(j)(5)(F)(ii) of the Food Drug and Cosmetic Act, or FDCA, as amended by the Drug Price Competition and Patent Term Restoration Act of 1984, as amended, or the Hatch-Waxman Amendments, a drug that is granted regulatory approval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FDA typically publishes a determination on the marketing exclusivity of recently approved products in a cumulative supplement to its </w:t>
      </w:r>
      <w:r>
        <w:rPr>
          <w:rFonts w:ascii="Arial" w:cs="Arial" w:eastAsia="Arial" w:hAnsi="Arial"/>
          <w:sz w:val="16"/>
          <w:szCs w:val="16"/>
          <w:u w:val="single" w:color="auto"/>
          <w:color w:val="auto"/>
        </w:rPr>
        <w:t>Approved Drug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Products with Therapeutic Equivalence Evaluations</w:t>
      </w:r>
      <w:r>
        <w:rPr>
          <w:rFonts w:ascii="Arial" w:cs="Arial" w:eastAsia="Arial" w:hAnsi="Arial"/>
          <w:sz w:val="16"/>
          <w:szCs w:val="16"/>
          <w:color w:val="auto"/>
        </w:rPr>
        <w:t>, also known as the Orange Book, mid-month in the month following the drug’s approval. Vascepa was approved by the FDA in July 2012, but we have not yet been informed of a determination by the FDA on our pending exclusivity request for Vascepa. Since prior to FDA approval of the Vascepa new drug application, we have had an active dialogue with the FDA related to our marketing exclusivity request for Vascepa, which requested NCE status for Vascepa. In recent months, we have repeatedly followed up with the FDA seeking a determination. While we continue to believe our arguments in support of an NCE determination for Vascepa are strong, the FDA may not agree with our arguments. Based on our discussions with the FDA, we have not been told and do not know what determination the FDA will reach regarding the pending exclusivity request for Vascepa or when the FDA will make such determination. Based on our communications with the FDA, we cannot make a reliable prediction as to when the FDA will communicate a determination on the matter. There can be no assurance that Vascepa will be granted NCE exclusivity, or that the FDA will make a determination on the pending exclusivity request in a timely manner.</w:t>
      </w:r>
    </w:p>
    <w:p>
      <w:pPr>
        <w:spacing w:after="0" w:line="12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NCE marketing exclusivity, if granted, would preclude approval during the five-year exclusivity period of certain 505(b)(2) applications or certain abbreviated new drug applications submitted by another company for another version of the drug. However, an application may be submitted after four years if it contains a certification of patent invalidity or non-infringement. In this case, Amarin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If we are not able to gain or exploit the period of marketing exclusivity, we may face significant competitive threats to our commercialization of these compounds from other manufacturers, including the manufacturers of generic alternatives. Further, even if Vascepa is considered to be a NCE and we are able to gain five-year marketing exclusivity, another company could challenge that decision to seek to overturn FDA’s determination. Another company could also gain such marketing exclusivity under the provisions of the FDCA, as amended by the Hatch-Waxman Amendments, if such company can, under certain circumstances, complete a human clinical trial process and obtain regulatory approval of its product.</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Vascepa is not granted NCE marketing exclusivity, we expect it will be granted three years of new product exclusivity under the Hatch-Waxman Amendments. Such exclusivity protection would preclude the FDA from approving a marketing application for a duplicate of Vascepa, a product candidate that the FDA views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having the same conditions of approval as Vascepa (for example, the same indication and/or other conditions of use), or a 505(b)(2) NDA submitted to the FDA with Vascepa as the reference product, for a period of three years from the date of FDA approval, although the FDA may accept and commence review of such applications during the exclusivity period. Such three-year exclusivity grant would not prevent a company from challenging the validity of our patents at any time. In this case, Amarin may be afforded the benefit of a 30-month stay against the launch of such a competitive product that would extend from the period that Amarin responds to a pending patent challenge, and may also be afforded other extensions under applicable regulations, including a six-month pediatric exclusivity extension or a judicial extension if applicable requirements are met. This three-year form of exclusivity may also not prevent the FDA from approving an NDA that relies only on its own data to support the change or innovation.</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June 2009, in keeping with our decision to re-focus our efforts on developing improved treatments for cardiovascular disease and cease development of all product candidates outside of our cardiovascular disease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44"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9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losses and anticipate that we will incur continued losses for an indefinite period of time.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2012, 2011, and 2010, we reported losses of approximately $179.2 million, $69.1 million and $249.6 million, respectively, and we had an accumulated deficit at December 31, 2012 of $747.6 million. Substantially all of our operating losses resulted from costs incurred in connection with our research and development programs, from general and administrative costs associated with our operations,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even after we begin to generate revenues from our commercialization of Vascepa.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 We expect our research and development expenses to be substantial for both 2013 and 2014 in connection with our REDUCE-IT cardiovascular outcomes study for Vascepa and other activities. In addition, we may incur significant sales, marketing, in-licensing and outsourced manufacturing expenses as we attempt to commercialize Vascepa. Our shift in focus from research and development to commercialization, and the changes in operating costs relating to that shift, will also require us to make changes to our accounting results and procedures, which may have an adverse effect on our reported revenue or profit, if any.</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221"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operating results are difficult to predict and will likely fluctuate from quarter to quarter and year to year.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3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cost and level of investment in our sales and marketing efforts to support Vascepa sales and the resulting effectiveness of those efforts;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results of our sNDA application for the ANCHOR indication and the results of the REDUCE-IT study or post-approval studies for Vascepa.</w:t>
      </w:r>
    </w:p>
    <w:p>
      <w:pPr>
        <w:spacing w:after="0" w:line="275"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currently operate with limited resources. At December 31, 2012, we had cash and cash equivalents of approximately $260.2 million. We believe that our current resources will be sufficient to fund our projected operations for at least the next twelve months, which projected operations contemplate not only working capital and general corporate needs but also the recent commercial launch of Vascepa and the advancement of the REDUCE-IT cardiovascular outcomes study.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fund our commercialization plans, in particular to fully support the launch, marketing and sale of Vascepa in the ANCHOR indication, we will likely need to enter into a strategic collaboration or raise additional capital. We will also need additional capital to fully complete our REDUCE-IT cardiovascular outcomes trial.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and the cost and timing of securing commercial supply of Vascepa and the timing of entering into strategic collaboration with others relating to the commercialization of Vascepa, if at all, and the terms of any such collaboration;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If adequate funds are not available to us in amounts or on terms acceptable to us or on a timely basis, or at all, and we do not enter into a collaboration agreement to help support the commercialization of Vascepa, our commercialization efforts for Vascepa may suffer materially, and we may need to delay the advancement of the REDUCE-IT cardiovascular outcomes trial.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impact on our ability to obtain financing on acceptable terms.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December 31, 2012, there were warrants outstanding for the purchase of up to 9,936,826 American Depository Shares, or ADSs, each representing one of our ordinary shares, with a weighted average exercise price of $1.44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relinquised, or grant licenses on terms that are not favorable to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February 20, 2013 we had 150,371,881 common shares outstanding. As of February 20, 2013 there were 149,991,187 shares held as ADSs and 380,694 held as common shares (which are not held in the form of ADSs). In our October 2009 private placement we issued 66.4 million ADSs and warrants to purchase an additional 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status of our pending exclusivity request with the FDA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59"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w:t>
      </w:r>
    </w:p>
    <w:p>
      <w:pPr>
        <w:spacing w:after="0" w:line="1" w:lineRule="exact"/>
        <w:rPr>
          <w:sz w:val="20"/>
          <w:szCs w:val="20"/>
          <w:color w:val="auto"/>
        </w:rPr>
      </w:pPr>
    </w:p>
    <w:p>
      <w:pPr>
        <w:ind w:right="440" w:firstLine="8"/>
        <w:spacing w:after="0" w:line="261" w:lineRule="auto"/>
        <w:tabs>
          <w:tab w:leader="none" w:pos="2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encumber any of the collateral securing our performance under the agreement; and (v) abandon certain patent rights, in each case without the consent of Biopharma.</w:t>
      </w:r>
    </w:p>
    <w:p>
      <w:pPr>
        <w:spacing w:after="0" w:line="13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 unless Biopharma has been paid a certain amount under the indebtedness, the licensing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44"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1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our notes, could have a material effect on our reported financial results.</w:t>
      </w:r>
    </w:p>
    <w:p>
      <w:pPr>
        <w:spacing w:after="0" w:line="5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may be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may be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tax consequences to U.S. investors.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While we cannot provide any assurance that we are, are not, or will or will not be, a PFIC now or in the future, we believe it prudent to assume that we were classified as a PFIC in 2012.</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180" w:hanging="325"/>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31" w:lineRule="exact"/>
        <w:rPr>
          <w:rFonts w:ascii="Arial" w:cs="Arial" w:eastAsia="Arial" w:hAnsi="Arial"/>
          <w:sz w:val="16"/>
          <w:szCs w:val="16"/>
          <w:color w:val="auto"/>
        </w:rPr>
      </w:pPr>
    </w:p>
    <w:p>
      <w:pPr>
        <w:ind w:left="900" w:right="32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25"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2" w:lineRule="exact"/>
        <w:rPr>
          <w:rFonts w:ascii="Arial" w:cs="Arial" w:eastAsia="Arial" w:hAnsi="Arial"/>
          <w:sz w:val="18"/>
          <w:szCs w:val="18"/>
          <w:color w:val="auto"/>
        </w:rPr>
      </w:pPr>
    </w:p>
    <w:p>
      <w:pPr>
        <w:jc w:val="both"/>
        <w:ind w:left="900" w:hanging="325"/>
        <w:spacing w:after="0" w:line="303"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95" w:lineRule="auto"/>
        <w:rPr>
          <w:rFonts w:ascii="Arial" w:cs="Arial" w:eastAsia="Arial" w:hAnsi="Arial"/>
          <w:sz w:val="15"/>
          <w:szCs w:val="15"/>
          <w:color w:val="auto"/>
        </w:rPr>
      </w:pPr>
      <w:r>
        <w:rPr>
          <w:rFonts w:ascii="Arial" w:cs="Arial" w:eastAsia="Arial" w:hAnsi="Arial"/>
          <w:sz w:val="16"/>
          <w:szCs w:val="16"/>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representing 75% of the ordinary shares and a majority of the shareholders voting at the meeting for approval.</w:t>
      </w:r>
    </w:p>
    <w:p>
      <w:pPr>
        <w:spacing w:after="0" w:line="34"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We may in the future be subject to the UK Takeover Code which we do not believe is binding on our company at the present time. Nevertheless, the UK Takeover Code could apply to our company under certain circumstances in the future.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 the future be subject to the UK City Code on Takeovers and Mergers which we do not believe is binding on our company at the present time.</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United Kingdom, takeover offers and certain other transactions in respect of certain public companies are regulated by the UK City Code on Takeovers and Mergers, or the Takeover Code, which is administered by the Takeover Panel. Currently, the Takeover Code applies to public companies which have their registered offices in the United Kingdom, the Channel Islands or the Isle of Man if their securities are admitted to trading on a regulated market in the United Kingdom or on a stock exchange in the Channel Islands or the Isle of Man. The Takeover Code also applies to public companies which have their registered office in the United Kingdom, the Channel Islands or the Isle of Man notwithstanding that their securities are not admitted to trading on one of the markets mentioned above, if the Takeover Panel considers that the company has its place of central management and control in the UK, the Channel Islands or the Isle of Man, or the so-called residency test. We do not believe that our company has its place of central management and control in the UK, the Channel Islands or the Isle of Man and we therefore do not believe that the Takeover Code currently applies to us.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July 2012, the Takeover Panel published three public consultation papers setting out proposed amendments to the Takeover Code, which include a proposal to eliminate the residency test described above. If this proposal is adopted, we could become subject to the Takeover Code since our registered office is in the United Kingdom.</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summary, the Takeover Code sets out binding rules that provide a framework within which takeovers are required to be conducted and this approach differs from the typical U.S. approach which permits the incumbent board greater flexibility to act in a manner it believes is in the best interests of shareholders. The Takeover Code is designed principally to ensure that shareholders in an offeree company are treated fairly, that they are not denied an opportunity to decide on the merits of a takeover and that they are each afforded equivalent treatment by an offeror.</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One of the rules of the Takeover Code requires that if an offeror (and persons acting in concert with it) were to acquire interests in our ordinary shares representing 30% or more of the voting rights of all our ordinary shares, the offeror (and, depending upon the circumstances, persons acting in concert with it) would be required (except with the consent of the Takeover Panel) to make a cash offer for the outstanding ordinary shares at a price not less than the highest price paid for any interest in the ordinary shares by the offeror (or persons acting in concert with it) during the 12 months prior to the announcement of that offer. A similar obligation to make such a mandatory offer would also arise on the acquisition of an interest in our ordinary shares by a person holding (together with persons acting in concert with it) an interest representing between 30% and 50% of the voting rights of all our ordinary shares.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become subject to the Takeover Code, we will be subject to greater controls in relation to the conduct of any takeover offer for our ordinary shares and this may affect the willingness of potential acquirers to proceed with a takeover offer that would otherwise be beneficial to investors. In addition, if we become subject to the Takeover Code, our board of directors would be less able to exercise its judgment over the conduct of any proposed takeover than it would if the Takeover Code did not apply.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effect service of process within the United States upon such persons or to enforce against them judgments obtained in U.S. courts predicated upon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40"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Our directors, management and affiliated investment funds exercise significant control over our company, which will limit your ability to influence corporate matters.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February 20, 2013 our executive officers, directors and affiliated investment funds collectively controlled approximately 10.17% of our outstanding ordinary shares, excluding any shares subject to ADSs that such persons may have the right to acquire upon exercise of outstanding options or warrants. As a result, these shareholders, if they act together, will be able to influence our management and affairs and all matters requiring shareholder approval, including the election of directors and approval of significant corporate transactions.</w:t>
      </w:r>
    </w:p>
    <w:p>
      <w:pPr>
        <w:spacing w:after="0" w:line="14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In addition, we entered into an agreement with various participants in the October 2009 private placement under which investment funds affiliated with Orbimed Advisors LLC, Sofinnova Ventures and Abingworth LLP have the ability to designate persons for Amarin to nominate to its Board of Directors and the other participants have given these investments funds a proxy to vote their securities in favor of these nominees. We have a continuing obligation to nominate one</w:t>
      </w:r>
    </w:p>
    <w:p>
      <w:pPr>
        <w:spacing w:after="0" w:line="1" w:lineRule="exact"/>
        <w:rPr>
          <w:sz w:val="20"/>
          <w:szCs w:val="20"/>
          <w:color w:val="auto"/>
        </w:rPr>
      </w:pPr>
    </w:p>
    <w:p>
      <w:pPr>
        <w:ind w:right="20" w:firstLine="8"/>
        <w:spacing w:after="0" w:line="290"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designee of investment funds affiliated with Sofinnova Ventures to its Board of Directors for so long as such funds beneficially own at least fifty percent (50%) of the ADSs they purchased in the October 2009 private placement. Dr. James I. Healy was designated by investment funds affiliated with Sofinnova Ventures pursuant to this arrangement. In addition, we have agreed to nominate one (1) designee of investment funds affiliated with Abingworth LLP to its Board of Directors for so long as such funds beneficially own at least five percent (5%) of our outstanding voting securities. Dr. Joseph Anderson was designated by investment funds affiliated with Abingworth LLP under this arrangement. This concentration of ownership and the above-described arrangement may have the effect of delaying or preventing a change in control of our company that other shareholders may desire and might negatively affect the market price of the ADSs.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U.S. holders of the ADSs or ordinary shares may be subject to U.S. income taxation at ordinary income tax rates on undistributed earnings and profits.</w:t>
      </w:r>
    </w:p>
    <w:p>
      <w:pPr>
        <w:spacing w:after="0" w:line="1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December 31,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596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Use</w:t>
            </w:r>
          </w:p>
        </w:tc>
        <w:tc>
          <w:tcPr>
            <w:tcW w:w="280" w:type="dxa"/>
            <w:vAlign w:val="bottom"/>
          </w:tcPr>
          <w:p>
            <w:pPr>
              <w:spacing w:after="0"/>
              <w:rPr>
                <w:sz w:val="15"/>
                <w:szCs w:val="15"/>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Ownership</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Size (sq. ft.)</w:t>
            </w:r>
          </w:p>
        </w:tc>
      </w:tr>
      <w:tr>
        <w:trPr>
          <w:trHeight w:val="203"/>
        </w:trPr>
        <w:tc>
          <w:tcPr>
            <w:tcW w:w="6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Dublin, Ireland</w:t>
            </w:r>
          </w:p>
        </w:tc>
        <w:tc>
          <w:tcPr>
            <w:tcW w:w="6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5"/>
              </w:rPr>
              <w:t>Offices</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Leased</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Bedminster, New Jersey, USA</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Leased</w:t>
            </w:r>
          </w:p>
        </w:tc>
        <w:tc>
          <w:tcPr>
            <w:tcW w:w="780" w:type="dxa"/>
            <w:vAlign w:val="bottom"/>
          </w:tcPr>
          <w:p>
            <w:pPr>
              <w:jc w:val="right"/>
              <w:spacing w:after="0"/>
              <w:rPr>
                <w:sz w:val="20"/>
                <w:szCs w:val="20"/>
                <w:color w:val="auto"/>
              </w:rPr>
            </w:pPr>
            <w:r>
              <w:rPr>
                <w:rFonts w:ascii="Arial" w:cs="Arial" w:eastAsia="Arial" w:hAnsi="Arial"/>
                <w:sz w:val="18"/>
                <w:szCs w:val="18"/>
                <w:color w:val="auto"/>
              </w:rPr>
              <w:t>14,490</w:t>
            </w:r>
          </w:p>
        </w:tc>
        <w:tc>
          <w:tcPr>
            <w:tcW w:w="12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Groton, Connecticut, USA</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Leased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Ely, Cambridgeshire, UK (Gemini House)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Ground Floor</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Leased and sublet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20" w:type="dxa"/>
            <w:vAlign w:val="bottom"/>
            <w:shd w:val="clear" w:color="auto" w:fill="CCEEFF"/>
          </w:tcPr>
          <w:p>
            <w:pPr>
              <w:spacing w:after="0"/>
              <w:rPr>
                <w:sz w:val="18"/>
                <w:szCs w:val="18"/>
                <w:color w:val="auto"/>
              </w:rPr>
            </w:pPr>
          </w:p>
        </w:tc>
      </w:tr>
      <w:tr>
        <w:trPr>
          <w:trHeight w:val="222"/>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First Floor</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Assigned</w:t>
            </w:r>
          </w:p>
        </w:tc>
        <w:tc>
          <w:tcPr>
            <w:tcW w:w="78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July 1, 2011, we leased 9,747 square feet of office space in Bedminster, NJ. The lease, as amended, terminates on June 30, 2014, and may also be terminated with six months prior notice. On December 6, 2011 we leased an additional 2,142 square feet of space in the same location. On December 15, 2012 we leased an additional 2,601 square feet of space in the same location.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Effective November 1, 2011, we leased 320 square feet of office space in Dublin, Ireland. The lease terminates on October 31, 2013 and may be renewed annually.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Commencing on November 28, 2011, we leased 4,327 square feet of office space in Groton, CT. The lease terminates on January 31, 2015 and may be extended for one three year term.</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lease for office space in Ely, Cambridgeshire expires in November 2014. The ground floor space has been sublet through the end of the lease term. On August 27, 2002 the lease for the first floor space was assigned to a third party. Amarin however, remains ultimately responsible for the lease through the end of the lease term.</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our existing facilities are adequate for our current needs and that additional space will be available in the future on commercially reasonable terms as needed.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2012, we are not a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Global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w w:val="89"/>
              </w:rPr>
              <w:t>Common Stock Price</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1840" w:type="dxa"/>
            <w:vAlign w:val="bottom"/>
            <w:gridSpan w:val="5"/>
          </w:tcPr>
          <w:p>
            <w:pPr>
              <w:ind w:left="400"/>
              <w:spacing w:after="0" w:line="142" w:lineRule="exact"/>
              <w:rPr>
                <w:sz w:val="20"/>
                <w:szCs w:val="20"/>
                <w:color w:val="auto"/>
              </w:rPr>
            </w:pPr>
            <w:r>
              <w:rPr>
                <w:rFonts w:ascii="Arial" w:cs="Arial" w:eastAsia="Arial" w:hAnsi="Arial"/>
                <w:sz w:val="14"/>
                <w:szCs w:val="14"/>
                <w:b w:val="1"/>
                <w:bCs w:val="1"/>
                <w:color w:val="auto"/>
              </w:rPr>
              <w:t>Fiscal 2012</w:t>
            </w:r>
          </w:p>
        </w:tc>
        <w:tc>
          <w:tcPr>
            <w:tcW w:w="100" w:type="dxa"/>
            <w:vAlign w:val="bottom"/>
          </w:tcPr>
          <w:p>
            <w:pPr>
              <w:spacing w:after="0"/>
              <w:rPr>
                <w:sz w:val="12"/>
                <w:szCs w:val="12"/>
                <w:color w:val="auto"/>
              </w:rPr>
            </w:pPr>
          </w:p>
        </w:tc>
        <w:tc>
          <w:tcPr>
            <w:tcW w:w="122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rPr>
              <w:t>Fiscal 2011</w:t>
            </w:r>
          </w:p>
        </w:tc>
        <w:tc>
          <w:tcPr>
            <w:tcW w:w="100" w:type="dxa"/>
            <w:vAlign w:val="bottom"/>
          </w:tcPr>
          <w:p>
            <w:pPr>
              <w:spacing w:after="0"/>
              <w:rPr>
                <w:sz w:val="12"/>
                <w:szCs w:val="12"/>
                <w:color w:val="auto"/>
              </w:rPr>
            </w:pPr>
          </w:p>
        </w:tc>
      </w:tr>
      <w:tr>
        <w:trPr>
          <w:trHeight w:val="142"/>
        </w:trPr>
        <w:tc>
          <w:tcPr>
            <w:tcW w:w="8160" w:type="dxa"/>
            <w:vAlign w:val="bottom"/>
          </w:tcPr>
          <w:p>
            <w:pPr>
              <w:spacing w:after="0"/>
              <w:rPr>
                <w:sz w:val="12"/>
                <w:szCs w:val="12"/>
                <w:color w:val="auto"/>
              </w:rPr>
            </w:pPr>
          </w:p>
        </w:tc>
        <w:tc>
          <w:tcPr>
            <w:tcW w:w="92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9"/>
              </w:rPr>
              <w:t>High</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Low</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High</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8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$12.45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$15.40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$7.21</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15.02</w:t>
            </w:r>
          </w:p>
        </w:tc>
        <w:tc>
          <w:tcPr>
            <w:tcW w:w="8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$8.63</w:t>
            </w:r>
          </w:p>
        </w:tc>
        <w:tc>
          <w:tcPr>
            <w:tcW w:w="100" w:type="dxa"/>
            <w:vAlign w:val="bottom"/>
            <w:shd w:val="clear" w:color="auto" w:fill="CCEEFF"/>
          </w:tcPr>
          <w:p>
            <w:pPr>
              <w:spacing w:after="0"/>
              <w:rPr>
                <w:sz w:val="18"/>
                <w:szCs w:val="18"/>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$12.96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10.20</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$5.99</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January 31, 2013, there were approximately 390 holders of record of our ordinary shares. Because many ordinary shares are held by brokers nominees, we are unable to estimate the total number of shareholders represented by these record holders. Our depositary, Citibank, N.A., constitutes a single record holder of our ordinary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Under our Purchase and Sale Agreement with Biopharma, we are restricted from paying a dividend on our common shares, unless we have cash and cash equivalents in excess of a specified amount after such payment.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Graph—3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the opinion of the Board of Directors, the indices below are the most appropriate indices against which the total shareholder return of Amarin should be measured. The NASDAQ Bio Index has been selected because it is an index of U.S. quoted biotechnology and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85090</wp:posOffset>
            </wp:positionV>
            <wp:extent cx="5213985" cy="2178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2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6"/>
              </w:rPr>
              <w:t>12/31/2010</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6"/>
              </w:rPr>
              <w:t>12/31/2011</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Amarin Corporation PLC</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573.43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523.78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565.73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118.15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117.21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138.01</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115.22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129.13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170.83</w:t>
            </w:r>
          </w:p>
        </w:tc>
      </w:tr>
    </w:tbl>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Source: NASDAQ—Whole Market index and Bio index. The NASDAQ Market index has been used to compare the shareholder return for all companies listed on the NASDAQ Stock Market. The NASDAQ Bio index has been used to give a comparison of the shareholder returns from biotechnology and pharmaceutical companies listed on the NASDAQ Stock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Graph—5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following graph compares the cumulative 5-year return provided to stockholders of Amarin’s ADSs relative to the cumulative total returns of the NASDAQ Composite Index and the NASDAQ Biotechnology Index. An investment of $100 (with reinvestment of all dividends) is assumed to have been made in our ADSs and in each of the indexes on December 31, 2007 and its relative performance is tracked through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98425</wp:posOffset>
            </wp:positionV>
            <wp:extent cx="5213985" cy="2178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6"/>
              </w:rPr>
              <w:t>12/31/2008</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12/31/2009</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12/31/2010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Amarin Corporation PLC</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27.31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55.00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315.36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288.06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311.13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60.02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87.25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103.08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102.27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120.42</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87.70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101.70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117.18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131.33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173.73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equity compensation plans is incorporated by reference in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If you are not resident or ordinarily resident in the United Kingdom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individual holder of common shares or ADSs who ceases to be resident or ordinarily resident in the UK for UK tax purposes for a period of less than 5 years and who disposes of common shares or ADSs during that period may also be liable on returning to the UK for UK capital gains tax despite the fact that the individual may not be resident or ordinarily resident in the UK at the time of the disposal.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Inheritance Tax</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common shares or ADSs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reserve tax will be payable in respect of an agreement to transfer an ADS, whether made in or outside the UK.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Common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 of common shares by Amarin will not give rise to a charge to UK stamp duty or stamp duty reserve tax.</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UK law, there is no withholding tax on dividends.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selected financial data set forth below as of and for the years ending December 31, 2012, 2011, 2010, 2009 and 2008 have been derived from the audited consolidated financial statements of Amarin, included elsewhere in this Annual Report on Form 10-K.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143"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On January 18, 2008, our common shares were consolidated on a 1-for-10 basis whereby ten common shares of £0.05 each became one common share of £0.5. Unless otherwise specified, all shares and share related information have been adjusted to give effect to this 1-for-10 common share consolidation.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gridSpan w:val="10"/>
          </w:tcPr>
          <w:p>
            <w:pPr>
              <w:jc w:val="right"/>
              <w:ind w:right="56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58,956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28,014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116,750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45,101</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34,044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(116,750)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(45,101)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(34,044)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w w:val="91"/>
              </w:rPr>
              <w:t>(Loss) gain on change in fair value of warrant derivative liabilities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(35,344)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(22,669)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(205,153)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 before taxes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(170,068)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(66,610)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(250,090)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(31,507)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(19,537)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(179,184)</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 (69,126)</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(249,589)</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(30,606)</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per basic and diluted share:</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144,017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130,247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100,239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86"/>
              </w:rPr>
              <w:t>As of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cash equivalents</w:t>
            </w:r>
          </w:p>
        </w:tc>
        <w:tc>
          <w:tcPr>
            <w:tcW w:w="1000" w:type="dxa"/>
            <w:vAlign w:val="bottom"/>
            <w:gridSpan w:val="4"/>
          </w:tcPr>
          <w:p>
            <w:pPr>
              <w:jc w:val="right"/>
              <w:ind w:right="134"/>
              <w:spacing w:after="0"/>
              <w:rPr>
                <w:sz w:val="20"/>
                <w:szCs w:val="20"/>
                <w:color w:val="auto"/>
              </w:rPr>
            </w:pPr>
            <w:r>
              <w:rPr>
                <w:rFonts w:ascii="Arial" w:cs="Arial" w:eastAsia="Arial" w:hAnsi="Arial"/>
                <w:sz w:val="18"/>
                <w:szCs w:val="18"/>
                <w:color w:val="auto"/>
              </w:rPr>
              <w:t>$260,242</w:t>
            </w:r>
          </w:p>
        </w:tc>
        <w:tc>
          <w:tcPr>
            <w:tcW w:w="180" w:type="dxa"/>
            <w:vAlign w:val="bottom"/>
          </w:tcPr>
          <w:p>
            <w:pPr>
              <w:spacing w:after="0"/>
              <w:rPr>
                <w:sz w:val="18"/>
                <w:szCs w:val="18"/>
                <w:color w:val="auto"/>
              </w:rPr>
            </w:pPr>
          </w:p>
        </w:tc>
        <w:tc>
          <w:tcPr>
            <w:tcW w:w="920" w:type="dxa"/>
            <w:vAlign w:val="bottom"/>
            <w:gridSpan w:val="3"/>
          </w:tcPr>
          <w:p>
            <w:pPr>
              <w:jc w:val="right"/>
              <w:ind w:right="36"/>
              <w:spacing w:after="0"/>
              <w:rPr>
                <w:sz w:val="20"/>
                <w:szCs w:val="20"/>
                <w:color w:val="auto"/>
              </w:rPr>
            </w:pPr>
            <w:r>
              <w:rPr>
                <w:rFonts w:ascii="Arial" w:cs="Arial" w:eastAsia="Arial" w:hAnsi="Arial"/>
                <w:sz w:val="18"/>
                <w:szCs w:val="18"/>
                <w:color w:val="auto"/>
                <w:w w:val="97"/>
              </w:rPr>
              <w:t>$ 116,602</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31,442</w:t>
            </w:r>
          </w:p>
        </w:tc>
        <w:tc>
          <w:tcPr>
            <w:tcW w:w="3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$52,258</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4"/>
            <w:shd w:val="clear" w:color="auto" w:fill="CCEEFF"/>
          </w:tcPr>
          <w:p>
            <w:pPr>
              <w:jc w:val="right"/>
              <w:ind w:right="134"/>
              <w:spacing w:after="0"/>
              <w:rPr>
                <w:sz w:val="20"/>
                <w:szCs w:val="20"/>
                <w:color w:val="auto"/>
              </w:rPr>
            </w:pPr>
            <w:r>
              <w:rPr>
                <w:rFonts w:ascii="Arial" w:cs="Arial" w:eastAsia="Arial" w:hAnsi="Arial"/>
                <w:sz w:val="18"/>
                <w:szCs w:val="18"/>
                <w:color w:val="auto"/>
              </w:rPr>
              <w:t>310,855</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126,379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Long-term obligations</w:t>
            </w:r>
          </w:p>
        </w:tc>
        <w:tc>
          <w:tcPr>
            <w:tcW w:w="1000" w:type="dxa"/>
            <w:vAlign w:val="bottom"/>
            <w:gridSpan w:val="4"/>
          </w:tcPr>
          <w:p>
            <w:pPr>
              <w:jc w:val="right"/>
              <w:ind w:right="134"/>
              <w:spacing w:after="0"/>
              <w:rPr>
                <w:sz w:val="20"/>
                <w:szCs w:val="20"/>
                <w:color w:val="auto"/>
              </w:rPr>
            </w:pPr>
            <w:r>
              <w:rPr>
                <w:rFonts w:ascii="Arial" w:cs="Arial" w:eastAsia="Arial" w:hAnsi="Arial"/>
                <w:sz w:val="18"/>
                <w:szCs w:val="18"/>
                <w:color w:val="auto"/>
              </w:rPr>
              <w:t>289,650</w:t>
            </w:r>
          </w:p>
        </w:tc>
        <w:tc>
          <w:tcPr>
            <w:tcW w:w="180" w:type="dxa"/>
            <w:vAlign w:val="bottom"/>
          </w:tcPr>
          <w:p>
            <w:pPr>
              <w:spacing w:after="0"/>
              <w:rPr>
                <w:sz w:val="18"/>
                <w:szCs w:val="18"/>
                <w:color w:val="auto"/>
              </w:rPr>
            </w:pPr>
          </w:p>
        </w:tc>
        <w:tc>
          <w:tcPr>
            <w:tcW w:w="920" w:type="dxa"/>
            <w:vAlign w:val="bottom"/>
            <w:gridSpan w:val="3"/>
          </w:tcPr>
          <w:p>
            <w:pPr>
              <w:jc w:val="right"/>
              <w:ind w:right="36"/>
              <w:spacing w:after="0"/>
              <w:rPr>
                <w:sz w:val="20"/>
                <w:szCs w:val="20"/>
                <w:color w:val="auto"/>
              </w:rPr>
            </w:pPr>
            <w:r>
              <w:rPr>
                <w:rFonts w:ascii="Arial" w:cs="Arial" w:eastAsia="Arial" w:hAnsi="Arial"/>
                <w:sz w:val="18"/>
                <w:szCs w:val="18"/>
                <w:color w:val="auto"/>
              </w:rPr>
              <w:t>123,889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230,157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42,090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0" w:type="dxa"/>
            <w:vAlign w:val="bottom"/>
            <w:gridSpan w:val="4"/>
            <w:shd w:val="clear" w:color="auto" w:fill="CCEEFF"/>
          </w:tcPr>
          <w:p>
            <w:pPr>
              <w:jc w:val="right"/>
              <w:ind w:right="74"/>
              <w:spacing w:after="0"/>
              <w:rPr>
                <w:sz w:val="20"/>
                <w:szCs w:val="20"/>
                <w:color w:val="auto"/>
              </w:rPr>
            </w:pPr>
            <w:r>
              <w:rPr>
                <w:rFonts w:ascii="Arial" w:cs="Arial" w:eastAsia="Arial" w:hAnsi="Arial"/>
                <w:sz w:val="18"/>
                <w:szCs w:val="18"/>
                <w:color w:val="auto"/>
              </w:rPr>
              <w:t>(3,997)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(5,962)</w:t>
            </w: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(202,367)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8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warrant-related compensation expense reflecting the change in the fair value of the warrant derivative liability associated with warrants issued in October 2009 to former officers of Amarin. See further discussion in Notes 2 and 7 of the Notes to the Consolidated Financial Statements.</w:t>
      </w:r>
    </w:p>
    <w:p>
      <w:pPr>
        <w:ind w:left="460" w:right="1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warrant derivative liabilities. See further discussion in Notes 2 and 7 of the Notes to the Consolidated Financial Statements.</w:t>
      </w:r>
    </w:p>
    <w:p>
      <w:pPr>
        <w:ind w:left="460" w:right="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a financing derivative liability. See further discussion in Notes 2 and 7 of the Notes to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our ability to successfully launch Vascepa in the United States for use in the MARINE indication, the progress and timing of our clinical programs, the potential for, and timing of, regulatory approval of additional indications for Vascepa and the next steps we may take thereto; the safety and efficacy of our product candidates; the goals of our development activities; the scope of our intellectual property protection; estimates of the potential markets for our product candidates; estimates of the capacity of manufacturing and other facilities to support our products, our operating and growth strategies, our sales and marketing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are a biopharmaceutical company focused on the commercialization and development of therapeutics to improve cardiovascular health. On July 26, 2012, we received approval from the U.S. Food and Drug Administration, or FDA, to market and sell our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(formerly known as AMR101) as an adjunct to diet to reduce triglyceride, or TG, levels in adult patients with severe (TG ³500mg/dL) hypertriglyceridemia, which we sometimes refer to as the MARINE indication. Triglycerides are fats in the blood. On January 28, 2013, we commenced our commercial launch of Vascepa in the United States for the MARINE indication.</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 In late February 2013, we submitted an sNDA for the ANCHOR indication with the FDA. If our sNDA is accepted by the FDA, assuming a ten-month FDA review period, we expect the FDA to assign a PDUFA action date which is not later than the end of 2013.</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December 2011, we announced commencement of patient dosing in our cardiovascular outcomes study of Vascepa, titled REDUCE-IT (Reduction of Cardiovascular Events with EPA – Intervention Trial), which is designed to evaluate the efficacy of Vascepa in reducing major cardiovascular events in a high risk patient population on statin therapy. Based on communications with the FDA, we believe that we are required to be “substantially underway” with a cardiovascular outcomes study at the time of the submission of our sNDA seeking approval of the ANCHOR indication. We believe that we achieved this requirement prior to submitting the sNDA. However, there can be no assurance that the FDA will agree with our assessment or that they will accept our sNDA for the ANCHOR indication. We do not believe the final results of the REDUCE-IT study will be required for FDA approval of Vascepa for the ANCHOR indication.</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Hypertriglyceridemia refers to a condition in which patients have high levels of triglycerides in the bloodstream. It is estimated that over 40 million adults in the United States have elevated triglyceride levels &gt;200mg/dL and approximately 4.0 million people in the United States have severely high (TG ³500mg/dL) triglyceride levels, commonly known as very high triglyceride levels. According to </w:t>
      </w:r>
      <w:r>
        <w:rPr>
          <w:rFonts w:ascii="Arial" w:cs="Arial" w:eastAsia="Arial" w:hAnsi="Arial"/>
          <w:sz w:val="18"/>
          <w:szCs w:val="18"/>
          <w:i w:val="1"/>
          <w:iCs w:val="1"/>
          <w:color w:val="auto"/>
        </w:rPr>
        <w:t>The American Heart Association Scientific Statement on Triglycerides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Cardiovascular Disease </w:t>
      </w:r>
      <w:r>
        <w:rPr>
          <w:rFonts w:ascii="Arial" w:cs="Arial" w:eastAsia="Arial" w:hAnsi="Arial"/>
          <w:sz w:val="18"/>
          <w:szCs w:val="18"/>
          <w:color w:val="auto"/>
        </w:rPr>
        <w:t>(2011),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triglycerides also provide important information as a marker associated with the risk for heart disease and stroke, especially when an individual also has low high-density lipoprotein,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pancreatitis,in patients with hypertriglyceridemia has not been determined.</w:t>
      </w:r>
    </w:p>
    <w:p>
      <w:pPr>
        <w:spacing w:after="0" w:line="113"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The potential efficacy and safety of Vascepa was studied in two Phase 3 clinical trials, the MARINE trial and the ANCHOR trial. At a daily dose of 4 grams of Vascepa, the dose at which Vascepa is FDA-approved, these trials showed favorable clinical results in their respective patient populations in reducing triglyceride levels without increasing LDL-C levels in the MARINE trial and with a statistically significant decrease in LDL-C levels in the ANCHOR trial.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 treated patients was arthralgia (joint pain) (2.3% for Vascepa vs. 1.0% for placebo).</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for use in the MARINE indication. In preparation for our commercial launch, we recently hired and trained a direct sales force of approximately 275 sales representatives. We also employ various marketing and medical affairs personnel to support our commercialization of Vascepa. Our clinical and commercial supply is provided to us under agreements with various third-party suppliers. As of the date of this Annual Report, we have announced that 18 patent applications in the United States have been either issued or allowed and more than 30 additional patent applications are pending in the United States. We are also pursuing patent applications related to Vascepa in multiple jurisdictions outside the United States. These patent applications are part of our strategy to protect the commercial potential of Vascepa, which generally includes obtaining and maintaining intellectual property rights, maintaining trade secrets, seeking regulatory exclusivity and taking advantage of manufacturing barriers to entry.</w:t>
      </w:r>
    </w:p>
    <w:p>
      <w:pPr>
        <w:spacing w:after="0" w:line="12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believe that our sales and marketing team is well positioned to support the commercialization of Vascepa for the MARINE indication and that a larger sales effort will be required to best support the commercialization of Vascepa for the ANCHOR indication, assuming FDA approval of the ANCHOR indication. To support the continued commercialization of Vascepa, we intend to consider strategic opportunities with larger pharmaceutical companies. From time to time we have held discussions with larger pharmaceutical companies on potential collaborations and other strategic opportunities, and we intend to continue having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strategic transaction, and no assurance can be given that we will enter into any such strategic transaction. Until such time when we enter into such a strategic transaction, if ever, we plan to continue to execute on our plans to market and sell Vascepa on our own.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U.S. market is currently the primary focus for Vascepa. Opportunities to market and sell Vascepa outside of the United States are also under evaluation.</w:t>
      </w:r>
    </w:p>
    <w:p>
      <w:pPr>
        <w:spacing w:after="0" w:line="20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Prior to commencing our U.S. commercial launch of Vascepa in January 2013, we had no revenue from Vascepa. As of the date of this Annual Report, we do not believe that we can provide a reasonably accurate forecast of Vascepa revenues and we provide no guidance regarding anticipated levels of Vascepa revenues.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2012, we purchased approximately $32 million of Vascepa API of which $21.3 million was capitalized to inventory as of December 31, 2012 and the balance of which was included as a component of research and development expense either because it was received prior to FDA approval of Vascepa for the MARINE indication or because it was used in conjunction with the REDUCE-IT study. The majority of this supply was purchased in the second half of 2012. We anticipate continuing to make substantial purchases of supply during 2013 and beyond. We anticipate that our gross margin from Vascepa sales will be lower in 2013 than in subsequent years due to multiple factors, including API supply pricing at our earliest agreed suppliers being currently higher than supply pricing at more recently agreed suppliers, tiered supply pricing at certain suppliers such that cost of supply purchases are scheduled to decline as volume of purchases increase, special initial stocking discounts provided to wholesalers and pharmacies to encourage them to stock Vascepa in advance of Vascepa’s commercial launch, and rebate cards offered to consumers to reduce the size of their co-payment requirements while we work with payors to migrate Vascepa coverage from “tier-3” to “tier-2” in these payors’ drug pricing systems.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our cash and cash equivalents balance of $260.2 million at December 31, 2012 is sufficient to fund our projected operations for at least the next twelve months, including commercialization of Vascepa for the MARINE indication, preparations for commercialization of Vascepa for the ANCHOR indication and the advancement of the REDUCE-IT cardiovascular outcomes study. In order to fund our commercialization plans, in particular to fully support the launch, marketing and sale of Vascepa in the ANCHOR indication, we will likely need to enter into a strategic collaboration or raise additional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2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on initial recognition are recorded at fair value. They are subsequently held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 gains and losses 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laibility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recorded a financial derivative related the change in control provision associated with our December 2012 debt financing. The fair value of this derivative could fluctuate based on changes the assumptions used in the valuation model.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i w:val="1"/>
          <w:iCs w:val="1"/>
          <w:color w:val="auto"/>
        </w:rPr>
        <w:t>Inventory Capitalization</w:t>
      </w:r>
      <w:r>
        <w:rPr>
          <w:rFonts w:ascii="Arial" w:cs="Arial" w:eastAsia="Arial" w:hAnsi="Arial"/>
          <w:sz w:val="15"/>
          <w:szCs w:val="15"/>
          <w:color w:val="auto"/>
        </w:rPr>
        <w:t>—Prior to July 26, 2012, when we received approval from the FDA to market and sell Vascepa in the U.S. for the MARINE</w:t>
      </w:r>
      <w:r>
        <w:rPr>
          <w:rFonts w:ascii="Arial" w:cs="Arial" w:eastAsia="Arial" w:hAnsi="Arial"/>
          <w:sz w:val="15"/>
          <w:szCs w:val="15"/>
          <w:i w:val="1"/>
          <w:iCs w:val="1"/>
          <w:color w:val="auto"/>
        </w:rPr>
        <w:t xml:space="preserve"> </w:t>
      </w:r>
      <w:r>
        <w:rPr>
          <w:rFonts w:ascii="Arial" w:cs="Arial" w:eastAsia="Arial" w:hAnsi="Arial"/>
          <w:sz w:val="15"/>
          <w:szCs w:val="15"/>
          <w:color w:val="auto"/>
        </w:rPr>
        <w:t>indication, Vascepa was considered a product candidate under development. All supply of Vascepa purchased prior to July 26, 2012 was not capitalized and instead charged as a component of research and development expense in the current period. After Vascepa was approved, we began to capitalize inventory purchased from the supplier approved in the NDA. We have three additional supply agreements with BASF, Chemport and Slanmhor, and are working to pursue FDA approval for these suppliers to manufacture Vascepa API. Until an additional API supplier is approved, all Vascepa API purchased from such supplier is included as a component of research and development expense. Upon sNDA approval of these additional suppliers, we plan to capitalize subsequent Vascepa purchases from these suppliers as inventory. Purchases of Vascepa received and expensed before such regulatory approvals will not be subsequently capitalized, and all such purchases will be quarantined and not used for commercial supply until such time as the sNDA for the supplier that produced the API is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2012 versus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2012 was $59.0 million, versus $21.6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an increase of $37.4 million, or 173%. Research and development expenses for the years ended December 31, 2012 and 2011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(1)</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$55,256</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2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3,700</w:t>
            </w:r>
          </w:p>
        </w:tc>
        <w:tc>
          <w:tcPr>
            <w:tcW w:w="58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58,956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21,602</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8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stock compensation, for the year ended December 31, 2012 was $55.3 million, versus $20.1 million in the prior year period, an increase of $35.2 million, or 175%. The increase in research and development expense was due to increased costs in 2012 for our Vascepa cardiovascular program, primarily increased clinical costs for the REDUCE-IT cardiovascular outcomes study, costs of supply purchases prior to NDA approval and costs associated with study of AMR102. Prior to FDA approval of Vascepa on July 26, 2012, all supply purchases of Vascepa were expensed to research and development. After FDA approval, supply purchases of Vascepa were capitalized, with the exception of clinical trial material which continues to be expensed to research and development. During the year ended December 31, 2012, non-capitalized supply purchases and vendor qualification costs were approximately $16.1 million. During the year ended December 31, 2012, expenses incurred through our CRO for the REDUCE-IT study were approximately $23.3 million.</w:t>
      </w:r>
    </w:p>
    <w:p>
      <w:pPr>
        <w:spacing w:after="0" w:line="5" w:lineRule="exact"/>
        <w:rPr>
          <w:rFonts w:ascii="Arial" w:cs="Arial" w:eastAsia="Arial" w:hAnsi="Arial"/>
          <w:sz w:val="16"/>
          <w:szCs w:val="16"/>
          <w:color w:val="auto"/>
        </w:rPr>
      </w:pPr>
    </w:p>
    <w:p>
      <w:pPr>
        <w:ind w:left="460" w:right="92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stock based compensation expense included within research and development was $3.7 million and $1.5 million for the years ended December 31, 2012 and 2011, respectively.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December 2011, we announced that the first patient was dosed in the REDUCE-IT study. During 2012, as planned, we expanded the REDUCE-IT study to include clinical sites in multiple countries, activated clinical sites and enrolled patients. We believe that the patient enrollment phase of the REDUCE-IT study will be the most expensive phase of the study. We anticipate that REDUCE-IT study costs will continue to increase in 2013 as we seek to continue to enroll patients while also continuing our study of patients who were previously enrolled. During 2013, we anticipate incurring expense through our CRO in connection with this trial of between $30 million and $40 million.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amount charged to research and development expense in 2013 for supply related purchases cannot be reasonably predicted as it depends on the timing of supply shipped to us from BASF, Chemport and Slanmhor and the timing of FDA approval of the these suppliers and their facilities with respect to Vascepa production. We anticipate placing supply purchase orders with these suppliers prior to FDA approval of their facilities provided that we are satisfied that the supply is produced in an appropriate cGMP environment and conforms to our Vascepa product specifications. All such purchases will be quarantined and not used for commercial supply until such time as the sNDA for the applicable supplier that produced the API is approved. After these API suppliers are approved, supply purchases from them will be capitalized as a component of inventory.</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also increase research and development costs in 2013 related to AMR102. The amount and timing of AMR102 development costs depends on the results of the AMR102 study commenced in 2012, which results have not completed evaluation.</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year ended December 31, 2012 was $57.8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$22.6 million in the prior year, an increase of $35.2 million, or 155.8%. Marketing, general and administrative expenses for the years ended December 31, 2012 and 2011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12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$43,172</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(income) expense (2)</w:t>
            </w: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57,794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22,559</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Marketing, general and administrative expense, excluding non-cash charges for stock and warrant compensation, for the year ended December 31, 2012 was $43.2 million, versus $14.8 million in the prior year, an increase of $28.4 million, or 192%. The increase was primarily due to cost increases in 2012 for marketing research activities, medical education (approximately $16.1 million) and higher staffing levels and related travel (approximately $5.2 million) plus increased facility costs and other general and administrative costs incurred in order to prepare for the commercialization of Vascepa.</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Non-cash warrant related compensation expense (income) for the year ended December 31, 2012 was $0.3 million of expense, versus $0.1 million of income in the prior year. Warrant related compensation expense for the period ended December 31, 2012 reflects non-cash income for the change in fair value of the warrant derivative liability associated with warrants issued in October 2009 to three former officers of Amarin, net of warrants exercised. The expense in 2012 was due primarily to the increase in the fair value of these warrants, the increase in the fair value of the warrants is due primarily to an increase in our stock price between December 31, 2011 and December 31, 2012.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6"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Non-cash stock based compensation expense for the year ended December 31, 2012 was $14.4 million, versus $7.8 million in the prior year period, an increase of $6.6 million due primarily reflects an increase in the number of awards outstanding during the 2012 year versus the prior period, and also in the fair value of new option awards granted to attract and retain qualified employees.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expect marketing, general and administrative costs in 2013 to increase. In late 2012 and early 2013, we hired approximately 275 sales representatives plus district managers to support our January 2013 full launch of Vascepa for the MARINE indication. The cost of this sales team will increase our costs in 2013. In addition, we intend to support the commercialization of Vascepa with expanded medical education programs, various forms of promotion, continued market research and further infrastructure and systems.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Loss on Change in Fair Value of Derivative Liabilities. </w:t>
      </w:r>
      <w:r>
        <w:rPr>
          <w:rFonts w:ascii="Arial" w:cs="Arial" w:eastAsia="Arial" w:hAnsi="Arial"/>
          <w:sz w:val="16"/>
          <w:szCs w:val="16"/>
          <w:color w:val="auto"/>
        </w:rPr>
        <w:t>Loss on change in fair value of derivative liability for the year ended December 31, 2012 was $35.4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versus $22.7 million in the prior year period. Loss on change in fair value of derivative liability is primarily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2011 was $123.1 million and we recognized a $22.7 million loss on change in fair value of derivative liability for the period ended December 31, 2011 for these warrants. The fair value of the warrant derivative liability at December 31, 2012 was $54.9 million and we recognized a $35.4 million loss on change in fair value of derivative liability for the period ended December 31, 2012. The decrease in the warrant derivative liability value was due primarily to the exercises of warrants. Upon exercise, the fair value of warrants exercised is remeasured and reclassified from warrant liability to additional paid-in-capital. The fair value of the long term debt redemption feature at December 31, 2012 was 14.6 million. The Company recognized a $0.02 million gain on change in fair value of derivative liability at December 31, 2012. See further discussion of the warrant derivative liability in Note 2 and Note 7 of the Notes to the Consolidated Financial Statements.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income includes interest earned on cash balances. Interest expense includes the amortization of the exchange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our exchangeable debt, the amortization of debt discounts and debt obligation coupon interest. During the twelve months ended December 31, 2012, we recognized interest expense of $17.9 million, of which $10.7 million represents amortization of the debt discount, $5.1 million represents contractual coupon interest, $2.1 million represents the amortization of the discount from underwriter discounts and offering costs.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income primarily includes unrealized loss due to the fluctuation in the exchange rate of a milestone payment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$0.5 million between the date that this obligation was incurred on July 26, 2012 and the date that it was paid later in 2012. Also included are gains and losses on other foreign exchange transactions. Other (expense) income for the year ended December 31, 2012 was a net expense of $0.4 million versus $0.01 million in the prior year.</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the year ending December 31, 2012 was a $9.1 million provision versus a $2.5 million provision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current provision relates entirely to the United States operations. We are profitable in the United States as a result of intercompany transactions between our United States subsidiary and our other companies. The increase in the 2012 provision for income taxes primarily relates to the exercise of stock options of which the excess benefits related to the option exercises are recorded to additional-paid-in capital.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2011 versus December 31,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2011 was $21.6 million, versus $28.0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 decrease of $6.4 million, or 22.9%. Research and development expenses for the years ended December 31, 2011 and 2010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(1)</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$20,138</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2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1,464</w:t>
            </w:r>
          </w:p>
        </w:tc>
        <w:tc>
          <w:tcPr>
            <w:tcW w:w="58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21,602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28,014</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Research and development expense, excluding non cash charges, for the year ended December 31, 2011 was $20.1 million, versus $26.5 million in the prior year period, a decrease of $6.4 million, or 24.2%. The decrease in research and development expense was primarily due to decreased costs in 2011 for our Vascepa cardiovascular program, primarily costs associated with the MARINE and ANCHOR trials, our two Phase 3 clinical trials, the top-line results of which were reported in December 2010 and April 2011, respectively. The decrease in costs for these trials in 2011 versus 2010 were partially offset by increased clinical costs for the REDUCE-IT cardiovascular outcomes study, which was initiated in the second half of 2011, and costs associated with submitting our NDA in September 2011 for Vascepa.</w:t>
      </w:r>
    </w:p>
    <w:p>
      <w:pPr>
        <w:spacing w:after="0" w:line="1"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stock based compensation expense included within research and development was $1.5 million for the years ended December 31, 2011 and 2010, respectively.</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for the year ended December 31, 2011 was $22.6 million, versus $17.1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an increase of $5.5 million, or 32.2%. General and administrative expenses for the years ended December 31, 2011 and 2010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 (1)</w:t>
            </w:r>
          </w:p>
        </w:tc>
        <w:tc>
          <w:tcPr>
            <w:tcW w:w="1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$14,825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(income) expense (2)</w:t>
            </w:r>
          </w:p>
        </w:tc>
        <w:tc>
          <w:tcPr>
            <w:tcW w:w="2860" w:type="dxa"/>
            <w:vAlign w:val="bottom"/>
            <w:gridSpan w:val="3"/>
          </w:tcPr>
          <w:p>
            <w:pPr>
              <w:jc w:val="right"/>
              <w:ind w:right="5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Restructuring, severance and lease exit costs (4)</w:t>
            </w:r>
          </w:p>
        </w:tc>
        <w:tc>
          <w:tcPr>
            <w:tcW w:w="1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22,559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17,087</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5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administrative expense, excluding restructuring, severance and non-cash compensation charges for stock compensation and warrants, for the year ended December 31, 2011 was $14.8 million, versus $7.2 million in the prior year, an increase of $7.6 million, or 105.6%. The increase was primarily due to higher staffing levels in 2011, increased overhead costs for increased office space and higher costs in 2011 for marketing studies and other pre-commercial activities.</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Non-cash warrant related compensation (income) expense for the year ended December 31, 2011 was $0.1 million of income, versus $5.7 million of expense in the prior year, a change of $5.8 million. Warrant related compensation income for the period ended December 31, 2011 reflects non-cash income for the change in fair value of the warrant derivative liability associated with warrants issued in October 2009 to three former officers of Amarin, net of warrants exercised. The income in 2011 was due primarily to the decrease in the fair value of these warrants, the decrease in the fair value of the warrants is due primarily to a decrease in our stock price between December 31, 2010 and December 31, 2011.</w:t>
      </w:r>
    </w:p>
    <w:p>
      <w:pPr>
        <w:spacing w:after="0" w:line="3" w:lineRule="exact"/>
        <w:rPr>
          <w:rFonts w:ascii="Arial" w:cs="Arial" w:eastAsia="Arial" w:hAnsi="Arial"/>
          <w:sz w:val="16"/>
          <w:szCs w:val="16"/>
          <w:color w:val="auto"/>
        </w:rPr>
      </w:pPr>
    </w:p>
    <w:p>
      <w:pPr>
        <w:ind w:left="460" w:right="38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Non-cash stock based compensation expense for the year ended December 31, 2011 was $7.8 million, versus $3.7 million in the prior year period, an increase of $4.1 million due primarily to an increase in option awards granted in late 2010 and during the year ended December 31, 2011 to attract and retain qualified employees.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severance and lease exit costs for the year ended December 31, 2010 represented costs for severance, office consolidation and the relocation of certain operations to our U.S. offices.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(Loss) Gain on Change in Fair Value of Derivative Liabilities. </w:t>
      </w:r>
      <w:r>
        <w:rPr>
          <w:rFonts w:ascii="Arial" w:cs="Arial" w:eastAsia="Arial" w:hAnsi="Arial"/>
          <w:sz w:val="16"/>
          <w:szCs w:val="16"/>
          <w:color w:val="auto"/>
        </w:rPr>
        <w:t>(Loss) gain on change in fair value of derivative liability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2011 was expense of $22.7 million versus $205.2 million in the prior year period. (Loss) gain on change in fair value of derivative liability is primarily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2010 was $230.1 million and we recognized a $205.2 million loss on change in fair value of derivative liability for the period ended December 31, 2010 for these warrants. The fair value of the warrant derivative liability at December 31, 2011 was $123.1 million and we recognized a $22.7 million loss on change in fair value of derivative liability for the period ended December 31, 2011. The decrease in the warrant derivative liability value was due primarily to the exercises of warrants. Upon exercise, the fair value of warrants exercised is remeasured and reclassified from warrant liability to additional paid-in-capital. See further discussion of the warrant derivative liability in Note 2 and Note 7 of the Notes to the Consolidated Financial Statements.</w:t>
      </w:r>
    </w:p>
    <w:p>
      <w:pPr>
        <w:spacing w:after="0" w:line="33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 Interest expense for the year ended December 31, 2011 was</w:t>
      </w:r>
      <w:r>
        <w:rPr>
          <w:rFonts w:ascii="Arial" w:cs="Arial" w:eastAsia="Arial" w:hAnsi="Arial"/>
          <w:sz w:val="18"/>
          <w:szCs w:val="18"/>
          <w:i w:val="1"/>
          <w:iCs w:val="1"/>
          <w:color w:val="auto"/>
        </w:rPr>
        <w:t xml:space="preserve"> </w:t>
      </w:r>
      <w:r>
        <w:rPr>
          <w:rFonts w:ascii="Arial" w:cs="Arial" w:eastAsia="Arial" w:hAnsi="Arial"/>
          <w:sz w:val="18"/>
          <w:szCs w:val="18"/>
          <w:color w:val="auto"/>
        </w:rPr>
        <w:t>$0.001 million versus $0.02 million in the prior year.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primarily includes gains and losses on foreign exchange transactions. Other (expense) income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was a net expense of $0.01 million versus income of $0.13 million in the prior year.</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the year ending December 31, 2011 was a $2.5 million provision versus a $0.5 million benefit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current provision relates entirely to the United States operations. We are profitable in the United States as a result of intercompany transactions between our United States subsidiary and our other companies. The increase in the 2011 provision for income taxes primarily relates to the exercise of stock options of which the excess benefits related to the option exercises are recorded to additional-paid-in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sources of liquidity as of December 31, 2012 include cash and cash equivalents of $260.2 million. Our projected uses of cash include commercialization of Vascepa for the MARINE indication, preparations for commercialization of Vascepa for the ANCHOR indication,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5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2"/>
                <w:szCs w:val="12"/>
                <w:color w:val="auto"/>
              </w:rPr>
            </w:pPr>
          </w:p>
        </w:tc>
        <w:tc>
          <w:tcPr>
            <w:tcW w:w="5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 continuing operations:</w:t>
            </w: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(39.4)</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 (33.9)</w:t>
            </w: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560" w:type="dxa"/>
            <w:vAlign w:val="bottom"/>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126.6</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13.1</w:t>
            </w:r>
          </w:p>
        </w:tc>
      </w:tr>
      <w:tr>
        <w:trPr>
          <w:trHeight w:val="27"/>
        </w:trPr>
        <w:tc>
          <w:tcPr>
            <w:tcW w:w="6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$ 143.6</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85.2</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(20.8)</w:t>
            </w:r>
          </w:p>
        </w:tc>
      </w:tr>
      <w:tr>
        <w:trPr>
          <w:trHeight w:val="20"/>
        </w:trPr>
        <w:tc>
          <w:tcPr>
            <w:tcW w:w="6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(“Biopharma”). Under this agreement, the Company granted to Biopharma a security interest in future receivables and all related rights to Vascepa, in exchange for $100 million received at the closing of the agreement which closing occurred in December 2012. The Company has agreed to repay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Biopharma up to $150 million of future revenue and receivables. The first repayment under the agreement is a repayment of $2.5 million of interest due to Biopharma in November 2013, subject to the limitation described below. Additional quarterly repayments are due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due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Payment of such carried forward amounts are subject to similarly calculated threshold repayment amounts based on Vascepa revenue levels. Except upon a change of control in Amarin, the agreement does not expire until $150 million has been repaid. Under the agreement,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Company can prepay after October 1, 2013, an amount equal to $150 million less any previously repaid amount.</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The notes are the senior unsecured obligations of Corsicanto Limited and are guaranteed by Amarin. The notes bear interest at a rate of 3.5% per annum, payable semi-annually in arrears on January 15 and July 15 of each year, beginning on July 15, 2012. In July 2012 Amarin made its initial interest payments on the notes in the aggregate amount of $2.7 million.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 It is the Company’s current intention to settle these obligations in cash.</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our cash and cash equivalents balance of $260.2 million at December 31, 2012 is sufficient to fund our projected operations for at least the next twelve months, including commercialization of Vascepa for the MARINE indication, preparations for commercialization of Vascepa for the ANCHOR indication and the advancement of the REDUCE-IT cardiovascular outcomes study. In order to fund our commercialization plans, in particular to fully support the launch, marketing and sale of Vascepa in the ANCHOR indication, we will likely need to enter into a strategic collaboration or raise additional capital.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December 31, 2012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to 2015</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2017</w:t>
            </w:r>
          </w:p>
        </w:tc>
        <w:tc>
          <w:tcPr>
            <w:tcW w:w="5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2017</w:t>
            </w:r>
          </w:p>
        </w:tc>
        <w:tc>
          <w:tcPr>
            <w:tcW w:w="0" w:type="dxa"/>
            <w:vAlign w:val="bottom"/>
          </w:tcPr>
          <w:p>
            <w:pPr>
              <w:spacing w:after="0"/>
              <w:rPr>
                <w:sz w:val="1"/>
                <w:szCs w:val="1"/>
                <w:color w:val="auto"/>
              </w:rPr>
            </w:pPr>
          </w:p>
        </w:tc>
      </w:tr>
      <w:tr>
        <w:trPr>
          <w:trHeight w:val="196"/>
        </w:trPr>
        <w:tc>
          <w:tcPr>
            <w:tcW w:w="696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4"/>
          </w:tcPr>
          <w:p>
            <w:pPr>
              <w:ind w:left="440"/>
              <w:spacing w:after="0"/>
              <w:rPr>
                <w:sz w:val="20"/>
                <w:szCs w:val="20"/>
                <w:color w:val="auto"/>
              </w:rPr>
            </w:pPr>
            <w:r>
              <w:rPr>
                <w:rFonts w:ascii="Arial" w:cs="Arial" w:eastAsia="Arial" w:hAnsi="Arial"/>
                <w:sz w:val="18"/>
                <w:szCs w:val="18"/>
                <w:color w:val="auto"/>
              </w:rPr>
              <w:t>Purchase obligations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4"/>
          </w:tcPr>
          <w:p>
            <w:pPr>
              <w:ind w:left="440"/>
              <w:spacing w:after="0"/>
              <w:rPr>
                <w:sz w:val="20"/>
                <w:szCs w:val="20"/>
                <w:color w:val="auto"/>
              </w:rPr>
            </w:pPr>
            <w:r>
              <w:rPr>
                <w:rFonts w:ascii="Arial" w:cs="Arial" w:eastAsia="Arial" w:hAnsi="Arial"/>
                <w:sz w:val="18"/>
                <w:szCs w:val="18"/>
                <w:color w:val="auto"/>
              </w:rPr>
              <w:t>Interest payment obligations—exchangeable debt (3)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Principle &amp; Interest payment obligations—Biopharma (4)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gridSpan w:val="4"/>
            <w:vMerge w:val="restart"/>
          </w:tcPr>
          <w:p>
            <w:pPr>
              <w:ind w:left="440"/>
              <w:spacing w:after="0" w:line="202" w:lineRule="exact"/>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gridSpan w:val="4"/>
            <w:vMerge w:val="continue"/>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w w:val="84"/>
              </w:rPr>
              <w:t>168.9</w:t>
            </w:r>
          </w:p>
        </w:tc>
        <w:tc>
          <w:tcPr>
            <w:tcW w:w="5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w w:val="79"/>
              </w:rPr>
              <w:t>18.4</w:t>
            </w:r>
          </w:p>
        </w:tc>
        <w:tc>
          <w:tcPr>
            <w:tcW w:w="920" w:type="dxa"/>
            <w:vAlign w:val="bottom"/>
            <w:gridSpan w:val="3"/>
          </w:tcPr>
          <w:p>
            <w:pPr>
              <w:jc w:val="right"/>
              <w:ind w:right="260"/>
              <w:spacing w:after="0" w:line="182" w:lineRule="exact"/>
              <w:rPr>
                <w:sz w:val="20"/>
                <w:szCs w:val="20"/>
                <w:color w:val="auto"/>
              </w:rPr>
            </w:pPr>
            <w:r>
              <w:rPr>
                <w:rFonts w:ascii="Arial" w:cs="Arial" w:eastAsia="Arial" w:hAnsi="Arial"/>
                <w:sz w:val="18"/>
                <w:szCs w:val="18"/>
                <w:color w:val="auto"/>
              </w:rPr>
              <w:t>$ 67.5</w:t>
            </w:r>
          </w:p>
        </w:tc>
        <w:tc>
          <w:tcPr>
            <w:tcW w:w="6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$ 83.0</w:t>
            </w:r>
          </w:p>
        </w:tc>
        <w:tc>
          <w:tcPr>
            <w:tcW w:w="720" w:type="dxa"/>
            <w:vAlign w:val="bottom"/>
            <w:gridSpan w:val="2"/>
          </w:tcPr>
          <w:p>
            <w:pPr>
              <w:ind w:left="500"/>
              <w:spacing w:after="0" w:line="182"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40" w:hanging="452"/>
        <w:spacing w:after="0" w:line="28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minimum purchase obligations under our supply agreement with Nisshin as of December 31, 2012. We paid $25 million during the twelve months ended December 31, 2012 and as of December 31, 2012 had additional purchase obligations of $9.9 million.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24 months and have not been exchanged for ADRs. The above table does not reflect the repayment of the $150.0 million notes as they may be exchanged for ADRs.</w:t>
      </w:r>
    </w:p>
    <w:p>
      <w:pPr>
        <w:spacing w:after="0" w:line="1" w:lineRule="exact"/>
        <w:rPr>
          <w:rFonts w:ascii="Arial" w:cs="Arial" w:eastAsia="Arial" w:hAnsi="Arial"/>
          <w:sz w:val="18"/>
          <w:szCs w:val="18"/>
          <w:color w:val="auto"/>
        </w:rPr>
      </w:pPr>
    </w:p>
    <w:p>
      <w:pPr>
        <w:ind w:left="460" w:hanging="452"/>
        <w:spacing w:after="0" w:line="285"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principle and interest payments which we anticipate paying under the terms of the agreement entered into with Biopharma Secured Debt Fund II Holdings Cayman LP (Biopharma). Under this agreement, the Company granted to Biopharma a security interest in future receivables and all rights to Vascepa, in exchange for $100 million received at the closing of the agreement which closing occurred in December 2012. The Company has agreed to repay Biopharma up to $150 million of future revenue and receivables. The first repayment under the agreement is a payment of $2.5 million of interest due to Biopharma in November 2013, subject to the limitation described below. Additional quarterly repayments are due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due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The table above reflects payment in full of the scheduled quarterly amounts with such potential elected reductions.</w:t>
      </w:r>
    </w:p>
    <w:p>
      <w:pPr>
        <w:spacing w:after="0" w:line="12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above table also does not reflect potential material purchases under the API supply agreements with BASF, Chemport or the consortium led by Slanmhor. These API supply agreements provide access to additional API supply that is incremental to supply from Nisshin Pharma, our existing FDA-approved API supplier. Each of these additional API agreements contemplates a phased capacity expansion plan aimed at creating sufficient capacity to meet anticipated demand for API material for Vascepa following commercial launch. These API suppliers are self-funding these expansion plans with contributions from Amarin. These agreements include requirements for the suppliers to qualify their materials and facilities. We anticipate incurring certain costs associated with the qualification of product produced by these suppliers. These agreements include annual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purchase levels enabling Amarin to maintain supply exclusivity with each respective supplier, and to prevent potential termination of the agreements. These minimum purchase levels do not contractually begin until the applicable supplemental NDA, or sNDA, for the supplier is approved by the FDA, if ever, and upon the achievement of manufacturing capacity expansion. Accordingly, these amounts are excluded from the above table. The two supply agreements entered into in 2011, the agreements with BASF and Chemport, also include (i) development fees up to a maximum of $0.5 million, (ii) material commitments of up to</w:t>
      </w:r>
    </w:p>
    <w:p>
      <w:pPr>
        <w:spacing w:after="0" w:line="3"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$5.0 million for initial raw materials, which will be credited against future API purchases, and is refundable to us if a supplier does not successfully develop and qualify the API by a certain date and (iii) a raw material purchase commitment of $1.1 million. Under these agreements, during 2012 we purchased $1.0 million of Vascepa API from Chemport and made advance payments of $3.2 million for API from BASF.</w:t>
      </w:r>
    </w:p>
    <w:p>
      <w:pPr>
        <w:spacing w:after="0" w:line="10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agreement with the fourth API supplier, when all contingencies are eliminated by the supplier, provides for development fees of up to $2.3 million and a commitment of up to $15.0 million, which will be credited against future API material purchases. Under this agreement, during 2012 we made payments of $1.6 million to Slanhmor related to stability and technical batches and advances on future API purchases.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Concurrent with our supply agreements with Chemport entered into in 2011 for the supply of API materials for Vascepa, we agreed to make a noncontrolling minority share equity investment in the supplier of up to $3.3 million. The Company invested $1.7 million under this agreement in July 2011 and the remaining $1.6 million during 2012. These amounts have been included in other long term assets and accounted for under the cost method at December 31, 2012.</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the 2004 share repurchase agreement with Laxdale Limited, or Laxdale, upon receipt of marketing approval in the U.S. and/or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$12.1 million at December 31, 2012) for each of the two potential marketing approvals. Upon approval of Vascepa by the FDA on July 26, 2012, the Company capitalized this first Laxdale milestone ($11.6 million on July 26, 2012) as a component of other long term assets and recorded an accrued liability payable to the former Laxdale shareholders. This long-term asset will be amortized over the estimated useful life of the intellectual property the Company acquired from Laxdale and the Company recognized amortization expense of $0.3 million during the year ended December 31, 2012. The Company paid $12.1 million in cash in November 2012 in settlement of this liability and recognized a currency exchange loss of $0.5 million.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$8.1 million at December 31, 2012) for each of the two potential market approvals (i.e. £10 million maximum, or approximately $16.2 million at December 31, 2012).</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to the obligations in the table above, we have approximately $0.8 million of liability for uncertain tax positions that have been recorded in long-term liabilities at December 31, 2012.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are exposed to market risks, which include changes in interest rates, changes in credit worthiness and liquidity of our marketable securities. We do not use derivative financial instruments in our investment portfolio, and prior to 2013 we entered into no foreign exchange contracts. Our investments meet high credit quality and diversification standards, as specified in our investment policy. At December 31, 2012, we record as a liability the fair value of warrants to purchase 8.1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shares ($8.90 based on the $8.09 market price of our stock at December 31, 2012) on which the December 31, 2012 valuation was based, the value of the derivative liability would have increased by $6.4 million. Such increase would have been reflected as additional loss on change in fair value of the warrant derivative liability in our statement of operations.</w:t>
      </w:r>
    </w:p>
    <w:p>
      <w:pPr>
        <w:spacing w:after="0" w:line="118"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subject to fluctuations due to changes in the Euro, Sterling and Yen.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cash and cash equivalents and the majority of our vendor relationships are denominated in U.S. dollar. We therefore believe that the risk of a significant impact on our operating income from foreign currency fluctuations is not substantial. From time to time, we maintain a small amount of our cash in cash equivalents in Euro and Pound Sterling. We purchase supply from Nisshin in Japanese Yen. As our level of supply purchases from Nisshin have increased, we in 2013 have begun to enter into short-term forward currency pricing contracts to lock-in the exchange rate on a portion of our anticipated purchases denominated in Japanese Yen.</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believe that we are not exposed to significant interest rate risk through market value fluctuations of balance sheet items (i.e., price</w:t>
      </w:r>
      <w:r>
        <w:rPr>
          <w:rFonts w:ascii="Arial" w:cs="Arial" w:eastAsia="Arial" w:hAnsi="Arial"/>
          <w:sz w:val="16"/>
          <w:szCs w:val="16"/>
          <w:i w:val="1"/>
          <w:iCs w:val="1"/>
          <w:color w:val="auto"/>
        </w:rPr>
        <w:t xml:space="preserve"> </w:t>
      </w:r>
      <w:r>
        <w:rPr>
          <w:rFonts w:ascii="Arial" w:cs="Arial" w:eastAsia="Arial" w:hAnsi="Arial"/>
          <w:sz w:val="16"/>
          <w:szCs w:val="16"/>
          <w:color w:val="auto"/>
        </w:rPr>
        <w:t>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2012, the fair value of our cash and cash equivalents maturing in one year or less was $260.2 million and represented 100% of our cash, cash equivalents and investment portfolio. A hypothetical 50 basis point increase in interest rates would not result in a material decrease or increase in the fair value of our securities due to the general short-term nature of our investment portfolio.</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are annexed to this report beginning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As of December 31, 2012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5"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management, including our Principal Executive Officer and Principal Financial Officer, has conducted an evaluation of the effectiveness of our internal control over financial reporting as of December 31, 2012. In conducting this evaluation,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upon this evaluation and those criteria, management believes that, as of December 31, 2012, our internal controls over financial reporting were effective.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Deloitte and Touche LLP, our independent registered public accounting firm, has audited our consolidated financial statements and the effectiveness of our internal control over financial reporting as of December 31, 2012. This report appears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2012 that have materially affected, or are reasonably likely to materially affect, our internal control over financial reporting.</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60"/>
          </w:cols>
          <w:pgMar w:left="240" w:top="459" w:right="5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Amarin Corporation plc and subsidiaries (the “Company”) as of December 31,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Management’s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Company and our report dated February 28, 2013 expressed an unqualified opinion on those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We have been advised that a number of our directors and employees, including members of our senior management team, and investment funds associated with such persons, have entered into trading plans in accordance with Rule 10b5-1 and our policy governing transactions in our securities. We undertake no obligation to update or revise the information provided herein, including for revision or termination of an established trading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2013 Annual General Meeting of Shareholders.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Any waivers from or amendments to the code will be filed with the SEC on Form 8-K. You may also request a printed copy of the code, without charge, by writing to us at Amarin Pharma, Inc., 1430 Route 206, Bedminster, NJ 07921, Attention: Investor Relations.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2013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2013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2013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2013 Annual General Meeting of Shareholders. Such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4100" w:type="dxa"/>
            <w:vAlign w:val="bottom"/>
            <w:gridSpan w:val="3"/>
          </w:tcPr>
          <w:p>
            <w:pPr>
              <w:ind w:left="2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340"/>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540" w:type="dxa"/>
            <w:vAlign w:val="bottom"/>
          </w:tcPr>
          <w:p>
            <w:pPr>
              <w:spacing w:after="0"/>
              <w:rPr>
                <w:sz w:val="14"/>
                <w:szCs w:val="14"/>
                <w:color w:val="auto"/>
              </w:rPr>
            </w:pPr>
          </w:p>
        </w:tc>
      </w:tr>
      <w:tr>
        <w:trPr>
          <w:trHeight w:val="329"/>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Articles of Association of the Company</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0"/>
              </w:rPr>
              <w:t>Form of Amended and Restated Deposit Agreement,</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0"/>
              </w:rPr>
              <w:t>dated as of November 4, 2011, among the Company,</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5"/>
              </w:rPr>
              <w:t>Citibank, N.A., as Depositary, and all holders from</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1"/>
              </w:rPr>
              <w:t>time to time of American Depositary Receipts issued</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88"/>
              </w:rPr>
              <w:t>Indenture, dated as of January 9, 2012, by and among</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4"/>
              </w:rPr>
              <w:t>Corsicanto Limited, the Company and Wells Fargo</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Bank, National Association, as trustee</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Form of Ordinary Share certificate</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7"/>
              </w:rPr>
              <w:t>Form of American Depositary Receipt evidencing</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ADSs</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 Company 2002 Stock Option Plan*</w:t>
            </w:r>
          </w:p>
        </w:tc>
      </w:tr>
      <w:tr>
        <w:trPr>
          <w:trHeight w:val="540"/>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 Company 2011 Stock Option 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Amendment No. 1 to 2011 Stock Option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Amendment No. 2 to 2011 Stock Option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88"/>
              </w:rPr>
              <w:t>Amendment No. 3 to 2011 Stock Option and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Amarin Corporation plc Management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Compensation Plan*</w:t>
            </w:r>
          </w:p>
        </w:tc>
      </w:tr>
      <w:tr>
        <w:trPr>
          <w:trHeight w:val="540"/>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Form of Incentive Stock Option Award Agreement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-661670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3"/>
              </w:rPr>
              <w:t>Form</w:t>
            </w:r>
          </w:p>
        </w:tc>
        <w:tc>
          <w:tcPr>
            <w:tcW w:w="8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Date</w:t>
            </w:r>
          </w:p>
        </w:tc>
        <w:tc>
          <w:tcPr>
            <w:tcW w:w="280" w:type="dxa"/>
            <w:vAlign w:val="bottom"/>
          </w:tcPr>
          <w:p>
            <w:pPr>
              <w:spacing w:after="0"/>
              <w:rPr>
                <w:sz w:val="12"/>
                <w:szCs w:val="12"/>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87"/>
              </w:rPr>
              <w:t>November 10, 2010</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170505, as Exhibit 3.1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93"/>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w w:val="99"/>
              </w:rPr>
              <w:t>Current Report on Form 8-K dated January 9, 2012,</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99"/>
              </w:rPr>
              <w:t>January 10,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April 24, 2003</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2002, File No. 0-21392, as Exhibit 2.4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93"/>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March 5, 2007</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4.17</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August 9, 2011</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August 8, 2012</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June 30, 2012, File No. 0-21392, as Exhibit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August 8, 2012</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June 30, 2012, File No. 0-21392, as Exhibit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March 16, 2011</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2010, File No. 0-21392, as Exhibit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93"/>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10.3</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65"/>
        </w:trPr>
        <w:tc>
          <w:tcPr>
            <w:tcW w:w="1760" w:type="dxa"/>
            <w:vAlign w:val="bottom"/>
          </w:tcPr>
          <w:p>
            <w:pPr>
              <w:ind w:left="30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2">
            <w:col w:w="4920" w:space="400"/>
            <w:col w:w="5560"/>
          </w:cols>
          <w:pgMar w:left="240" w:top="459" w:right="7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1"/>
                <w:szCs w:val="11"/>
                <w:color w:val="auto"/>
              </w:rPr>
            </w:pPr>
          </w:p>
        </w:tc>
        <w:tc>
          <w:tcPr>
            <w:tcW w:w="2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Description</w:t>
            </w:r>
          </w:p>
        </w:tc>
        <w:tc>
          <w:tcPr>
            <w:tcW w:w="1940" w:type="dxa"/>
            <w:vAlign w:val="bottom"/>
          </w:tcPr>
          <w:p>
            <w:pPr>
              <w:spacing w:after="0"/>
              <w:rPr>
                <w:sz w:val="11"/>
                <w:szCs w:val="11"/>
                <w:color w:val="auto"/>
              </w:rPr>
            </w:pPr>
          </w:p>
        </w:tc>
        <w:tc>
          <w:tcPr>
            <w:tcW w:w="2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r>
      <w:tr>
        <w:trPr>
          <w:trHeight w:val="27"/>
        </w:trPr>
        <w:tc>
          <w:tcPr>
            <w:tcW w:w="500" w:type="dxa"/>
            <w:vAlign w:val="bottom"/>
            <w:shd w:val="clear" w:color="auto" w:fill="000000"/>
          </w:tcPr>
          <w:p>
            <w:pPr>
              <w:spacing w:after="0"/>
              <w:rPr>
                <w:sz w:val="2"/>
                <w:szCs w:val="2"/>
                <w:color w:val="auto"/>
              </w:rPr>
            </w:pPr>
          </w:p>
        </w:tc>
        <w:tc>
          <w:tcPr>
            <w:tcW w:w="46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680" w:type="dxa"/>
            <w:vAlign w:val="bottom"/>
            <w:gridSpan w:val="3"/>
          </w:tcPr>
          <w:p>
            <w:pPr>
              <w:ind w:left="460"/>
              <w:spacing w:after="0"/>
              <w:rPr>
                <w:sz w:val="20"/>
                <w:szCs w:val="20"/>
                <w:color w:val="auto"/>
              </w:rPr>
            </w:pPr>
            <w:r>
              <w:rPr>
                <w:rFonts w:ascii="Arial" w:cs="Arial" w:eastAsia="Arial" w:hAnsi="Arial"/>
                <w:sz w:val="18"/>
                <w:szCs w:val="18"/>
                <w:color w:val="auto"/>
                <w:w w:val="96"/>
              </w:rPr>
              <w:t>Form of Non-Qualified Stock Option Award Agreement</w:t>
            </w: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w w:val="95"/>
              </w:rPr>
              <w:t>December 31, 2011,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680" w:type="dxa"/>
            <w:vAlign w:val="bottom"/>
            <w:gridSpan w:val="3"/>
          </w:tcPr>
          <w:p>
            <w:pPr>
              <w:ind w:left="460"/>
              <w:spacing w:after="0"/>
              <w:rPr>
                <w:sz w:val="20"/>
                <w:szCs w:val="20"/>
                <w:color w:val="auto"/>
              </w:rPr>
            </w:pPr>
            <w:r>
              <w:rPr>
                <w:rFonts w:ascii="Arial" w:cs="Arial" w:eastAsia="Arial" w:hAnsi="Arial"/>
                <w:sz w:val="18"/>
                <w:szCs w:val="18"/>
                <w:color w:val="auto"/>
              </w:rPr>
              <w:t>Form of Restricted Stock Unit Award Agreement</w:t>
            </w: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w w:val="95"/>
              </w:rPr>
              <w:t>December 31, 2011,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680" w:type="dxa"/>
            <w:vAlign w:val="bottom"/>
            <w:gridSpan w:val="3"/>
          </w:tcPr>
          <w:p>
            <w:pPr>
              <w:ind w:left="460"/>
              <w:spacing w:after="0"/>
              <w:rPr>
                <w:sz w:val="20"/>
                <w:szCs w:val="20"/>
                <w:color w:val="auto"/>
              </w:rPr>
            </w:pPr>
            <w:r>
              <w:rPr>
                <w:rFonts w:ascii="Arial" w:cs="Arial" w:eastAsia="Arial" w:hAnsi="Arial"/>
                <w:sz w:val="18"/>
                <w:szCs w:val="18"/>
                <w:color w:val="auto"/>
              </w:rPr>
              <w:t>Letter Agreement dated August 1, 2008 with Paresh</w:t>
            </w: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r>
      <w:tr>
        <w:trPr>
          <w:trHeight w:val="222"/>
        </w:trPr>
        <w:tc>
          <w:tcPr>
            <w:tcW w:w="500" w:type="dxa"/>
            <w:vAlign w:val="bottom"/>
          </w:tcPr>
          <w:p>
            <w:pPr>
              <w:spacing w:after="0"/>
              <w:rPr>
                <w:sz w:val="19"/>
                <w:szCs w:val="19"/>
                <w:color w:val="auto"/>
              </w:rPr>
            </w:pPr>
          </w:p>
        </w:tc>
        <w:tc>
          <w:tcPr>
            <w:tcW w:w="4680" w:type="dxa"/>
            <w:vAlign w:val="bottom"/>
            <w:gridSpan w:val="3"/>
          </w:tcPr>
          <w:p>
            <w:pPr>
              <w:ind w:left="460"/>
              <w:spacing w:after="0"/>
              <w:rPr>
                <w:sz w:val="20"/>
                <w:szCs w:val="20"/>
                <w:color w:val="auto"/>
              </w:rPr>
            </w:pPr>
            <w:r>
              <w:rPr>
                <w:rFonts w:ascii="Arial" w:cs="Arial" w:eastAsia="Arial" w:hAnsi="Arial"/>
                <w:sz w:val="18"/>
                <w:szCs w:val="18"/>
                <w:color w:val="auto"/>
              </w:rPr>
              <w:t>Soni*</w:t>
            </w: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w w:val="93"/>
              </w:rPr>
              <w:t>December 31, 2010, File No. 0-21392, as Exhibit 10.20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680" w:type="dxa"/>
            <w:vAlign w:val="bottom"/>
            <w:gridSpan w:val="3"/>
          </w:tcPr>
          <w:p>
            <w:pPr>
              <w:ind w:left="460"/>
              <w:spacing w:after="0"/>
              <w:rPr>
                <w:sz w:val="20"/>
                <w:szCs w:val="20"/>
                <w:color w:val="auto"/>
              </w:rPr>
            </w:pPr>
            <w:r>
              <w:rPr>
                <w:rFonts w:ascii="Arial" w:cs="Arial" w:eastAsia="Arial" w:hAnsi="Arial"/>
                <w:sz w:val="18"/>
                <w:szCs w:val="18"/>
                <w:color w:val="auto"/>
                <w:w w:val="91"/>
              </w:rPr>
              <w:t>Letter Agreement dated October 12, 2009 with Dr. Declan</w:t>
            </w: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r>
      <w:tr>
        <w:trPr>
          <w:trHeight w:val="216"/>
        </w:trPr>
        <w:tc>
          <w:tcPr>
            <w:tcW w:w="500" w:type="dxa"/>
            <w:vAlign w:val="bottom"/>
          </w:tcPr>
          <w:p>
            <w:pPr>
              <w:spacing w:after="0"/>
              <w:rPr>
                <w:sz w:val="18"/>
                <w:szCs w:val="18"/>
                <w:color w:val="auto"/>
              </w:rPr>
            </w:pPr>
          </w:p>
        </w:tc>
        <w:tc>
          <w:tcPr>
            <w:tcW w:w="4680" w:type="dxa"/>
            <w:vAlign w:val="bottom"/>
            <w:gridSpan w:val="3"/>
          </w:tcPr>
          <w:p>
            <w:pPr>
              <w:ind w:left="460"/>
              <w:spacing w:after="0"/>
              <w:rPr>
                <w:sz w:val="20"/>
                <w:szCs w:val="20"/>
                <w:color w:val="auto"/>
              </w:rPr>
            </w:pPr>
            <w:r>
              <w:rPr>
                <w:rFonts w:ascii="Arial" w:cs="Arial" w:eastAsia="Arial" w:hAnsi="Arial"/>
                <w:sz w:val="18"/>
                <w:szCs w:val="18"/>
                <w:color w:val="auto"/>
              </w:rPr>
              <w:t>Doogan*</w:t>
            </w: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163704,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Exhibit 4.101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0860"/>
          </w:cols>
          <w:pgMar w:left="240" w:top="459" w:right="799" w:bottom="1440" w:gutter="0" w:footer="0" w:header="0"/>
        </w:sectPr>
      </w:pPr>
    </w:p>
    <w:p>
      <w:pPr>
        <w:ind w:left="960" w:hanging="958"/>
        <w:spacing w:after="0" w:line="268"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Letter Agreement dated October 12, 2009 with Joseph S. Zakrzewski*</w:t>
      </w:r>
    </w:p>
    <w:p>
      <w:pPr>
        <w:spacing w:after="0" w:line="20" w:lineRule="exact"/>
        <w:rPr>
          <w:sz w:val="20"/>
          <w:szCs w:val="20"/>
          <w:color w:val="auto"/>
        </w:rPr>
      </w:pPr>
      <w:r>
        <w:rPr>
          <w:sz w:val="20"/>
          <w:szCs w:val="20"/>
          <w:color w:val="auto"/>
        </w:rPr>
        <w:br w:type="column"/>
      </w:r>
    </w:p>
    <w:p>
      <w:pPr>
        <w:spacing w:after="0"/>
        <w:tabs>
          <w:tab w:leader="none" w:pos="4180" w:val="left"/>
        </w:tabs>
        <w:rPr>
          <w:sz w:val="20"/>
          <w:szCs w:val="20"/>
          <w:color w:val="auto"/>
        </w:rPr>
      </w:pPr>
      <w:r>
        <w:rPr>
          <w:rFonts w:ascii="Arial" w:cs="Arial" w:eastAsia="Arial" w:hAnsi="Arial"/>
          <w:sz w:val="18"/>
          <w:szCs w:val="18"/>
          <w:color w:val="auto"/>
        </w:rPr>
        <w:t>Registration Statement on Form F-1, File No. 333-</w:t>
      </w:r>
      <w:r>
        <w:rPr>
          <w:sz w:val="20"/>
          <w:szCs w:val="20"/>
          <w:color w:val="auto"/>
        </w:rPr>
        <w:tab/>
      </w:r>
      <w:r>
        <w:rPr>
          <w:rFonts w:ascii="Arial" w:cs="Arial" w:eastAsia="Arial" w:hAnsi="Arial"/>
          <w:sz w:val="15"/>
          <w:szCs w:val="15"/>
          <w:color w:val="auto"/>
        </w:rPr>
        <w:t>December 14,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163704,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4.102</w:t>
      </w:r>
    </w:p>
    <w:p>
      <w:pPr>
        <w:spacing w:after="0" w:line="111" w:lineRule="exact"/>
        <w:rPr>
          <w:sz w:val="20"/>
          <w:szCs w:val="20"/>
          <w:color w:val="auto"/>
        </w:rPr>
      </w:pPr>
    </w:p>
    <w:p>
      <w:pPr>
        <w:sectPr>
          <w:pgSz w:w="11900" w:h="16838" w:orient="portrait"/>
          <w:cols w:equalWidth="0" w:num="2">
            <w:col w:w="4960" w:space="320"/>
            <w:col w:w="5580"/>
          </w:cols>
          <w:pgMar w:left="240" w:top="459" w:right="7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10.13</w:t>
            </w:r>
          </w:p>
        </w:tc>
        <w:tc>
          <w:tcPr>
            <w:tcW w:w="4400" w:type="dxa"/>
            <w:vAlign w:val="bottom"/>
          </w:tcPr>
          <w:p>
            <w:pPr>
              <w:ind w:left="280"/>
              <w:spacing w:after="0"/>
              <w:rPr>
                <w:sz w:val="20"/>
                <w:szCs w:val="20"/>
                <w:color w:val="auto"/>
              </w:rPr>
            </w:pPr>
            <w:r>
              <w:rPr>
                <w:rFonts w:ascii="Arial" w:cs="Arial" w:eastAsia="Arial" w:hAnsi="Arial"/>
                <w:sz w:val="18"/>
                <w:szCs w:val="18"/>
                <w:color w:val="auto"/>
                <w:w w:val="93"/>
              </w:rPr>
              <w:t>Letter Agreement dated October 16, 2009 with Thomas</w:t>
            </w:r>
          </w:p>
        </w:tc>
        <w:tc>
          <w:tcPr>
            <w:tcW w:w="4100" w:type="dxa"/>
            <w:vAlign w:val="bottom"/>
          </w:tcPr>
          <w:p>
            <w:pPr>
              <w:ind w:left="200"/>
              <w:spacing w:after="0"/>
              <w:rPr>
                <w:sz w:val="20"/>
                <w:szCs w:val="20"/>
                <w:color w:val="auto"/>
              </w:rPr>
            </w:pPr>
            <w:r>
              <w:rPr>
                <w:rFonts w:ascii="Arial" w:cs="Arial" w:eastAsia="Arial" w:hAnsi="Arial"/>
                <w:sz w:val="18"/>
                <w:szCs w:val="18"/>
                <w:color w:val="auto"/>
                <w:w w:val="96"/>
              </w:rPr>
              <w:t>Registration Statement on Form F-1, File No. 333-</w:t>
            </w:r>
          </w:p>
        </w:tc>
        <w:tc>
          <w:tcPr>
            <w:tcW w:w="1680" w:type="dxa"/>
            <w:vAlign w:val="bottom"/>
          </w:tcPr>
          <w:p>
            <w:pPr>
              <w:ind w:left="300"/>
              <w:spacing w:after="0"/>
              <w:rPr>
                <w:sz w:val="20"/>
                <w:szCs w:val="20"/>
                <w:color w:val="auto"/>
              </w:rPr>
            </w:pPr>
            <w:r>
              <w:rPr>
                <w:rFonts w:ascii="Arial" w:cs="Arial" w:eastAsia="Arial" w:hAnsi="Arial"/>
                <w:sz w:val="18"/>
                <w:szCs w:val="18"/>
                <w:color w:val="auto"/>
                <w:w w:val="86"/>
              </w:rPr>
              <w:t>December 14, 2009</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G. Lynch*</w:t>
            </w:r>
          </w:p>
        </w:tc>
        <w:tc>
          <w:tcPr>
            <w:tcW w:w="4100" w:type="dxa"/>
            <w:vAlign w:val="bottom"/>
          </w:tcPr>
          <w:p>
            <w:pPr>
              <w:ind w:left="200"/>
              <w:spacing w:after="0"/>
              <w:rPr>
                <w:sz w:val="20"/>
                <w:szCs w:val="20"/>
                <w:color w:val="auto"/>
              </w:rPr>
            </w:pPr>
            <w:r>
              <w:rPr>
                <w:rFonts w:ascii="Arial" w:cs="Arial" w:eastAsia="Arial" w:hAnsi="Arial"/>
                <w:sz w:val="18"/>
                <w:szCs w:val="18"/>
                <w:color w:val="auto"/>
              </w:rPr>
              <w:t>163704, as</w:t>
            </w:r>
          </w:p>
        </w:tc>
        <w:tc>
          <w:tcPr>
            <w:tcW w:w="168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Exhibit 4.103</w:t>
            </w:r>
          </w:p>
        </w:tc>
        <w:tc>
          <w:tcPr>
            <w:tcW w:w="168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0860"/>
          </w:cols>
          <w:pgMar w:left="240" w:top="459" w:right="799" w:bottom="1440" w:gutter="0" w:footer="0" w:header="0"/>
          <w:type w:val="continuous"/>
        </w:sectPr>
      </w:pPr>
    </w:p>
    <w:p>
      <w:pPr>
        <w:ind w:left="960" w:hanging="958"/>
        <w:spacing w:after="0" w:line="259"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Letter Agreement dated December 2, 2009 among the Company, Sunninghill Limited, Michael Walsh and Simon Kukes</w:t>
      </w:r>
    </w:p>
    <w:p>
      <w:pPr>
        <w:spacing w:after="0" w:line="20" w:lineRule="exact"/>
        <w:rPr>
          <w:sz w:val="20"/>
          <w:szCs w:val="20"/>
          <w:color w:val="auto"/>
        </w:rPr>
      </w:pPr>
      <w:r>
        <w:rPr>
          <w:sz w:val="20"/>
          <w:szCs w:val="20"/>
          <w:color w:val="auto"/>
        </w:rPr>
        <w:br w:type="column"/>
      </w: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10.35</w:t>
      </w:r>
    </w:p>
    <w:p>
      <w:pPr>
        <w:spacing w:after="0" w:line="326" w:lineRule="exact"/>
        <w:rPr>
          <w:sz w:val="20"/>
          <w:szCs w:val="20"/>
          <w:color w:val="auto"/>
        </w:rPr>
      </w:pPr>
    </w:p>
    <w:p>
      <w:pPr>
        <w:sectPr>
          <w:pgSz w:w="11900" w:h="16838" w:orient="portrait"/>
          <w:cols w:equalWidth="0" w:num="2">
            <w:col w:w="4760" w:space="520"/>
            <w:col w:w="5580"/>
          </w:cols>
          <w:pgMar w:left="240" w:top="459" w:right="799" w:bottom="1440" w:gutter="0" w:footer="0" w:header="0"/>
          <w:type w:val="continuous"/>
        </w:sectPr>
      </w:pPr>
    </w:p>
    <w:p>
      <w:pPr>
        <w:ind w:left="960" w:right="100" w:hanging="958"/>
        <w:spacing w:after="0" w:line="268"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Letter Agreement dated December 9, 2009 with Thomas G. Lynch, Alan Cooke and Tom Maher*</w:t>
      </w:r>
    </w:p>
    <w:p>
      <w:pPr>
        <w:spacing w:after="0" w:line="294" w:lineRule="exact"/>
        <w:rPr>
          <w:sz w:val="20"/>
          <w:szCs w:val="20"/>
          <w:color w:val="auto"/>
        </w:rPr>
      </w:pPr>
    </w:p>
    <w:p>
      <w:pPr>
        <w:ind w:left="960" w:right="300" w:hanging="958"/>
        <w:spacing w:after="0" w:line="268"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Letter Agreement dated August 16, 2010 between the Company and Colin Stewart*</w:t>
      </w:r>
    </w:p>
    <w:p>
      <w:pPr>
        <w:spacing w:after="0" w:line="78" w:lineRule="exact"/>
        <w:rPr>
          <w:sz w:val="20"/>
          <w:szCs w:val="20"/>
          <w:color w:val="auto"/>
        </w:rPr>
      </w:pPr>
    </w:p>
    <w:p>
      <w:pPr>
        <w:ind w:left="960" w:right="80" w:hanging="958"/>
        <w:spacing w:after="0" w:line="268" w:lineRule="auto"/>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Letter Agreement dated November 15, 2010 between the Company and John F. Thero*</w:t>
      </w:r>
    </w:p>
    <w:p>
      <w:pPr>
        <w:spacing w:after="0" w:line="78" w:lineRule="exact"/>
        <w:rPr>
          <w:sz w:val="20"/>
          <w:szCs w:val="20"/>
          <w:color w:val="auto"/>
        </w:rPr>
      </w:pPr>
    </w:p>
    <w:p>
      <w:pPr>
        <w:ind w:left="960" w:right="20" w:hanging="958"/>
        <w:spacing w:after="0" w:line="268"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Letter Agreement dated March 1, 2010 with Frederick W. Ahlholm*</w:t>
      </w:r>
    </w:p>
    <w:p>
      <w:pPr>
        <w:spacing w:after="0" w:line="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Letter Agreement dated January 28, 2011 with Paul Huff*</w:t>
      </w:r>
    </w:p>
    <w:p>
      <w:pPr>
        <w:spacing w:after="0" w:line="333" w:lineRule="exact"/>
        <w:rPr>
          <w:sz w:val="20"/>
          <w:szCs w:val="20"/>
          <w:color w:val="auto"/>
        </w:rPr>
      </w:pPr>
    </w:p>
    <w:p>
      <w:pPr>
        <w:ind w:left="960" w:right="120" w:hanging="958"/>
        <w:spacing w:after="0" w:line="268" w:lineRule="auto"/>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Letter Agreement dated December 13, 2011 with Joseph Kennedy*</w:t>
      </w:r>
    </w:p>
    <w:p>
      <w:pPr>
        <w:spacing w:after="0" w:line="20" w:lineRule="exact"/>
        <w:rPr>
          <w:sz w:val="20"/>
          <w:szCs w:val="20"/>
          <w:color w:val="auto"/>
        </w:rPr>
      </w:pPr>
      <w:r>
        <w:rPr>
          <w:sz w:val="20"/>
          <w:szCs w:val="20"/>
          <w:color w:val="auto"/>
        </w:rPr>
        <w:br w:type="column"/>
      </w:r>
    </w:p>
    <w:p>
      <w:pPr>
        <w:spacing w:after="0"/>
        <w:tabs>
          <w:tab w:leader="none" w:pos="4180" w:val="left"/>
        </w:tabs>
        <w:rPr>
          <w:sz w:val="20"/>
          <w:szCs w:val="20"/>
          <w:color w:val="auto"/>
        </w:rPr>
      </w:pPr>
      <w:r>
        <w:rPr>
          <w:rFonts w:ascii="Arial" w:cs="Arial" w:eastAsia="Arial" w:hAnsi="Arial"/>
          <w:sz w:val="18"/>
          <w:szCs w:val="18"/>
          <w:color w:val="auto"/>
        </w:rPr>
        <w:t>Registration Statement on Form F-1, File No. 333-</w:t>
      </w:r>
      <w:r>
        <w:rPr>
          <w:sz w:val="20"/>
          <w:szCs w:val="20"/>
          <w:color w:val="auto"/>
        </w:rPr>
        <w:tab/>
      </w:r>
      <w:r>
        <w:rPr>
          <w:rFonts w:ascii="Arial" w:cs="Arial" w:eastAsia="Arial" w:hAnsi="Arial"/>
          <w:sz w:val="15"/>
          <w:szCs w:val="15"/>
          <w:color w:val="auto"/>
        </w:rPr>
        <w:t>December 14,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163704,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4.106</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10.39</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10.42</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10.46</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Quarterly Report on Form 10-Q for the period ended</w:t>
      </w:r>
      <w:r>
        <w:rPr>
          <w:sz w:val="20"/>
          <w:szCs w:val="20"/>
          <w:color w:val="auto"/>
        </w:rPr>
        <w:tab/>
      </w:r>
      <w:r>
        <w:rPr>
          <w:rFonts w:ascii="Arial" w:cs="Arial" w:eastAsia="Arial" w:hAnsi="Arial"/>
          <w:sz w:val="16"/>
          <w:szCs w:val="16"/>
          <w:color w:val="auto"/>
        </w:rPr>
        <w:t>May 10,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 File No. 0-21392, as Exhibit 10.1</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Current Report on Form 8-K dated December 23, 2011,</w:t>
      </w:r>
      <w:r>
        <w:rPr>
          <w:sz w:val="20"/>
          <w:szCs w:val="20"/>
          <w:color w:val="auto"/>
        </w:rPr>
        <w:tab/>
      </w:r>
      <w:r>
        <w:rPr>
          <w:rFonts w:ascii="Arial" w:cs="Arial" w:eastAsia="Arial" w:hAnsi="Arial"/>
          <w:sz w:val="15"/>
          <w:szCs w:val="15"/>
          <w:color w:val="auto"/>
        </w:rPr>
        <w:t>December 23,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0-21392, as Exhibit 10.5</w:t>
      </w:r>
    </w:p>
    <w:p>
      <w:pPr>
        <w:spacing w:after="0" w:line="111" w:lineRule="exact"/>
        <w:rPr>
          <w:sz w:val="20"/>
          <w:szCs w:val="20"/>
          <w:color w:val="auto"/>
        </w:rPr>
      </w:pPr>
    </w:p>
    <w:p>
      <w:pPr>
        <w:sectPr>
          <w:pgSz w:w="11900" w:h="16838" w:orient="portrait"/>
          <w:cols w:equalWidth="0" w:num="2">
            <w:col w:w="5040" w:space="240"/>
            <w:col w:w="5580"/>
          </w:cols>
          <w:pgMar w:left="240" w:top="459" w:right="7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10.21</w:t>
            </w:r>
          </w:p>
        </w:tc>
        <w:tc>
          <w:tcPr>
            <w:tcW w:w="4400" w:type="dxa"/>
            <w:vAlign w:val="bottom"/>
          </w:tcPr>
          <w:p>
            <w:pPr>
              <w:ind w:left="280"/>
              <w:spacing w:after="0"/>
              <w:rPr>
                <w:sz w:val="20"/>
                <w:szCs w:val="20"/>
                <w:color w:val="auto"/>
              </w:rPr>
            </w:pPr>
            <w:r>
              <w:rPr>
                <w:rFonts w:ascii="Arial" w:cs="Arial" w:eastAsia="Arial" w:hAnsi="Arial"/>
                <w:sz w:val="18"/>
                <w:szCs w:val="18"/>
                <w:color w:val="auto"/>
                <w:w w:val="92"/>
              </w:rPr>
              <w:t>Letter Agreement dated December 23, 2011 with Stuart</w:t>
            </w:r>
          </w:p>
        </w:tc>
        <w:tc>
          <w:tcPr>
            <w:tcW w:w="4260" w:type="dxa"/>
            <w:vAlign w:val="bottom"/>
          </w:tcPr>
          <w:p>
            <w:pPr>
              <w:ind w:left="200"/>
              <w:spacing w:after="0"/>
              <w:rPr>
                <w:sz w:val="20"/>
                <w:szCs w:val="20"/>
                <w:color w:val="auto"/>
              </w:rPr>
            </w:pPr>
            <w:r>
              <w:rPr>
                <w:rFonts w:ascii="Arial" w:cs="Arial" w:eastAsia="Arial" w:hAnsi="Arial"/>
                <w:sz w:val="18"/>
                <w:szCs w:val="18"/>
                <w:color w:val="auto"/>
                <w:w w:val="91"/>
              </w:rPr>
              <w:t>Current Report on Form 8-K dated December 23, 2011,</w:t>
            </w:r>
          </w:p>
        </w:tc>
        <w:tc>
          <w:tcPr>
            <w:tcW w:w="1520" w:type="dxa"/>
            <w:vAlign w:val="bottom"/>
          </w:tcPr>
          <w:p>
            <w:pPr>
              <w:ind w:left="140"/>
              <w:spacing w:after="0"/>
              <w:rPr>
                <w:sz w:val="20"/>
                <w:szCs w:val="20"/>
                <w:color w:val="auto"/>
              </w:rPr>
            </w:pPr>
            <w:r>
              <w:rPr>
                <w:rFonts w:ascii="Arial" w:cs="Arial" w:eastAsia="Arial" w:hAnsi="Arial"/>
                <w:sz w:val="18"/>
                <w:szCs w:val="18"/>
                <w:color w:val="auto"/>
                <w:w w:val="86"/>
              </w:rPr>
              <w:t>December 23, 2011</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Sedlack*</w:t>
            </w:r>
          </w:p>
        </w:tc>
        <w:tc>
          <w:tcPr>
            <w:tcW w:w="4260" w:type="dxa"/>
            <w:vAlign w:val="bottom"/>
          </w:tcPr>
          <w:p>
            <w:pPr>
              <w:ind w:left="200"/>
              <w:spacing w:after="0"/>
              <w:rPr>
                <w:sz w:val="20"/>
                <w:szCs w:val="20"/>
                <w:color w:val="auto"/>
              </w:rPr>
            </w:pPr>
            <w:r>
              <w:rPr>
                <w:rFonts w:ascii="Arial" w:cs="Arial" w:eastAsia="Arial" w:hAnsi="Arial"/>
                <w:sz w:val="18"/>
                <w:szCs w:val="18"/>
                <w:color w:val="auto"/>
              </w:rPr>
              <w:t>File No. 0-21392, as Exhibit 10.3</w:t>
            </w:r>
          </w:p>
        </w:tc>
        <w:tc>
          <w:tcPr>
            <w:tcW w:w="1520" w:type="dxa"/>
            <w:vAlign w:val="bottom"/>
          </w:tcPr>
          <w:p>
            <w:pPr>
              <w:spacing w:after="0"/>
              <w:rPr>
                <w:sz w:val="19"/>
                <w:szCs w:val="19"/>
                <w:color w:val="auto"/>
              </w:rPr>
            </w:pPr>
          </w:p>
        </w:tc>
      </w:tr>
      <w:tr>
        <w:trPr>
          <w:trHeight w:val="365"/>
        </w:trPr>
        <w:tc>
          <w:tcPr>
            <w:tcW w:w="6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260" w:type="dxa"/>
            <w:vAlign w:val="bottom"/>
          </w:tcPr>
          <w:p>
            <w:pPr>
              <w:jc w:val="right"/>
              <w:ind w:right="3452"/>
              <w:spacing w:after="0"/>
              <w:rPr>
                <w:sz w:val="20"/>
                <w:szCs w:val="20"/>
                <w:color w:val="auto"/>
              </w:rPr>
            </w:pPr>
            <w:r>
              <w:rPr>
                <w:rFonts w:ascii="Arial" w:cs="Arial" w:eastAsia="Arial" w:hAnsi="Arial"/>
                <w:sz w:val="18"/>
                <w:szCs w:val="18"/>
                <w:color w:val="auto"/>
              </w:rPr>
              <w:t>72</w:t>
            </w:r>
          </w:p>
        </w:tc>
        <w:tc>
          <w:tcPr>
            <w:tcW w:w="152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1"/>
                <w:szCs w:val="11"/>
                <w:color w:val="auto"/>
              </w:rPr>
            </w:pPr>
          </w:p>
        </w:tc>
        <w:tc>
          <w:tcPr>
            <w:tcW w:w="25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Description</w:t>
            </w:r>
          </w:p>
        </w:tc>
        <w:tc>
          <w:tcPr>
            <w:tcW w:w="1960" w:type="dxa"/>
            <w:vAlign w:val="bottom"/>
          </w:tcPr>
          <w:p>
            <w:pPr>
              <w:spacing w:after="0"/>
              <w:rPr>
                <w:sz w:val="11"/>
                <w:szCs w:val="11"/>
                <w:color w:val="auto"/>
              </w:rPr>
            </w:pPr>
          </w:p>
        </w:tc>
        <w:tc>
          <w:tcPr>
            <w:tcW w:w="2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r>
      <w:tr>
        <w:trPr>
          <w:trHeight w:val="27"/>
        </w:trPr>
        <w:tc>
          <w:tcPr>
            <w:tcW w:w="500" w:type="dxa"/>
            <w:vAlign w:val="bottom"/>
            <w:shd w:val="clear" w:color="auto" w:fill="000000"/>
          </w:tcPr>
          <w:p>
            <w:pPr>
              <w:spacing w:after="0"/>
              <w:rPr>
                <w:sz w:val="2"/>
                <w:szCs w:val="2"/>
                <w:color w:val="auto"/>
              </w:rPr>
            </w:pPr>
          </w:p>
        </w:tc>
        <w:tc>
          <w:tcPr>
            <w:tcW w:w="4660" w:type="dxa"/>
            <w:vAlign w:val="bottom"/>
            <w:gridSpan w:val="3"/>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w w:val="96"/>
              </w:rPr>
              <w:t>Letter Agreement dated December 23, 2011 with John</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r>
      <w:tr>
        <w:trPr>
          <w:trHeight w:val="216"/>
        </w:trPr>
        <w:tc>
          <w:tcPr>
            <w:tcW w:w="500" w:type="dxa"/>
            <w:vAlign w:val="bottom"/>
          </w:tcPr>
          <w:p>
            <w:pPr>
              <w:spacing w:after="0"/>
              <w:rPr>
                <w:sz w:val="18"/>
                <w:szCs w:val="18"/>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Thero*</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File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w w:val="97"/>
              </w:rPr>
              <w:t>Letter Agreement dated December 23, 2011 with Paul</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r>
      <w:tr>
        <w:trPr>
          <w:trHeight w:val="216"/>
        </w:trPr>
        <w:tc>
          <w:tcPr>
            <w:tcW w:w="500" w:type="dxa"/>
            <w:vAlign w:val="bottom"/>
          </w:tcPr>
          <w:p>
            <w:pPr>
              <w:spacing w:after="0"/>
              <w:rPr>
                <w:sz w:val="18"/>
                <w:szCs w:val="18"/>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Huff*</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File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Letter Agreement dated December 23, 2011 with</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r>
      <w:tr>
        <w:trPr>
          <w:trHeight w:val="216"/>
        </w:trPr>
        <w:tc>
          <w:tcPr>
            <w:tcW w:w="500" w:type="dxa"/>
            <w:vAlign w:val="bottom"/>
          </w:tcPr>
          <w:p>
            <w:pPr>
              <w:spacing w:after="0"/>
              <w:rPr>
                <w:sz w:val="18"/>
                <w:szCs w:val="18"/>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Paresh Soni*</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File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w w:val="99"/>
              </w:rPr>
              <w:t>Letter Agreement dated February 8, 2012 with Steve</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w w:val="95"/>
              </w:rPr>
              <w:t>Current Report on Form 8-K dated February 16, 2012,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16, 2012</w:t>
            </w:r>
          </w:p>
        </w:tc>
      </w:tr>
      <w:tr>
        <w:trPr>
          <w:trHeight w:val="222"/>
        </w:trPr>
        <w:tc>
          <w:tcPr>
            <w:tcW w:w="500" w:type="dxa"/>
            <w:vAlign w:val="bottom"/>
          </w:tcPr>
          <w:p>
            <w:pPr>
              <w:spacing w:after="0"/>
              <w:rPr>
                <w:sz w:val="19"/>
                <w:szCs w:val="19"/>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Ketchum*</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w w:val="96"/>
              </w:rPr>
              <w:t>2011 Long Term Incentive Award dated December 16,</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Form S-8, File No. 333-180180, as Exhibit 4.1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r>
      <w:tr>
        <w:trPr>
          <w:trHeight w:val="222"/>
        </w:trPr>
        <w:tc>
          <w:tcPr>
            <w:tcW w:w="500" w:type="dxa"/>
            <w:vAlign w:val="bottom"/>
          </w:tcPr>
          <w:p>
            <w:pPr>
              <w:spacing w:after="0"/>
              <w:rPr>
                <w:sz w:val="19"/>
                <w:szCs w:val="19"/>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2011 with Joseph Kennedy*</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w w:val="96"/>
              </w:rPr>
              <w:t>2012 Long Term Incentive Award dated March 1, 2012</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Form S-8, File No. 333-180180, as Exhibit 4.2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r>
      <w:tr>
        <w:trPr>
          <w:trHeight w:val="222"/>
        </w:trPr>
        <w:tc>
          <w:tcPr>
            <w:tcW w:w="500" w:type="dxa"/>
            <w:vAlign w:val="bottom"/>
          </w:tcPr>
          <w:p>
            <w:pPr>
              <w:spacing w:after="0"/>
              <w:rPr>
                <w:sz w:val="19"/>
                <w:szCs w:val="19"/>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with Steven Ketchum*</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Compromise Agreement, dated October 16, 2009,</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r>
      <w:tr>
        <w:trPr>
          <w:trHeight w:val="222"/>
        </w:trPr>
        <w:tc>
          <w:tcPr>
            <w:tcW w:w="500" w:type="dxa"/>
            <w:vAlign w:val="bottom"/>
          </w:tcPr>
          <w:p>
            <w:pPr>
              <w:spacing w:after="0"/>
              <w:rPr>
                <w:sz w:val="19"/>
                <w:szCs w:val="19"/>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Alan Cooke*</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w w:val="95"/>
              </w:rPr>
              <w:t>December 31, 2008, File No. 0-21392, as Exhibit 4.95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w w:val="90"/>
              </w:rPr>
              <w:t>Warrant Agreement, dated October 16, 2009, between the</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r>
      <w:tr>
        <w:trPr>
          <w:trHeight w:val="222"/>
        </w:trPr>
        <w:tc>
          <w:tcPr>
            <w:tcW w:w="500" w:type="dxa"/>
            <w:vAlign w:val="bottom"/>
          </w:tcPr>
          <w:p>
            <w:pPr>
              <w:spacing w:after="0"/>
              <w:rPr>
                <w:sz w:val="19"/>
                <w:szCs w:val="19"/>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Company and Thomas G. Lynch*</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w w:val="95"/>
              </w:rPr>
              <w:t>December 31, 2008, File No. 0-21392, as Exhibit 4.96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w w:val="96"/>
              </w:rPr>
              <w:t>Employment Agreement dated November 5, 2009 with</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r>
      <w:tr>
        <w:trPr>
          <w:trHeight w:val="216"/>
        </w:trPr>
        <w:tc>
          <w:tcPr>
            <w:tcW w:w="500" w:type="dxa"/>
            <w:vAlign w:val="bottom"/>
          </w:tcPr>
          <w:p>
            <w:pPr>
              <w:spacing w:after="0"/>
              <w:rPr>
                <w:sz w:val="18"/>
                <w:szCs w:val="18"/>
                <w:color w:val="auto"/>
              </w:rPr>
            </w:pP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John F. Thero*</w:t>
            </w: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163704,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40" w:type="dxa"/>
            <w:vAlign w:val="bottom"/>
            <w:gridSpan w:val="4"/>
          </w:tcPr>
          <w:p>
            <w:pPr>
              <w:ind w:left="120"/>
              <w:spacing w:after="0"/>
              <w:rPr>
                <w:sz w:val="20"/>
                <w:szCs w:val="20"/>
                <w:color w:val="auto"/>
              </w:rPr>
            </w:pPr>
            <w:r>
              <w:rPr>
                <w:rFonts w:ascii="Arial" w:cs="Arial" w:eastAsia="Arial" w:hAnsi="Arial"/>
                <w:sz w:val="18"/>
                <w:szCs w:val="18"/>
                <w:color w:val="auto"/>
              </w:rPr>
              <w:t>Exhibit 4.104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0860"/>
          </w:cols>
          <w:pgMar w:left="240" w:top="459" w:right="799" w:bottom="1440" w:gutter="0" w:footer="0" w:header="0"/>
        </w:sectPr>
      </w:pPr>
    </w:p>
    <w:p>
      <w:pPr>
        <w:ind w:left="960" w:right="40" w:hanging="958"/>
        <w:spacing w:after="0" w:line="268" w:lineRule="auto"/>
        <w:tabs>
          <w:tab w:leader="none" w:pos="9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Compromise Agreement dated December 10, 2009 with Tom Maher*</w:t>
      </w:r>
    </w:p>
    <w:p>
      <w:pPr>
        <w:spacing w:after="0" w:line="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Transitional Employment Agreement, dated August 16,</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2010, between the Company and Declan Doogan*</w:t>
      </w:r>
    </w:p>
    <w:p>
      <w:pPr>
        <w:spacing w:after="0" w:line="1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Resignation and Release Agreement, dated November 9,</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2010, between the Company and Colin Stewart*</w:t>
      </w:r>
    </w:p>
    <w:p>
      <w:pPr>
        <w:spacing w:after="0" w:line="111" w:lineRule="exact"/>
        <w:rPr>
          <w:sz w:val="20"/>
          <w:szCs w:val="20"/>
          <w:color w:val="auto"/>
        </w:rPr>
      </w:pPr>
    </w:p>
    <w:p>
      <w:pPr>
        <w:ind w:left="960" w:right="80" w:hanging="958"/>
        <w:spacing w:after="0" w:line="332" w:lineRule="auto"/>
        <w:tabs>
          <w:tab w:leader="none" w:pos="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Employment Agreement, effective December 31, 2010, between the Company and Joseph S. Zakrzewski*</w:t>
      </w:r>
    </w:p>
    <w:p>
      <w:pPr>
        <w:spacing w:after="0" w:line="31" w:lineRule="exact"/>
        <w:rPr>
          <w:sz w:val="20"/>
          <w:szCs w:val="20"/>
          <w:color w:val="auto"/>
        </w:rPr>
      </w:pPr>
    </w:p>
    <w:p>
      <w:pPr>
        <w:jc w:val="right"/>
        <w:ind w:right="420"/>
        <w:spacing w:after="0" w:line="332" w:lineRule="auto"/>
        <w:rPr>
          <w:sz w:val="20"/>
          <w:szCs w:val="20"/>
          <w:color w:val="auto"/>
        </w:rPr>
      </w:pPr>
      <w:r>
        <w:rPr>
          <w:rFonts w:ascii="Arial" w:cs="Arial" w:eastAsia="Arial" w:hAnsi="Arial"/>
          <w:sz w:val="16"/>
          <w:szCs w:val="16"/>
          <w:color w:val="auto"/>
        </w:rPr>
        <w:t>10.35      Consulting Agreement, dated November 10, 2010, between the Company and Joseph S. Zakrzewski*</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Report of Foreign Private Issuer filed on Form 6-K, File December 14, 2009 No. 0-21392, as Exhibit 99.3</w:t>
      </w: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10.38</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10.41</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10.43</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10.45</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73</w:t>
      </w:r>
    </w:p>
    <w:p>
      <w:pPr>
        <w:sectPr>
          <w:pgSz w:w="11900" w:h="16838" w:orient="portrait"/>
          <w:cols w:equalWidth="0" w:num="2">
            <w:col w:w="4940" w:space="340"/>
            <w:col w:w="5580"/>
          </w:cols>
          <w:pgMar w:left="240" w:top="459" w:right="79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60"/>
          </w:cols>
          <w:pgMar w:left="240" w:top="459" w:right="79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Amended and Restated Employment Agreement dated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October 20, 2011 with Joe Zakrzewski.*</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Stuart Sedlack offer letter, dated August 1, 2007.*</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Sale and Purchase Agreement, dated March 14, 2003,</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between</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7"/>
              </w:rPr>
              <w:t>F. Hoffmann-La Roche Limited, Hoffmann-La Roche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Inc., and the 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Share Purchase Agreement, dated October 8, 2004</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between the Company, Vida Capital Partners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 Vendors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Agreement, dated January 18, 2007, between Neurostat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Pharmaceuticals Inc., Amarin Pharmaceuticals Ireland</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Limited, the Company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Mr. Tim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4"/>
              </w:rPr>
              <w:t>Development and License Agreement dated March 6,</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2007 between Amarin Pharmaceuticals Ireland Limited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and Elan Pharma International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Termination and Assignment Agreement, dated July 21,</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5"/>
              </w:rPr>
              <w:t>2009 between Elan Pharma International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Form of Purchase Agreement, dated June 1, 2007,</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between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Form of Equity Securities Purchase Agreement for U.S.</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Form of Equity Securities Purchase Agreement for Non-</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U.S. 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6"/>
              </w:rPr>
              <w:t>Form of Debt Securities Purchase Agreement, dated</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December 4, 2007, between the Company and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Purchasers named therein</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6"/>
              </w:rPr>
              <w:t>Current Report on Form 8-K dated October 20,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20,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November 8,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September 30, 2011,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April 24, 2003</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2002, File No. 0-21392, as Exhibit 4.22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20, 2004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121431, as Exhibit 4.24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020" w:space="260"/>
            <w:col w:w="5580"/>
          </w:cols>
          <w:pgMar w:left="240" w:top="459" w:right="7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70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10.47</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4"/>
              </w:rPr>
              <w:t>Stock Purchase Agreement, dated December 5, 2007,</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between the Company, the selling shareholders of Ester</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Neurosciences Limited, Ester Neurosciences Limited and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Medica II Management L.P.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10.48</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December 6, 2007, between the</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3"/>
              </w:rPr>
              <w:t>Company and the Sellers’ Representative of the selling</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shareholders of Ester Neurosciences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10.49</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2"/>
              </w:rPr>
              <w:t>Amendment No. 1 to Stock Purchase Agreement, dated</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April 7, 2008, between the Company and Medica II</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Management 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10.50</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5"/>
              </w:rPr>
              <w:t>Securities Purchase Agreement, dated May 12, 2008,</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among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10.51</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2"/>
              </w:rPr>
              <w:t>Form of Securities Purchase Agreement, dated May 13,</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0"/>
              </w:rPr>
              <w:t>2008, between the Company and the Purchasers named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therein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Amendment and Waiver Agreement, dated May 25, 2009,</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between Ester Neurosciences Limited, Medica II</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Management L.P. and the Company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Bridge Loan Agreement, dated July 31, 2009 between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Company and the Lenders identified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8"/>
              </w:rPr>
              <w:t>Amendment No. 1 to Bridge Loan Agreement, dated</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8"/>
              </w:rPr>
              <w:t>September 30, 2009, between the Company and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Lenders identified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10.55</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7"/>
              </w:rPr>
              <w:t>Form of Securities Purchase Agreement dated October 12,</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2009 between the Company and the Purchasers named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10.56</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8"/>
              </w:rPr>
              <w:t>Amendment No. 1, dated December 2, 2009, to Securities</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7"/>
              </w:rPr>
              <w:t>Purchase Agreement dated October 12, 2009 between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January 28,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9"/>
              </w:rPr>
              <w:t>February 1,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4.79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4.80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4.81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20-F/A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December 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4.88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10.21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163704,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-5640705</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80" w:space="200"/>
            <w:col w:w="5580"/>
          </w:cols>
          <w:pgMar w:left="240" w:top="459" w:right="7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Master Services Agreement, dated September 29, 2009,</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7"/>
              </w:rPr>
              <w:t>between Medpace Inc. and Amarin Pharma, Inc.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Amendment Agreement dated October 12, 2009, to the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Form of Equity Securities Purchase Agreement dated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May 13, 2008 between the Company and the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Management Rights Deed of Agreement dated October</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16, 2009 by and among the Company and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Supply Agreement, dated November 1, 2010, between</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Nisshin Pharma Inc. and Amarin Pharmaceuticals Ireland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Amendment to API Commercial Supply Agreement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and between Amarin Pharmaceuticals Ireland Ltd and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dated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April 4,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Second Amendment to API Commercial Supply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7"/>
              </w:rPr>
              <w:t>Agreement by and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Ireland Ltd. and Chemport Inc., dated July 19,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9"/>
              </w:rPr>
              <w:t>Amendment to API Commercial Supply Agreement,</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dated October 19, 2011,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Ireland Ltd. and Equateq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Second Amendment to API Supply Agreement by and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 dated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January 9, 2012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3"/>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3"/>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June 25, 2010</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2009, File No. 0-21392, as Exhibit 4.100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November 8,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September 30,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2011, File No. 0-21392, as Exhibit 10.51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8,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4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-6189980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60" w:space="220"/>
            <w:col w:w="5520"/>
          </w:cols>
          <w:pgMar w:left="240" w:top="459" w:right="8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2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10.67</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8"/>
              </w:rPr>
              <w:t>Third Amendment to API Supply Agreement by and</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Equateq Limited dated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May 7,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10.68</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7"/>
              </w:rPr>
              <w:t>Irrevocable License Agreement dated as of April 11,</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2011, as amended by the First Amendment to Irrevocable</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4"/>
              </w:rPr>
              <w:t>License Agreement dated as of May 9, 2011, each by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Amarin Pharmaceuticals Ireland Ltd. and Bedminster 2</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10.69</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0"/>
              </w:rPr>
              <w:t>Second Amendment to Irrevocable License Agreement,</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9"/>
              </w:rPr>
              <w:t>by and between Bedminster 2 Funding, LLC and Amarin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April 25,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10.70</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Third Amendment to Irrevocable License Agreement by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4"/>
              </w:rPr>
              <w:t>and between Bedminster 2 Funding, LLC and Amarin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July 17,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8"/>
              </w:rPr>
              <w:t>Fourth Amendment to Irrevocable License Agreement by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4"/>
              </w:rPr>
              <w:t>and between Bedminster 2 Funding, LLC and Amarin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0"/>
              </w:rPr>
              <w:t>Pharmaceuticals Ireland Ltd., dated December 15,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10.72</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Online Office Agreement dated as of September 30, 2011</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by Amarin Corporation plc and Regus CME Ireland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10.73</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9"/>
              </w:rPr>
              <w:t>Lease Agreement, dated January 22, 2007, between the</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Company, Amarin Pharmaceuticals Ireland Limited and</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9"/>
              </w:rPr>
              <w:t>Mr. David Colgan, Mr. Philip Monaghan, Mr. Finian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McDonnell and Mr. Patrick Ryan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10.74</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7"/>
              </w:rPr>
              <w:t>Lease Agreement dated November 28, 2011, by the</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5"/>
              </w:rPr>
              <w:t>Company, 534 East Middle Turnpike, LLC, Peter Jay</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Alter, as Trustee of the Leon C. Lech Irrevocable Trust</w:t>
            </w:r>
          </w:p>
        </w:tc>
      </w:tr>
    </w:tbl>
    <w:p>
      <w:pPr>
        <w:ind w:left="960" w:right="180"/>
        <w:spacing w:after="0" w:line="261" w:lineRule="auto"/>
        <w:rPr>
          <w:sz w:val="20"/>
          <w:szCs w:val="20"/>
          <w:color w:val="auto"/>
        </w:rPr>
      </w:pPr>
      <w:r>
        <w:rPr>
          <w:rFonts w:ascii="Arial" w:cs="Arial" w:eastAsia="Arial" w:hAnsi="Arial"/>
          <w:sz w:val="18"/>
          <w:szCs w:val="18"/>
          <w:color w:val="auto"/>
        </w:rPr>
        <w:t>under Declaration of Trust dated October 14, 1980 and Ferndale Realty,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8,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November 8,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September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2011, File No. 0-21392, as Exhibit 10.61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3"/>
        </w:trPr>
        <w:tc>
          <w:tcPr>
            <w:tcW w:w="1840" w:type="dxa"/>
            <w:vAlign w:val="bottom"/>
          </w:tcPr>
          <w:p>
            <w:pPr>
              <w:ind w:left="34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-5503545</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00" w:space="280"/>
            <w:col w:w="5520"/>
          </w:cols>
          <w:pgMar w:left="240" w:top="459" w:right="8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24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10.75</w:t>
            </w:r>
          </w:p>
        </w:tc>
        <w:tc>
          <w:tcPr>
            <w:tcW w:w="4120" w:type="dxa"/>
            <w:vAlign w:val="bottom"/>
            <w:gridSpan w:val="3"/>
          </w:tcPr>
          <w:p>
            <w:pPr>
              <w:ind w:left="460"/>
              <w:spacing w:after="0"/>
              <w:rPr>
                <w:sz w:val="20"/>
                <w:szCs w:val="20"/>
                <w:color w:val="auto"/>
              </w:rPr>
            </w:pPr>
            <w:r>
              <w:rPr>
                <w:rFonts w:ascii="Arial" w:cs="Arial" w:eastAsia="Arial" w:hAnsi="Arial"/>
                <w:sz w:val="18"/>
                <w:szCs w:val="18"/>
                <w:color w:val="auto"/>
                <w:w w:val="87"/>
              </w:rPr>
              <w:t>Sublease Agreement by and among Advance Realty</w:t>
            </w:r>
          </w:p>
        </w:tc>
      </w:tr>
      <w:tr>
        <w:trPr>
          <w:trHeight w:val="216"/>
        </w:trPr>
        <w:tc>
          <w:tcPr>
            <w:tcW w:w="500" w:type="dxa"/>
            <w:vAlign w:val="bottom"/>
          </w:tcPr>
          <w:p>
            <w:pPr>
              <w:spacing w:after="0"/>
              <w:rPr>
                <w:sz w:val="18"/>
                <w:szCs w:val="18"/>
                <w:color w:val="auto"/>
              </w:rPr>
            </w:pPr>
          </w:p>
        </w:tc>
        <w:tc>
          <w:tcPr>
            <w:tcW w:w="4120" w:type="dxa"/>
            <w:vAlign w:val="bottom"/>
            <w:gridSpan w:val="3"/>
          </w:tcPr>
          <w:p>
            <w:pPr>
              <w:ind w:left="460"/>
              <w:spacing w:after="0"/>
              <w:rPr>
                <w:sz w:val="20"/>
                <w:szCs w:val="20"/>
                <w:color w:val="auto"/>
              </w:rPr>
            </w:pPr>
            <w:r>
              <w:rPr>
                <w:rFonts w:ascii="Arial" w:cs="Arial" w:eastAsia="Arial" w:hAnsi="Arial"/>
                <w:sz w:val="18"/>
                <w:szCs w:val="18"/>
                <w:color w:val="auto"/>
                <w:w w:val="89"/>
              </w:rPr>
              <w:t>Management, Inc., Bedminster 2 Funding, LLC and</w:t>
            </w:r>
          </w:p>
        </w:tc>
      </w:tr>
      <w:tr>
        <w:trPr>
          <w:trHeight w:val="216"/>
        </w:trPr>
        <w:tc>
          <w:tcPr>
            <w:tcW w:w="500" w:type="dxa"/>
            <w:vAlign w:val="bottom"/>
          </w:tcPr>
          <w:p>
            <w:pPr>
              <w:spacing w:after="0"/>
              <w:rPr>
                <w:sz w:val="18"/>
                <w:szCs w:val="18"/>
                <w:color w:val="auto"/>
              </w:rPr>
            </w:pPr>
          </w:p>
        </w:tc>
        <w:tc>
          <w:tcPr>
            <w:tcW w:w="4120" w:type="dxa"/>
            <w:vAlign w:val="bottom"/>
            <w:gridSpan w:val="3"/>
          </w:tcPr>
          <w:p>
            <w:pPr>
              <w:ind w:left="460"/>
              <w:spacing w:after="0"/>
              <w:rPr>
                <w:sz w:val="20"/>
                <w:szCs w:val="20"/>
                <w:color w:val="auto"/>
              </w:rPr>
            </w:pPr>
            <w:r>
              <w:rPr>
                <w:rFonts w:ascii="Arial" w:cs="Arial" w:eastAsia="Arial" w:hAnsi="Arial"/>
                <w:sz w:val="18"/>
                <w:szCs w:val="18"/>
                <w:color w:val="auto"/>
              </w:rPr>
              <w:t>Amarin Pharma Inc., dated</w:t>
            </w:r>
          </w:p>
        </w:tc>
      </w:tr>
      <w:tr>
        <w:trPr>
          <w:trHeight w:val="222"/>
        </w:trPr>
        <w:tc>
          <w:tcPr>
            <w:tcW w:w="500" w:type="dxa"/>
            <w:vAlign w:val="bottom"/>
          </w:tcPr>
          <w:p>
            <w:pPr>
              <w:spacing w:after="0"/>
              <w:rPr>
                <w:sz w:val="19"/>
                <w:szCs w:val="19"/>
                <w:color w:val="auto"/>
              </w:rPr>
            </w:pPr>
          </w:p>
        </w:tc>
        <w:tc>
          <w:tcPr>
            <w:tcW w:w="4120" w:type="dxa"/>
            <w:vAlign w:val="bottom"/>
            <w:gridSpan w:val="3"/>
          </w:tcPr>
          <w:p>
            <w:pPr>
              <w:ind w:left="460"/>
              <w:spacing w:after="0"/>
              <w:rPr>
                <w:sz w:val="20"/>
                <w:szCs w:val="20"/>
                <w:color w:val="auto"/>
              </w:rPr>
            </w:pPr>
            <w:r>
              <w:rPr>
                <w:rFonts w:ascii="Arial" w:cs="Arial" w:eastAsia="Arial" w:hAnsi="Arial"/>
                <w:sz w:val="18"/>
                <w:szCs w:val="18"/>
                <w:color w:val="auto"/>
              </w:rPr>
              <w:t>April 25, 2012</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0"/>
              </w:rPr>
              <w:t>August 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34" w:lineRule="exact"/>
        <w:rPr>
          <w:sz w:val="20"/>
          <w:szCs w:val="20"/>
          <w:color w:val="auto"/>
        </w:rPr>
      </w:pPr>
    </w:p>
    <w:p>
      <w:pPr>
        <w:sectPr>
          <w:pgSz w:w="11900" w:h="16838" w:orient="portrait"/>
          <w:cols w:equalWidth="0" w:num="2">
            <w:col w:w="4620" w:space="660"/>
            <w:col w:w="5940"/>
          </w:cols>
          <w:pgMar w:left="240" w:top="459"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10.76</w:t>
            </w:r>
          </w:p>
        </w:tc>
        <w:tc>
          <w:tcPr>
            <w:tcW w:w="4460" w:type="dxa"/>
            <w:vAlign w:val="bottom"/>
          </w:tcPr>
          <w:p>
            <w:pPr>
              <w:ind w:left="280"/>
              <w:spacing w:after="0"/>
              <w:rPr>
                <w:sz w:val="20"/>
                <w:szCs w:val="20"/>
                <w:color w:val="auto"/>
              </w:rPr>
            </w:pPr>
            <w:r>
              <w:rPr>
                <w:rFonts w:ascii="Arial" w:cs="Arial" w:eastAsia="Arial" w:hAnsi="Arial"/>
                <w:sz w:val="18"/>
                <w:szCs w:val="18"/>
                <w:color w:val="auto"/>
                <w:w w:val="90"/>
              </w:rPr>
              <w:t>Purchase and Sale Agreement, dated December 6, 2012,</w:t>
            </w:r>
          </w:p>
        </w:tc>
        <w:tc>
          <w:tcPr>
            <w:tcW w:w="4040" w:type="dxa"/>
            <w:vAlign w:val="bottom"/>
          </w:tcPr>
          <w:p>
            <w:pPr>
              <w:ind w:left="140"/>
              <w:spacing w:after="0"/>
              <w:rPr>
                <w:sz w:val="20"/>
                <w:szCs w:val="20"/>
                <w:color w:val="auto"/>
              </w:rPr>
            </w:pPr>
            <w:r>
              <w:rPr>
                <w:rFonts w:ascii="Arial" w:cs="Arial" w:eastAsia="Arial" w:hAnsi="Arial"/>
                <w:sz w:val="18"/>
                <w:szCs w:val="18"/>
                <w:color w:val="auto"/>
              </w:rPr>
              <w:t>Filed herewith</w:t>
            </w:r>
          </w:p>
        </w:tc>
        <w:tc>
          <w:tcPr>
            <w:tcW w:w="17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by and between Amarin Corporation plc, Amarin</w:t>
            </w:r>
          </w:p>
        </w:tc>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1"/>
              </w:rPr>
              <w:t>Pharmaceuticals Ireland Limited and Biopharma Secured</w:t>
            </w:r>
          </w:p>
        </w:tc>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Debt Fund II Holdings Cayman LP †</w:t>
            </w:r>
          </w:p>
        </w:tc>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14.1</w:t>
            </w:r>
          </w:p>
        </w:tc>
        <w:tc>
          <w:tcPr>
            <w:tcW w:w="4460" w:type="dxa"/>
            <w:vAlign w:val="bottom"/>
          </w:tcPr>
          <w:p>
            <w:pPr>
              <w:ind w:left="280"/>
              <w:spacing w:after="0"/>
              <w:rPr>
                <w:sz w:val="20"/>
                <w:szCs w:val="20"/>
                <w:color w:val="auto"/>
              </w:rPr>
            </w:pPr>
            <w:r>
              <w:rPr>
                <w:rFonts w:ascii="Arial" w:cs="Arial" w:eastAsia="Arial" w:hAnsi="Arial"/>
                <w:sz w:val="18"/>
                <w:szCs w:val="18"/>
                <w:color w:val="auto"/>
              </w:rPr>
              <w:t>Code of Ethics</w:t>
            </w:r>
          </w:p>
        </w:tc>
        <w:tc>
          <w:tcPr>
            <w:tcW w:w="4040" w:type="dxa"/>
            <w:vAlign w:val="bottom"/>
          </w:tcPr>
          <w:p>
            <w:pPr>
              <w:ind w:left="140"/>
              <w:spacing w:after="0"/>
              <w:rPr>
                <w:sz w:val="20"/>
                <w:szCs w:val="20"/>
                <w:color w:val="auto"/>
              </w:rPr>
            </w:pPr>
            <w:r>
              <w:rPr>
                <w:rFonts w:ascii="Arial" w:cs="Arial" w:eastAsia="Arial" w:hAnsi="Arial"/>
                <w:sz w:val="18"/>
                <w:szCs w:val="18"/>
                <w:color w:val="auto"/>
                <w:w w:val="96"/>
              </w:rPr>
              <w:t>Registration Statement on Form F-3, File No. 333-</w:t>
            </w:r>
          </w:p>
        </w:tc>
        <w:tc>
          <w:tcPr>
            <w:tcW w:w="1700" w:type="dxa"/>
            <w:vAlign w:val="bottom"/>
          </w:tcPr>
          <w:p>
            <w:pPr>
              <w:ind w:left="300"/>
              <w:spacing w:after="0"/>
              <w:rPr>
                <w:sz w:val="20"/>
                <w:szCs w:val="20"/>
                <w:color w:val="auto"/>
              </w:rPr>
            </w:pPr>
            <w:r>
              <w:rPr>
                <w:rFonts w:ascii="Arial" w:cs="Arial" w:eastAsia="Arial" w:hAnsi="Arial"/>
                <w:sz w:val="18"/>
                <w:szCs w:val="18"/>
                <w:color w:val="auto"/>
                <w:w w:val="87"/>
              </w:rPr>
              <w:t>November 10, 2010</w:t>
            </w:r>
          </w:p>
        </w:tc>
      </w:tr>
      <w:tr>
        <w:trPr>
          <w:trHeight w:val="222"/>
        </w:trPr>
        <w:tc>
          <w:tcPr>
            <w:tcW w:w="6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040" w:type="dxa"/>
            <w:vAlign w:val="bottom"/>
          </w:tcPr>
          <w:p>
            <w:pPr>
              <w:ind w:left="140"/>
              <w:spacing w:after="0"/>
              <w:rPr>
                <w:sz w:val="20"/>
                <w:szCs w:val="20"/>
                <w:color w:val="auto"/>
              </w:rPr>
            </w:pPr>
            <w:r>
              <w:rPr>
                <w:rFonts w:ascii="Arial" w:cs="Arial" w:eastAsia="Arial" w:hAnsi="Arial"/>
                <w:sz w:val="18"/>
                <w:szCs w:val="18"/>
                <w:color w:val="auto"/>
              </w:rPr>
              <w:t>170505, as Exhibit 99.1</w:t>
            </w:r>
          </w:p>
        </w:tc>
        <w:tc>
          <w:tcPr>
            <w:tcW w:w="170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4460" w:type="dxa"/>
            <w:vAlign w:val="bottom"/>
          </w:tcPr>
          <w:p>
            <w:pPr>
              <w:ind w:left="280"/>
              <w:spacing w:after="0"/>
              <w:rPr>
                <w:sz w:val="20"/>
                <w:szCs w:val="20"/>
                <w:color w:val="auto"/>
              </w:rPr>
            </w:pPr>
            <w:r>
              <w:rPr>
                <w:rFonts w:ascii="Arial" w:cs="Arial" w:eastAsia="Arial" w:hAnsi="Arial"/>
                <w:sz w:val="18"/>
                <w:szCs w:val="18"/>
                <w:color w:val="auto"/>
              </w:rPr>
              <w:t>List of Subsidiaries</w:t>
            </w:r>
          </w:p>
        </w:tc>
        <w:tc>
          <w:tcPr>
            <w:tcW w:w="4040" w:type="dxa"/>
            <w:vAlign w:val="bottom"/>
          </w:tcPr>
          <w:p>
            <w:pPr>
              <w:ind w:left="140"/>
              <w:spacing w:after="0"/>
              <w:rPr>
                <w:sz w:val="20"/>
                <w:szCs w:val="20"/>
                <w:color w:val="auto"/>
              </w:rPr>
            </w:pPr>
            <w:r>
              <w:rPr>
                <w:rFonts w:ascii="Arial" w:cs="Arial" w:eastAsia="Arial" w:hAnsi="Arial"/>
                <w:sz w:val="18"/>
                <w:szCs w:val="18"/>
                <w:color w:val="auto"/>
              </w:rPr>
              <w:t>Filed herewith</w:t>
            </w:r>
          </w:p>
        </w:tc>
        <w:tc>
          <w:tcPr>
            <w:tcW w:w="1700" w:type="dxa"/>
            <w:vAlign w:val="bottom"/>
          </w:tcPr>
          <w:p>
            <w:pPr>
              <w:spacing w:after="0"/>
              <w:rPr>
                <w:sz w:val="24"/>
                <w:szCs w:val="24"/>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4460" w:type="dxa"/>
            <w:vAlign w:val="bottom"/>
          </w:tcPr>
          <w:p>
            <w:pPr>
              <w:ind w:left="280"/>
              <w:spacing w:after="0"/>
              <w:rPr>
                <w:sz w:val="20"/>
                <w:szCs w:val="20"/>
                <w:color w:val="auto"/>
              </w:rPr>
            </w:pPr>
            <w:r>
              <w:rPr>
                <w:rFonts w:ascii="Arial" w:cs="Arial" w:eastAsia="Arial" w:hAnsi="Arial"/>
                <w:sz w:val="18"/>
                <w:szCs w:val="18"/>
                <w:color w:val="auto"/>
                <w:w w:val="96"/>
              </w:rPr>
              <w:t>Consent of Independent Registered Public Accounting</w:t>
            </w:r>
          </w:p>
        </w:tc>
        <w:tc>
          <w:tcPr>
            <w:tcW w:w="4040" w:type="dxa"/>
            <w:vAlign w:val="bottom"/>
          </w:tcPr>
          <w:p>
            <w:pPr>
              <w:ind w:left="140"/>
              <w:spacing w:after="0"/>
              <w:rPr>
                <w:sz w:val="20"/>
                <w:szCs w:val="20"/>
                <w:color w:val="auto"/>
              </w:rPr>
            </w:pPr>
            <w:r>
              <w:rPr>
                <w:rFonts w:ascii="Arial" w:cs="Arial" w:eastAsia="Arial" w:hAnsi="Arial"/>
                <w:sz w:val="18"/>
                <w:szCs w:val="18"/>
                <w:color w:val="auto"/>
              </w:rPr>
              <w:t>Filed herewith</w:t>
            </w:r>
          </w:p>
        </w:tc>
        <w:tc>
          <w:tcPr>
            <w:tcW w:w="170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Firm</w:t>
            </w:r>
          </w:p>
        </w:tc>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446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(Principal</w:t>
            </w:r>
          </w:p>
        </w:tc>
        <w:tc>
          <w:tcPr>
            <w:tcW w:w="4040" w:type="dxa"/>
            <w:vAlign w:val="bottom"/>
          </w:tcPr>
          <w:p>
            <w:pPr>
              <w:ind w:left="140"/>
              <w:spacing w:after="0"/>
              <w:rPr>
                <w:sz w:val="20"/>
                <w:szCs w:val="20"/>
                <w:color w:val="auto"/>
              </w:rPr>
            </w:pPr>
            <w:r>
              <w:rPr>
                <w:rFonts w:ascii="Arial" w:cs="Arial" w:eastAsia="Arial" w:hAnsi="Arial"/>
                <w:sz w:val="18"/>
                <w:szCs w:val="18"/>
                <w:color w:val="auto"/>
              </w:rPr>
              <w:t>Filed herewith</w:t>
            </w:r>
          </w:p>
        </w:tc>
        <w:tc>
          <w:tcPr>
            <w:tcW w:w="17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3"/>
              </w:rPr>
              <w:t>Executive Officer) pursuant to Section 302 of Sarbanes-</w:t>
            </w:r>
          </w:p>
        </w:tc>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Oxley Act of 2002</w:t>
            </w:r>
          </w:p>
        </w:tc>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4460" w:type="dxa"/>
            <w:vAlign w:val="bottom"/>
          </w:tcPr>
          <w:p>
            <w:pPr>
              <w:ind w:left="280"/>
              <w:spacing w:after="0"/>
              <w:rPr>
                <w:sz w:val="20"/>
                <w:szCs w:val="20"/>
                <w:color w:val="auto"/>
              </w:rPr>
            </w:pPr>
            <w:r>
              <w:rPr>
                <w:rFonts w:ascii="Arial" w:cs="Arial" w:eastAsia="Arial" w:hAnsi="Arial"/>
                <w:sz w:val="18"/>
                <w:szCs w:val="18"/>
                <w:color w:val="auto"/>
                <w:w w:val="99"/>
              </w:rPr>
              <w:t>Certification of President (Principal Financial Officer)</w:t>
            </w:r>
          </w:p>
        </w:tc>
        <w:tc>
          <w:tcPr>
            <w:tcW w:w="4040" w:type="dxa"/>
            <w:vAlign w:val="bottom"/>
          </w:tcPr>
          <w:p>
            <w:pPr>
              <w:ind w:left="140"/>
              <w:spacing w:after="0"/>
              <w:rPr>
                <w:sz w:val="20"/>
                <w:szCs w:val="20"/>
                <w:color w:val="auto"/>
              </w:rPr>
            </w:pPr>
            <w:r>
              <w:rPr>
                <w:rFonts w:ascii="Arial" w:cs="Arial" w:eastAsia="Arial" w:hAnsi="Arial"/>
                <w:sz w:val="18"/>
                <w:szCs w:val="18"/>
                <w:color w:val="auto"/>
              </w:rPr>
              <w:t>Filed herewith</w:t>
            </w:r>
          </w:p>
        </w:tc>
        <w:tc>
          <w:tcPr>
            <w:tcW w:w="1700" w:type="dxa"/>
            <w:vAlign w:val="bottom"/>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4"/>
              </w:rPr>
              <w:t>pursuant to Section 302 of Sarbanes-Oxley Act of 2002</w:t>
            </w:r>
          </w:p>
        </w:tc>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446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(Principal</w:t>
            </w:r>
          </w:p>
        </w:tc>
        <w:tc>
          <w:tcPr>
            <w:tcW w:w="4040" w:type="dxa"/>
            <w:vAlign w:val="bottom"/>
          </w:tcPr>
          <w:p>
            <w:pPr>
              <w:ind w:left="140"/>
              <w:spacing w:after="0"/>
              <w:rPr>
                <w:sz w:val="20"/>
                <w:szCs w:val="20"/>
                <w:color w:val="auto"/>
              </w:rPr>
            </w:pPr>
            <w:r>
              <w:rPr>
                <w:rFonts w:ascii="Arial" w:cs="Arial" w:eastAsia="Arial" w:hAnsi="Arial"/>
                <w:sz w:val="18"/>
                <w:szCs w:val="18"/>
                <w:color w:val="auto"/>
              </w:rPr>
              <w:t>Filed herewith</w:t>
            </w:r>
          </w:p>
        </w:tc>
        <w:tc>
          <w:tcPr>
            <w:tcW w:w="17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Executive Officer) and President (Principal Financial</w:t>
            </w:r>
          </w:p>
        </w:tc>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4"/>
              </w:rPr>
              <w:t>Officer) pursuant to Section 906 of Sarbanes-Oxley Act</w:t>
            </w:r>
          </w:p>
        </w:tc>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of 2002</w:t>
            </w:r>
          </w:p>
        </w:tc>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460" w:type="dxa"/>
            <w:vAlign w:val="bottom"/>
          </w:tcPr>
          <w:p>
            <w:pPr>
              <w:ind w:left="280"/>
              <w:spacing w:after="0"/>
              <w:rPr>
                <w:sz w:val="20"/>
                <w:szCs w:val="20"/>
                <w:color w:val="auto"/>
              </w:rPr>
            </w:pPr>
            <w:r>
              <w:rPr>
                <w:rFonts w:ascii="Arial" w:cs="Arial" w:eastAsia="Arial" w:hAnsi="Arial"/>
                <w:sz w:val="18"/>
                <w:szCs w:val="18"/>
                <w:color w:val="auto"/>
              </w:rPr>
              <w:t>INS XBRL Instance Document</w:t>
            </w: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460" w:type="dxa"/>
            <w:vAlign w:val="bottom"/>
          </w:tcPr>
          <w:p>
            <w:pPr>
              <w:ind w:left="280"/>
              <w:spacing w:after="0"/>
              <w:rPr>
                <w:sz w:val="20"/>
                <w:szCs w:val="20"/>
                <w:color w:val="auto"/>
              </w:rPr>
            </w:pPr>
            <w:r>
              <w:rPr>
                <w:rFonts w:ascii="Arial" w:cs="Arial" w:eastAsia="Arial" w:hAnsi="Arial"/>
                <w:sz w:val="18"/>
                <w:szCs w:val="18"/>
                <w:color w:val="auto"/>
                <w:w w:val="98"/>
              </w:rPr>
              <w:t>SCH XBRL Taxonomy Extension Schema Document</w:t>
            </w: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460" w:type="dxa"/>
            <w:vAlign w:val="bottom"/>
          </w:tcPr>
          <w:p>
            <w:pPr>
              <w:ind w:left="280"/>
              <w:spacing w:after="0"/>
              <w:rPr>
                <w:sz w:val="20"/>
                <w:szCs w:val="20"/>
                <w:color w:val="auto"/>
              </w:rPr>
            </w:pPr>
            <w:r>
              <w:rPr>
                <w:rFonts w:ascii="Arial" w:cs="Arial" w:eastAsia="Arial" w:hAnsi="Arial"/>
                <w:sz w:val="18"/>
                <w:szCs w:val="18"/>
                <w:color w:val="auto"/>
                <w:w w:val="95"/>
              </w:rPr>
              <w:t>CAL XBRL Taxonomy Calculation Linkbase Document</w:t>
            </w: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102" w:lineRule="exact"/>
        <w:rPr>
          <w:sz w:val="20"/>
          <w:szCs w:val="20"/>
          <w:color w:val="auto"/>
        </w:rPr>
      </w:pPr>
    </w:p>
    <w:p>
      <w:pPr>
        <w:ind w:left="960" w:right="6420" w:hanging="952"/>
        <w:spacing w:after="0" w:line="268"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52"/>
              <w:spacing w:after="0"/>
              <w:rPr>
                <w:sz w:val="20"/>
                <w:szCs w:val="20"/>
                <w:color w:val="auto"/>
              </w:rPr>
            </w:pPr>
            <w:r>
              <w:rPr>
                <w:rFonts w:ascii="Arial" w:cs="Arial" w:eastAsia="Arial" w:hAnsi="Arial"/>
                <w:sz w:val="18"/>
                <w:szCs w:val="18"/>
                <w:color w:val="auto"/>
                <w:w w:val="86"/>
              </w:rPr>
              <w:t>101</w:t>
            </w:r>
          </w:p>
        </w:tc>
        <w:tc>
          <w:tcPr>
            <w:tcW w:w="4340" w:type="dxa"/>
            <w:vAlign w:val="bottom"/>
          </w:tcPr>
          <w:p>
            <w:pPr>
              <w:ind w:left="340"/>
              <w:spacing w:after="0"/>
              <w:rPr>
                <w:sz w:val="20"/>
                <w:szCs w:val="20"/>
                <w:color w:val="auto"/>
              </w:rPr>
            </w:pPr>
            <w:r>
              <w:rPr>
                <w:rFonts w:ascii="Arial" w:cs="Arial" w:eastAsia="Arial" w:hAnsi="Arial"/>
                <w:sz w:val="18"/>
                <w:szCs w:val="18"/>
                <w:color w:val="auto"/>
              </w:rPr>
              <w:t>LAB XBRL Taxonomy Label Linkbase Document</w:t>
            </w:r>
          </w:p>
        </w:tc>
      </w:tr>
      <w:tr>
        <w:trPr>
          <w:trHeight w:val="324"/>
        </w:trPr>
        <w:tc>
          <w:tcPr>
            <w:tcW w:w="620" w:type="dxa"/>
            <w:vAlign w:val="bottom"/>
          </w:tcPr>
          <w:p>
            <w:pPr>
              <w:jc w:val="right"/>
              <w:ind w:right="252"/>
              <w:spacing w:after="0"/>
              <w:rPr>
                <w:sz w:val="20"/>
                <w:szCs w:val="20"/>
                <w:color w:val="auto"/>
              </w:rPr>
            </w:pPr>
            <w:r>
              <w:rPr>
                <w:rFonts w:ascii="Arial" w:cs="Arial" w:eastAsia="Arial" w:hAnsi="Arial"/>
                <w:sz w:val="18"/>
                <w:szCs w:val="18"/>
                <w:color w:val="auto"/>
                <w:w w:val="86"/>
              </w:rPr>
              <w:t>101</w:t>
            </w:r>
          </w:p>
        </w:tc>
        <w:tc>
          <w:tcPr>
            <w:tcW w:w="4340" w:type="dxa"/>
            <w:vAlign w:val="bottom"/>
          </w:tcPr>
          <w:p>
            <w:pPr>
              <w:ind w:left="340"/>
              <w:spacing w:after="0"/>
              <w:rPr>
                <w:sz w:val="20"/>
                <w:szCs w:val="20"/>
                <w:color w:val="auto"/>
              </w:rPr>
            </w:pPr>
            <w:r>
              <w:rPr>
                <w:rFonts w:ascii="Arial" w:cs="Arial" w:eastAsia="Arial" w:hAnsi="Arial"/>
                <w:sz w:val="18"/>
                <w:szCs w:val="18"/>
                <w:color w:val="auto"/>
                <w:w w:val="88"/>
              </w:rPr>
              <w:t>PRE 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7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 Securities and</w:t>
      </w:r>
    </w:p>
    <w:p>
      <w:pPr>
        <w:spacing w:after="0" w:line="11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tabs>
          <w:tab w:leader="none" w:pos="7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Title</w:t>
            </w:r>
          </w:p>
        </w:tc>
        <w:tc>
          <w:tcPr>
            <w:tcW w:w="1020" w:type="dxa"/>
            <w:vAlign w:val="bottom"/>
          </w:tcPr>
          <w:p>
            <w:pPr>
              <w:spacing w:after="0"/>
              <w:rPr>
                <w:sz w:val="14"/>
                <w:szCs w:val="14"/>
                <w:color w:val="auto"/>
              </w:rPr>
            </w:pPr>
          </w:p>
        </w:tc>
        <w:tc>
          <w:tcPr>
            <w:tcW w:w="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520" w:type="dxa"/>
            <w:vAlign w:val="bottom"/>
          </w:tcPr>
          <w:p>
            <w:pPr>
              <w:spacing w:after="0"/>
              <w:rPr>
                <w:sz w:val="24"/>
                <w:szCs w:val="24"/>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/s/</w:t>
            </w:r>
          </w:p>
        </w:tc>
        <w:tc>
          <w:tcPr>
            <w:tcW w:w="3140" w:type="dxa"/>
            <w:vAlign w:val="bottom"/>
            <w:gridSpan w:val="3"/>
            <w:vMerge w:val="restart"/>
          </w:tcPr>
          <w:p>
            <w:pPr>
              <w:jc w:val="center"/>
              <w:ind w:right="1940"/>
              <w:spacing w:after="0"/>
              <w:rPr>
                <w:sz w:val="20"/>
                <w:szCs w:val="20"/>
                <w:color w:val="auto"/>
              </w:rPr>
            </w:pPr>
            <w:r>
              <w:rPr>
                <w:rFonts w:ascii="Arial" w:cs="Arial" w:eastAsia="Arial" w:hAnsi="Arial"/>
                <w:sz w:val="18"/>
                <w:szCs w:val="18"/>
                <w:color w:val="auto"/>
                <w:w w:val="85"/>
              </w:rPr>
              <w:t>John F. Thero</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86"/>
              </w:rPr>
              <w:t>President</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11"/>
        </w:trPr>
        <w:tc>
          <w:tcPr>
            <w:tcW w:w="1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vMerge w:val="continue"/>
          </w:tcPr>
          <w:p>
            <w:pPr>
              <w:spacing w:after="0"/>
              <w:rPr>
                <w:sz w:val="18"/>
                <w:szCs w:val="18"/>
                <w:color w:val="auto"/>
              </w:rPr>
            </w:pPr>
          </w:p>
        </w:tc>
        <w:tc>
          <w:tcPr>
            <w:tcW w:w="3140" w:type="dxa"/>
            <w:vAlign w:val="bottom"/>
            <w:tcBorders>
              <w:bottom w:val="single" w:sz="8" w:color="auto"/>
            </w:tcBorders>
            <w:gridSpan w:val="3"/>
            <w:vMerge w:val="continue"/>
          </w:tcPr>
          <w:p>
            <w:pPr>
              <w:spacing w:after="0"/>
              <w:rPr>
                <w:sz w:val="18"/>
                <w:szCs w:val="18"/>
                <w:color w:val="auto"/>
              </w:rPr>
            </w:pPr>
          </w:p>
        </w:tc>
        <w:tc>
          <w:tcPr>
            <w:tcW w:w="41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(Principal Financial and Accounting Officer)</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3"/>
          </w:tcPr>
          <w:p>
            <w:pPr>
              <w:jc w:val="center"/>
              <w:ind w:right="1940"/>
              <w:spacing w:after="0"/>
              <w:rPr>
                <w:sz w:val="20"/>
                <w:szCs w:val="20"/>
                <w:color w:val="auto"/>
              </w:rPr>
            </w:pPr>
            <w:r>
              <w:rPr>
                <w:rFonts w:ascii="Arial" w:cs="Arial" w:eastAsia="Arial" w:hAnsi="Arial"/>
                <w:sz w:val="18"/>
                <w:szCs w:val="18"/>
                <w:color w:val="auto"/>
                <w:w w:val="85"/>
              </w:rPr>
              <w:t>John F. Thero</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520" w:type="dxa"/>
            <w:vAlign w:val="bottom"/>
          </w:tcPr>
          <w:p>
            <w:pPr>
              <w:spacing w:after="0"/>
              <w:rPr>
                <w:sz w:val="24"/>
                <w:szCs w:val="24"/>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/s/</w:t>
            </w:r>
          </w:p>
        </w:tc>
        <w:tc>
          <w:tcPr>
            <w:tcW w:w="3320" w:type="dxa"/>
            <w:vAlign w:val="bottom"/>
            <w:gridSpan w:val="4"/>
            <w:vMerge w:val="restart"/>
          </w:tcPr>
          <w:p>
            <w:pPr>
              <w:jc w:val="center"/>
              <w:ind w:right="1780"/>
              <w:spacing w:after="0"/>
              <w:rPr>
                <w:sz w:val="20"/>
                <w:szCs w:val="20"/>
                <w:color w:val="auto"/>
              </w:rPr>
            </w:pPr>
            <w:r>
              <w:rPr>
                <w:rFonts w:ascii="Arial" w:cs="Arial" w:eastAsia="Arial" w:hAnsi="Arial"/>
                <w:sz w:val="18"/>
                <w:szCs w:val="18"/>
                <w:color w:val="auto"/>
                <w:w w:val="87"/>
              </w:rPr>
              <w:t>Joseph Zakrzewski</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0"/>
              </w:rPr>
              <w:t>Chief Executive Officer and</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11"/>
        </w:trPr>
        <w:tc>
          <w:tcPr>
            <w:tcW w:w="1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3320" w:type="dxa"/>
            <w:vAlign w:val="bottom"/>
            <w:tcBorders>
              <w:bottom w:val="single" w:sz="8" w:color="auto"/>
            </w:tcBorders>
            <w:gridSpan w:val="4"/>
            <w:vMerge w:val="continue"/>
          </w:tcPr>
          <w:p>
            <w:pPr>
              <w:spacing w:after="0"/>
              <w:rPr>
                <w:sz w:val="18"/>
                <w:szCs w:val="18"/>
                <w:color w:val="auto"/>
              </w:rPr>
            </w:pPr>
          </w:p>
        </w:tc>
        <w:tc>
          <w:tcPr>
            <w:tcW w:w="41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Director (Principal Executive Officer)</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4"/>
          </w:tcPr>
          <w:p>
            <w:pPr>
              <w:jc w:val="center"/>
              <w:ind w:right="1760"/>
              <w:spacing w:after="0"/>
              <w:rPr>
                <w:sz w:val="20"/>
                <w:szCs w:val="20"/>
                <w:color w:val="auto"/>
              </w:rPr>
            </w:pPr>
            <w:r>
              <w:rPr>
                <w:rFonts w:ascii="Arial" w:cs="Arial" w:eastAsia="Arial" w:hAnsi="Arial"/>
                <w:sz w:val="18"/>
                <w:szCs w:val="18"/>
                <w:color w:val="auto"/>
                <w:w w:val="88"/>
              </w:rPr>
              <w:t>Joseph Zakrzewski</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vMerge w:val="restart"/>
          </w:tcPr>
          <w:p>
            <w:pPr>
              <w:ind w:left="1340"/>
              <w:spacing w:after="0"/>
              <w:rPr>
                <w:sz w:val="20"/>
                <w:szCs w:val="20"/>
                <w:color w:val="auto"/>
              </w:rPr>
            </w:pPr>
            <w:r>
              <w:rPr>
                <w:rFonts w:ascii="Arial" w:cs="Arial" w:eastAsia="Arial" w:hAnsi="Arial"/>
                <w:sz w:val="18"/>
                <w:szCs w:val="18"/>
                <w:color w:val="auto"/>
                <w:w w:val="83"/>
              </w:rPr>
              <w:t>/s/</w:t>
            </w:r>
          </w:p>
        </w:tc>
        <w:tc>
          <w:tcPr>
            <w:tcW w:w="3560" w:type="dxa"/>
            <w:vAlign w:val="bottom"/>
            <w:gridSpan w:val="5"/>
            <w:vMerge w:val="restart"/>
          </w:tcPr>
          <w:p>
            <w:pPr>
              <w:jc w:val="center"/>
              <w:ind w:right="1540"/>
              <w:spacing w:after="0"/>
              <w:rPr>
                <w:sz w:val="20"/>
                <w:szCs w:val="20"/>
                <w:color w:val="auto"/>
              </w:rPr>
            </w:pPr>
            <w:r>
              <w:rPr>
                <w:rFonts w:ascii="Arial" w:cs="Arial" w:eastAsia="Arial" w:hAnsi="Arial"/>
                <w:sz w:val="18"/>
                <w:szCs w:val="18"/>
                <w:color w:val="auto"/>
                <w:w w:val="87"/>
              </w:rPr>
              <w:t>Joseph Anderson, Ph.D.</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auto"/>
            </w:tcBorders>
            <w:vMerge w:val="continue"/>
          </w:tcPr>
          <w:p>
            <w:pPr>
              <w:spacing w:after="0"/>
              <w:rPr>
                <w:sz w:val="17"/>
                <w:szCs w:val="17"/>
                <w:color w:val="auto"/>
              </w:rPr>
            </w:pPr>
          </w:p>
        </w:tc>
        <w:tc>
          <w:tcPr>
            <w:tcW w:w="3560" w:type="dxa"/>
            <w:vAlign w:val="bottom"/>
            <w:tcBorders>
              <w:bottom w:val="single" w:sz="8" w:color="auto"/>
            </w:tcBorders>
            <w:gridSpan w:val="5"/>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3560" w:type="dxa"/>
            <w:vAlign w:val="bottom"/>
            <w:gridSpan w:val="5"/>
          </w:tcPr>
          <w:p>
            <w:pPr>
              <w:jc w:val="center"/>
              <w:ind w:right="1520"/>
              <w:spacing w:after="0"/>
              <w:rPr>
                <w:sz w:val="20"/>
                <w:szCs w:val="20"/>
                <w:color w:val="auto"/>
              </w:rPr>
            </w:pPr>
            <w:r>
              <w:rPr>
                <w:rFonts w:ascii="Arial" w:cs="Arial" w:eastAsia="Arial" w:hAnsi="Arial"/>
                <w:sz w:val="18"/>
                <w:szCs w:val="18"/>
                <w:color w:val="auto"/>
                <w:w w:val="86"/>
              </w:rPr>
              <w:t>Joseph Anderson,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83"/>
              </w:rPr>
              <w:t>/s/</w:t>
            </w:r>
          </w:p>
        </w:tc>
        <w:tc>
          <w:tcPr>
            <w:tcW w:w="3140" w:type="dxa"/>
            <w:vAlign w:val="bottom"/>
            <w:gridSpan w:val="3"/>
            <w:vMerge w:val="restart"/>
          </w:tcPr>
          <w:p>
            <w:pPr>
              <w:jc w:val="center"/>
              <w:ind w:right="1960"/>
              <w:spacing w:after="0"/>
              <w:rPr>
                <w:sz w:val="20"/>
                <w:szCs w:val="20"/>
                <w:color w:val="auto"/>
              </w:rPr>
            </w:pPr>
            <w:r>
              <w:rPr>
                <w:rFonts w:ascii="Arial" w:cs="Arial" w:eastAsia="Arial" w:hAnsi="Arial"/>
                <w:sz w:val="18"/>
                <w:szCs w:val="18"/>
                <w:color w:val="auto"/>
                <w:w w:val="89"/>
              </w:rPr>
              <w:t>Lars Ekman</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4"/>
        </w:trPr>
        <w:tc>
          <w:tcPr>
            <w:tcW w:w="1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3140" w:type="dxa"/>
            <w:vAlign w:val="bottom"/>
            <w:tcBorders>
              <w:bottom w:val="single" w:sz="8" w:color="auto"/>
            </w:tcBorders>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3"/>
          </w:tcPr>
          <w:p>
            <w:pPr>
              <w:jc w:val="center"/>
              <w:ind w:right="1940"/>
              <w:spacing w:after="0"/>
              <w:rPr>
                <w:sz w:val="20"/>
                <w:szCs w:val="20"/>
                <w:color w:val="auto"/>
              </w:rPr>
            </w:pPr>
            <w:r>
              <w:rPr>
                <w:rFonts w:ascii="Arial" w:cs="Arial" w:eastAsia="Arial" w:hAnsi="Arial"/>
                <w:sz w:val="18"/>
                <w:szCs w:val="18"/>
                <w:color w:val="auto"/>
                <w:w w:val="87"/>
              </w:rPr>
              <w:t>Lars Ekman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vMerge w:val="restart"/>
          </w:tcPr>
          <w:p>
            <w:pPr>
              <w:ind w:left="1320"/>
              <w:spacing w:after="0"/>
              <w:rPr>
                <w:sz w:val="20"/>
                <w:szCs w:val="20"/>
                <w:color w:val="auto"/>
              </w:rPr>
            </w:pPr>
            <w:r>
              <w:rPr>
                <w:rFonts w:ascii="Arial" w:cs="Arial" w:eastAsia="Arial" w:hAnsi="Arial"/>
                <w:sz w:val="18"/>
                <w:szCs w:val="18"/>
                <w:color w:val="auto"/>
                <w:w w:val="94"/>
              </w:rPr>
              <w:t>/s/</w:t>
            </w:r>
          </w:p>
        </w:tc>
        <w:tc>
          <w:tcPr>
            <w:tcW w:w="3560" w:type="dxa"/>
            <w:vAlign w:val="bottom"/>
            <w:gridSpan w:val="5"/>
            <w:vMerge w:val="restart"/>
          </w:tcPr>
          <w:p>
            <w:pPr>
              <w:jc w:val="center"/>
              <w:ind w:right="1520"/>
              <w:spacing w:after="0"/>
              <w:rPr>
                <w:sz w:val="20"/>
                <w:szCs w:val="20"/>
                <w:color w:val="auto"/>
              </w:rPr>
            </w:pPr>
            <w:r>
              <w:rPr>
                <w:rFonts w:ascii="Arial" w:cs="Arial" w:eastAsia="Arial" w:hAnsi="Arial"/>
                <w:sz w:val="18"/>
                <w:szCs w:val="18"/>
                <w:color w:val="auto"/>
                <w:w w:val="90"/>
              </w:rPr>
              <w:t>Carl Gordon, Ph.D, CFA</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auto"/>
            </w:tcBorders>
            <w:vMerge w:val="continue"/>
          </w:tcPr>
          <w:p>
            <w:pPr>
              <w:spacing w:after="0"/>
              <w:rPr>
                <w:sz w:val="17"/>
                <w:szCs w:val="17"/>
                <w:color w:val="auto"/>
              </w:rPr>
            </w:pPr>
          </w:p>
        </w:tc>
        <w:tc>
          <w:tcPr>
            <w:tcW w:w="3560" w:type="dxa"/>
            <w:vAlign w:val="bottom"/>
            <w:tcBorders>
              <w:bottom w:val="single" w:sz="8" w:color="auto"/>
            </w:tcBorders>
            <w:gridSpan w:val="5"/>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3560" w:type="dxa"/>
            <w:vAlign w:val="bottom"/>
            <w:gridSpan w:val="5"/>
          </w:tcPr>
          <w:p>
            <w:pPr>
              <w:jc w:val="center"/>
              <w:ind w:right="1520"/>
              <w:spacing w:after="0"/>
              <w:rPr>
                <w:sz w:val="20"/>
                <w:szCs w:val="20"/>
                <w:color w:val="auto"/>
              </w:rPr>
            </w:pPr>
            <w:r>
              <w:rPr>
                <w:rFonts w:ascii="Arial" w:cs="Arial" w:eastAsia="Arial" w:hAnsi="Arial"/>
                <w:sz w:val="18"/>
                <w:szCs w:val="18"/>
                <w:color w:val="auto"/>
                <w:w w:val="90"/>
              </w:rPr>
              <w:t>Carl Gordon, Ph.D, CFA</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vMerge w:val="restart"/>
          </w:tcPr>
          <w:p>
            <w:pPr>
              <w:ind w:left="1280"/>
              <w:spacing w:after="0"/>
              <w:rPr>
                <w:sz w:val="20"/>
                <w:szCs w:val="20"/>
                <w:color w:val="auto"/>
              </w:rPr>
            </w:pPr>
            <w:r>
              <w:rPr>
                <w:rFonts w:ascii="Arial" w:cs="Arial" w:eastAsia="Arial" w:hAnsi="Arial"/>
                <w:sz w:val="18"/>
                <w:szCs w:val="18"/>
                <w:color w:val="auto"/>
              </w:rPr>
              <w:t>/s/</w:t>
            </w:r>
          </w:p>
        </w:tc>
        <w:tc>
          <w:tcPr>
            <w:tcW w:w="3560" w:type="dxa"/>
            <w:vAlign w:val="bottom"/>
            <w:gridSpan w:val="5"/>
            <w:vMerge w:val="restart"/>
          </w:tcPr>
          <w:p>
            <w:pPr>
              <w:jc w:val="center"/>
              <w:ind w:right="1540"/>
              <w:spacing w:after="0"/>
              <w:rPr>
                <w:sz w:val="20"/>
                <w:szCs w:val="20"/>
                <w:color w:val="auto"/>
              </w:rPr>
            </w:pPr>
            <w:r>
              <w:rPr>
                <w:rFonts w:ascii="Arial" w:cs="Arial" w:eastAsia="Arial" w:hAnsi="Arial"/>
                <w:sz w:val="18"/>
                <w:szCs w:val="18"/>
                <w:color w:val="auto"/>
                <w:w w:val="87"/>
              </w:rPr>
              <w:t>James Healy, M.D., Ph.D.</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auto"/>
            </w:tcBorders>
            <w:vMerge w:val="continue"/>
          </w:tcPr>
          <w:p>
            <w:pPr>
              <w:spacing w:after="0"/>
              <w:rPr>
                <w:sz w:val="17"/>
                <w:szCs w:val="17"/>
                <w:color w:val="auto"/>
              </w:rPr>
            </w:pPr>
          </w:p>
        </w:tc>
        <w:tc>
          <w:tcPr>
            <w:tcW w:w="3560" w:type="dxa"/>
            <w:vAlign w:val="bottom"/>
            <w:tcBorders>
              <w:bottom w:val="single" w:sz="8" w:color="auto"/>
            </w:tcBorders>
            <w:gridSpan w:val="5"/>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3560" w:type="dxa"/>
            <w:vAlign w:val="bottom"/>
            <w:gridSpan w:val="5"/>
          </w:tcPr>
          <w:p>
            <w:pPr>
              <w:jc w:val="center"/>
              <w:ind w:right="1520"/>
              <w:spacing w:after="0"/>
              <w:rPr>
                <w:sz w:val="20"/>
                <w:szCs w:val="20"/>
                <w:color w:val="auto"/>
              </w:rPr>
            </w:pPr>
            <w:r>
              <w:rPr>
                <w:rFonts w:ascii="Arial" w:cs="Arial" w:eastAsia="Arial" w:hAnsi="Arial"/>
                <w:sz w:val="18"/>
                <w:szCs w:val="18"/>
                <w:color w:val="auto"/>
                <w:w w:val="88"/>
              </w:rPr>
              <w:t>James Healy, M.D.,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tcPr>
          <w:p>
            <w:pPr>
              <w:spacing w:after="0"/>
              <w:rPr>
                <w:sz w:val="24"/>
                <w:szCs w:val="24"/>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3"/>
              </w:rPr>
              <w:t>/s/</w:t>
            </w:r>
          </w:p>
        </w:tc>
        <w:tc>
          <w:tcPr>
            <w:tcW w:w="3320" w:type="dxa"/>
            <w:vAlign w:val="bottom"/>
            <w:gridSpan w:val="4"/>
            <w:vMerge w:val="restart"/>
          </w:tcPr>
          <w:p>
            <w:pPr>
              <w:jc w:val="center"/>
              <w:ind w:right="1780"/>
              <w:spacing w:after="0"/>
              <w:rPr>
                <w:sz w:val="20"/>
                <w:szCs w:val="20"/>
                <w:color w:val="auto"/>
              </w:rPr>
            </w:pPr>
            <w:r>
              <w:rPr>
                <w:rFonts w:ascii="Arial" w:cs="Arial" w:eastAsia="Arial" w:hAnsi="Arial"/>
                <w:sz w:val="18"/>
                <w:szCs w:val="18"/>
                <w:color w:val="auto"/>
                <w:w w:val="88"/>
              </w:rPr>
              <w:t>Kristine Peterson</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4"/>
        </w:trPr>
        <w:tc>
          <w:tcPr>
            <w:tcW w:w="1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3320" w:type="dxa"/>
            <w:vAlign w:val="bottom"/>
            <w:tcBorders>
              <w:bottom w:val="single" w:sz="8" w:color="auto"/>
            </w:tcBorders>
            <w:gridSpan w:val="4"/>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3"/>
          </w:tcPr>
          <w:p>
            <w:pPr>
              <w:jc w:val="center"/>
              <w:ind w:right="1940"/>
              <w:spacing w:after="0"/>
              <w:rPr>
                <w:sz w:val="20"/>
                <w:szCs w:val="20"/>
                <w:color w:val="auto"/>
              </w:rPr>
            </w:pPr>
            <w:r>
              <w:rPr>
                <w:rFonts w:ascii="Arial" w:cs="Arial" w:eastAsia="Arial" w:hAnsi="Arial"/>
                <w:sz w:val="18"/>
                <w:szCs w:val="18"/>
                <w:color w:val="auto"/>
                <w:w w:val="87"/>
              </w:rPr>
              <w:t>Kristine Peterson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tcPr>
          <w:p>
            <w:pPr>
              <w:spacing w:after="0"/>
              <w:rPr>
                <w:sz w:val="24"/>
                <w:szCs w:val="24"/>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/s/</w:t>
            </w:r>
          </w:p>
        </w:tc>
        <w:tc>
          <w:tcPr>
            <w:tcW w:w="3320" w:type="dxa"/>
            <w:vAlign w:val="bottom"/>
            <w:gridSpan w:val="4"/>
            <w:vMerge w:val="restart"/>
          </w:tcPr>
          <w:p>
            <w:pPr>
              <w:jc w:val="center"/>
              <w:ind w:right="1760"/>
              <w:spacing w:after="0"/>
              <w:rPr>
                <w:sz w:val="20"/>
                <w:szCs w:val="20"/>
                <w:color w:val="auto"/>
              </w:rPr>
            </w:pPr>
            <w:r>
              <w:rPr>
                <w:rFonts w:ascii="Arial" w:cs="Arial" w:eastAsia="Arial" w:hAnsi="Arial"/>
                <w:sz w:val="18"/>
                <w:szCs w:val="18"/>
                <w:color w:val="auto"/>
                <w:w w:val="93"/>
              </w:rPr>
              <w:t>Patrick O’Sullivan</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4"/>
        </w:trPr>
        <w:tc>
          <w:tcPr>
            <w:tcW w:w="1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3320" w:type="dxa"/>
            <w:vAlign w:val="bottom"/>
            <w:tcBorders>
              <w:bottom w:val="single" w:sz="8" w:color="auto"/>
            </w:tcBorders>
            <w:gridSpan w:val="4"/>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4"/>
          </w:tcPr>
          <w:p>
            <w:pPr>
              <w:jc w:val="center"/>
              <w:ind w:right="1760"/>
              <w:spacing w:after="0"/>
              <w:rPr>
                <w:sz w:val="20"/>
                <w:szCs w:val="20"/>
                <w:color w:val="auto"/>
              </w:rPr>
            </w:pPr>
            <w:r>
              <w:rPr>
                <w:rFonts w:ascii="Arial" w:cs="Arial" w:eastAsia="Arial" w:hAnsi="Arial"/>
                <w:sz w:val="18"/>
                <w:szCs w:val="18"/>
                <w:color w:val="auto"/>
                <w:w w:val="93"/>
              </w:rPr>
              <w:t>Patrick O’Sullivan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tcPr>
          <w:p>
            <w:pPr>
              <w:spacing w:after="0"/>
              <w:rPr>
                <w:sz w:val="24"/>
                <w:szCs w:val="24"/>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/s/</w:t>
            </w:r>
          </w:p>
        </w:tc>
        <w:tc>
          <w:tcPr>
            <w:tcW w:w="3140" w:type="dxa"/>
            <w:vAlign w:val="bottom"/>
            <w:gridSpan w:val="3"/>
            <w:vMerge w:val="restart"/>
          </w:tcPr>
          <w:p>
            <w:pPr>
              <w:jc w:val="center"/>
              <w:ind w:right="1960"/>
              <w:spacing w:after="0"/>
              <w:rPr>
                <w:sz w:val="20"/>
                <w:szCs w:val="20"/>
                <w:color w:val="auto"/>
              </w:rPr>
            </w:pPr>
            <w:r>
              <w:rPr>
                <w:rFonts w:ascii="Arial" w:cs="Arial" w:eastAsia="Arial" w:hAnsi="Arial"/>
                <w:sz w:val="18"/>
                <w:szCs w:val="18"/>
                <w:color w:val="auto"/>
                <w:w w:val="85"/>
              </w:rPr>
              <w:t>Jan van Heek</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4"/>
        </w:trPr>
        <w:tc>
          <w:tcPr>
            <w:tcW w:w="1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vMerge w:val="continue"/>
          </w:tcPr>
          <w:p>
            <w:pPr>
              <w:spacing w:after="0"/>
              <w:rPr>
                <w:sz w:val="17"/>
                <w:szCs w:val="17"/>
                <w:color w:val="auto"/>
              </w:rPr>
            </w:pPr>
          </w:p>
        </w:tc>
        <w:tc>
          <w:tcPr>
            <w:tcW w:w="3140" w:type="dxa"/>
            <w:vAlign w:val="bottom"/>
            <w:tcBorders>
              <w:bottom w:val="single" w:sz="8" w:color="auto"/>
            </w:tcBorders>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3"/>
          </w:tcPr>
          <w:p>
            <w:pPr>
              <w:jc w:val="center"/>
              <w:ind w:right="1940"/>
              <w:spacing w:after="0"/>
              <w:rPr>
                <w:sz w:val="20"/>
                <w:szCs w:val="20"/>
                <w:color w:val="auto"/>
              </w:rPr>
            </w:pPr>
            <w:r>
              <w:rPr>
                <w:rFonts w:ascii="Arial" w:cs="Arial" w:eastAsia="Arial" w:hAnsi="Arial"/>
                <w:sz w:val="18"/>
                <w:szCs w:val="18"/>
                <w:color w:val="auto"/>
                <w:w w:val="87"/>
              </w:rPr>
              <w:t>Jan van Heek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83"/>
              </w:rPr>
              <w:t>/s/</w:t>
            </w:r>
          </w:p>
        </w:tc>
        <w:tc>
          <w:tcPr>
            <w:tcW w:w="3140" w:type="dxa"/>
            <w:vAlign w:val="bottom"/>
            <w:gridSpan w:val="3"/>
            <w:vMerge w:val="restart"/>
          </w:tcPr>
          <w:p>
            <w:pPr>
              <w:jc w:val="center"/>
              <w:ind w:right="1960"/>
              <w:spacing w:after="0"/>
              <w:rPr>
                <w:sz w:val="20"/>
                <w:szCs w:val="20"/>
                <w:color w:val="auto"/>
              </w:rPr>
            </w:pPr>
            <w:r>
              <w:rPr>
                <w:rFonts w:ascii="Arial" w:cs="Arial" w:eastAsia="Arial" w:hAnsi="Arial"/>
                <w:sz w:val="18"/>
                <w:szCs w:val="18"/>
                <w:color w:val="auto"/>
                <w:w w:val="89"/>
              </w:rPr>
              <w:t>David Stack</w:t>
            </w: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204"/>
        </w:trPr>
        <w:tc>
          <w:tcPr>
            <w:tcW w:w="1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3140" w:type="dxa"/>
            <w:vAlign w:val="bottom"/>
            <w:tcBorders>
              <w:bottom w:val="single" w:sz="8" w:color="auto"/>
            </w:tcBorders>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3"/>
          </w:tcPr>
          <w:p>
            <w:pPr>
              <w:jc w:val="center"/>
              <w:ind w:right="1940"/>
              <w:spacing w:after="0"/>
              <w:rPr>
                <w:sz w:val="20"/>
                <w:szCs w:val="20"/>
                <w:color w:val="auto"/>
              </w:rPr>
            </w:pPr>
            <w:r>
              <w:rPr>
                <w:rFonts w:ascii="Arial" w:cs="Arial" w:eastAsia="Arial" w:hAnsi="Arial"/>
                <w:sz w:val="18"/>
                <w:szCs w:val="18"/>
                <w:color w:val="auto"/>
                <w:w w:val="91"/>
              </w:rPr>
              <w:t>David Stack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6"/>
            <w:vMerge w:val="restart"/>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Report of Independent Registered Public Accounting Firm</w:t>
              </w:r>
            </w:hyperlink>
          </w:p>
        </w:tc>
        <w:tc>
          <w:tcPr>
            <w:tcW w:w="6880" w:type="dxa"/>
            <w:vAlign w:val="bottom"/>
            <w:vMerge w:val="restart"/>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140" w:type="dxa"/>
            <w:vAlign w:val="bottom"/>
            <w:tcBorders>
              <w:bottom w:val="single" w:sz="8" w:color="0000EE"/>
            </w:tcBorders>
            <w:gridSpan w:val="6"/>
            <w:vMerge w:val="continue"/>
          </w:tcPr>
          <w:p>
            <w:pPr>
              <w:spacing w:after="0"/>
              <w:rPr>
                <w:sz w:val="13"/>
                <w:szCs w:val="13"/>
                <w:color w:val="auto"/>
              </w:rPr>
            </w:pPr>
          </w:p>
        </w:tc>
        <w:tc>
          <w:tcPr>
            <w:tcW w:w="6880" w:type="dxa"/>
            <w:vAlign w:val="bottom"/>
            <w:vMerge w:val="continue"/>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102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1020" w:type="dxa"/>
            <w:vAlign w:val="bottom"/>
            <w:gridSpan w:val="7"/>
          </w:tcPr>
          <w:p>
            <w:pPr>
              <w:spacing w:after="0" w:line="184"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Balance Sheets</w:t>
              </w:r>
            </w:hyperlink>
          </w:p>
        </w:tc>
        <w:tc>
          <w:tcPr>
            <w:tcW w:w="320" w:type="dxa"/>
            <w:vAlign w:val="bottom"/>
            <w:gridSpan w:val="2"/>
          </w:tcPr>
          <w:p>
            <w:pPr>
              <w:ind w:left="60"/>
              <w:spacing w:after="0" w:line="184"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Consolidated Statements of Operations</w:t>
              </w:r>
            </w:hyperlink>
          </w:p>
        </w:tc>
        <w:tc>
          <w:tcPr>
            <w:tcW w:w="8260" w:type="dxa"/>
            <w:vAlign w:val="bottom"/>
            <w:gridSpan w:val="5"/>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Stockholders’ (Deficit) Equity</w:t>
              </w:r>
            </w:hyperlink>
          </w:p>
        </w:tc>
        <w:tc>
          <w:tcPr>
            <w:tcW w:w="690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Cash Flows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audited the accompanying consolidated balance sheets of Amarin Corporation plc and subsidiaries (the “Company”) as of December 31, 2012 and 2011, and the related consolidated statements of operations, stockholders’ (deficit) equity, and cash flows for each of the three years in the period ended December 31, 2012. These financial statements are the responsibility of the Company’s management. Our responsibility is to express an opinion on the financial statements based on our audits.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Amarin Corporation plc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February 28, 2013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4"/>
          </w:tcPr>
          <w:p>
            <w:pPr>
              <w:jc w:val="center"/>
              <w:ind w:right="13"/>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 and per share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5"/>
              </w:rPr>
              <w:t>amounts)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260,242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285,694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 net</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310,855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Warrant derivative liability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Exchangeable senior notes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134,250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Long 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85,153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 term debt redemption feature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long term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314,852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132,341</w:t>
            </w:r>
          </w:p>
        </w:tc>
        <w:tc>
          <w:tcPr>
            <w:tcW w:w="0" w:type="dxa"/>
            <w:vAlign w:val="bottom"/>
          </w:tcPr>
          <w:p>
            <w:pPr>
              <w:spacing w:after="0"/>
              <w:rPr>
                <w:sz w:val="1"/>
                <w:szCs w:val="1"/>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w w:val="94"/>
              </w:rPr>
              <w:t>Common stock, £0.50 par value, unlimited authorized; 150,360,933 issued, 150,340,854 outstanding at December 31,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2012; 135,832,542 issued, 135,812,463 outstanding at December 31, 2011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124,597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113,321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619,266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Treasury stock; 20,079 shares at December 31, 2012 and 2011</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(747,643)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(568,459)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STOCKHOLDERS’ DEFICIT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310,855</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gridSpan w:val="8"/>
          </w:tcPr>
          <w:p>
            <w:pPr>
              <w:jc w:val="center"/>
              <w:ind w:right="14"/>
              <w:spacing w:after="0" w:line="129" w:lineRule="exact"/>
              <w:rPr>
                <w:sz w:val="20"/>
                <w:szCs w:val="20"/>
                <w:color w:val="auto"/>
              </w:rPr>
            </w:pPr>
            <w:r>
              <w:rPr>
                <w:rFonts w:ascii="Arial" w:cs="Arial" w:eastAsia="Arial" w:hAnsi="Arial"/>
                <w:sz w:val="14"/>
                <w:szCs w:val="14"/>
                <w:b w:val="1"/>
                <w:bCs w:val="1"/>
                <w:color w:val="auto"/>
                <w:w w:val="85"/>
              </w:rPr>
              <w:t>(In thousands, 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share amounts)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21,602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Marketing, general and administrative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116,750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(116,750)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(44,161)</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Loss on change in fair value of derivative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(35,344)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(22,669)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(18,091)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(170,068)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(66,610)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8"/>
                <w:szCs w:val="18"/>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(9,116)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(179,184)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(69,126)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(249,589)</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Loss per basic and diluted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(1.24)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144,017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130,247</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left="260" w:right="2640"/>
        <w:spacing w:after="0" w:line="262" w:lineRule="auto"/>
        <w:rPr>
          <w:sz w:val="20"/>
          <w:szCs w:val="20"/>
          <w:color w:val="auto"/>
        </w:rPr>
      </w:pPr>
      <w:r>
        <w:rPr>
          <w:rFonts w:ascii="Arial" w:cs="Arial" w:eastAsia="Arial" w:hAnsi="Arial"/>
          <w:sz w:val="18"/>
          <w:szCs w:val="18"/>
          <w:b w:val="1"/>
          <w:bCs w:val="1"/>
          <w:color w:val="auto"/>
        </w:rPr>
        <w:t>CONSOLIDATED STATEMENTS OF STOCKHOLDERS’ (DEFICIT) EQUITY FOR THE YEARS ENDED DECEMBER 31, 2012, 2011 and 2010 (in thousands,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Common</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160" w:type="dxa"/>
            <w:vAlign w:val="bottom"/>
            <w:gridSpan w:val="3"/>
          </w:tcPr>
          <w:p>
            <w:pPr>
              <w:jc w:val="right"/>
              <w:ind w:right="278"/>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Stock</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20" w:type="dxa"/>
            <w:vAlign w:val="bottom"/>
            <w:gridSpan w:val="2"/>
          </w:tcPr>
          <w:p>
            <w:pPr>
              <w:jc w:val="right"/>
              <w:ind w:right="47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98,801,982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84,219</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$ 172,339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1"/>
              </w:rPr>
              <w:t>(217)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(249,744)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Exercise of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6,344,136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4,906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3"/>
              </w:rPr>
              <w:t>Transfer of fair value of warrants exercised from liabilities to equity</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 issuances for services</w:t>
            </w:r>
          </w:p>
        </w:tc>
        <w:tc>
          <w:tcPr>
            <w:tcW w:w="1000" w:type="dxa"/>
            <w:vAlign w:val="bottom"/>
          </w:tcPr>
          <w:p>
            <w:pPr>
              <w:jc w:val="right"/>
              <w:spacing w:after="0"/>
              <w:rPr>
                <w:sz w:val="20"/>
                <w:szCs w:val="20"/>
                <w:color w:val="auto"/>
              </w:rPr>
            </w:pPr>
            <w:r>
              <w:rPr>
                <w:rFonts w:ascii="Arial" w:cs="Arial" w:eastAsia="Arial" w:hAnsi="Arial"/>
                <w:sz w:val="18"/>
                <w:szCs w:val="18"/>
                <w:color w:val="auto"/>
              </w:rPr>
              <w:t>4,597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98"/>
              <w:spacing w:after="0"/>
              <w:rPr>
                <w:sz w:val="20"/>
                <w:szCs w:val="20"/>
                <w:color w:val="auto"/>
              </w:rPr>
            </w:pPr>
            <w:r>
              <w:rPr>
                <w:rFonts w:ascii="Arial" w:cs="Arial" w:eastAsia="Arial" w:hAnsi="Arial"/>
                <w:sz w:val="18"/>
                <w:szCs w:val="18"/>
                <w:color w:val="auto"/>
                <w:w w:val="93"/>
              </w:rPr>
              <w:t>(249,589)</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(249,589)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106,856,731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90,465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$ 206,718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(217)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b w:val="1"/>
                <w:bCs w:val="1"/>
                <w:color w:val="auto"/>
                <w:w w:val="93"/>
              </w:rPr>
              <w:t>(499,333)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Exercise of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12,888,369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10,289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2,273,221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 issued in January financing</w:t>
            </w:r>
          </w:p>
        </w:tc>
        <w:tc>
          <w:tcPr>
            <w:tcW w:w="1000" w:type="dxa"/>
            <w:vAlign w:val="bottom"/>
          </w:tcPr>
          <w:p>
            <w:pPr>
              <w:jc w:val="right"/>
              <w:spacing w:after="0"/>
              <w:rPr>
                <w:sz w:val="20"/>
                <w:szCs w:val="20"/>
                <w:color w:val="auto"/>
              </w:rPr>
            </w:pPr>
            <w:r>
              <w:rPr>
                <w:rFonts w:ascii="Arial" w:cs="Arial" w:eastAsia="Arial" w:hAnsi="Arial"/>
                <w:sz w:val="18"/>
                <w:szCs w:val="18"/>
                <w:color w:val="auto"/>
              </w:rPr>
              <w:t>13,800,000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10,723</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87,931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3"/>
              </w:rPr>
              <w:t>Transfer of fair value of warrants exercised from liabilities to equity</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129,517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for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(69,126)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(69,126)</w:t>
            </w: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135,832,542</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113,321</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$ 449,393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71"/>
              </w:rPr>
              <w:t>(217)</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(568,459)</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11,047,579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3,380,413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2,659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Conversion option contained in exchangeable notes</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22,898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3"/>
              </w:rPr>
              <w:t>Transfer of fair value of warrants exercised from liabilities to equity</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103,885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for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w w:val="93"/>
              </w:rPr>
              <w:t>(179,184)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(179,184)</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150,360,933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124,597</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$ 619,266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3"/>
              </w:rPr>
              <w:t>(217</w:t>
            </w:r>
          </w:p>
        </w:tc>
        <w:tc>
          <w:tcPr>
            <w:tcW w:w="340" w:type="dxa"/>
            <w:vAlign w:val="bottom"/>
          </w:tcPr>
          <w:p>
            <w:pPr>
              <w:jc w:val="right"/>
              <w:ind w:right="19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(747,643</w:t>
            </w:r>
          </w:p>
        </w:tc>
        <w:tc>
          <w:tcPr>
            <w:tcW w:w="340" w:type="dxa"/>
            <w:vAlign w:val="bottom"/>
          </w:tcPr>
          <w:p>
            <w:pPr>
              <w:jc w:val="right"/>
              <w:ind w:right="19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(179,184)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(69,126)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(249,589)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Amortization of Intangible Asset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 on Intangible Asset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Loss on changes in fair value of derivative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22,669</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Change in lease liability</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(1,416)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(21,262)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8"/>
              </w:rPr>
              <w:t>(122,303)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(39,439)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(33,870)</w:t>
            </w: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Purchase of long term investment</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Laxdale Intangible Asset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(12,143)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(14,342)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98,654</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18,702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on issuance of exchangeable senior notes, net of transaction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144,316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Proceeds from long term debt, net of transaction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99,730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awards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Repayment of capital leases</w:t>
            </w:r>
          </w:p>
        </w:tc>
        <w:tc>
          <w:tcPr>
            <w:tcW w:w="100" w:type="dxa"/>
            <w:vAlign w:val="bottom"/>
          </w:tcPr>
          <w:p>
            <w:pPr>
              <w:spacing w:after="0"/>
              <w:rPr>
                <w:sz w:val="19"/>
                <w:szCs w:val="19"/>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280,285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126,647</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143,640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85,160</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116,602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260,242</w:t>
            </w: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116,602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1,118</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items: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Reclass of warrant liability to additional paid-in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103,885</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129,517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240" w:right="7680" w:hanging="232"/>
        <w:spacing w:after="0" w:line="347" w:lineRule="auto"/>
        <w:tabs>
          <w:tab w:leader="none" w:pos="39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Amarin is a biopharmaceutical company with expertise in lipid science focused on the commercialization and development of therapeutics to improve cardiovascular health. On July 26, 2012, the Company received FDA approval to market and sell its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(formerly known as AMR 101)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Triglycerides are fats in the blood. Amarin is also developing Vascepa for the treatment of patients with high triglyceride levels who are also on statin therapy for elevated LDL-C levels, or what the Company refers to as mixed dyslipidemia.</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evaluated subsequent events from December 31, 2012 through the date of the issuance of these consolidated financial statements and has determined that no material subsequent events have occurred that would affect the information presented in these consolidated financial statements or to require additional disclosure not already reflected herein.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commercialization and development of Vascepa, which received approval from the FDA on July 26, 2012. The Company is not considered a development stage business, as the release and sale of the previous product represented the exit of the Company from the development stage.</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December 31, 2012, the Company had cash and cash equivalents of $260.2 million. The Company’s consolidated balance sheet also includes a derivative liability (see footnote 7—Warrants and Derivative Liability) as well as Long term debt and Exchangeable Senior Notes (see footnote 8—Debt). The derivative liability reflects the fair value of outstanding warrants to purchase shares of the Company’s common stock. This liability can only be settled in shares of the Company’s stock and, as such, would only result in cash inflows upon the exercise of the warrants—not a cash out flow. The long term debt is not callable except upon a change in control. The Exchangeable Senior Notes may be redeemed on or after January 19, 2017 at the option of the holders. The Notes are exchangeable under certain circumstances into cash, ADSs, or a combination of cash and ADSs, at the Company’s election. Accordingly, the warrant derivative liability, long term debt and Exchangeable Senior Notes do not present a short term claim on the liquid assets of the Company.</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believes its cash and cash equivalents will be sufficient to fund its operations for at least the next twelve months, including the commercial launch of Vascepa, continued advancement of the REDUCE-IT cardiovascular outcomes study, working capital and other general corporate activities.</w:t>
      </w:r>
    </w:p>
    <w:p>
      <w:pPr>
        <w:spacing w:after="0" w:line="160" w:lineRule="exact"/>
        <w:rPr>
          <w:sz w:val="20"/>
          <w:szCs w:val="20"/>
          <w:color w:val="auto"/>
        </w:rPr>
      </w:pPr>
    </w:p>
    <w:p>
      <w:pPr>
        <w:ind w:left="240" w:right="8700" w:hanging="232"/>
        <w:spacing w:after="0" w:line="417" w:lineRule="auto"/>
        <w:tabs>
          <w:tab w:leader="none" w:pos="392"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 preparation of the Company’s consolidated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states inventories at the lower of cost or market. Cost is determined based on actual cost. An allowance is established when management determines that certain inventories may not be saleable. If inventory cost exceeds expected market value due to obsolescence or quantities in excess of expected demand, the Company will record a reserve for the difference between cost and market value. The Company received FDA approval on July 26, 2012 and after that date began capitalizing inventory purchases of saleable product from approved suppliers.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&amp; Equipment</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their estimated useful lives. The estimated useful lives, by asset classification,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820" w:type="dxa"/>
            <w:vAlign w:val="bottom"/>
          </w:tcPr>
          <w:p>
            <w:pPr>
              <w:spacing w:after="0"/>
              <w:rPr>
                <w:sz w:val="14"/>
                <w:szCs w:val="14"/>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Computer equipment and software</w:t>
            </w:r>
          </w:p>
        </w:tc>
        <w:tc>
          <w:tcPr>
            <w:tcW w:w="260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84"/>
              </w:rPr>
              <w:t>3 - 5 years</w:t>
            </w:r>
          </w:p>
        </w:tc>
        <w:tc>
          <w:tcPr>
            <w:tcW w:w="820" w:type="dxa"/>
            <w:vAlign w:val="bottom"/>
          </w:tcPr>
          <w:p>
            <w:pPr>
              <w:spacing w:after="0"/>
              <w:rPr>
                <w:sz w:val="17"/>
                <w:szCs w:val="17"/>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600" w:type="dxa"/>
            <w:vAlign w:val="bottom"/>
          </w:tcPr>
          <w:p>
            <w:pPr>
              <w:spacing w:after="0"/>
              <w:rPr>
                <w:sz w:val="18"/>
                <w:szCs w:val="18"/>
                <w:color w:val="auto"/>
              </w:rPr>
            </w:pPr>
          </w:p>
        </w:tc>
        <w:tc>
          <w:tcPr>
            <w:tcW w:w="1560" w:type="dxa"/>
            <w:vAlign w:val="bottom"/>
            <w:gridSpan w:val="2"/>
          </w:tcPr>
          <w:p>
            <w:pPr>
              <w:jc w:val="center"/>
              <w:ind w:right="820"/>
              <w:spacing w:after="0"/>
              <w:rPr>
                <w:sz w:val="20"/>
                <w:szCs w:val="20"/>
                <w:color w:val="auto"/>
              </w:rPr>
            </w:pPr>
            <w:r>
              <w:rPr>
                <w:rFonts w:ascii="Arial" w:cs="Arial" w:eastAsia="Arial" w:hAnsi="Arial"/>
                <w:sz w:val="18"/>
                <w:szCs w:val="18"/>
                <w:color w:val="auto"/>
                <w:w w:val="84"/>
              </w:rPr>
              <w:t>5 years</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160" w:type="dxa"/>
            <w:vAlign w:val="bottom"/>
            <w:gridSpan w:val="3"/>
          </w:tcPr>
          <w:p>
            <w:pPr>
              <w:jc w:val="center"/>
              <w:ind w:left="1712"/>
              <w:spacing w:after="0"/>
              <w:rPr>
                <w:sz w:val="20"/>
                <w:szCs w:val="20"/>
                <w:color w:val="auto"/>
              </w:rPr>
            </w:pPr>
            <w:r>
              <w:rPr>
                <w:rFonts w:ascii="Arial" w:cs="Arial" w:eastAsia="Arial" w:hAnsi="Arial"/>
                <w:sz w:val="18"/>
                <w:szCs w:val="18"/>
                <w:color w:val="auto"/>
                <w:w w:val="89"/>
              </w:rPr>
              <w:t>Lesser of useful life or lease term</w:t>
            </w:r>
          </w:p>
        </w:tc>
      </w:tr>
    </w:tbl>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 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undiscounted forecasted cash flows or appraised values, depending on the nature of the assets.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Intangible assets consist of a milestone payment paid to the former shareholders of Laxdale Limited related to the 2004 acquisition of our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ratably over the estimated useful life and no degradation of the cash flows over time is currently anticipated. See footnote 9 for further information regarding other obligations related to the acquisition of Laxdale Limited.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contractual services, including clinical trial and pharmaceutical development costs; commercial supply investment in its drug candidates; and infrastructure costs, including facilities costs and depreciation expense.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Marketing, General and Administrative Costs</w:t>
      </w:r>
    </w:p>
    <w:p>
      <w:pPr>
        <w:spacing w:after="0" w:line="90"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Company charges marketing, general and administrative costs to operations as incurred. Marketing, general and administrative costs include costs of salaries, programs and infrastructure necessary for the general conduct of the Company’s business, including preparations for the 2013 commercial launch of Vascepa in the United States for the MARINE indication. Included as part of marketing, general and administrative costs is warrant related expense from non-cash changes in fair value of the derivative liability associated with warrants issued in October 2009 to former officers of Amarin which is recorded as compensation expense.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liabilities lapse, the derivative financial liability is reclassified out of financial liabilities into equity at its fair value on that date. At settlement date, if the instruments are settled in shares the carrying value of the warrants are derecognised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 dilutive such that basic net loss per share and diluted net loss per share are equal.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at each period end while such instruments are outstanding. If the Company issues shares to discharge the liability, the debt obligation is derecognized and common stock and additional paid-in capital are recognized on the issuance of those shares.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to interest expense over the term of the debt.</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December 2012 debt financing agreement contains a redemption feature triggered upon a change of control, which has been classified as an embedded derivative. The fair value of the derivative was recorded as a reduction to the fair value of the note payable. The fair value of this warrant derivative liability is remeasured at each reporting period, with changes in fair value recognized in the statement of operations. The discount recorded to the note payable is being amortized to interest expense over the term of the note payable.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cost over the requisite service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maintains substantially all of its cash and cash equivalents in financial institutions believed to be of high-credit quality.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(expense) income, net in the consolidated financial statements of operations. For transactions settled during the period, gains and losses are included in other (expense) income, net in the consolidated statements of operations. Foreign exchange gains and losses have not been significant in the periods presented.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Debt issuance costs are initially capitalized as a deferred cost and amortized to interest expense using the effective interest method over the expected term of the related debt. Unamortized debt issuance costs related to extinguishment of debt are expensed at the time the debt is extinguished and recorded in other income (expenses), net in the consolidated statements of operations.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December 31, 2012 and 2011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8"/>
              </w:rPr>
              <w:t>December 31, 2012</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gridSpan w:val="4"/>
          </w:tcPr>
          <w:p>
            <w:pPr>
              <w:jc w:val="center"/>
              <w:ind w:right="520"/>
              <w:spacing w:after="0" w:line="142" w:lineRule="exact"/>
              <w:rPr>
                <w:sz w:val="20"/>
                <w:szCs w:val="20"/>
                <w:color w:val="auto"/>
              </w:rPr>
            </w:pPr>
            <w:r>
              <w:rPr>
                <w:rFonts w:ascii="Arial" w:cs="Arial" w:eastAsia="Arial" w:hAnsi="Arial"/>
                <w:sz w:val="14"/>
                <w:szCs w:val="14"/>
                <w:b w:val="1"/>
                <w:bCs w:val="1"/>
                <w:color w:val="auto"/>
                <w:w w:val="89"/>
              </w:rPr>
              <w:t>Total</w:t>
            </w:r>
          </w:p>
        </w:tc>
        <w:tc>
          <w:tcPr>
            <w:tcW w:w="9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220" w:type="dxa"/>
            <w:vAlign w:val="bottom"/>
            <w:gridSpan w:val="3"/>
          </w:tcPr>
          <w:p>
            <w:pPr>
              <w:jc w:val="center"/>
              <w:ind w:left="27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79"/>
              </w:rPr>
              <w:t>$ 64.1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3"/>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3220" w:type="dxa"/>
            <w:vAlign w:val="bottom"/>
            <w:gridSpan w:val="3"/>
          </w:tcPr>
          <w:p>
            <w:pPr>
              <w:jc w:val="center"/>
              <w:ind w:left="2732"/>
              <w:spacing w:after="0"/>
              <w:rPr>
                <w:sz w:val="20"/>
                <w:szCs w:val="20"/>
                <w:color w:val="auto"/>
              </w:rPr>
            </w:pPr>
            <w:r>
              <w:rPr>
                <w:rFonts w:ascii="Arial" w:cs="Arial" w:eastAsia="Arial" w:hAnsi="Arial"/>
                <w:sz w:val="18"/>
                <w:szCs w:val="18"/>
                <w:color w:val="auto"/>
                <w:w w:val="88"/>
              </w:rPr>
              <w:t>$54.9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 —</w:t>
            </w:r>
          </w:p>
        </w:tc>
        <w:tc>
          <w:tcPr>
            <w:tcW w:w="440" w:type="dxa"/>
            <w:vAlign w:val="bottom"/>
            <w:gridSpan w:val="3"/>
          </w:tcPr>
          <w:p>
            <w:pPr>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redemption feature</w:t>
            </w:r>
          </w:p>
        </w:tc>
        <w:tc>
          <w:tcPr>
            <w:tcW w:w="282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December 31, 2011</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4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79"/>
              </w:rPr>
              <w:t>Level 2</w:t>
            </w:r>
          </w:p>
        </w:tc>
        <w:tc>
          <w:tcPr>
            <w:tcW w:w="38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480" w:type="dxa"/>
            <w:vAlign w:val="bottom"/>
            <w:gridSpan w:val="4"/>
          </w:tcPr>
          <w:p>
            <w:pPr>
              <w:jc w:val="center"/>
              <w:ind w:left="2892"/>
              <w:spacing w:after="0"/>
              <w:rPr>
                <w:sz w:val="20"/>
                <w:szCs w:val="20"/>
                <w:color w:val="auto"/>
              </w:rPr>
            </w:pPr>
            <w:r>
              <w:rPr>
                <w:rFonts w:ascii="Arial" w:cs="Arial" w:eastAsia="Arial" w:hAnsi="Arial"/>
                <w:sz w:val="18"/>
                <w:szCs w:val="18"/>
                <w:color w:val="auto"/>
                <w:w w:val="99"/>
              </w:rPr>
              <w:t>$ 39.0</w:t>
            </w:r>
          </w:p>
        </w:tc>
        <w:tc>
          <w:tcPr>
            <w:tcW w:w="280" w:type="dxa"/>
            <w:vAlign w:val="bottom"/>
          </w:tcPr>
          <w:p>
            <w:pPr>
              <w:spacing w:after="0"/>
              <w:rPr>
                <w:sz w:val="18"/>
                <w:szCs w:val="18"/>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w w:val="79"/>
              </w:rPr>
              <w:t>$ 39.0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3480" w:type="dxa"/>
            <w:vAlign w:val="bottom"/>
            <w:gridSpan w:val="4"/>
          </w:tcPr>
          <w:p>
            <w:pPr>
              <w:jc w:val="center"/>
              <w:ind w:left="28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warrant derivative liability is carried at fair value and is classified as Level 3 in the fair value hierarchy due to the use of significant unobservable inputs. The initial fair value of the warrant derivative liability at the date of issuance in October 2009 was determined to be $48.3 million using the Black-Scholes option valuation model applying the following assumptions: (i) risk-free rate of 2.37%, (ii) remaining term of 5 years, (iii) no dividend yield, (iv) volatility of 119%, and (v) the stock price or the date of measurement.</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December 31, 2011, the fair value of the warrant derivative liability was determined to be $123.1 million using the Black-Scholes option valuation applying the following assumptions: (i) risk-free rate of 0.36%,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8"/>
        <w:spacing w:after="0" w:line="283" w:lineRule="auto"/>
        <w:tabs>
          <w:tab w:leader="none" w:pos="2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remaining term of 2.8 years, (iii) no dividend yield (iv) volatility of 118%, and (v) the stock price or the date of measurement. A $22.6 million increase in the fair value of the warrants during the year, net of exercises was recognized as a $22.7 million loss on change in fair value of derivative liability and $(0.1) million compensation income for change in fair value of warrants issued to former employees, both amounts are included in the consolidated statement of operations for the year ended December 31, 2011. At December 31, 2012, the fair value of the warrant derivative liability was determined to be $54.9 million using the Black-Scholes option valuation model applying the following assumptions: (i) risk-free rate of 0.25%, (ii) remaining term of 1.8 years, (iii) no dividend yield</w:t>
      </w:r>
    </w:p>
    <w:p>
      <w:pPr>
        <w:spacing w:after="0" w:line="2" w:lineRule="exact"/>
        <w:rPr>
          <w:rFonts w:ascii="Arial" w:cs="Arial" w:eastAsia="Arial" w:hAnsi="Arial"/>
          <w:sz w:val="16"/>
          <w:szCs w:val="16"/>
          <w:color w:val="auto"/>
        </w:rPr>
      </w:pPr>
    </w:p>
    <w:p>
      <w:pPr>
        <w:ind w:right="100" w:firstLine="8"/>
        <w:spacing w:after="0" w:line="254" w:lineRule="auto"/>
        <w:tabs>
          <w:tab w:leader="none" w:pos="2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volatility of 95%, and (v) the stock price on the date of measurement. The $35.6 million increase in the fair value of the warrants, net of exercises, was recognized as a $35.4 million loss on change in fair value of derivative liability and $0.2 million in compensation expense for change in fair value of warrants issued to former employees, both amounts are included in the consolidated statement of operations for the year ended December 31, 2012. The change in the fair value of the warrant derivative liabilities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October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80" w:type="dxa"/>
            <w:vAlign w:val="bottom"/>
            <w:gridSpan w:val="2"/>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205,153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for change in fair value of warrants issued to former employees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Transfers to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230,069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gridSpan w:val="2"/>
            <w:vMerge w:val="restart"/>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income for change in fair value of warrants issued to former employees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Transfers to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(129,517)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123,125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gridSpan w:val="2"/>
            <w:vMerge w:val="restart"/>
          </w:tcPr>
          <w:p>
            <w:pPr>
              <w:spacing w:after="0"/>
              <w:rPr>
                <w:sz w:val="20"/>
                <w:szCs w:val="20"/>
                <w:color w:val="auto"/>
              </w:rPr>
            </w:pPr>
            <w:r>
              <w:rPr>
                <w:rFonts w:ascii="Arial" w:cs="Arial" w:eastAsia="Arial" w:hAnsi="Arial"/>
                <w:sz w:val="18"/>
                <w:szCs w:val="18"/>
                <w:color w:val="auto"/>
              </w:rPr>
              <w:t>Initial measurement—December 2012 financing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Compensation expense for change in fair value of warrants issued to former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(103,885)</w:t>
            </w:r>
          </w:p>
        </w:tc>
        <w:tc>
          <w:tcPr>
            <w:tcW w:w="0" w:type="dxa"/>
            <w:vAlign w:val="bottom"/>
          </w:tcPr>
          <w:p>
            <w:pPr>
              <w:spacing w:after="0"/>
              <w:rPr>
                <w:sz w:val="1"/>
                <w:szCs w:val="1"/>
                <w:color w:val="auto"/>
              </w:rPr>
            </w:pPr>
          </w:p>
        </w:tc>
      </w:tr>
      <w:tr>
        <w:trPr>
          <w:trHeight w:val="223"/>
        </w:trPr>
        <w:tc>
          <w:tcPr>
            <w:tcW w:w="105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shares ($8.90 based on the $8.09 market price of our stock at December 31, 2012) on which the December 31, 2012 valuation was based, the value of the derivative liability would have increased by $6.4 million. Such increase would have been reflected as additional loss on change in fair value of the warrant derivative liability in our statement of operations. Significant increases (decreases) in this input in isolation would result in a significantly higher (lower) fair value asset measurement.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Redemption Feature</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December 2012 financing agreement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The difference between the two fair values of the debt was determined to be the fair value of the embedded derivative. The debt was valued by comparing debt issues of similar companies with (i) terms of between 4.8 and 8.0 years, (ii) coupon rates of between 3.0% and 11.5% and (iii) market yields of between 10.7% and 27.7%. The initial fair value of the warrant derivative liability at the date of issuance in December 2012 was determined to be $14.6 million. The Company recognized a $0.02 million gain on change in fair value of derivative liability at December 31, 2012.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years ended December 31, 2012, 2011 and 2010,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15"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2012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5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Remaining Useful</w:t>
            </w:r>
          </w:p>
        </w:tc>
      </w:tr>
      <w:tr>
        <w:trPr>
          <w:trHeight w:val="161"/>
        </w:trPr>
        <w:tc>
          <w:tcPr>
            <w:tcW w:w="5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76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78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Life (years)</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11,624</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11,355</w:t>
            </w:r>
          </w:p>
        </w:tc>
        <w:tc>
          <w:tcPr>
            <w:tcW w:w="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Amortization expense for the year ended December 31, 2012 was $0.3 million and is included in research and development expense. Estimated amortization expense, based upon the Company’s intangible assets at December 31, 2012 is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42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5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5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Inventories consist of the following at December 31, 2012 and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4"/>
                <w:szCs w:val="14"/>
                <w:color w:val="auto"/>
              </w:rPr>
            </w:pPr>
          </w:p>
        </w:tc>
      </w:tr>
      <w:tr>
        <w:trPr>
          <w:trHeight w:val="142"/>
        </w:trPr>
        <w:tc>
          <w:tcPr>
            <w:tcW w:w="2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6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Work in progress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15,471</w:t>
            </w:r>
          </w:p>
        </w:tc>
        <w:tc>
          <w:tcPr>
            <w:tcW w:w="6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26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21,262</w:t>
            </w:r>
          </w:p>
        </w:tc>
        <w:tc>
          <w:tcPr>
            <w:tcW w:w="620" w:type="dxa"/>
            <w:vAlign w:val="bottom"/>
          </w:tcPr>
          <w:p>
            <w:pPr>
              <w:spacing w:after="0"/>
              <w:rPr>
                <w:sz w:val="19"/>
                <w:szCs w:val="19"/>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85"/>
              </w:rPr>
              <w:t>$—</w:t>
            </w:r>
          </w:p>
        </w:tc>
        <w:tc>
          <w:tcPr>
            <w:tcW w:w="6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680" w:type="dxa"/>
            <w:vAlign w:val="bottom"/>
          </w:tcPr>
          <w:p>
            <w:pPr>
              <w:spacing w:after="0"/>
              <w:rPr>
                <w:sz w:val="24"/>
                <w:szCs w:val="24"/>
                <w:color w:val="auto"/>
              </w:rPr>
            </w:pPr>
          </w:p>
        </w:tc>
        <w:tc>
          <w:tcPr>
            <w:tcW w:w="4480" w:type="dxa"/>
            <w:vAlign w:val="bottom"/>
            <w:gridSpan w:val="2"/>
          </w:tcPr>
          <w:p>
            <w:pPr>
              <w:jc w:val="right"/>
              <w:ind w:right="2583"/>
              <w:spacing w:after="0"/>
              <w:rPr>
                <w:sz w:val="20"/>
                <w:szCs w:val="20"/>
                <w:color w:val="auto"/>
              </w:rPr>
            </w:pPr>
            <w:r>
              <w:rPr>
                <w:rFonts w:ascii="Arial" w:cs="Arial" w:eastAsia="Arial" w:hAnsi="Arial"/>
                <w:sz w:val="18"/>
                <w:szCs w:val="18"/>
                <w:color w:val="auto"/>
              </w:rPr>
              <w:t>F-12</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Inventory is valued at lower of cost or market, no reserve for excess or obsolete inventory was recorded at December 31, 2012.</w:t>
      </w:r>
    </w:p>
    <w:p>
      <w:pPr>
        <w:spacing w:after="0" w:line="246"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&amp;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at December 31, 2012 and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201</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1,095</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320</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(176)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288</w:t>
            </w:r>
          </w:p>
        </w:tc>
        <w:tc>
          <w:tcPr>
            <w:tcW w:w="12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432</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years ended December 31, 2012, 2011, and 2010 was $0.2 million, $0.1 million, and $0.1 million, respectively.</w:t>
      </w:r>
    </w:p>
    <w:p>
      <w:pPr>
        <w:spacing w:after="0" w:line="2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Accrued Expenses and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560" w:type="dxa"/>
            <w:vAlign w:val="bottom"/>
            <w:gridSpan w:val="3"/>
          </w:tcPr>
          <w:p>
            <w:pPr>
              <w:jc w:val="right"/>
              <w:ind w:right="27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payroll-related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$2,065</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$1,120</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Research and development expenses (1)</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5,224</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4,033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Research and development accruals are based on the timing of clinical trial activities and related progress payments.</w:t>
      </w:r>
    </w:p>
    <w:p>
      <w:pPr>
        <w:spacing w:after="0" w:line="2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Warrants and Warrant Derivative Liability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had 9,936,826 warrants to purchase common shares outstanding at December 31, 2012 at a weighted-average exercise price of $1.44,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Issue Date</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32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Exercise Price</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Expiration Date</w:t>
            </w:r>
          </w:p>
        </w:tc>
      </w:tr>
      <w:tr>
        <w:trPr>
          <w:trHeight w:val="20"/>
        </w:trPr>
        <w:tc>
          <w:tcPr>
            <w:tcW w:w="1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17,500</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1/17/14</w:t>
            </w:r>
          </w:p>
        </w:tc>
      </w:tr>
      <w:tr>
        <w:trPr>
          <w:trHeight w:val="216"/>
        </w:trPr>
        <w:tc>
          <w:tcPr>
            <w:tcW w:w="3820" w:type="dxa"/>
            <w:vAlign w:val="bottom"/>
            <w:gridSpan w:val="3"/>
          </w:tcPr>
          <w:p>
            <w:pPr>
              <w:jc w:val="right"/>
              <w:ind w:right="1320"/>
              <w:spacing w:after="0"/>
              <w:rPr>
                <w:sz w:val="20"/>
                <w:szCs w:val="20"/>
                <w:color w:val="auto"/>
              </w:rPr>
            </w:pPr>
            <w:r>
              <w:rPr>
                <w:rFonts w:ascii="Arial" w:cs="Arial" w:eastAsia="Arial" w:hAnsi="Arial"/>
                <w:sz w:val="18"/>
                <w:szCs w:val="18"/>
                <w:color w:val="auto"/>
              </w:rPr>
              <w:t>7/31/09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1,804,888</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382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10/16/09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7,487,388</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10/15/14</w:t>
            </w:r>
          </w:p>
        </w:tc>
      </w:tr>
      <w:tr>
        <w:trPr>
          <w:trHeight w:val="223"/>
        </w:trPr>
        <w:tc>
          <w:tcPr>
            <w:tcW w:w="3820" w:type="dxa"/>
            <w:vAlign w:val="bottom"/>
            <w:gridSpan w:val="3"/>
          </w:tcPr>
          <w:p>
            <w:pPr>
              <w:jc w:val="right"/>
              <w:ind w:right="1320"/>
              <w:spacing w:after="0"/>
              <w:rPr>
                <w:sz w:val="20"/>
                <w:szCs w:val="20"/>
                <w:color w:val="auto"/>
              </w:rPr>
            </w:pPr>
            <w:r>
              <w:rPr>
                <w:rFonts w:ascii="Arial" w:cs="Arial" w:eastAsia="Arial" w:hAnsi="Arial"/>
                <w:sz w:val="18"/>
                <w:szCs w:val="18"/>
                <w:color w:val="auto"/>
              </w:rPr>
              <w:t>10/16/09</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627,050</w:t>
            </w:r>
          </w:p>
        </w:tc>
        <w:tc>
          <w:tcPr>
            <w:tcW w:w="1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10/15/14</w:t>
            </w:r>
          </w:p>
        </w:tc>
      </w:tr>
      <w:tr>
        <w:trPr>
          <w:trHeight w:val="216"/>
        </w:trPr>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9,936,826</w:t>
            </w:r>
          </w:p>
        </w:tc>
        <w:tc>
          <w:tcPr>
            <w:tcW w:w="14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gridSpan w:val="2"/>
          </w:tcPr>
          <w:p>
            <w:pPr>
              <w:ind w:left="360"/>
              <w:spacing w:after="0"/>
              <w:rPr>
                <w:sz w:val="20"/>
                <w:szCs w:val="20"/>
                <w:color w:val="auto"/>
              </w:rPr>
            </w:pPr>
            <w:r>
              <w:rPr>
                <w:rFonts w:ascii="Arial" w:cs="Arial" w:eastAsia="Arial" w:hAnsi="Arial"/>
                <w:sz w:val="18"/>
                <w:szCs w:val="18"/>
                <w:color w:val="auto"/>
              </w:rPr>
              <w:t>F-13</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600"/>
          </w:cols>
          <w:pgMar w:left="240" w:top="459" w:right="10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 derivative liability</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an exercise price of $1.50 per ADS. The total number of warrants issued in conjunction with the financing was 35.2 million of which 7.5 million are outstanding at December 31, 2012.</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conjunction with the October 2009 financing, the Company issued an additional 0.9 million warrants to three former officers of which 0.6 million are outstanding as of December 31, 2012.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liability to additional paid-in-capital.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June and July 2009 and April 2007 Warrants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Company issued several warrants in June and July 2009 and April 2007. As of December 31, 2012 and 2011 these warrants have been classified as equity instruments and have been included in the Company’s consolidated balance sheet within additional paid-in-capital.</w:t>
      </w:r>
    </w:p>
    <w:p>
      <w:pPr>
        <w:spacing w:after="0" w:line="160"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 “Biopharma”). Under this agreement, the Company granted to Biopharma a security interest in future receivables associated with the Vascepa patent rights, in exchange for $100 million received at the closing of the agreement which closing occurred in December 2012. The Company has agreed to repay Biopharma up to $150 million of future revenue and receivables. The first repayment under the agreement is a repayment of $2.5 million of interest due to be paid to Biopharma in November 2013 for the fiscal quarter ended September 30, 2013, subject to the limitation described below. Additional quarterly repayments are scheduled to be paid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scheduled for payment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election be reduced and with the reduction carried forward without interest for payment in a future period. Payment of such carried forward amounts are subject to similarly calculated threshold repayment amounts based on Vascepa revenue levels. Except upon a change of control in Amarin, the agreement does not expire until $150 million has been repaid. Under the agreement,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Company can prepay after October 1, 2013, an amount equal to $150 million less any previously repaid amount.</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the Company recorded a derivative liability of $14.6 million as a reduction to the note payable. The fair value of this derivative liability is remeasured at each reporting period, with changes in fair value recognized in the statement of operations. The Company recognized a gain on change in fair value of derivative liability of $0.02 million for the period ended December 31, 2012.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embedded derivative was recorded as a reduction to the face value of the note payable. As of December 31, 2012, the derivative liability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created from the allocation of the proceeds to the change in control option was $14.6 million. For the year ended December 31, 2012,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and $0.02 million of cash and non cash interest expense, respectively. The Company will periodically evaluate the remaining term of the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effective interest will be recalculated each period based on the Company’s most current estimate of repayment.</w:t>
      </w:r>
    </w:p>
    <w:p>
      <w:pPr>
        <w:spacing w:after="0" w:line="16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estimates that its Vascepa revenue levels will be high enough to support repayment to Biopharma in accordance with the repayment schedule without the optional reduction which is allowed to be elected by the Company if the threshold revenue levels are not achieved. Accordingly, the Company currently anticipates that over the schedule repayment period that it will record as interest expense the difference between the proceeds received by the Company and the redemption amount. These estimates will be reevaluated each reporting period by the Company and adjusted if necessary.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(the “Notes”). The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subsidiaries. Corsicanto Limited has no assets, operations, revenues or cash flows other than those related to the issuance, administration and repayment of the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20"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The Notes have a stated interest rate of 3.5% per year, payable semiannually in arrears on January 15 and July 15 of each year beginning on July 15, 2012, and ending upon the Notes’ maturity on January 15, 2032. The Notes are subject to repurchase by the Company at the option of the holders on each of January 19, 2017, January 19, 2022, and January 19, 2027, at a price equal to 100% of the principal amount of the Notes to be repurchased, plus accrued and unpaid interest to, but excluding, the repurchase date. The Notes are exchangeable under certain circumstances into cash, ADSs, or a combination of cash and ADSs, at the Company’s election, with an initial exchange rate of 113.4752 ADSs per $1,000 principal amount of Notes. It is the Company’s current intention to settle these obligations in cash. If the Company elected physical settlement, the Notes would initially be exchangeable into 17,021,280 ADSs. Based on the closing price of the Company’s stock at December 31, 2012, the principal amount of the Notes would exceed the value of the shares if converted on that date by $12.3 million.</w:t>
      </w:r>
    </w:p>
    <w:p>
      <w:pPr>
        <w:spacing w:after="0" w:line="10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Additional covenants include: (i) limitations on future indebtedness under certain circumstances, (ii) the timely filing of documents and reports pursuant to Section 13 or 15(d) of the Exchange Act with both the SEC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2012. If the Notes are not freely tradable, as a result of restrictions pursuant to U.S. securities law or the terms of the Indenture or the Notes, the Company shall pay additional interest on the Notes at the rate of 0.50% per annum of the principal amount of Notes outstanding for each day during such period for which the Company’s failure to file has occurred and is continuing or for which the Notes are not freely tradable.</w:t>
      </w:r>
    </w:p>
    <w:p>
      <w:pPr>
        <w:spacing w:after="0" w:line="1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Notes. On or after January 19, 2017 and prior to the maturity date, the Company may redeem for cash all or part of the Notes at a redemption price equal to 100% of the principal amount of the Notes to be redeemed, plus accrued and unpaid interest to, but excluding, the redemption date. There is no prepayment penalty or sinking fund provided for the Notes. If the Company undergoes a fundamental change, holders may require the Company to repurchase for cash all or part of their Notes at a repurchase price equal to 100% of the principal amount of the Notes to be repurchased, plus accrued and unpaid interest to, but excluding, the fundamental change repurchase date. The Notes are the Company’s senior unsecured obligations and rank senior in right of payment to the Company’s future indebtedness that is expressly subordinated in right of payment to the Notes and equal in right of payment to the Company’s future unsecured indebtedness that is not so subordinated. The Notes are effectively junior in right of payment to future secured indebtedness to the extent of the value of the assets securing such indebtedness.</w:t>
      </w:r>
    </w:p>
    <w:p>
      <w:pPr>
        <w:spacing w:after="0" w:line="12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Notes are exchangeable under certain circumstances, and the proceeds allocated to this conversion option were determined to be $23.8 million and were deducted from the initial fair value of the $150.0 million debt obligation. The conversion option will not be subsequently remeasured as long as it continues to meet conditions for equity classification. The Notes fall under Level 3 of the fair value hierarchy. The Company determined the fair value of the liability component of the Notes to be $126.2 million, and the excess of the principal amount of the liability component over the liability is the amount allocated to the conversion option and also results in a discount on the debt. The discount created from allocating proceeds to the conversion option will be amortized to interest expense using the effective interest method over the Notes’ estimated remaining life, which was calculated to be a period of twenty-four months. The effective interest rate of the Notes is 14.5%. As of December 31, 2012, the unamortized discount created from the allocation of the proceeds to the conversion option was $13.1 million.</w:t>
      </w:r>
    </w:p>
    <w:p>
      <w:pPr>
        <w:spacing w:after="0" w:line="1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Notes of twenty-four months. As of December 31, 2012, the unamortized debt discount was $2.6 million and was recorded as a direct reduction of debt on the balance sheet. The carrying value of the Notes, net of the unamortized discount, was $134.3 million. During the year ending December 31, 2012, the Company recognized interest expense of $17.9 million related to the Notes, of which $10.7 million represents amortization of the debt discount created upon allocation of proceeds to the conversion option, $5.1 million represents contractual coupon interest, and $2.1 million represents the amortization of the discount from the underwriter’s discounts and offering costs. At December 31, 2012, the Company had accrued interest of $2.4 million, which has been included in other current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July 2012, the first interest payment of $2.7 million was paid as scheduled.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is, from time to time, subject to disputes arising in the normal course of business. At December 31, 2012, there were no asserted claims against the Company which in the opinion of management, would have a material effect on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Company leases office space and office equipment under operating and capital leases. Future minimum lease payments under these leases as of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are as follows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r>
      <w:tr>
        <w:trPr>
          <w:trHeight w:val="203"/>
        </w:trPr>
        <w:tc>
          <w:tcPr>
            <w:tcW w:w="16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6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706</w:t>
            </w: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2014</w:t>
            </w: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1,090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Total principal obligations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8"/>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Long-term capital lease</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On November 28, 2011, the Company entered into a lease agreement for 4,327 net useable square feet of office space in Groton, Connecticut. The Lease terminates on January 31, 2015, but may be extended by Amarin for a period of three years. Under the Lease, Amarin will pay monthly rent of approximately $8,500 for the first three years and, if Amarin chooses to extend the lease, monthly rent would increase 3% in each of years four, five and six, respectively.</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September 30, 2011, the Company entered into an agreement for 320 square feet of office space at 2 Pembroke House, Upper Pembroke Street 28-32 in Dublin, Ireland. The agreement began November 1, 2011 and terminates on October 31, 2013 but can be extended automatically for successive one year periods. Monthly rent is approximately €2,700 (approximately $3,500). The agreement can be terminated by either party with three months prior written notice.</w:t>
      </w:r>
    </w:p>
    <w:p>
      <w:pPr>
        <w:spacing w:after="0" w:line="10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In May 2011, the Company entered into an agreement for 9,747 square feet of office space in Bedminster, NJ. Monthly rent is approximately $21,931. The agreement began July 1, 2011 and terminates on June 30, 2014. The agreement can be terminated by either party with six months prior written notice. In December 2011, the Company leased an additional 2,142 square feet in the same location under the same terms as the previous lease. In December 2012, the Company leased an additional 2,601 square feet in the same location under the same terms as the previous 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during the years ended 2012, 2011 and 2010 was approximately $0.6 million, $0.5 million, and $0.3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 Liability</w:t>
      </w:r>
    </w:p>
    <w:p>
      <w:pPr>
        <w:spacing w:after="0" w:line="9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 December 2005 the Company ceased using office space in Ely, Cambridgeshire. Amarin is obligated to pay rent, service charges and rates to the end of the lease, which expires in November 2014. The premises have been sublet through November 2014. Liabilities for exited lease facilities at December 31, 2012 and 2011 were $0.02 million and $0.1 million respectively, and are included on the consolidated balance sheet under accrued expenses and other long-term liabilities.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hanging="325"/>
        <w:spacing w:after="0" w:line="294"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2010 supply agreement with the Company’s existing Japan-based supplier: (i) a one-time non-refundable payment of $0.5 million is due to the supplier upon the first marketing approval of Vascepa in the United States, which was received from the FDA in July 2012. This milestone payment was made in cash in August 2012. Subsequent to FDA approval of Vascepa, the supply agreement provides for minimum supply purchase obligations on behalf of the Company, which remaining aggregate minimum purchase obligations are approximately $9.9 million through 2013 as of December 31, 2012. In preparation for the commercialization of Vascepa, the Company may purchase more than this minimum amount.</w:t>
      </w:r>
    </w:p>
    <w:p>
      <w:pPr>
        <w:spacing w:after="0" w:line="34" w:lineRule="exact"/>
        <w:rPr>
          <w:rFonts w:ascii="Arial" w:cs="Arial" w:eastAsia="Arial" w:hAnsi="Arial"/>
          <w:sz w:val="16"/>
          <w:szCs w:val="16"/>
          <w:color w:val="auto"/>
        </w:rPr>
      </w:pPr>
    </w:p>
    <w:p>
      <w:pPr>
        <w:ind w:left="900" w:hanging="325"/>
        <w:spacing w:after="0" w:line="285"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signed two additional agreements in 2011 for the supply of API materials for Vascepa. In July 2012, the Company agreed to terms with a fourth API supplier, which terms were subject to certain contingencies that were satisfied in December 2012. These agreements provide access to additional API supply that is incremental to supply from Nisshin Pharma, the Company’s existing Japan-based API supplier. These agreements include requirements for the suppliers to qualify their materials and facilities with applicable regulatory authorities including the FDA. The Company anticipates incurring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exclusivity with each respective supplier, and to prevent potential termination of the agreements. Since these suppliers have not yet been qualified for the manufacture of API for commercial sale as of December 31, 2012, no liability has been recorded for these minimum purchase obligations. The 2011 supply agreements also include (i) development fees up to a maximum of $0.5 million (ii) material commitments of up to $5.0 million for initial raw materials, which will be credited against future API purchases and is refundable to Amarin if the supplier does not successfully develop and qualify the API by a certain date and (iii) a raw material purchase commitment of $1.1 million. Under these agreements, during 2012 the Company purchased $1.0 million of Vascepa API from Chemport and made advance payments of $3.0 million for API and purchases of $0.2 million for API from BASF. The agreement with the fourth API supplier, when all contingencies are eliminated by the supplier, provides for development fees of up to $2.3 million and a commitment of up to $15.0 million, which will be credited against future API material purchases. Under this agreement, during 2012 the Company made payments of $1.6 million to Slanhmor related to stability and technical batches and advances on future API purchases.</w:t>
      </w:r>
    </w:p>
    <w:p>
      <w:pPr>
        <w:spacing w:after="0" w:line="42" w:lineRule="exact"/>
        <w:rPr>
          <w:rFonts w:ascii="Arial" w:cs="Arial" w:eastAsia="Arial" w:hAnsi="Arial"/>
          <w:sz w:val="16"/>
          <w:szCs w:val="16"/>
          <w:color w:val="auto"/>
        </w:rPr>
      </w:pPr>
    </w:p>
    <w:p>
      <w:pPr>
        <w:ind w:left="900" w:right="160" w:hanging="325"/>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Concurrent with its entry into one of the two agreements entered into in 2011 for the supply of API materials for Vascepa, the Company agreed to make a noncontrolling minority share equity investment in the supplier of up to $3.3 million. The Company invested $1.7 million under this agreement in July 2011 and the remaining $1.6 million during 2012. These amounts have been included in other long term assets and accounted for under the cost method at December 31, 2012.</w:t>
      </w:r>
    </w:p>
    <w:p>
      <w:pPr>
        <w:spacing w:after="0" w:line="62"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or Laxdale, upon receipt of marketing approval in the U.S. and/or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$12.1 million at December 31, 2012) for each of the two potential marketing approvals. Upon approval of Vascepa by the FDA on July 26, 2012, the Company capitalized this first Laxdale milestone ($11.6 million on July 26, 2012) as a component of other long term assets. This long-term asset will be amortized over the estimated useful life of the intellectual property the Company acquired from Laxdale and the Company recognized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amortization expense of $0.3 million during the year ended December 31, 2012. The Company paid $12.1 million in cash in November 2012 in settlement of this liability and recognized a currency exchange loss of $0.5 million.</w:t>
      </w:r>
    </w:p>
    <w:p>
      <w:pPr>
        <w:spacing w:after="0" w:line="51" w:lineRule="exact"/>
        <w:rPr>
          <w:sz w:val="20"/>
          <w:szCs w:val="20"/>
          <w:color w:val="auto"/>
        </w:rPr>
      </w:pPr>
    </w:p>
    <w:p>
      <w:pPr>
        <w:ind w:left="920" w:right="180"/>
        <w:spacing w:after="0" w:line="298" w:lineRule="auto"/>
        <w:rPr>
          <w:sz w:val="20"/>
          <w:szCs w:val="20"/>
          <w:color w:val="auto"/>
        </w:rPr>
      </w:pPr>
      <w:r>
        <w:rPr>
          <w:rFonts w:ascii="Arial" w:cs="Arial" w:eastAsia="Arial" w:hAnsi="Arial"/>
          <w:sz w:val="16"/>
          <w:szCs w:val="16"/>
          <w:color w:val="auto"/>
        </w:rPr>
        <w:t>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$8.1 million at December 31, 2012) for each of the two potential market approvals (i.e. £10 million maximum, or approximately $16.2 million at December 31,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December 31, 2012.</w:t>
      </w:r>
    </w:p>
    <w:p>
      <w:pPr>
        <w:spacing w:after="0" w:line="246" w:lineRule="exact"/>
        <w:rPr>
          <w:sz w:val="20"/>
          <w:szCs w:val="20"/>
          <w:color w:val="auto"/>
        </w:rPr>
      </w:pPr>
    </w:p>
    <w:p>
      <w:pPr>
        <w:ind w:left="240" w:right="10140" w:hanging="232"/>
        <w:spacing w:after="0" w:line="417" w:lineRule="auto"/>
        <w:tabs>
          <w:tab w:leader="none" w:pos="48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years ended December 31, 2012 and 2011, as a result of the exercise of stock options the Company issued 3,380,413 and 2,273,221 shares, respectively, resulting in gross and net proceeds of $8.2 million for the year ended December 31, 2012, and gross proceeds of $5.2 million and net proceeds of $5.1 million for the year ended December 31, 2011.</w:t>
      </w:r>
    </w:p>
    <w:p>
      <w:pPr>
        <w:spacing w:after="0" w:line="14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the years ended December 31, 2012 and 2011, as a result of the exercise of warrants the Company issued 11,047,579 and 12,888,369 shares, respectively, resulting in gross and net proceeds of $16.7 million for the year ended December 31, 2012, and gross proceeds of $19.0 million and net proceeds of $18.7 million for the year ended December 31, 2011.</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 2012, the Company granted 584,400 restricted stock units (“RSU’s”) to several employees under the Amarin Corporation plc 2011 Stock Incentive Plan. These RSUs vest upon the achievement of certain regulatory and time-based milestones and expire on February 1,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Remuneration Committee in shares or a combination of cash or shares. The fair value of the RSUs was determined on the date of grant, and compensation expense related to the RSUs is recognized once the related milestone is deemed probable. The Company recorded expense of $1.4 million for the year ended December 31, 2012 related to the vesting of the RSUs, respectively. In connection with FDA approval of Vascepa in July 2012, an aggregate of 97,398 shares were issued under these RSUs.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gross proceeds of $104.9 million and net proceeds of $98.7 million.</w:t>
      </w:r>
    </w:p>
    <w:p>
      <w:pPr>
        <w:spacing w:after="0" w:line="207"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As of December 31, 2012, interest and penalties related to any uncertain tax positions have been insignificant. The Company recognizes interest and penalties related to uncertain tax positions in the provision for income taxes. The total amount of unrecognized tax benefits that would affect the Company’s effective tax rate if recognized is $1.2 million as of December 31, 2012, compared to $1.0 million as of December 31,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total amounts of unrecognized tax benefits for the years ended December 31, 2012, 2011 and 2010:</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Beginning uncertain tax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Current year—increases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Current year—decreases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Ending uncertain tax benefits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1,243</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997</w:t>
            </w:r>
          </w:p>
        </w:tc>
        <w:tc>
          <w:tcPr>
            <w:tcW w:w="4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files income tax returns in the U.S., Ireland and United Kingdom. The Company remains subject to tax examinations in the following jurisdictions at December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980" w:type="dxa"/>
            <w:vAlign w:val="bottom"/>
            <w:gridSpan w:val="3"/>
          </w:tcPr>
          <w:p>
            <w:pPr>
              <w:ind w:left="460"/>
              <w:spacing w:after="0"/>
              <w:rPr>
                <w:sz w:val="20"/>
                <w:szCs w:val="20"/>
                <w:color w:val="auto"/>
              </w:rPr>
            </w:pPr>
            <w:r>
              <w:rPr>
                <w:rFonts w:ascii="Arial" w:cs="Arial" w:eastAsia="Arial" w:hAnsi="Arial"/>
                <w:sz w:val="14"/>
                <w:szCs w:val="14"/>
                <w:b w:val="1"/>
                <w:bCs w:val="1"/>
                <w:color w:val="auto"/>
              </w:rPr>
              <w:t>Jurisdiction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Tax Years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w w:val="88"/>
              </w:rPr>
              <w:t>2009-2012</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8"/>
                <w:szCs w:val="18"/>
                <w:color w:val="auto"/>
                <w:w w:val="88"/>
              </w:rPr>
              <w:t>2007-2012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5"/>
              </w:rPr>
              <w:t>2011-2012</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6"/>
        </w:trPr>
        <w:tc>
          <w:tcPr>
            <w:tcW w:w="6360" w:type="dxa"/>
            <w:vAlign w:val="bottom"/>
            <w:gridSpan w:val="4"/>
          </w:tcPr>
          <w:p>
            <w:pPr>
              <w:spacing w:after="0"/>
              <w:rPr>
                <w:sz w:val="20"/>
                <w:szCs w:val="20"/>
                <w:color w:val="auto"/>
              </w:rPr>
            </w:pPr>
            <w:r>
              <w:rPr>
                <w:rFonts w:ascii="Arial" w:cs="Arial" w:eastAsia="Arial" w:hAnsi="Arial"/>
                <w:sz w:val="18"/>
                <w:szCs w:val="18"/>
                <w:color w:val="auto"/>
              </w:rPr>
              <w:t>The Company expects gross liabilities of $256,000 to expire in 2013.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6360" w:type="dxa"/>
            <w:vAlign w:val="bottom"/>
            <w:gridSpan w:val="4"/>
          </w:tcPr>
          <w:p>
            <w:pPr>
              <w:spacing w:after="0"/>
              <w:rPr>
                <w:sz w:val="20"/>
                <w:szCs w:val="20"/>
                <w:color w:val="auto"/>
              </w:rPr>
            </w:pPr>
            <w:r>
              <w:rPr>
                <w:rFonts w:ascii="Arial" w:cs="Arial" w:eastAsia="Arial" w:hAnsi="Arial"/>
                <w:sz w:val="18"/>
                <w:szCs w:val="18"/>
                <w:color w:val="auto"/>
                <w:w w:val="91"/>
              </w:rPr>
              <w:t>The components of loss from operations before taxes were as follows at 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7"/>
          </w:tcPr>
          <w:p>
            <w:pPr>
              <w:jc w:val="center"/>
              <w:ind w:right="3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Ireland and United Kingdom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(171,942)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(67,629)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(252,077)</w:t>
            </w:r>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(170,068)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(66,610)</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8"/>
              </w:rPr>
              <w:t>(250,090)</w:t>
            </w: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expense (benefit) from income taxes shown in the accompanying consolidated statements of operations consists of the following for fiscal 2012, 2011 and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10,265</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$ 3,908</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12,830</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$ 5,009</w:t>
            </w: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(2,803)</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(1,936)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(1,604)</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Ireland and United Kingdom</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(22,515)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(5,566)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(6,035)</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valuation allowance</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22,515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6,035</w:t>
            </w:r>
          </w:p>
        </w:tc>
        <w:tc>
          <w:tcPr>
            <w:tcW w:w="120" w:type="dxa"/>
            <w:vAlign w:val="bottom"/>
            <w:shd w:val="clear" w:color="auto" w:fill="CCEEFF"/>
          </w:tcPr>
          <w:p>
            <w:pPr>
              <w:spacing w:after="0"/>
              <w:rPr>
                <w:sz w:val="18"/>
                <w:szCs w:val="18"/>
                <w:color w:val="auto"/>
              </w:rPr>
            </w:pP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2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(3,714)</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(2,493)</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(1,691)</w:t>
            </w:r>
          </w:p>
        </w:tc>
      </w:tr>
      <w:tr>
        <w:trPr>
          <w:trHeight w:val="28"/>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0" w:type="dxa"/>
            <w:vAlign w:val="bottom"/>
            <w:gridSpan w:val="2"/>
          </w:tcPr>
          <w:p>
            <w:pPr>
              <w:jc w:val="right"/>
              <w:ind w:right="1003"/>
              <w:spacing w:after="0"/>
              <w:rPr>
                <w:sz w:val="20"/>
                <w:szCs w:val="20"/>
                <w:color w:val="auto"/>
              </w:rPr>
            </w:pPr>
            <w:r>
              <w:rPr>
                <w:rFonts w:ascii="Arial" w:cs="Arial" w:eastAsia="Arial" w:hAnsi="Arial"/>
                <w:sz w:val="18"/>
                <w:szCs w:val="18"/>
                <w:color w:val="auto"/>
              </w:rPr>
              <w:t>F-20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expense (benefit) from income taxes differs from the amount computed by applying the statutory income tax rate to income before taxes due to the following for fiscal 2012, 2011 and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Benefits from taxes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(42,517)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(16,652)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(62,523)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Rate differential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13,249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3,871</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Change in valuation reserves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22,515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Permanent &amp; other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Warrant derivative liabilities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8,904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5,643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52,761</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9,116</w:t>
            </w:r>
          </w:p>
        </w:tc>
        <w:tc>
          <w:tcPr>
            <w:tcW w:w="3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2,516</w:t>
            </w:r>
          </w:p>
        </w:tc>
        <w:tc>
          <w:tcPr>
            <w:tcW w:w="36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r>
      <w:tr>
        <w:trPr>
          <w:trHeight w:val="20"/>
        </w:trPr>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tax residency of Amarin Corporation plc migrated from the United Kingdom (UK) to Ireland in April 2008. As a result of the migration, unutilized UK trading losses at the date of migration are no longer available for offset against taxable profits. The Company is subject to corporate tax rate in Ireland of 25% for non-trading activities and 12.5% for trading activities. For the years ended December 31, 2012, 2011 and 2010,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effect of each type of temporary difference comprising the net deferred tax asset at December 31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Net operating losses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55,086</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32,841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Other reserves and accrued liabilities</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64,875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(55,894)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(33,379)</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Irish, UK, and Israeli net operating losses and the related deferred tax assets would not be realized in future periods and a full valuation allowance has been provided for all periods.</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combined Irish, UK, and Israeli net operating loss carryforwards of $315.6 million, which began to expire in 2011. In addition, the Company has available U.S. Federal tax credit carryforwards of $0.4 million and state tax credit carryforwards of $2.3 million. These carryforwards which will expire between 2029 and 2031 may be used to offset future taxable income, if any.</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expects to recognize a tax benefit related to the extension of the research and development credits in the first quarter of 2013 and expects to record a discrete benefit of approximately $1.0 million.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and Stock Based Compensation</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April 29, 2011 the Board, upon the recommendation of the Remuneration Committee, adopted the 2011 Stock Incentive Plan (“2011 Plan”), which was approved by the Company’s shareholders on July 12, 2011. The 2011 Plan replaced the Company’s 2002 Stock Option Plan (“2002 Plan”), which expired on January 1, 2012. The maximum number of the Company’s Ordinary Shares of £0.50 each or any ADS’s, as to be issued under the 2011 Plan shall not exceed the sum of (i) 3.5 million newly authorized Shares available for award and (ii) the number of Shares that remained available for grants under the Company’s 2002 Plan and (iii) the number of 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our Board of Directors and expires on July 12, 2021.</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grants under the 2011 Plan, the Company grants nonqualified stock options to employees to purchase shares of the Company’s ordinary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These grants are made pursuant to employment agreements on terms consistent with the 2011 Plan.</w:t>
      </w:r>
    </w:p>
    <w:p>
      <w:pPr>
        <w:spacing w:after="0" w:line="1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Under the terms of the 2011 Plan, and grants made pursuant to employment agreements, options typically vest over a four year period, expire after a 10 year term and are granted at an exercise price equal to the closing price of the Company’s American Depository Receipts on the grant date. The following table summarizes all stock option activity for the year ended December 31,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Weighted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3"/>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tcPr>
          <w:p>
            <w:pPr>
              <w:jc w:val="right"/>
              <w:ind w:right="365"/>
              <w:spacing w:after="0" w:line="149" w:lineRule="exact"/>
              <w:rPr>
                <w:sz w:val="20"/>
                <w:szCs w:val="20"/>
                <w:color w:val="auto"/>
              </w:rPr>
            </w:pPr>
            <w:r>
              <w:rPr>
                <w:rFonts w:ascii="Arial" w:cs="Arial" w:eastAsia="Arial" w:hAnsi="Arial"/>
                <w:sz w:val="14"/>
                <w:szCs w:val="14"/>
                <w:b w:val="1"/>
                <w:bCs w:val="1"/>
                <w:color w:val="auto"/>
              </w:rPr>
              <w:t>Contractual</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tcPr>
          <w:p>
            <w:pPr>
              <w:jc w:val="center"/>
              <w:ind w:right="105"/>
              <w:spacing w:after="0"/>
              <w:rPr>
                <w:sz w:val="20"/>
                <w:szCs w:val="20"/>
                <w:color w:val="auto"/>
              </w:rPr>
            </w:pPr>
            <w:r>
              <w:rPr>
                <w:rFonts w:ascii="Arial" w:cs="Arial" w:eastAsia="Arial" w:hAnsi="Arial"/>
                <w:sz w:val="14"/>
                <w:szCs w:val="14"/>
                <w:b w:val="1"/>
                <w:bCs w:val="1"/>
                <w:color w:val="auto"/>
                <w:w w:val="87"/>
              </w:rPr>
              <w:t>Term</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85"/>
              </w:rPr>
              <w:t>(in thousands, except for per share amounts)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10.49</w:t>
            </w: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Cancelled/Expired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13.09</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(3,380)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w:t>
            </w:r>
          </w:p>
        </w:tc>
        <w:tc>
          <w:tcPr>
            <w:tcW w:w="1400" w:type="dxa"/>
            <w:vAlign w:val="bottom"/>
            <w:shd w:val="clear" w:color="auto" w:fill="CCEEFF"/>
          </w:tcPr>
          <w:p>
            <w:pPr>
              <w:jc w:val="right"/>
              <w:ind w:right="365"/>
              <w:spacing w:after="0"/>
              <w:rPr>
                <w:sz w:val="20"/>
                <w:szCs w:val="20"/>
                <w:color w:val="auto"/>
              </w:rPr>
            </w:pPr>
            <w:r>
              <w:rPr>
                <w:rFonts w:ascii="Arial" w:cs="Arial" w:eastAsia="Arial" w:hAnsi="Arial"/>
                <w:sz w:val="18"/>
                <w:szCs w:val="18"/>
                <w:color w:val="auto"/>
              </w:rPr>
              <w:t>8.3 years</w:t>
            </w:r>
          </w:p>
        </w:tc>
        <w:tc>
          <w:tcPr>
            <w:tcW w:w="66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82"/>
              </w:rPr>
              <w:t>$ 26,337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vMerge w:val="restart"/>
          </w:tcPr>
          <w:p>
            <w:pPr>
              <w:jc w:val="right"/>
              <w:ind w:right="365"/>
              <w:spacing w:after="0"/>
              <w:rPr>
                <w:sz w:val="20"/>
                <w:szCs w:val="20"/>
                <w:color w:val="auto"/>
              </w:rPr>
            </w:pPr>
            <w:r>
              <w:rPr>
                <w:rFonts w:ascii="Arial" w:cs="Arial" w:eastAsia="Arial" w:hAnsi="Arial"/>
                <w:sz w:val="18"/>
                <w:szCs w:val="18"/>
                <w:color w:val="auto"/>
              </w:rPr>
              <w:t>7.8 years</w:t>
            </w:r>
          </w:p>
        </w:tc>
        <w:tc>
          <w:tcPr>
            <w:tcW w:w="660" w:type="dxa"/>
            <w:vAlign w:val="bottom"/>
            <w:vMerge w:val="restart"/>
          </w:tcPr>
          <w:p>
            <w:pPr>
              <w:jc w:val="center"/>
              <w:ind w:left="2"/>
              <w:spacing w:after="0"/>
              <w:rPr>
                <w:sz w:val="20"/>
                <w:szCs w:val="20"/>
                <w:color w:val="auto"/>
              </w:rPr>
            </w:pPr>
            <w:r>
              <w:rPr>
                <w:rFonts w:ascii="Arial" w:cs="Arial" w:eastAsia="Arial" w:hAnsi="Arial"/>
                <w:sz w:val="18"/>
                <w:szCs w:val="18"/>
                <w:color w:val="auto"/>
                <w:w w:val="82"/>
              </w:rPr>
              <w:t>$ 15,234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3,857</w:t>
            </w:r>
          </w:p>
        </w:tc>
        <w:tc>
          <w:tcPr>
            <w:tcW w:w="80" w:type="dxa"/>
            <w:vAlign w:val="bottom"/>
          </w:tcPr>
          <w:p>
            <w:pPr>
              <w:spacing w:after="0"/>
              <w:rPr>
                <w:sz w:val="18"/>
                <w:szCs w:val="18"/>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5.23</w:t>
            </w:r>
          </w:p>
        </w:tc>
        <w:tc>
          <w:tcPr>
            <w:tcW w:w="14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w:t>
            </w:r>
          </w:p>
        </w:tc>
        <w:tc>
          <w:tcPr>
            <w:tcW w:w="1400" w:type="dxa"/>
            <w:vAlign w:val="bottom"/>
            <w:shd w:val="clear" w:color="auto" w:fill="CCEEFF"/>
          </w:tcPr>
          <w:p>
            <w:pPr>
              <w:jc w:val="right"/>
              <w:ind w:right="365"/>
              <w:spacing w:after="0"/>
              <w:rPr>
                <w:sz w:val="20"/>
                <w:szCs w:val="20"/>
                <w:color w:val="auto"/>
              </w:rPr>
            </w:pPr>
            <w:r>
              <w:rPr>
                <w:rFonts w:ascii="Arial" w:cs="Arial" w:eastAsia="Arial" w:hAnsi="Arial"/>
                <w:sz w:val="18"/>
                <w:szCs w:val="18"/>
                <w:color w:val="auto"/>
              </w:rPr>
              <w:t>8.2 years</w:t>
            </w:r>
          </w:p>
        </w:tc>
        <w:tc>
          <w:tcPr>
            <w:tcW w:w="66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82"/>
              </w:rPr>
              <w:t>$ 25,927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 at December 31, 2012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fair value of the stock options granted during the year ended December 31, 2012, 2011 and 2010 was $8.79, $8.61, and $2.21, respectively.</w:t>
      </w:r>
    </w:p>
    <w:p>
      <w:pPr>
        <w:spacing w:after="0" w:line="20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year ended December 31, 2012, the Company received cash of $8.3 million from the exercise of options. The intrinsic value of options exercised during fiscal 2012 was $34.1 million and $11.9 million during fiscal 2011. As of December 31, 2012 and 2011, there was $41.8 million and $36.9 million of unrecognized stock-based compensation expense related to unvested stock option share-based compensation arrangements granted under the Company’s stock award plans. This expense is expected to be recognized over a weighted-average period of approximately 2.3 years. There was an impact of $11.3 million, on the presentation in the consolidated statement of cash flows relating to excess tax benefits on the U.S. federal level that have been realized as a reduction in taxes payable for the year ended December 31, 2012. The Company recognizes compensation expense for the fair values of those awards which have graded vesting on a straight line basis.</w:t>
      </w:r>
    </w:p>
    <w:p>
      <w:pPr>
        <w:spacing w:after="0" w:line="11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fair value of options on the date of grant was estimated using the Black-Scholes option pricing model. Use of a valuation model requires management to make certain assumptions with respect to selected model inputs.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Expected stock price volatility was calculated based on the historical volatility of the Company’s common stock over the expected life of the option. The expected life was determined based on the expected holding period of an industry peer group due to lack of history of employee exercises.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w:t>
      </w:r>
    </w:p>
    <w:p>
      <w:pPr>
        <w:spacing w:after="0" w:line="113" w:lineRule="exact"/>
        <w:rPr>
          <w:sz w:val="20"/>
          <w:szCs w:val="20"/>
          <w:color w:val="auto"/>
        </w:rPr>
      </w:pPr>
    </w:p>
    <w:p>
      <w:pPr>
        <w:jc w:val="both"/>
        <w:ind w:right="340"/>
        <w:spacing w:after="0" w:line="323" w:lineRule="auto"/>
        <w:rPr>
          <w:sz w:val="20"/>
          <w:szCs w:val="20"/>
          <w:color w:val="auto"/>
        </w:rPr>
      </w:pPr>
      <w:r>
        <w:rPr>
          <w:rFonts w:ascii="Arial" w:cs="Arial" w:eastAsia="Arial" w:hAnsi="Arial"/>
          <w:sz w:val="15"/>
          <w:szCs w:val="15"/>
          <w:color w:val="auto"/>
        </w:rPr>
        <w:t>Employee stock options granted prior to June 30, 2009 generally vested over a three-year service period. Employee stock options granted after June 30, 2009 generally vest over a four-year service period and all stock options are settled by the issuance of new shares. Compensation expense recognized for all option grants is net of estimated forfeitures and is recognized over the awards’ respective requisite service periods. The Company recorded compensation expense in relation to stock options of $16.7 million, $9.2 million and $5.2 million for the years ended December 31, 2012, 2011 and 2010,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For 2012, 2011 and 2010, the Company used the following assumptions to estimate the fair value of share-based payment awards: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210"/>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0.81% - 1.39%</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 - 2.56%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340" w:type="dxa"/>
            <w:vAlign w:val="bottom"/>
            <w:gridSpan w:val="2"/>
          </w:tcPr>
          <w:p>
            <w:pPr>
              <w:jc w:val="right"/>
              <w:ind w:right="352"/>
              <w:spacing w:after="0"/>
              <w:rPr>
                <w:sz w:val="20"/>
                <w:szCs w:val="20"/>
                <w:color w:val="auto"/>
              </w:rPr>
            </w:pPr>
            <w:r>
              <w:rPr>
                <w:rFonts w:ascii="Arial" w:cs="Arial" w:eastAsia="Arial" w:hAnsi="Arial"/>
                <w:sz w:val="18"/>
                <w:szCs w:val="18"/>
                <w:color w:val="auto"/>
              </w:rPr>
              <w:t>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- 6.25</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109% - 111%</w:t>
            </w:r>
          </w:p>
        </w:tc>
        <w:tc>
          <w:tcPr>
            <w:tcW w:w="3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105% - 112%</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720" w:type="dxa"/>
            <w:vAlign w:val="bottom"/>
          </w:tcPr>
          <w:p>
            <w:pPr>
              <w:ind w:left="20"/>
              <w:spacing w:after="0"/>
              <w:rPr>
                <w:sz w:val="20"/>
                <w:szCs w:val="20"/>
                <w:color w:val="auto"/>
              </w:rPr>
            </w:pPr>
            <w:r>
              <w:rPr>
                <w:rFonts w:ascii="Arial" w:cs="Arial" w:eastAsia="Arial" w:hAnsi="Arial"/>
                <w:sz w:val="18"/>
                <w:szCs w:val="18"/>
                <w:color w:val="auto"/>
              </w:rPr>
              <w:t>- 110%</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2011 Plan also allows for granting of restricted stock unit awards under the terms of the Plan. The majority of the restricted stock units vest upon the achievement of various performance conditions such as FDA approval. Additionally, there is a service condition tied to each performance condition achieved. The company estimated the fair value of the restricted stock units using the market price of its common stock on the date of grant. The fair value of restricted stock units is amortized on a straight-line basis over the vesting period. The following table presents the restricted stock unit activity for the year ended December 31, 2012.</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 Fair</w:t>
            </w: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2012:</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620" w:type="dxa"/>
            <w:vAlign w:val="bottom"/>
          </w:tcPr>
          <w:p>
            <w:pPr>
              <w:spacing w:after="0"/>
              <w:rPr>
                <w:sz w:val="18"/>
                <w:szCs w:val="18"/>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Outstanding—as of December 31, 2012</w:t>
            </w:r>
          </w:p>
        </w:tc>
        <w:tc>
          <w:tcPr>
            <w:tcW w:w="1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recorded compensation expense in relation to restricted stock units of $1.4 million, $0, and $0 for the years ended December 31, 2012, 2011 and 2010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stock-based compensation expense related to stock based awards for the period ended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14,375</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80" w:type="dxa"/>
            <w:vAlign w:val="bottom"/>
            <w:gridSpan w:val="2"/>
          </w:tcPr>
          <w:p>
            <w:pPr>
              <w:jc w:val="right"/>
              <w:ind w:right="1400"/>
              <w:spacing w:after="0"/>
              <w:rPr>
                <w:sz w:val="20"/>
                <w:szCs w:val="20"/>
                <w:color w:val="auto"/>
              </w:rPr>
            </w:pPr>
            <w:r>
              <w:rPr>
                <w:rFonts w:ascii="Arial" w:cs="Arial" w:eastAsia="Arial" w:hAnsi="Arial"/>
                <w:sz w:val="18"/>
                <w:szCs w:val="18"/>
                <w:color w:val="auto"/>
              </w:rPr>
              <w:t>F-23</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sponsored a defined contribution plan for certain of its employees and makes available a 401(k) plan for its U.S. employees to which it made contributions in prior years. Contributions made by the Company for the years ended December 31, 2012, 2011 and 2010 amounted to $-0-, $-0-, and $21,000, respectively.</w:t>
      </w:r>
    </w:p>
    <w:p>
      <w:pPr>
        <w:spacing w:after="0" w:line="215" w:lineRule="exact"/>
        <w:rPr>
          <w:sz w:val="20"/>
          <w:szCs w:val="20"/>
          <w:color w:val="auto"/>
        </w:rPr>
      </w:pPr>
    </w:p>
    <w:p>
      <w:pPr>
        <w:ind w:left="240" w:right="8860" w:hanging="232"/>
        <w:spacing w:after="0" w:line="391" w:lineRule="auto"/>
        <w:tabs>
          <w:tab w:leader="none" w:pos="4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 </w:t>
      </w:r>
      <w:r>
        <w:rPr>
          <w:rFonts w:ascii="Arial" w:cs="Arial" w:eastAsia="Arial" w:hAnsi="Arial"/>
          <w:sz w:val="16"/>
          <w:szCs w:val="16"/>
          <w:i w:val="1"/>
          <w:iCs w:val="1"/>
          <w:u w:val="single" w:color="auto"/>
          <w:color w:val="auto"/>
        </w:rPr>
        <w:t>October 2009 Private Placement</w:t>
      </w:r>
    </w:p>
    <w:p>
      <w:pPr>
        <w:spacing w:after="0" w:line="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Several of Amarin’s current and former directors and funds connected with them purchased approximately 36.0 million of its ADSs (in the form of common stock) in the October 2009 private placement, including: (i) 17 million ADSs purchased by funds managed by Abingworth LLP, where Dr. Joseph Anderson, a Director of Amarin, is a partner; (ii) 7 million ADSs purchased by Orbimed Advisors LLC, where Dr. Carl L. Gordon, a Director of Amarin, is a General Partner;</w:t>
      </w:r>
    </w:p>
    <w:p>
      <w:pPr>
        <w:spacing w:after="0" w:line="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7 million ADSs purchased by Sofinnova Venture Partners VII, L.P., where Dr. James I. Healy, a Director of Amarin, is a Managing General Partner; and</w:t>
      </w:r>
    </w:p>
    <w:p>
      <w:pPr>
        <w:spacing w:after="0" w:line="32" w:lineRule="exact"/>
        <w:rPr>
          <w:rFonts w:ascii="Arial" w:cs="Arial" w:eastAsia="Arial" w:hAnsi="Arial"/>
          <w:sz w:val="16"/>
          <w:szCs w:val="16"/>
          <w:color w:val="auto"/>
        </w:rPr>
      </w:pPr>
    </w:p>
    <w:p>
      <w:pPr>
        <w:ind w:right="60" w:firstLine="8"/>
        <w:spacing w:after="0" w:line="253" w:lineRule="auto"/>
        <w:tabs>
          <w:tab w:leader="none" w:pos="2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5 million ADSs purchased by Fountain Healthcare Partners Fund 1, L.P. Fountain Healthcare Partners Ltd. is the sole General Partner of Fountain Healthcare Partners Fund 1, L.P. Dr Manus Rogan is a Managing Partner of Fountain Healthcare Partners Ltd. and until December 2011 was a non-executive director of Amarin. In addition, for every ADS purchased, the investor received warrants to purchase 0.5 of an ADS. Of the $54.9 million warrant derivative liability at December 31, 2012, the fair value of the warrants held by the current and former directors of the Company and their related investment funds amounted to $35.5 million.</w:t>
      </w:r>
    </w:p>
    <w:p>
      <w:pPr>
        <w:spacing w:after="0" w:line="220"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Summarized Financial Information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5"/>
              </w:rPr>
              <w:t>Fiscal year ended December 31, 2012</w:t>
            </w: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6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395"/>
              <w:spacing w:after="0" w:line="129" w:lineRule="exact"/>
              <w:rPr>
                <w:sz w:val="20"/>
                <w:szCs w:val="20"/>
                <w:color w:val="auto"/>
              </w:rPr>
            </w:pPr>
            <w:r>
              <w:rPr>
                <w:rFonts w:ascii="Arial" w:cs="Arial" w:eastAsia="Arial" w:hAnsi="Arial"/>
                <w:sz w:val="14"/>
                <w:szCs w:val="14"/>
                <w:b w:val="1"/>
                <w:bCs w:val="1"/>
                <w:color w:val="auto"/>
                <w:w w:val="98"/>
              </w:rPr>
              <w:t>1st</w:t>
            </w:r>
          </w:p>
        </w:tc>
        <w:tc>
          <w:tcPr>
            <w:tcW w:w="560" w:type="dxa"/>
            <w:vAlign w:val="bottom"/>
          </w:tcPr>
          <w:p>
            <w:pPr>
              <w:spacing w:after="0"/>
              <w:rPr>
                <w:sz w:val="11"/>
                <w:szCs w:val="11"/>
                <w:color w:val="auto"/>
              </w:rPr>
            </w:pPr>
          </w:p>
        </w:tc>
        <w:tc>
          <w:tcPr>
            <w:tcW w:w="880" w:type="dxa"/>
            <w:vAlign w:val="bottom"/>
          </w:tcPr>
          <w:p>
            <w:pPr>
              <w:jc w:val="right"/>
              <w:ind w:right="558"/>
              <w:spacing w:after="0" w:line="129" w:lineRule="exact"/>
              <w:rPr>
                <w:sz w:val="20"/>
                <w:szCs w:val="20"/>
                <w:color w:val="auto"/>
              </w:rPr>
            </w:pPr>
            <w:r>
              <w:rPr>
                <w:rFonts w:ascii="Arial" w:cs="Arial" w:eastAsia="Arial" w:hAnsi="Arial"/>
                <w:sz w:val="14"/>
                <w:szCs w:val="14"/>
                <w:b w:val="1"/>
                <w:bCs w:val="1"/>
                <w:color w:val="auto"/>
                <w:w w:val="88"/>
              </w:rPr>
              <w:t>2nd</w:t>
            </w:r>
          </w:p>
        </w:tc>
        <w:tc>
          <w:tcPr>
            <w:tcW w:w="130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rPr>
              <w:t>3rd</w:t>
            </w:r>
          </w:p>
        </w:tc>
        <w:tc>
          <w:tcPr>
            <w:tcW w:w="320" w:type="dxa"/>
            <w:vAlign w:val="bottom"/>
          </w:tcPr>
          <w:p>
            <w:pPr>
              <w:spacing w:after="0"/>
              <w:rPr>
                <w:sz w:val="11"/>
                <w:szCs w:val="11"/>
                <w:color w:val="auto"/>
              </w:rPr>
            </w:pPr>
          </w:p>
        </w:tc>
        <w:tc>
          <w:tcPr>
            <w:tcW w:w="48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rPr>
              <w:t>4th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6900" w:type="dxa"/>
            <w:vAlign w:val="bottom"/>
          </w:tcPr>
          <w:p>
            <w:pPr>
              <w:spacing w:after="0"/>
              <w:rPr>
                <w:sz w:val="14"/>
                <w:szCs w:val="14"/>
                <w:color w:val="auto"/>
              </w:rPr>
            </w:pPr>
          </w:p>
        </w:tc>
        <w:tc>
          <w:tcPr>
            <w:tcW w:w="88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Quarter</w:t>
            </w: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Quarter</w:t>
            </w:r>
          </w:p>
        </w:tc>
        <w:tc>
          <w:tcPr>
            <w:tcW w:w="130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6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right="21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3"/>
          </w:tcPr>
          <w:p>
            <w:pPr>
              <w:jc w:val="right"/>
              <w:ind w:right="95"/>
              <w:spacing w:after="0"/>
              <w:rPr>
                <w:sz w:val="20"/>
                <w:szCs w:val="20"/>
                <w:color w:val="auto"/>
              </w:rPr>
            </w:pPr>
            <w:r>
              <w:rPr>
                <w:rFonts w:ascii="Arial" w:cs="Arial" w:eastAsia="Arial" w:hAnsi="Arial"/>
                <w:sz w:val="18"/>
                <w:szCs w:val="18"/>
                <w:color w:val="auto"/>
              </w:rPr>
              <w:t>(88,285)</w:t>
            </w:r>
          </w:p>
        </w:tc>
        <w:tc>
          <w:tcPr>
            <w:tcW w:w="1440" w:type="dxa"/>
            <w:vAlign w:val="bottom"/>
            <w:gridSpan w:val="2"/>
          </w:tcPr>
          <w:p>
            <w:pPr>
              <w:jc w:val="right"/>
              <w:ind w:right="278"/>
              <w:spacing w:after="0"/>
              <w:rPr>
                <w:sz w:val="20"/>
                <w:szCs w:val="20"/>
                <w:color w:val="auto"/>
              </w:rPr>
            </w:pPr>
            <w:r>
              <w:rPr>
                <w:rFonts w:ascii="Arial" w:cs="Arial" w:eastAsia="Arial" w:hAnsi="Arial"/>
                <w:sz w:val="18"/>
                <w:szCs w:val="18"/>
                <w:color w:val="auto"/>
              </w:rPr>
              <w:t>(53,904)</w:t>
            </w:r>
          </w:p>
        </w:tc>
        <w:tc>
          <w:tcPr>
            <w:tcW w:w="1300" w:type="dxa"/>
            <w:vAlign w:val="bottom"/>
            <w:gridSpan w:val="2"/>
          </w:tcPr>
          <w:p>
            <w:pPr>
              <w:jc w:val="right"/>
              <w:ind w:right="315"/>
              <w:spacing w:after="0"/>
              <w:rPr>
                <w:sz w:val="20"/>
                <w:szCs w:val="20"/>
                <w:color w:val="auto"/>
              </w:rPr>
            </w:pPr>
            <w:r>
              <w:rPr>
                <w:rFonts w:ascii="Arial" w:cs="Arial" w:eastAsia="Arial" w:hAnsi="Arial"/>
                <w:sz w:val="18"/>
                <w:szCs w:val="18"/>
                <w:color w:val="auto"/>
              </w:rPr>
              <w:t>(26,426)</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(10,569)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20" w:type="dxa"/>
            <w:vAlign w:val="bottom"/>
          </w:tcPr>
          <w:p>
            <w:pPr>
              <w:jc w:val="right"/>
              <w:ind w:right="95"/>
              <w:spacing w:after="0"/>
              <w:rPr>
                <w:sz w:val="20"/>
                <w:szCs w:val="20"/>
                <w:color w:val="auto"/>
              </w:rPr>
            </w:pPr>
            <w:r>
              <w:rPr>
                <w:rFonts w:ascii="Arial" w:cs="Arial" w:eastAsia="Arial" w:hAnsi="Arial"/>
                <w:sz w:val="18"/>
                <w:szCs w:val="18"/>
                <w:color w:val="auto"/>
                <w:w w:val="89"/>
              </w:rPr>
              <w:t>(0.65)</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8"/>
              <w:spacing w:after="0"/>
              <w:rPr>
                <w:sz w:val="20"/>
                <w:szCs w:val="20"/>
                <w:color w:val="auto"/>
              </w:rPr>
            </w:pPr>
            <w:r>
              <w:rPr>
                <w:rFonts w:ascii="Arial" w:cs="Arial" w:eastAsia="Arial" w:hAnsi="Arial"/>
                <w:sz w:val="18"/>
                <w:szCs w:val="18"/>
                <w:color w:val="auto"/>
              </w:rPr>
              <w:t>(0.38)</w:t>
            </w:r>
          </w:p>
        </w:tc>
        <w:tc>
          <w:tcPr>
            <w:tcW w:w="4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5"/>
              <w:spacing w:after="0"/>
              <w:rPr>
                <w:sz w:val="20"/>
                <w:szCs w:val="20"/>
                <w:color w:val="auto"/>
              </w:rPr>
            </w:pPr>
            <w:r>
              <w:rPr>
                <w:rFonts w:ascii="Arial" w:cs="Arial" w:eastAsia="Arial" w:hAnsi="Arial"/>
                <w:sz w:val="18"/>
                <w:szCs w:val="18"/>
                <w:color w:val="auto"/>
                <w:w w:val="93"/>
              </w:rPr>
              <w:t>(0.18)</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(0.07)</w:t>
            </w: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9"/>
              </w:rPr>
              <w:t>(0.65)</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(0.38)</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93"/>
              </w:rPr>
              <w:t>(0.18)</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r>
      <w:tr>
        <w:trPr>
          <w:trHeight w:val="351"/>
        </w:trPr>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5"/>
              </w:rPr>
              <w:t>Fiscal year ended December 31, 2011</w:t>
            </w: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6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1st</w:t>
            </w:r>
          </w:p>
        </w:tc>
        <w:tc>
          <w:tcPr>
            <w:tcW w:w="560" w:type="dxa"/>
            <w:vAlign w:val="bottom"/>
          </w:tcPr>
          <w:p>
            <w:pPr>
              <w:spacing w:after="0"/>
              <w:rPr>
                <w:sz w:val="11"/>
                <w:szCs w:val="11"/>
                <w:color w:val="auto"/>
              </w:rPr>
            </w:pPr>
          </w:p>
        </w:tc>
        <w:tc>
          <w:tcPr>
            <w:tcW w:w="880" w:type="dxa"/>
            <w:vAlign w:val="bottom"/>
          </w:tcPr>
          <w:p>
            <w:pPr>
              <w:jc w:val="center"/>
              <w:ind w:right="258"/>
              <w:spacing w:after="0" w:line="129" w:lineRule="exact"/>
              <w:rPr>
                <w:sz w:val="20"/>
                <w:szCs w:val="20"/>
                <w:color w:val="auto"/>
              </w:rPr>
            </w:pPr>
            <w:r>
              <w:rPr>
                <w:rFonts w:ascii="Arial" w:cs="Arial" w:eastAsia="Arial" w:hAnsi="Arial"/>
                <w:sz w:val="14"/>
                <w:szCs w:val="14"/>
                <w:b w:val="1"/>
                <w:bCs w:val="1"/>
                <w:color w:val="auto"/>
                <w:w w:val="88"/>
              </w:rPr>
              <w:t>2nd</w:t>
            </w:r>
          </w:p>
        </w:tc>
        <w:tc>
          <w:tcPr>
            <w:tcW w:w="440" w:type="dxa"/>
            <w:vAlign w:val="bottom"/>
          </w:tcPr>
          <w:p>
            <w:pPr>
              <w:spacing w:after="0"/>
              <w:rPr>
                <w:sz w:val="11"/>
                <w:szCs w:val="11"/>
                <w:color w:val="auto"/>
              </w:rPr>
            </w:pPr>
          </w:p>
        </w:tc>
        <w:tc>
          <w:tcPr>
            <w:tcW w:w="860" w:type="dxa"/>
            <w:vAlign w:val="bottom"/>
          </w:tcPr>
          <w:p>
            <w:pPr>
              <w:jc w:val="right"/>
              <w:ind w:right="475"/>
              <w:spacing w:after="0" w:line="129" w:lineRule="exact"/>
              <w:rPr>
                <w:sz w:val="20"/>
                <w:szCs w:val="20"/>
                <w:color w:val="auto"/>
              </w:rPr>
            </w:pPr>
            <w:r>
              <w:rPr>
                <w:rFonts w:ascii="Arial" w:cs="Arial" w:eastAsia="Arial" w:hAnsi="Arial"/>
                <w:sz w:val="14"/>
                <w:szCs w:val="14"/>
                <w:b w:val="1"/>
                <w:bCs w:val="1"/>
                <w:color w:val="auto"/>
              </w:rPr>
              <w:t>3rd</w:t>
            </w:r>
          </w:p>
        </w:tc>
        <w:tc>
          <w:tcPr>
            <w:tcW w:w="320" w:type="dxa"/>
            <w:vAlign w:val="bottom"/>
          </w:tcPr>
          <w:p>
            <w:pPr>
              <w:spacing w:after="0"/>
              <w:rPr>
                <w:sz w:val="11"/>
                <w:szCs w:val="11"/>
                <w:color w:val="auto"/>
              </w:rPr>
            </w:pPr>
          </w:p>
        </w:tc>
        <w:tc>
          <w:tcPr>
            <w:tcW w:w="50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1"/>
                <w:szCs w:val="11"/>
                <w:color w:val="auto"/>
              </w:rPr>
            </w:pPr>
          </w:p>
        </w:tc>
      </w:tr>
      <w:tr>
        <w:trPr>
          <w:trHeight w:val="161"/>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w w:val="98"/>
              </w:rPr>
              <w:t>Quarter</w:t>
            </w:r>
          </w:p>
        </w:tc>
        <w:tc>
          <w:tcPr>
            <w:tcW w:w="560" w:type="dxa"/>
            <w:vAlign w:val="bottom"/>
          </w:tcPr>
          <w:p>
            <w:pPr>
              <w:spacing w:after="0"/>
              <w:rPr>
                <w:sz w:val="14"/>
                <w:szCs w:val="14"/>
                <w:color w:val="auto"/>
              </w:rPr>
            </w:pPr>
          </w:p>
        </w:tc>
        <w:tc>
          <w:tcPr>
            <w:tcW w:w="88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Quarter</w:t>
            </w: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4"/>
          </w:tcPr>
          <w:p>
            <w:pPr>
              <w:ind w:left="28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6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income (loss) (1)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5"/>
              <w:spacing w:after="0"/>
              <w:rPr>
                <w:sz w:val="20"/>
                <w:szCs w:val="20"/>
                <w:color w:val="auto"/>
              </w:rPr>
            </w:pPr>
            <w:r>
              <w:rPr>
                <w:rFonts w:ascii="Arial" w:cs="Arial" w:eastAsia="Arial" w:hAnsi="Arial"/>
                <w:sz w:val="18"/>
                <w:szCs w:val="18"/>
                <w:color w:val="auto"/>
                <w:w w:val="87"/>
              </w:rPr>
              <w:t>18,294</w:t>
            </w:r>
          </w:p>
        </w:tc>
        <w:tc>
          <w:tcPr>
            <w:tcW w:w="560" w:type="dxa"/>
            <w:vAlign w:val="bottom"/>
          </w:tcPr>
          <w:p>
            <w:pPr>
              <w:spacing w:after="0"/>
              <w:rPr>
                <w:sz w:val="18"/>
                <w:szCs w:val="18"/>
                <w:color w:val="auto"/>
              </w:rPr>
            </w:pPr>
          </w:p>
        </w:tc>
        <w:tc>
          <w:tcPr>
            <w:tcW w:w="880" w:type="dxa"/>
            <w:vAlign w:val="bottom"/>
          </w:tcPr>
          <w:p>
            <w:pPr>
              <w:jc w:val="right"/>
              <w:ind w:right="98"/>
              <w:spacing w:after="0"/>
              <w:rPr>
                <w:sz w:val="20"/>
                <w:szCs w:val="20"/>
                <w:color w:val="auto"/>
              </w:rPr>
            </w:pPr>
            <w:r>
              <w:rPr>
                <w:rFonts w:ascii="Arial" w:cs="Arial" w:eastAsia="Arial" w:hAnsi="Arial"/>
                <w:sz w:val="18"/>
                <w:szCs w:val="18"/>
                <w:color w:val="auto"/>
                <w:w w:val="88"/>
              </w:rPr>
              <w:t>(202,103)</w:t>
            </w:r>
          </w:p>
        </w:tc>
        <w:tc>
          <w:tcPr>
            <w:tcW w:w="440" w:type="dxa"/>
            <w:vAlign w:val="bottom"/>
          </w:tcPr>
          <w:p>
            <w:pPr>
              <w:spacing w:after="0"/>
              <w:rPr>
                <w:sz w:val="18"/>
                <w:szCs w:val="18"/>
                <w:color w:val="auto"/>
              </w:rPr>
            </w:pPr>
          </w:p>
        </w:tc>
        <w:tc>
          <w:tcPr>
            <w:tcW w:w="860" w:type="dxa"/>
            <w:vAlign w:val="bottom"/>
          </w:tcPr>
          <w:p>
            <w:pPr>
              <w:jc w:val="right"/>
              <w:ind w:right="275"/>
              <w:spacing w:after="0"/>
              <w:rPr>
                <w:sz w:val="20"/>
                <w:szCs w:val="20"/>
                <w:color w:val="auto"/>
              </w:rPr>
            </w:pPr>
            <w:r>
              <w:rPr>
                <w:rFonts w:ascii="Arial" w:cs="Arial" w:eastAsia="Arial" w:hAnsi="Arial"/>
                <w:sz w:val="18"/>
                <w:szCs w:val="18"/>
                <w:color w:val="auto"/>
                <w:w w:val="87"/>
              </w:rPr>
              <w:t>96,345</w:t>
            </w:r>
          </w:p>
        </w:tc>
        <w:tc>
          <w:tcPr>
            <w:tcW w:w="3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18,338</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0.15</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(1.58)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5"/>
              <w:spacing w:after="0"/>
              <w:rPr>
                <w:sz w:val="20"/>
                <w:szCs w:val="20"/>
                <w:color w:val="auto"/>
              </w:rPr>
            </w:pPr>
            <w:r>
              <w:rPr>
                <w:rFonts w:ascii="Arial" w:cs="Arial" w:eastAsia="Arial" w:hAnsi="Arial"/>
                <w:sz w:val="18"/>
                <w:szCs w:val="18"/>
                <w:color w:val="auto"/>
              </w:rPr>
              <w:t>0.72</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0.12</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9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net income generated in the first, third and fourth quarters of 2011 were due to the change in the fair value of the warrant derivative liability at each respective quarterly reporting period in 2011. As a result of a decrease in the Company’s stock price at each respective quarter end versus the previous quarter end, the value of the derivative liability decreased, resulting in non-cash income for change in the fair value of the warrant derivative. The loss in the second quarter of 2011 was also due primarily to the change in the fair value of the warrant derivative liability, which was due to the Company’s stock price increasing in value at June 30, 2011, versus March 31,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177" w:lineRule="exact"/>
        <w:rPr>
          <w:sz w:val="20"/>
          <w:szCs w:val="20"/>
          <w:color w:val="auto"/>
        </w:rPr>
      </w:pPr>
    </w:p>
    <w:p>
      <w:pPr>
        <w:ind w:right="360" w:firstLine="464"/>
        <w:spacing w:after="0" w:line="268" w:lineRule="auto"/>
        <w:tabs>
          <w:tab w:leader="none" w:pos="6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Amarin Corporation plc 2011 Stock Incentive Plan (the “Plan”), as previously amended, is hereby further amended by the Board of Directors of Amarin Corporation plc as follows: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6(b)(i) of the Plan is hereby amended by adding the following at the end thereof:</w:t>
      </w:r>
    </w:p>
    <w:p>
      <w:pPr>
        <w:spacing w:after="0" w:line="90" w:lineRule="exact"/>
        <w:rPr>
          <w:sz w:val="20"/>
          <w:szCs w:val="20"/>
          <w:color w:val="auto"/>
        </w:rPr>
      </w:pPr>
    </w:p>
    <w:p>
      <w:pPr>
        <w:ind w:left="920" w:right="120"/>
        <w:spacing w:after="0" w:line="254" w:lineRule="auto"/>
        <w:rPr>
          <w:sz w:val="20"/>
          <w:szCs w:val="20"/>
          <w:color w:val="auto"/>
        </w:rPr>
      </w:pPr>
      <w:r>
        <w:rPr>
          <w:rFonts w:ascii="Arial" w:cs="Arial" w:eastAsia="Arial" w:hAnsi="Arial"/>
          <w:sz w:val="18"/>
          <w:szCs w:val="18"/>
          <w:color w:val="auto"/>
        </w:rPr>
        <w:t>“Notwithstanding anything to the contrary in the foregoing, the Committee may provide in the Award Agreement that, while the amount payable pursuant to a Restricted Stock Unit award shall be determined on the applicable vesting date, the Participant shall not receive any payment for his vested Restricted Stock Units until the earliest of (A) six months and a day after the Participant’s Separation from Service (within the meaning of U.S. Treasury Regulation Section 1.409A-1(h), (B) a Change of Control that also constitutes a ‘change in control event’ within the meaning of U.S. Treasury Regulation Section1.409A-3(i)(5), (C) the Participant’s death, or (D) a specified calendar year after the Restricted Stock Units become vested.”</w:t>
      </w:r>
    </w:p>
    <w:p>
      <w:pPr>
        <w:spacing w:after="0" w:line="63"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6(b)(iii) of the Plan is hereby amended by deleting the last sentence thereof.</w:t>
      </w:r>
    </w:p>
    <w:p>
      <w:pPr>
        <w:spacing w:after="0" w:line="212"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ADOPTED BY BOARD OF DIRECTORS</w:t>
      </w:r>
      <w:r>
        <w:rPr>
          <w:sz w:val="20"/>
          <w:szCs w:val="20"/>
          <w:color w:val="auto"/>
        </w:rPr>
        <w:tab/>
      </w:r>
      <w:r>
        <w:rPr>
          <w:rFonts w:ascii="Arial" w:cs="Arial" w:eastAsia="Arial" w:hAnsi="Arial"/>
          <w:sz w:val="15"/>
          <w:szCs w:val="15"/>
          <w:color w:val="auto"/>
        </w:rPr>
        <w:t>December 11, 2012</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10.71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IRREVOCABLE LICENSE AGREEMENT</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THIS FOURTH AMENDMENT TO IRREVOCABLE LICENSE AGREEMENT (this “Agreement”), made as of the 15th day of December 2012.</w:t>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 and Between: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Bedminster 2 Funding, LLC, having an address c/o Advance Realty, 1430 Route 206, Suite 100, Bedminster, NJ 07921 (hereinafter designated as the “Licensor”);</w:t>
      </w:r>
    </w:p>
    <w:p>
      <w:pPr>
        <w:spacing w:after="0" w:line="78" w:lineRule="exact"/>
        <w:rPr>
          <w:sz w:val="20"/>
          <w:szCs w:val="20"/>
          <w:color w:val="auto"/>
        </w:rPr>
      </w:pPr>
    </w:p>
    <w:p>
      <w:pPr>
        <w:sectPr>
          <w:pgSz w:w="11900" w:h="16838" w:orient="portrait"/>
          <w:cols w:equalWidth="0" w:num="2">
            <w:col w:w="1220" w:space="620"/>
            <w:col w:w="958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Amarin Pharma Inc., on behalf of Amarin Pharmaceuticals Ireland Ltd., having its U.S. billing address at 1430 Route 206, Bedminster, NJ 07921 (hereinafter designated as the “Licensee”).</w:t>
      </w:r>
    </w:p>
    <w:p>
      <w:pPr>
        <w:spacing w:after="0" w:line="200" w:lineRule="exact"/>
        <w:rPr>
          <w:sz w:val="20"/>
          <w:szCs w:val="20"/>
          <w:color w:val="auto"/>
        </w:rPr>
      </w:pPr>
    </w:p>
    <w:p>
      <w:pPr>
        <w:sectPr>
          <w:pgSz w:w="11900" w:h="16838" w:orient="portrait"/>
          <w:cols w:equalWidth="0" w:num="2">
            <w:col w:w="1120" w:space="720"/>
            <w:col w:w="9580"/>
          </w:cols>
          <w:pgMar w:left="240" w:top="125" w:right="239" w:bottom="1440" w:gutter="0" w:footer="0" w:header="0"/>
          <w:type w:val="continuous"/>
        </w:sectPr>
      </w:pP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9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WHEREAS, Licensor and Licensee entered into a License Agreement dated April 11, 2011 for an agreed upon 3,303 square feet of office space located at 1420 Route 206, Bedminster, NJ (the “1420 Premises”); a First Amendment dated May 11, 2011 which relocated Licensee to Suite # 200 consisting of an agreed-upon 9,747 square feet of office space located in 1430 Route 206, Bedminster, NJ (the “1430 Premises”); a Second Amendment dated April 25, 2012 and a Third Amendment dated July 17, 2012 (collectively, the “License”); and</w:t>
      </w:r>
    </w:p>
    <w:p>
      <w:pPr>
        <w:spacing w:after="0" w:line="143"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WHEREAS, Licensee wishes to expand their Premises by 2,601 square feet (Suite #140 located at 1420 Route 206, the “1420 Expansion Premises”) and Licensor agrees to license said additional premises conditioned upon Licensee’s compliance with the terms and conditions contained herein.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agree as follows:</w:t>
      </w:r>
    </w:p>
    <w:p>
      <w:pPr>
        <w:spacing w:after="0" w:line="171" w:lineRule="exact"/>
        <w:rPr>
          <w:sz w:val="20"/>
          <w:szCs w:val="20"/>
          <w:color w:val="auto"/>
        </w:rPr>
      </w:pPr>
    </w:p>
    <w:p>
      <w:pPr>
        <w:ind w:right="40" w:firstLine="921"/>
        <w:spacing w:after="0" w:line="268" w:lineRule="auto"/>
        <w:tabs>
          <w:tab w:leader="none" w:pos="108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Grant of License</w:t>
      </w:r>
      <w:r>
        <w:rPr>
          <w:rFonts w:ascii="Arial" w:cs="Arial" w:eastAsia="Arial" w:hAnsi="Arial"/>
          <w:sz w:val="18"/>
          <w:szCs w:val="18"/>
          <w:color w:val="auto"/>
        </w:rPr>
        <w:t>. Licensor hereby grants unto Licensee an irrevocable license, subject to Licensee adhering to all License terms, including but not limited to payment of License Fee and other Costs and to occupy and use the Expansion Premises.</w:t>
      </w:r>
    </w:p>
    <w:p>
      <w:pPr>
        <w:spacing w:after="0" w:line="131" w:lineRule="exact"/>
        <w:rPr>
          <w:rFonts w:ascii="Arial" w:cs="Arial" w:eastAsia="Arial" w:hAnsi="Arial"/>
          <w:sz w:val="18"/>
          <w:szCs w:val="18"/>
          <w:color w:val="auto"/>
        </w:rPr>
      </w:pPr>
    </w:p>
    <w:p>
      <w:pPr>
        <w:ind w:right="240" w:firstLine="921"/>
        <w:spacing w:after="0" w:line="306" w:lineRule="auto"/>
        <w:tabs>
          <w:tab w:leader="none" w:pos="108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for the Expansion Premises shall be one (1) year, six (6) months, and approximately sixteen (16) days. The anticipated commencement date of the Expansion Premises shall be December 17, 2012 (the “1420 Expansion Premises Commencement Date”) and terminate on June 30, 2014 (the “Term”), unless sooner terminated by Licensor or Licensee as expressly provided for in this Agreement.</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Condition</w:t>
      </w:r>
      <w:r>
        <w:rPr>
          <w:rFonts w:ascii="Arial" w:cs="Arial" w:eastAsia="Arial" w:hAnsi="Arial"/>
          <w:sz w:val="18"/>
          <w:szCs w:val="18"/>
          <w:color w:val="auto"/>
        </w:rPr>
        <w:t>. Licensee accepts the Expansion Premises in its “as is” condition as of the Expansion Premises Commencement Date.</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License Fee</w:t>
      </w:r>
      <w:r>
        <w:rPr>
          <w:rFonts w:ascii="Arial" w:cs="Arial" w:eastAsia="Arial" w:hAnsi="Arial"/>
          <w:sz w:val="16"/>
          <w:szCs w:val="16"/>
          <w:color w:val="auto"/>
        </w:rPr>
        <w:t>. The consideration for this Expansion Premises license shall be the sum of Six Thousand Five Hundred Two and 50/100 Dollars</w:t>
      </w:r>
    </w:p>
    <w:p>
      <w:pPr>
        <w:spacing w:after="0" w:line="38"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($6,502.50) per month (“License Fee”), which shall be payable in advance on the first day of each month, without deduction, set-off or abatement whatsoever, throughout the Term beginning on the 1420 Expansion Premises Commencement Date. All License Fees shall be paid to Licensor at Licensor’s address as set forth above.</w:t>
      </w:r>
    </w:p>
    <w:p>
      <w:pPr>
        <w:spacing w:after="0" w:line="144" w:lineRule="exact"/>
        <w:rPr>
          <w:sz w:val="20"/>
          <w:szCs w:val="20"/>
          <w:color w:val="auto"/>
        </w:rPr>
      </w:pPr>
    </w:p>
    <w:p>
      <w:pPr>
        <w:ind w:right="60" w:firstLine="921"/>
        <w:spacing w:after="0" w:line="306" w:lineRule="auto"/>
        <w:tabs>
          <w:tab w:leader="none" w:pos="108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Other Costs</w:t>
      </w:r>
      <w:r>
        <w:rPr>
          <w:rFonts w:ascii="Arial" w:cs="Arial" w:eastAsia="Arial" w:hAnsi="Arial"/>
          <w:sz w:val="16"/>
          <w:szCs w:val="16"/>
          <w:color w:val="auto"/>
        </w:rPr>
        <w:t>. In addition to the License Fee for the 1420 Expansion Premises outlined above, Licensee shall be responsible for monthly utility charges for the 1420 Expansion Premises in the amount of $325.13 per month and HVAC for non-business hours in the amount of $45.00 per hour, as well as any costs incurred by Licensor resulting from any default by Licensee of its insurance or maintenance obligations hereunder.</w:t>
      </w:r>
    </w:p>
    <w:p>
      <w:pPr>
        <w:spacing w:after="0" w:line="106" w:lineRule="exact"/>
        <w:rPr>
          <w:rFonts w:ascii="Arial" w:cs="Arial" w:eastAsia="Arial" w:hAnsi="Arial"/>
          <w:sz w:val="16"/>
          <w:szCs w:val="16"/>
          <w:color w:val="auto"/>
        </w:rPr>
      </w:pPr>
    </w:p>
    <w:p>
      <w:pPr>
        <w:ind w:right="100" w:firstLine="921"/>
        <w:spacing w:after="0" w:line="268" w:lineRule="auto"/>
        <w:tabs>
          <w:tab w:leader="none" w:pos="108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Simultaneously with the execution of this Fourth Amendment, Licensee shall deliver to Licensor an additional Security Deposit in the amount of Six Thousand Five Hundred Two and 50/100 Dollars ($6,502.50).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ind w:right="140" w:firstLine="921"/>
        <w:spacing w:after="0" w:line="254" w:lineRule="auto"/>
        <w:tabs>
          <w:tab w:leader="none" w:pos="108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Charges and Real Estate Taxes</w:t>
      </w:r>
      <w:r>
        <w:rPr>
          <w:rFonts w:ascii="Arial" w:cs="Arial" w:eastAsia="Arial" w:hAnsi="Arial"/>
          <w:sz w:val="18"/>
          <w:szCs w:val="18"/>
          <w:color w:val="auto"/>
        </w:rPr>
        <w:t>. Licensee shall pay to Licensor, as “Additional Rent”, Licensee’s proportionate share of the amount by which Operating Charges for each license year following the Base Year exceed the Base Year Operating Charges (hereinafter referred to as the “Operating Charges Escalation”) falling entirely or partly within the Term. “Operating Charges” shall mean the sum of all direct and indirect costs and expenses of any kind or nature whatsoever incurred in connection with the management, operation, maintenance, repair, replacement and cleaning of the Building, the Land and the Common Areas. The base year for the Expansion Premises for Operating Charges and Real Estate Taxes is 2012 (the “Base Year”). Licensee’s Proportionate Share is agreed to be 6.36%.</w:t>
      </w:r>
    </w:p>
    <w:p>
      <w:pPr>
        <w:spacing w:after="0" w:line="144"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Commencing on the first day of the year following the Base Year and thereafter for the remainder of the Term, Licensee shall pay, as Additional Rent, Licensee’s proportionate share of the amount by which Real Estate Taxes for each year falling entirely or partially within the Term following the Base Year exceeds the Base Year Real Estate Taxes (hereinafter referred to as the “Real Estate Taxes Escalation”). As of the date hereof,</w:t>
      </w:r>
    </w:p>
    <w:p>
      <w:pPr>
        <w:spacing w:after="0" w:line="107" w:lineRule="exact"/>
        <w:rPr>
          <w:sz w:val="20"/>
          <w:szCs w:val="20"/>
          <w:color w:val="auto"/>
        </w:rPr>
      </w:pPr>
    </w:p>
    <w:p>
      <w:pPr>
        <w:ind w:right="440" w:firstLine="921"/>
        <w:spacing w:after="0" w:line="268" w:lineRule="auto"/>
        <w:tabs>
          <w:tab w:leader="none" w:pos="10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expressly provided herein, all other terms, conditions, covenants, conditions and agreements as set forth in the License Agreement remain unchanged and in full force and effect.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the parties hereto have executed as duly authorized parties this Agreement as of the date first set forth hereinabove.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AGREED TO:</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LICENSOR: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BEDMINSTER 2 FUNDING,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New Jersey limited liability company</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R. Padavano</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Kurt R. Padavano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0" w:lineRule="exact"/>
        <w:rPr>
          <w:sz w:val="20"/>
          <w:szCs w:val="20"/>
          <w:color w:val="auto"/>
        </w:rPr>
      </w:pP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LICENSEE:</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AMARIN PHARMA INC</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F. Thero</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0" w:name="page111"/>
    <w:bookmarkEnd w:id="110"/>
    <w:p>
      <w:pPr>
        <w:ind w:left="10420"/>
        <w:spacing w:after="0"/>
        <w:rPr>
          <w:sz w:val="20"/>
          <w:szCs w:val="20"/>
          <w:color w:val="auto"/>
        </w:rPr>
      </w:pPr>
      <w:r>
        <w:rPr>
          <w:rFonts w:ascii="Arial" w:cs="Arial" w:eastAsia="Arial" w:hAnsi="Arial"/>
          <w:sz w:val="16"/>
          <w:szCs w:val="16"/>
          <w:b w:val="1"/>
          <w:bCs w:val="1"/>
          <w:color w:val="auto"/>
        </w:rPr>
        <w:t>Exhibit 10.76</w:t>
      </w:r>
    </w:p>
    <w:p>
      <w:pPr>
        <w:spacing w:after="0" w:line="20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PHARMACEUTICALS IRELAND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BIOPHARMA SECURED DEBT FUND II HOLDINGS CAYMAN LP</w:t>
      </w:r>
    </w:p>
    <w:p>
      <w:pPr>
        <w:spacing w:after="0" w:line="33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EFFECTIVE AS OF</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DECEMBER 6, 2012</w:t>
      </w:r>
    </w:p>
    <w:p>
      <w:pPr>
        <w:sectPr>
          <w:pgSz w:w="11900" w:h="16838" w:orient="portrait"/>
          <w:cols w:equalWidth="0" w:num="1">
            <w:col w:w="11420"/>
          </w:cols>
          <w:pgMar w:left="240" w:top="125" w:right="239" w:bottom="1440" w:gutter="0" w:footer="0" w:header="0"/>
        </w:sectPr>
      </w:pPr>
    </w:p>
    <w:bookmarkStart w:id="111" w:name="page112"/>
    <w:bookmarkEnd w:id="111"/>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AGREEMENT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HIS</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URCHASE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ALE</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December 6, 2012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MARIN</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HARMACEUTICALS</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RELAND</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16"/>
          <w:szCs w:val="16"/>
          <w:color w:val="auto"/>
        </w:rPr>
        <w:t>, a company incorporated under the laws of Ireland (registered number 408912) having its registered office at</w:t>
      </w:r>
      <w:r>
        <w:rPr>
          <w:rFonts w:ascii="Arial" w:cs="Arial" w:eastAsia="Arial" w:hAnsi="Arial"/>
          <w:sz w:val="16"/>
          <w:szCs w:val="16"/>
          <w:b w:val="1"/>
          <w:bCs w:val="1"/>
          <w:color w:val="auto"/>
        </w:rPr>
        <w:t xml:space="preserve"> </w:t>
      </w:r>
      <w:r>
        <w:rPr>
          <w:rFonts w:ascii="Arial" w:cs="Arial" w:eastAsia="Arial" w:hAnsi="Arial"/>
          <w:sz w:val="16"/>
          <w:szCs w:val="16"/>
          <w:color w:val="auto"/>
        </w:rPr>
        <w:t>88 Harcourt Street, Dublin 2, and its permitted successors and assigns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3"/>
          <w:szCs w:val="13"/>
          <w:b w:val="1"/>
          <w:bCs w:val="1"/>
          <w:color w:val="auto"/>
        </w:rPr>
        <w:t>MARIN</w:t>
      </w:r>
      <w:r>
        <w:rPr>
          <w:rFonts w:ascii="Arial" w:cs="Arial" w:eastAsia="Arial" w:hAnsi="Arial"/>
          <w:sz w:val="16"/>
          <w:szCs w:val="16"/>
          <w:color w:val="auto"/>
        </w:rPr>
        <w:t xml:space="preserve"> </w:t>
      </w:r>
      <w:r>
        <w:rPr>
          <w:rFonts w:ascii="Arial" w:cs="Arial" w:eastAsia="Arial" w:hAnsi="Arial"/>
          <w:sz w:val="16"/>
          <w:szCs w:val="16"/>
          <w:b w:val="1"/>
          <w:bCs w:val="1"/>
          <w:color w:val="auto"/>
        </w:rPr>
        <w:t>C</w:t>
      </w:r>
      <w:r>
        <w:rPr>
          <w:rFonts w:ascii="Arial" w:cs="Arial" w:eastAsia="Arial" w:hAnsi="Arial"/>
          <w:sz w:val="13"/>
          <w:szCs w:val="13"/>
          <w:b w:val="1"/>
          <w:bCs w:val="1"/>
          <w:color w:val="auto"/>
        </w:rPr>
        <w:t>ORPORATION</w:t>
      </w:r>
      <w:r>
        <w:rPr>
          <w:rFonts w:ascii="Arial" w:cs="Arial" w:eastAsia="Arial" w:hAnsi="Arial"/>
          <w:sz w:val="16"/>
          <w:szCs w:val="16"/>
          <w:color w:val="auto"/>
        </w:rPr>
        <w:t xml:space="preserve"> </w:t>
      </w:r>
      <w:r>
        <w:rPr>
          <w:rFonts w:ascii="Arial" w:cs="Arial" w:eastAsia="Arial" w:hAnsi="Arial"/>
          <w:sz w:val="16"/>
          <w:szCs w:val="16"/>
          <w:b w:val="1"/>
          <w:bCs w:val="1"/>
          <w:color w:val="auto"/>
        </w:rPr>
        <w:t>PLC</w:t>
      </w:r>
      <w:r>
        <w:rPr>
          <w:rFonts w:ascii="Arial" w:cs="Arial" w:eastAsia="Arial" w:hAnsi="Arial"/>
          <w:sz w:val="16"/>
          <w:szCs w:val="16"/>
          <w:color w:val="auto"/>
        </w:rPr>
        <w:t>, a public limited company incorporated under the laws of England and Wales, and its permitted successors and assigns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xml:space="preserve"> and, together with Seller, the “</w:t>
      </w:r>
      <w:r>
        <w:rPr>
          <w:rFonts w:ascii="Arial" w:cs="Arial" w:eastAsia="Arial" w:hAnsi="Arial"/>
          <w:sz w:val="16"/>
          <w:szCs w:val="16"/>
          <w:b w:val="1"/>
          <w:bCs w:val="1"/>
          <w:i w:val="1"/>
          <w:iCs w:val="1"/>
          <w:color w:val="auto"/>
        </w:rPr>
        <w:t>Amarin Parties</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3"/>
          <w:szCs w:val="13"/>
          <w:b w:val="1"/>
          <w:bCs w:val="1"/>
          <w:color w:val="auto"/>
        </w:rPr>
        <w:t>IO</w:t>
      </w:r>
      <w:r>
        <w:rPr>
          <w:rFonts w:ascii="Arial" w:cs="Arial" w:eastAsia="Arial" w:hAnsi="Arial"/>
          <w:sz w:val="16"/>
          <w:szCs w:val="16"/>
          <w:b w:val="1"/>
          <w:bCs w:val="1"/>
          <w:color w:val="auto"/>
        </w:rPr>
        <w:t>P</w:t>
      </w:r>
      <w:r>
        <w:rPr>
          <w:rFonts w:ascii="Arial" w:cs="Arial" w:eastAsia="Arial" w:hAnsi="Arial"/>
          <w:sz w:val="13"/>
          <w:szCs w:val="13"/>
          <w:b w:val="1"/>
          <w:bCs w:val="1"/>
          <w:color w:val="auto"/>
        </w:rPr>
        <w:t>HARMA</w:t>
      </w:r>
      <w:r>
        <w:rPr>
          <w:rFonts w:ascii="Arial" w:cs="Arial" w:eastAsia="Arial" w:hAnsi="Arial"/>
          <w:sz w:val="16"/>
          <w:szCs w:val="16"/>
          <w:color w:val="auto"/>
        </w:rPr>
        <w:t xml:space="preserve"> </w:t>
      </w:r>
      <w:r>
        <w:rPr>
          <w:rFonts w:ascii="Arial" w:cs="Arial" w:eastAsia="Arial" w:hAnsi="Arial"/>
          <w:sz w:val="16"/>
          <w:szCs w:val="16"/>
          <w:b w:val="1"/>
          <w:bCs w:val="1"/>
          <w:color w:val="auto"/>
        </w:rPr>
        <w:t>S</w:t>
      </w:r>
      <w:r>
        <w:rPr>
          <w:rFonts w:ascii="Arial" w:cs="Arial" w:eastAsia="Arial" w:hAnsi="Arial"/>
          <w:sz w:val="13"/>
          <w:szCs w:val="13"/>
          <w:b w:val="1"/>
          <w:bCs w:val="1"/>
          <w:color w:val="auto"/>
        </w:rPr>
        <w:t>ECURED</w:t>
      </w:r>
      <w:r>
        <w:rPr>
          <w:rFonts w:ascii="Arial" w:cs="Arial" w:eastAsia="Arial" w:hAnsi="Arial"/>
          <w:sz w:val="16"/>
          <w:szCs w:val="16"/>
          <w:color w:val="auto"/>
        </w:rPr>
        <w:t xml:space="preserve"> </w:t>
      </w:r>
      <w:r>
        <w:rPr>
          <w:rFonts w:ascii="Arial" w:cs="Arial" w:eastAsia="Arial" w:hAnsi="Arial"/>
          <w:sz w:val="16"/>
          <w:szCs w:val="16"/>
          <w:b w:val="1"/>
          <w:bCs w:val="1"/>
          <w:color w:val="auto"/>
        </w:rPr>
        <w:t>D</w:t>
      </w:r>
      <w:r>
        <w:rPr>
          <w:rFonts w:ascii="Arial" w:cs="Arial" w:eastAsia="Arial" w:hAnsi="Arial"/>
          <w:sz w:val="13"/>
          <w:szCs w:val="13"/>
          <w:b w:val="1"/>
          <w:bCs w:val="1"/>
          <w:color w:val="auto"/>
        </w:rPr>
        <w:t>EBT</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UND</w:t>
      </w:r>
      <w:r>
        <w:rPr>
          <w:rFonts w:ascii="Arial" w:cs="Arial" w:eastAsia="Arial" w:hAnsi="Arial"/>
          <w:sz w:val="16"/>
          <w:szCs w:val="16"/>
          <w:b w:val="1"/>
          <w:bCs w:val="1"/>
          <w:color w:val="auto"/>
        </w:rPr>
        <w:t xml:space="preserve"> II H</w:t>
      </w:r>
      <w:r>
        <w:rPr>
          <w:rFonts w:ascii="Arial" w:cs="Arial" w:eastAsia="Arial" w:hAnsi="Arial"/>
          <w:sz w:val="13"/>
          <w:szCs w:val="13"/>
          <w:b w:val="1"/>
          <w:bCs w:val="1"/>
          <w:color w:val="auto"/>
        </w:rPr>
        <w:t>OLDINGS</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AYMAN</w:t>
      </w:r>
      <w:r>
        <w:rPr>
          <w:rFonts w:ascii="Arial" w:cs="Arial" w:eastAsia="Arial" w:hAnsi="Arial"/>
          <w:sz w:val="16"/>
          <w:szCs w:val="16"/>
          <w:b w:val="1"/>
          <w:bCs w:val="1"/>
          <w:color w:val="auto"/>
        </w:rPr>
        <w:t xml:space="preserve"> LP</w:t>
      </w:r>
      <w:r>
        <w:rPr>
          <w:rFonts w:ascii="Arial" w:cs="Arial" w:eastAsia="Arial" w:hAnsi="Arial"/>
          <w:sz w:val="16"/>
          <w:szCs w:val="16"/>
          <w:color w:val="auto"/>
        </w:rPr>
        <w:t>, a Cayman Islands exempted limited partnership, and its permitted successors and assigns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Seller and Parent are sometimes referred to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xml:space="preserve"> and collectively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xml:space="preserve"> Capitalized terms used but not otherwise defined will have the respective meanings given to such terms in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attached hereto.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Amarin Parties desire additional funding to develop and commercialize the Product in the Territory and Purchaser desires,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herein, to provide Seller with such additional funding; and</w:t>
      </w:r>
    </w:p>
    <w:p>
      <w:pPr>
        <w:spacing w:after="0" w:line="120"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and subject to the terms and conditions contained herein, Seller desires to sell, convey, transfer and assign to Purchaser, and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desires to purchase and accept from Seller, all of Seller’s right, title and interest in, to and under the Purchased Receivables.</w:t>
      </w:r>
    </w:p>
    <w:p>
      <w:pPr>
        <w:spacing w:after="0" w:line="7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mutual covenants herein contained,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Parties hereby agree as follows: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PURCHASED RECEIVABLES</w:t>
      </w:r>
    </w:p>
    <w:p>
      <w:pPr>
        <w:spacing w:after="0" w:line="171"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1.1 P</w:t>
      </w:r>
      <w:r>
        <w:rPr>
          <w:rFonts w:ascii="Arial" w:cs="Arial" w:eastAsia="Arial" w:hAnsi="Arial"/>
          <w:sz w:val="13"/>
          <w:szCs w:val="13"/>
          <w:b w:val="1"/>
          <w:bCs w:val="1"/>
          <w:color w:val="auto"/>
        </w:rPr>
        <w:t>URCHASE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ALE OF</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URCHASED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terms and subject to the conditions set forth in this Agreement, Seller will sell, convey,</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and assign to Purchaser, and Purchaser agrees to purchase and accept from Seller, on the Closing Date, all of Seller’s right, title and interest in, to and under the Purchased Receivables, free and clear of any and all Encumbrances (other than Permitted Encumbrances).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color w:val="auto"/>
        </w:rPr>
        <w:t>.</w:t>
      </w:r>
    </w:p>
    <w:p>
      <w:pPr>
        <w:spacing w:after="0" w:line="177" w:lineRule="exact"/>
        <w:rPr>
          <w:sz w:val="20"/>
          <w:szCs w:val="20"/>
          <w:color w:val="auto"/>
        </w:rPr>
      </w:pPr>
    </w:p>
    <w:p>
      <w:pPr>
        <w:ind w:right="120" w:firstLine="921"/>
        <w:spacing w:after="0" w:line="332" w:lineRule="auto"/>
        <w:tabs>
          <w:tab w:leader="none" w:pos="1161"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 xml:space="preserve">The aggregate purchase price for the Purchased Receivables is $100,000,000.00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The Purchase Price will be paid on the Closing Date by wire transfer in immediately available U.S. dollar funds to an account to be designated in writing by Seller prior to the Closing.</w:t>
      </w:r>
    </w:p>
    <w:p>
      <w:pPr>
        <w:sectPr>
          <w:pgSz w:w="11900" w:h="16838" w:orient="portrait"/>
          <w:cols w:equalWidth="0" w:num="1">
            <w:col w:w="11400"/>
          </w:cols>
          <w:pgMar w:left="240" w:top="280" w:right="259" w:bottom="1440" w:gutter="0" w:footer="0" w:header="0"/>
        </w:sectPr>
      </w:pPr>
    </w:p>
    <w:bookmarkStart w:id="112" w:name="page113"/>
    <w:bookmarkEnd w:id="112"/>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40" w:firstLine="921"/>
        <w:spacing w:after="0" w:line="259" w:lineRule="auto"/>
        <w:tabs>
          <w:tab w:leader="none" w:pos="1171"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Seller will use the proceeds of the Purchase Price for Funded Activities. Seller will pay all providers of Funded Activities, whether Third-Person providers or Seller’s employees or Affiliates. Purchaser will have no obligation or responsibility to pay any portion of the Purchase Price to any providers of Funded Activities or anyone else, besides Seller as set forth in </w:t>
      </w:r>
      <w:r>
        <w:rPr>
          <w:rFonts w:ascii="Arial" w:cs="Arial" w:eastAsia="Arial" w:hAnsi="Arial"/>
          <w:sz w:val="18"/>
          <w:szCs w:val="18"/>
          <w:u w:val="single" w:color="auto"/>
          <w:color w:val="auto"/>
        </w:rPr>
        <w:t>Section 1.2 (a)</w:t>
      </w:r>
      <w:r>
        <w:rPr>
          <w:rFonts w:ascii="Arial" w:cs="Arial" w:eastAsia="Arial" w:hAnsi="Arial"/>
          <w:sz w:val="18"/>
          <w:szCs w:val="18"/>
          <w:color w:val="auto"/>
        </w:rPr>
        <w:t>.</w:t>
      </w:r>
    </w:p>
    <w:p>
      <w:pPr>
        <w:spacing w:after="0" w:line="13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1.3 M</w:t>
      </w:r>
      <w:r>
        <w:rPr>
          <w:rFonts w:ascii="Arial" w:cs="Arial" w:eastAsia="Arial" w:hAnsi="Arial"/>
          <w:sz w:val="14"/>
          <w:szCs w:val="14"/>
          <w:b w:val="1"/>
          <w:bCs w:val="1"/>
          <w:color w:val="auto"/>
        </w:rPr>
        <w:t>ANNER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conveyance, transfer, assignment and delivery of the Purchased Receivables by Seller to Purchaser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effected by Purchaser and Seller executing the Bill of Sale.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1.4 C</w:t>
      </w:r>
      <w:r>
        <w:rPr>
          <w:rFonts w:ascii="Arial" w:cs="Arial" w:eastAsia="Arial" w:hAnsi="Arial"/>
          <w:sz w:val="14"/>
          <w:szCs w:val="14"/>
          <w:b w:val="1"/>
          <w:bCs w:val="1"/>
          <w:color w:val="auto"/>
        </w:rPr>
        <w:t>LOSING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and sale provided for in this Agreement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take place at the offices of Akin Gump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Strauss Hauer &amp; Feld LLP, 1 Bryant Park, New York, NY 10036, commencing at 9:00 a.m. (local time) on the second Business Day following the satisfaction or waiver of all conditions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or at such other place, time and date as the Parties may mutually agree; provided that the Closing Date shall in no event occur earlier than December 19, 2012 and no later than December 27, 2012. The Parties will undertake in good faith all such actions and efforts reasonably required in an effort to effect the Closing within the period specified in the preceding sentence. The date of the Closing is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w:t>
      </w:r>
      <w:r>
        <w:rPr>
          <w:rFonts w:ascii="Arial" w:cs="Arial" w:eastAsia="Arial" w:hAnsi="Arial"/>
          <w:sz w:val="14"/>
          <w:szCs w:val="14"/>
          <w:b w:val="1"/>
          <w:bCs w:val="1"/>
          <w:color w:val="auto"/>
        </w:rPr>
        <w:t>ONDITIONS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w:t>
      </w:r>
    </w:p>
    <w:p>
      <w:pPr>
        <w:spacing w:after="0" w:line="177" w:lineRule="exact"/>
        <w:rPr>
          <w:sz w:val="20"/>
          <w:szCs w:val="20"/>
          <w:color w:val="auto"/>
        </w:rPr>
      </w:pPr>
    </w:p>
    <w:p>
      <w:pPr>
        <w:ind w:left="1160" w:hanging="239"/>
        <w:spacing w:after="0"/>
        <w:tabs>
          <w:tab w:leader="none" w:pos="11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Seller shall have delivered to Purchaser the Bill of Sale, duly executed by Seller.</w:t>
      </w:r>
    </w:p>
    <w:p>
      <w:pPr>
        <w:spacing w:after="0" w:line="171" w:lineRule="exact"/>
        <w:rPr>
          <w:rFonts w:ascii="Arial" w:cs="Arial" w:eastAsia="Arial" w:hAnsi="Arial"/>
          <w:sz w:val="18"/>
          <w:szCs w:val="18"/>
          <w:b w:val="1"/>
          <w:bCs w:val="1"/>
          <w:color w:val="auto"/>
        </w:rPr>
      </w:pPr>
    </w:p>
    <w:p>
      <w:pPr>
        <w:ind w:left="1180" w:hanging="259"/>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Seller shall have delivered to Purchaser the Intellectual Property Charge Agreements, duly executed by Seller.</w:t>
      </w:r>
    </w:p>
    <w:p>
      <w:pPr>
        <w:spacing w:after="0" w:line="171" w:lineRule="exact"/>
        <w:rPr>
          <w:rFonts w:ascii="Arial" w:cs="Arial" w:eastAsia="Arial" w:hAnsi="Arial"/>
          <w:sz w:val="18"/>
          <w:szCs w:val="18"/>
          <w:b w:val="1"/>
          <w:bCs w:val="1"/>
          <w:color w:val="auto"/>
        </w:rPr>
      </w:pPr>
    </w:p>
    <w:p>
      <w:pPr>
        <w:ind w:left="1160" w:hanging="239"/>
        <w:spacing w:after="0"/>
        <w:tabs>
          <w:tab w:leader="none" w:pos="11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An authorised officer of each of the Amarin Parties shall have delivered to Purchaser certificates, duly executed:</w:t>
      </w:r>
    </w:p>
    <w:p>
      <w:pPr>
        <w:spacing w:after="0" w:line="171" w:lineRule="exact"/>
        <w:rPr>
          <w:rFonts w:ascii="Arial" w:cs="Arial" w:eastAsia="Arial" w:hAnsi="Arial"/>
          <w:sz w:val="18"/>
          <w:szCs w:val="18"/>
          <w:b w:val="1"/>
          <w:bCs w:val="1"/>
          <w:color w:val="auto"/>
        </w:rPr>
      </w:pPr>
    </w:p>
    <w:p>
      <w:pPr>
        <w:ind w:firstLine="1492"/>
        <w:spacing w:after="0" w:line="283" w:lineRule="auto"/>
        <w:tabs>
          <w:tab w:leader="none" w:pos="1693" w:val="left"/>
        </w:tabs>
        <w:numPr>
          <w:ilvl w:val="2"/>
          <w:numId w:val="61"/>
        </w:numPr>
        <w:rPr>
          <w:rFonts w:ascii="Arial" w:cs="Arial" w:eastAsia="Arial" w:hAnsi="Arial"/>
          <w:sz w:val="16"/>
          <w:szCs w:val="16"/>
          <w:b w:val="1"/>
          <w:bCs w:val="1"/>
          <w:color w:val="auto"/>
        </w:rPr>
      </w:pPr>
      <w:r>
        <w:rPr>
          <w:rFonts w:ascii="Arial" w:cs="Arial" w:eastAsia="Arial" w:hAnsi="Arial"/>
          <w:sz w:val="16"/>
          <w:szCs w:val="16"/>
          <w:color w:val="auto"/>
        </w:rPr>
        <w:t>(A) attaching copies, certified by such officer as true and complete, of resolutions of the board of directors of such Amarin Party authorizing and approving the execution, delivery and performance by such Amarin Party of the Transaction Documents and the transactions contemplated herein and therein; (B) setting forth the incumbency of the officer or officers of such Amarin Party who have executed and delivered the Transaction Documents, including therein a signature specimen of each officer or officers; (C) attaching copies, certified by such officer as true and complete, of each of the certificate of incorporation (and any certificates of change of name) and memorandum and articles of association of such Amarin Party as in effect on the Closing Date; and</w:t>
      </w:r>
    </w:p>
    <w:p>
      <w:pPr>
        <w:spacing w:after="0" w:line="2" w:lineRule="exact"/>
        <w:rPr>
          <w:rFonts w:ascii="Arial" w:cs="Arial" w:eastAsia="Arial" w:hAnsi="Arial"/>
          <w:sz w:val="16"/>
          <w:szCs w:val="16"/>
          <w:b w:val="1"/>
          <w:bCs w:val="1"/>
          <w:color w:val="auto"/>
        </w:rPr>
      </w:pPr>
    </w:p>
    <w:p>
      <w:pPr>
        <w:ind w:right="240" w:firstLine="8"/>
        <w:spacing w:after="0" w:line="323" w:lineRule="auto"/>
        <w:tabs>
          <w:tab w:leader="none" w:pos="288"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where applicable, attaching copies, certified by such officer as true and complete, of long form good standing certificates of the appropriate Governmental Authority of such Amarin Party’s jurisdiction of incorporation, stating that such Amarin Party is in good standing under the laws of such jurisdiction;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13" w:name="page114"/>
    <w:bookmarkEnd w:id="113"/>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100" w:firstLine="1492"/>
        <w:spacing w:after="0" w:line="323" w:lineRule="auto"/>
        <w:tabs>
          <w:tab w:leader="none" w:pos="1742" w:val="left"/>
        </w:tabs>
        <w:numPr>
          <w:ilvl w:val="2"/>
          <w:numId w:val="63"/>
        </w:numPr>
        <w:rPr>
          <w:rFonts w:ascii="Arial" w:cs="Arial" w:eastAsia="Arial" w:hAnsi="Arial"/>
          <w:sz w:val="15"/>
          <w:szCs w:val="15"/>
          <w:b w:val="1"/>
          <w:bCs w:val="1"/>
          <w:color w:val="auto"/>
        </w:rPr>
      </w:pPr>
      <w:r>
        <w:rPr>
          <w:rFonts w:ascii="Arial" w:cs="Arial" w:eastAsia="Arial" w:hAnsi="Arial"/>
          <w:sz w:val="15"/>
          <w:szCs w:val="15"/>
          <w:color w:val="auto"/>
        </w:rPr>
        <w:t>(A) as to the accuracy in all material respects of each of such Amarin Party’s representations and warranties in this Agreement as of the Closing Date (other than those made as of a specified date earlier than the Closing Date); (B) as to the accuracy in all material respects of each of such Amarin Party’s representations and warranties in this Agreement as of a specified date earlier than the Closing Date; and (C) as to such Amarin Party’s compliance with and performance of in all material respects each of its covenants and obligations to be performed or complied with at or before the Closing Date.</w:t>
      </w:r>
    </w:p>
    <w:p>
      <w:pPr>
        <w:spacing w:after="0" w:line="97" w:lineRule="exact"/>
        <w:rPr>
          <w:rFonts w:ascii="Arial" w:cs="Arial" w:eastAsia="Arial" w:hAnsi="Arial"/>
          <w:sz w:val="15"/>
          <w:szCs w:val="15"/>
          <w:b w:val="1"/>
          <w:bCs w:val="1"/>
          <w:color w:val="auto"/>
        </w:rPr>
      </w:pPr>
    </w:p>
    <w:p>
      <w:pPr>
        <w:ind w:firstLine="921"/>
        <w:spacing w:after="0" w:line="291" w:lineRule="auto"/>
        <w:tabs>
          <w:tab w:leader="none" w:pos="1171"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Seller shall sign or deliver to Purchaser such other certificates, documents and financing statements and make such filings within the applicable statutory time periods as Purchaser may reasonably request in order to perfect the ownership interests in the Purchased Receivables and the security interests in the Collateral (a) in accordance with the UCC to the extent such security interest can be perfected by the filing of a financing statement or by filing with the United States Patent and Trademark Office and (b) as required under the laws of Ireland to the extent such security interest can be perfected; provided that for the avoidance of doubt, Seller shall not be obligated to undertake any filings or other actions with respect to any jurisdictions outside of the United States other than filings required in Ireland and with the European Patent Office.</w:t>
      </w:r>
    </w:p>
    <w:p>
      <w:pPr>
        <w:spacing w:after="0" w:line="120" w:lineRule="exact"/>
        <w:rPr>
          <w:rFonts w:ascii="Arial" w:cs="Arial" w:eastAsia="Arial" w:hAnsi="Arial"/>
          <w:sz w:val="16"/>
          <w:szCs w:val="16"/>
          <w:b w:val="1"/>
          <w:bCs w:val="1"/>
          <w:color w:val="auto"/>
        </w:rPr>
      </w:pPr>
    </w:p>
    <w:p>
      <w:pPr>
        <w:ind w:right="1000" w:firstLine="921"/>
        <w:spacing w:after="0" w:line="268" w:lineRule="auto"/>
        <w:tabs>
          <w:tab w:leader="none" w:pos="1152"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There shall not have been issued and be in effect any Judgment of any Governmental Entity enjoining, preventing or restricting the consummation of the transactions contemplated by this Agreement.</w:t>
      </w:r>
    </w:p>
    <w:p>
      <w:pPr>
        <w:spacing w:after="0" w:line="131" w:lineRule="exact"/>
        <w:rPr>
          <w:rFonts w:ascii="Arial" w:cs="Arial" w:eastAsia="Arial" w:hAnsi="Arial"/>
          <w:sz w:val="18"/>
          <w:szCs w:val="18"/>
          <w:b w:val="1"/>
          <w:bCs w:val="1"/>
          <w:color w:val="auto"/>
        </w:rPr>
      </w:pPr>
    </w:p>
    <w:p>
      <w:pPr>
        <w:jc w:val="both"/>
        <w:ind w:right="160" w:firstLine="921"/>
        <w:spacing w:after="0" w:line="286" w:lineRule="auto"/>
        <w:tabs>
          <w:tab w:leader="none" w:pos="1132"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w:t>
      </w:r>
    </w:p>
    <w:p>
      <w:pPr>
        <w:ind w:right="20" w:firstLine="8"/>
        <w:spacing w:after="0" w:line="261" w:lineRule="auto"/>
        <w:tabs>
          <w:tab w:leader="none" w:pos="2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seeking to obtain material damages in connection with the transactions contemplated hereby or (iii) seeking to restrain or prohibit Purchaser’s purchase of the Purchased Receivables.</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65"/>
        </w:numPr>
        <w:rPr>
          <w:rFonts w:ascii="Arial" w:cs="Arial" w:eastAsia="Arial" w:hAnsi="Arial"/>
          <w:sz w:val="15"/>
          <w:szCs w:val="15"/>
          <w:b w:val="1"/>
          <w:bCs w:val="1"/>
          <w:color w:val="auto"/>
        </w:rPr>
      </w:pPr>
      <w:r>
        <w:rPr>
          <w:rFonts w:ascii="Arial" w:cs="Arial" w:eastAsia="Arial" w:hAnsi="Arial"/>
          <w:sz w:val="15"/>
          <w:szCs w:val="15"/>
          <w:color w:val="auto"/>
        </w:rPr>
        <w:t>Purchaser shall have received an opinion of Cooley LLP, special counsel to Seller, in form and substance as agreed to by the Parties on the date</w:t>
      </w:r>
    </w:p>
    <w:p>
      <w:pPr>
        <w:spacing w:after="0" w:line="49"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hereof</w:t>
      </w:r>
      <w:r>
        <w:rPr>
          <w:rFonts w:ascii="Arial" w:cs="Arial" w:eastAsia="Arial" w:hAnsi="Arial"/>
          <w:sz w:val="18"/>
          <w:szCs w:val="18"/>
          <w:b w:val="1"/>
          <w:bCs w:val="1"/>
          <w:color w:val="auto"/>
        </w:rPr>
        <w:t>.</w:t>
      </w:r>
    </w:p>
    <w:p>
      <w:pPr>
        <w:spacing w:after="0" w:line="164" w:lineRule="exact"/>
        <w:rPr>
          <w:rFonts w:ascii="Arial" w:cs="Arial" w:eastAsia="Arial" w:hAnsi="Arial"/>
          <w:sz w:val="15"/>
          <w:szCs w:val="15"/>
          <w:b w:val="1"/>
          <w:bCs w:val="1"/>
          <w:color w:val="auto"/>
        </w:rPr>
      </w:pPr>
    </w:p>
    <w:p>
      <w:pPr>
        <w:ind w:firstLine="921"/>
        <w:spacing w:after="0" w:line="268" w:lineRule="auto"/>
        <w:tabs>
          <w:tab w:leader="none" w:pos="1171"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Purchaser shall have received an opinion of Byrne Wallace, special counsel to Seller, covering matters customary for similar transactions in form and substance reasonably acceptable to Purchaser.</w:t>
      </w:r>
    </w:p>
    <w:p>
      <w:pPr>
        <w:spacing w:after="0" w:line="131" w:lineRule="exact"/>
        <w:rPr>
          <w:rFonts w:ascii="Arial" w:cs="Arial" w:eastAsia="Arial" w:hAnsi="Arial"/>
          <w:sz w:val="18"/>
          <w:szCs w:val="18"/>
          <w:b w:val="1"/>
          <w:bCs w:val="1"/>
          <w:color w:val="auto"/>
        </w:rPr>
      </w:pPr>
    </w:p>
    <w:p>
      <w:pPr>
        <w:ind w:right="60" w:firstLine="921"/>
        <w:spacing w:after="0" w:line="259" w:lineRule="auto"/>
        <w:tabs>
          <w:tab w:leader="none" w:pos="112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Seller shall have delivered to Purchaser Form C1s signed on behalf of Seller in connection with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this Agreement, the Irish Intellectual Property Charge Agreement and any other intellectual property charge agreement which is registerable in the CRO, in the form to be agreed between Purchaser and Seller.</w:t>
      </w:r>
    </w:p>
    <w:p>
      <w:pPr>
        <w:spacing w:after="0" w:line="140" w:lineRule="exact"/>
        <w:rPr>
          <w:rFonts w:ascii="Arial" w:cs="Arial" w:eastAsia="Arial" w:hAnsi="Arial"/>
          <w:sz w:val="18"/>
          <w:szCs w:val="18"/>
          <w:b w:val="1"/>
          <w:bCs w:val="1"/>
          <w:color w:val="auto"/>
        </w:rPr>
      </w:pPr>
    </w:p>
    <w:p>
      <w:pPr>
        <w:ind w:right="780" w:firstLine="921"/>
        <w:spacing w:after="0" w:line="268" w:lineRule="auto"/>
        <w:tabs>
          <w:tab w:leader="none" w:pos="113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In the event that (or in the event that it is anticipated that) the Closing Date will occur more than 19 calendar days after the date of this Agreement, authority to file the Form C1s signed on behalf of the Seller in connection with this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14" w:name="page115"/>
    <w:bookmarkEnd w:id="114"/>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120" w:firstLine="921"/>
        <w:spacing w:after="0" w:line="268" w:lineRule="auto"/>
        <w:tabs>
          <w:tab w:leader="none" w:pos="117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All intellectual property registrations as Purchaser determines are necessary to perfect the security interest in the Collateral in the EPO, the Irish Patents Office and the European Trade Marks and Design Registration Office in connection with the European Patents.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C</w:t>
      </w:r>
      <w:r>
        <w:rPr>
          <w:rFonts w:ascii="Arial" w:cs="Arial" w:eastAsia="Arial" w:hAnsi="Arial"/>
          <w:sz w:val="14"/>
          <w:szCs w:val="14"/>
          <w:b w:val="1"/>
          <w:bCs w:val="1"/>
          <w:color w:val="auto"/>
        </w:rPr>
        <w:t>ONDITIONS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ELLER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w:t>
      </w:r>
    </w:p>
    <w:p>
      <w:pPr>
        <w:spacing w:after="0" w:line="177" w:lineRule="exact"/>
        <w:rPr>
          <w:sz w:val="20"/>
          <w:szCs w:val="20"/>
          <w:color w:val="auto"/>
        </w:rPr>
      </w:pPr>
    </w:p>
    <w:p>
      <w:pPr>
        <w:ind w:left="1160" w:hanging="239"/>
        <w:spacing w:after="0"/>
        <w:tabs>
          <w:tab w:leader="none" w:pos="116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Purchaser shall have delivered to Seller the Bill of Sale, duly executed by Purchaser.</w:t>
      </w:r>
    </w:p>
    <w:p>
      <w:pPr>
        <w:spacing w:after="0" w:line="171" w:lineRule="exact"/>
        <w:rPr>
          <w:rFonts w:ascii="Arial" w:cs="Arial" w:eastAsia="Arial" w:hAnsi="Arial"/>
          <w:sz w:val="18"/>
          <w:szCs w:val="18"/>
          <w:b w:val="1"/>
          <w:bCs w:val="1"/>
          <w:color w:val="auto"/>
        </w:rPr>
      </w:pPr>
    </w:p>
    <w:p>
      <w:pPr>
        <w:ind w:left="1180" w:hanging="259"/>
        <w:spacing w:after="0"/>
        <w:tabs>
          <w:tab w:leader="none" w:pos="118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Purchaser shall have delivered to Seller the Intellectual Property Charge Agreements, duly executed by Purchaser.</w:t>
      </w:r>
    </w:p>
    <w:p>
      <w:pPr>
        <w:spacing w:after="0" w:line="171" w:lineRule="exact"/>
        <w:rPr>
          <w:rFonts w:ascii="Arial" w:cs="Arial" w:eastAsia="Arial" w:hAnsi="Arial"/>
          <w:sz w:val="18"/>
          <w:szCs w:val="18"/>
          <w:b w:val="1"/>
          <w:bCs w:val="1"/>
          <w:color w:val="auto"/>
        </w:rPr>
      </w:pPr>
    </w:p>
    <w:p>
      <w:pPr>
        <w:ind w:firstLine="921"/>
        <w:spacing w:after="0" w:line="268" w:lineRule="auto"/>
        <w:tabs>
          <w:tab w:leader="none" w:pos="1152"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The general partner of Pharmakon Advisors, LP, the investment manager of Purchaser (“</w:t>
      </w:r>
      <w:r>
        <w:rPr>
          <w:rFonts w:ascii="Arial" w:cs="Arial" w:eastAsia="Arial" w:hAnsi="Arial"/>
          <w:sz w:val="18"/>
          <w:szCs w:val="18"/>
          <w:b w:val="1"/>
          <w:bCs w:val="1"/>
          <w:i w:val="1"/>
          <w:iCs w:val="1"/>
          <w:color w:val="auto"/>
        </w:rPr>
        <w:t>Pharmakon</w:t>
      </w:r>
      <w:r>
        <w:rPr>
          <w:rFonts w:ascii="Arial" w:cs="Arial" w:eastAsia="Arial" w:hAnsi="Arial"/>
          <w:sz w:val="18"/>
          <w:szCs w:val="18"/>
          <w:color w:val="auto"/>
        </w:rPr>
        <w:t>”), shall sign and deliver to Seller certificates dated as of the Closing Date:</w:t>
      </w:r>
    </w:p>
    <w:p>
      <w:pPr>
        <w:spacing w:after="0" w:line="131" w:lineRule="exact"/>
        <w:rPr>
          <w:rFonts w:ascii="Arial" w:cs="Arial" w:eastAsia="Arial" w:hAnsi="Arial"/>
          <w:sz w:val="18"/>
          <w:szCs w:val="18"/>
          <w:b w:val="1"/>
          <w:bCs w:val="1"/>
          <w:color w:val="auto"/>
        </w:rPr>
      </w:pPr>
    </w:p>
    <w:p>
      <w:pPr>
        <w:ind w:left="1700" w:hanging="208"/>
        <w:spacing w:after="0"/>
        <w:tabs>
          <w:tab w:leader="none" w:pos="1700" w:val="left"/>
        </w:tabs>
        <w:numPr>
          <w:ilvl w:val="2"/>
          <w:numId w:val="67"/>
        </w:numPr>
        <w:rPr>
          <w:rFonts w:ascii="Arial" w:cs="Arial" w:eastAsia="Arial" w:hAnsi="Arial"/>
          <w:sz w:val="15"/>
          <w:szCs w:val="15"/>
          <w:b w:val="1"/>
          <w:bCs w:val="1"/>
          <w:color w:val="auto"/>
        </w:rPr>
      </w:pPr>
      <w:r>
        <w:rPr>
          <w:rFonts w:ascii="Arial" w:cs="Arial" w:eastAsia="Arial" w:hAnsi="Arial"/>
          <w:sz w:val="15"/>
          <w:szCs w:val="15"/>
          <w:color w:val="auto"/>
        </w:rPr>
        <w:t>as to the power and authority of Pharmakon to execute, on behalf of Purchaser, the Transaction Documents to which Purchaser is or is to</w:t>
      </w:r>
    </w:p>
    <w:p>
      <w:pPr>
        <w:spacing w:after="0" w:line="49"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be a party;</w:t>
      </w:r>
    </w:p>
    <w:p>
      <w:pPr>
        <w:spacing w:after="0" w:line="164" w:lineRule="exact"/>
        <w:rPr>
          <w:rFonts w:ascii="Arial" w:cs="Arial" w:eastAsia="Arial" w:hAnsi="Arial"/>
          <w:sz w:val="15"/>
          <w:szCs w:val="15"/>
          <w:b w:val="1"/>
          <w:bCs w:val="1"/>
          <w:color w:val="auto"/>
        </w:rPr>
      </w:pPr>
    </w:p>
    <w:p>
      <w:pPr>
        <w:ind w:firstLine="1492"/>
        <w:spacing w:after="0" w:line="294" w:lineRule="auto"/>
        <w:tabs>
          <w:tab w:leader="none" w:pos="1742" w:val="left"/>
        </w:tabs>
        <w:numPr>
          <w:ilvl w:val="2"/>
          <w:numId w:val="67"/>
        </w:numPr>
        <w:rPr>
          <w:rFonts w:ascii="Arial" w:cs="Arial" w:eastAsia="Arial" w:hAnsi="Arial"/>
          <w:sz w:val="16"/>
          <w:szCs w:val="16"/>
          <w:b w:val="1"/>
          <w:bCs w:val="1"/>
          <w:color w:val="auto"/>
        </w:rPr>
      </w:pPr>
      <w:r>
        <w:rPr>
          <w:rFonts w:ascii="Arial" w:cs="Arial" w:eastAsia="Arial" w:hAnsi="Arial"/>
          <w:sz w:val="16"/>
          <w:szCs w:val="16"/>
          <w:color w:val="auto"/>
        </w:rPr>
        <w:t>(A) as to the accuracy in all material respects of each of Purchaser’s representations and warranties in this Agreement as of the Closing Date (other than those made as of a specified date earlier than the Closing Date); (B) setting forth the incumbency of the authorized person of Pharmakon who has executed and delivered the Transaction Documents, including therein a signature specimen of such authorized person; (C) as to the accuracy in all material respects of each of Purchaser’s representations and warranties in this Agreement as of a specified date earlier than the Closing Date; and (D) as to Purchaser’s compliance with and performance of in all material respects each of its covenants and obligations to be performed or complied with at or before the Closing Date.</w:t>
      </w:r>
    </w:p>
    <w:p>
      <w:pPr>
        <w:spacing w:after="0" w:line="115" w:lineRule="exact"/>
        <w:rPr>
          <w:rFonts w:ascii="Arial" w:cs="Arial" w:eastAsia="Arial" w:hAnsi="Arial"/>
          <w:sz w:val="16"/>
          <w:szCs w:val="16"/>
          <w:b w:val="1"/>
          <w:bCs w:val="1"/>
          <w:color w:val="auto"/>
        </w:rPr>
      </w:pPr>
    </w:p>
    <w:p>
      <w:pPr>
        <w:ind w:right="1040" w:firstLine="921"/>
        <w:spacing w:after="0" w:line="268" w:lineRule="auto"/>
        <w:tabs>
          <w:tab w:leader="none" w:pos="1171"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There shall not have been issued and be in effect any Judgment of any Governmental Entity enjoining, preventing or restricting the consummation of the transactions contemplated by this Agreement.</w:t>
      </w:r>
    </w:p>
    <w:p>
      <w:pPr>
        <w:spacing w:after="0" w:line="131" w:lineRule="exact"/>
        <w:rPr>
          <w:rFonts w:ascii="Arial" w:cs="Arial" w:eastAsia="Arial" w:hAnsi="Arial"/>
          <w:sz w:val="18"/>
          <w:szCs w:val="18"/>
          <w:b w:val="1"/>
          <w:bCs w:val="1"/>
          <w:color w:val="auto"/>
        </w:rPr>
      </w:pPr>
    </w:p>
    <w:p>
      <w:pPr>
        <w:jc w:val="both"/>
        <w:ind w:right="220" w:firstLine="921"/>
        <w:spacing w:after="0" w:line="286" w:lineRule="auto"/>
        <w:tabs>
          <w:tab w:leader="none" w:pos="1152" w:val="left"/>
        </w:tabs>
        <w:numPr>
          <w:ilvl w:val="1"/>
          <w:numId w:val="67"/>
        </w:numPr>
        <w:rPr>
          <w:rFonts w:ascii="Arial" w:cs="Arial" w:eastAsia="Arial" w:hAnsi="Arial"/>
          <w:sz w:val="16"/>
          <w:szCs w:val="16"/>
          <w:b w:val="1"/>
          <w:bCs w:val="1"/>
          <w:color w:val="auto"/>
        </w:rPr>
      </w:pPr>
      <w:r>
        <w:rPr>
          <w:rFonts w:ascii="Arial" w:cs="Arial" w:eastAsia="Arial" w:hAnsi="Arial"/>
          <w:sz w:val="16"/>
          <w:szCs w:val="16"/>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w:t>
      </w:r>
    </w:p>
    <w:p>
      <w:pPr>
        <w:ind w:right="80" w:firstLine="8"/>
        <w:spacing w:after="0" w:line="261" w:lineRule="auto"/>
        <w:tabs>
          <w:tab w:leader="none" w:pos="2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seeking to obtain material damages in connection with the transactions contemplated hereby or (iii) seeking to restrain or prohibit Purchaser’s purchase of the Purchased Receivables.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5" w:name="page116"/>
    <w:bookmarkEnd w:id="115"/>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R</w:t>
      </w:r>
      <w:r>
        <w:rPr>
          <w:rFonts w:ascii="Arial" w:cs="Arial" w:eastAsia="Arial" w:hAnsi="Arial"/>
          <w:sz w:val="14"/>
          <w:szCs w:val="14"/>
          <w:b w:val="1"/>
          <w:bCs w:val="1"/>
          <w:color w:val="auto"/>
        </w:rPr>
        <w:t>ETAINED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 S</w:t>
      </w:r>
      <w:r>
        <w:rPr>
          <w:rFonts w:ascii="Arial" w:cs="Arial" w:eastAsia="Arial" w:hAnsi="Arial"/>
          <w:sz w:val="14"/>
          <w:szCs w:val="14"/>
          <w:b w:val="1"/>
          <w:bCs w:val="1"/>
          <w:color w:val="auto"/>
        </w:rPr>
        <w:t>ELLER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in this Agreement to the contrary:</w:t>
      </w:r>
    </w:p>
    <w:p>
      <w:pPr>
        <w:spacing w:after="0" w:line="177" w:lineRule="exact"/>
        <w:rPr>
          <w:sz w:val="20"/>
          <w:szCs w:val="20"/>
          <w:color w:val="auto"/>
        </w:rPr>
      </w:pPr>
    </w:p>
    <w:p>
      <w:pPr>
        <w:ind w:right="400" w:firstLine="921"/>
        <w:spacing w:after="0" w:line="268" w:lineRule="auto"/>
        <w:tabs>
          <w:tab w:leader="none" w:pos="1161"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Purchaser is acquiring only the Purchased Receivables and does not, by purchase of the Purchased Receivables hereunder, acquire any other assets of Seller or its Affiliates other than the Purchased Receivables;</w:t>
      </w:r>
    </w:p>
    <w:p>
      <w:pPr>
        <w:spacing w:after="0" w:line="131" w:lineRule="exact"/>
        <w:rPr>
          <w:rFonts w:ascii="Arial" w:cs="Arial" w:eastAsia="Arial" w:hAnsi="Arial"/>
          <w:sz w:val="18"/>
          <w:szCs w:val="18"/>
          <w:b w:val="1"/>
          <w:bCs w:val="1"/>
          <w:color w:val="auto"/>
        </w:rPr>
      </w:pPr>
    </w:p>
    <w:p>
      <w:pPr>
        <w:ind w:right="680" w:firstLine="921"/>
        <w:spacing w:after="0" w:line="268" w:lineRule="auto"/>
        <w:tabs>
          <w:tab w:leader="none" w:pos="1171"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Purchaser does not, by purchase of the Purchased Receivables hereunder, assume any Liability of Seller or any of its Affiliates. All such Liabilities will be retained by and remain Liabilities of Seller or its Affiliates; and</w:t>
      </w:r>
    </w:p>
    <w:p>
      <w:pPr>
        <w:spacing w:after="0" w:line="131" w:lineRule="exact"/>
        <w:rPr>
          <w:rFonts w:ascii="Arial" w:cs="Arial" w:eastAsia="Arial" w:hAnsi="Arial"/>
          <w:sz w:val="18"/>
          <w:szCs w:val="18"/>
          <w:b w:val="1"/>
          <w:bCs w:val="1"/>
          <w:color w:val="auto"/>
        </w:rPr>
      </w:pPr>
    </w:p>
    <w:p>
      <w:pPr>
        <w:ind w:right="100" w:firstLine="921"/>
        <w:spacing w:after="0" w:line="259" w:lineRule="auto"/>
        <w:tabs>
          <w:tab w:leader="none" w:pos="1152"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herein, Seller has sole authority and responsibility for the research, development, commercialization and exploitation of Product, including regulatory compliance, intellectual property protection, manufacturing, marketing, clinical development, distribution, sales, product liability and reimbursement with respect thereto.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RECORDS AND AUDITS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UE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p>
      <w:pPr>
        <w:spacing w:after="0" w:line="177" w:lineRule="exact"/>
        <w:rPr>
          <w:sz w:val="20"/>
          <w:szCs w:val="20"/>
          <w:color w:val="auto"/>
        </w:rPr>
      </w:pPr>
    </w:p>
    <w:p>
      <w:pPr>
        <w:ind w:right="580" w:firstLine="921"/>
        <w:spacing w:after="0" w:line="306" w:lineRule="auto"/>
        <w:tabs>
          <w:tab w:leader="none" w:pos="1161"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 xml:space="preserve">(i) Until such time as Seller or its Affiliates have paid the Threshold Amount or otherwise met the requirements of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2.1(h)</w:t>
      </w:r>
      <w:r>
        <w:rPr>
          <w:rFonts w:ascii="Arial" w:cs="Arial" w:eastAsia="Arial" w:hAnsi="Arial"/>
          <w:sz w:val="16"/>
          <w:szCs w:val="16"/>
          <w:color w:val="auto"/>
        </w:rPr>
        <w:t xml:space="preserve">, then subject to the Quarterly Cap in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Seller will, or will cause its Affiliates to, during the Payment Period, as applicable, pay Purchaser the scheduled quarterly amount set forth in the corresponding table below (each, a </w:t>
      </w:r>
      <w:r>
        <w:rPr>
          <w:rFonts w:ascii="Arial" w:cs="Arial" w:eastAsia="Arial" w:hAnsi="Arial"/>
          <w:sz w:val="16"/>
          <w:szCs w:val="16"/>
          <w:b w:val="1"/>
          <w:bCs w:val="1"/>
          <w:i w:val="1"/>
          <w:iCs w:val="1"/>
          <w:color w:val="auto"/>
        </w:rPr>
        <w:t>“Scheduled Quarterly Amount”</w:t>
      </w:r>
      <w:r>
        <w:rPr>
          <w:rFonts w:ascii="Arial" w:cs="Arial" w:eastAsia="Arial" w:hAnsi="Arial"/>
          <w:sz w:val="16"/>
          <w:szCs w:val="16"/>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(1) each Calendar Quarter occurring</w:t>
            </w:r>
          </w:p>
        </w:tc>
        <w:tc>
          <w:tcPr>
            <w:tcW w:w="4980" w:type="dxa"/>
            <w:vAlign w:val="bottom"/>
          </w:tcPr>
          <w:p>
            <w:pPr>
              <w:jc w:val="center"/>
              <w:ind w:right="472"/>
              <w:spacing w:after="0"/>
              <w:rPr>
                <w:sz w:val="20"/>
                <w:szCs w:val="20"/>
                <w:color w:val="auto"/>
              </w:rPr>
            </w:pPr>
            <w:r>
              <w:rPr>
                <w:rFonts w:ascii="Arial" w:cs="Arial" w:eastAsia="Arial" w:hAnsi="Arial"/>
                <w:sz w:val="18"/>
                <w:szCs w:val="18"/>
                <w:b w:val="1"/>
                <w:bCs w:val="1"/>
                <w:color w:val="auto"/>
                <w:w w:val="88"/>
              </w:rPr>
              <w:t>Scheduled Quarterly Amount (in the</w:t>
            </w:r>
          </w:p>
        </w:tc>
      </w:tr>
      <w:tr>
        <w:trPr>
          <w:trHeight w:val="216"/>
        </w:trPr>
        <w:tc>
          <w:tcPr>
            <w:tcW w:w="6440" w:type="dxa"/>
            <w:vAlign w:val="bottom"/>
          </w:tcPr>
          <w:p>
            <w:pPr>
              <w:spacing w:after="0"/>
              <w:rPr>
                <w:sz w:val="18"/>
                <w:szCs w:val="18"/>
                <w:color w:val="auto"/>
              </w:rPr>
            </w:pPr>
          </w:p>
        </w:tc>
        <w:tc>
          <w:tcPr>
            <w:tcW w:w="4980" w:type="dxa"/>
            <w:vAlign w:val="bottom"/>
          </w:tcPr>
          <w:p>
            <w:pPr>
              <w:jc w:val="center"/>
              <w:ind w:right="472"/>
              <w:spacing w:after="0"/>
              <w:rPr>
                <w:sz w:val="20"/>
                <w:szCs w:val="20"/>
                <w:color w:val="auto"/>
              </w:rPr>
            </w:pPr>
            <w:r>
              <w:rPr>
                <w:rFonts w:ascii="Arial" w:cs="Arial" w:eastAsia="Arial" w:hAnsi="Arial"/>
                <w:sz w:val="18"/>
                <w:szCs w:val="18"/>
                <w:b w:val="1"/>
                <w:bCs w:val="1"/>
                <w:color w:val="auto"/>
                <w:w w:val="89"/>
              </w:rPr>
              <w:t>event it is not a Quarterly Cap Event</w:t>
            </w:r>
          </w:p>
        </w:tc>
      </w:tr>
      <w:tr>
        <w:trPr>
          <w:trHeight w:val="228"/>
        </w:trPr>
        <w:tc>
          <w:tcPr>
            <w:tcW w:w="6440" w:type="dxa"/>
            <w:vAlign w:val="bottom"/>
          </w:tcPr>
          <w:p>
            <w:pPr>
              <w:spacing w:after="0"/>
              <w:rPr>
                <w:sz w:val="19"/>
                <w:szCs w:val="19"/>
                <w:color w:val="auto"/>
              </w:rPr>
            </w:pPr>
          </w:p>
        </w:tc>
        <w:tc>
          <w:tcPr>
            <w:tcW w:w="4980" w:type="dxa"/>
            <w:vAlign w:val="bottom"/>
          </w:tcPr>
          <w:p>
            <w:pPr>
              <w:jc w:val="center"/>
              <w:ind w:right="472"/>
              <w:spacing w:after="0"/>
              <w:rPr>
                <w:sz w:val="20"/>
                <w:szCs w:val="20"/>
                <w:color w:val="auto"/>
              </w:rPr>
            </w:pPr>
            <w:r>
              <w:rPr>
                <w:rFonts w:ascii="Arial" w:cs="Arial" w:eastAsia="Arial" w:hAnsi="Arial"/>
                <w:sz w:val="18"/>
                <w:szCs w:val="18"/>
                <w:b w:val="1"/>
                <w:bCs w:val="1"/>
                <w:color w:val="auto"/>
                <w:w w:val="92"/>
              </w:rPr>
              <w:t>Quarter)</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in the last two Calendar Quarters of 2013</w:t>
            </w:r>
          </w:p>
        </w:tc>
        <w:tc>
          <w:tcPr>
            <w:tcW w:w="498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 2014</w:t>
            </w:r>
          </w:p>
        </w:tc>
        <w:tc>
          <w:tcPr>
            <w:tcW w:w="4980" w:type="dxa"/>
            <w:vAlign w:val="bottom"/>
          </w:tcPr>
          <w:p>
            <w:pPr>
              <w:jc w:val="right"/>
              <w:spacing w:after="0"/>
              <w:rPr>
                <w:sz w:val="20"/>
                <w:szCs w:val="20"/>
                <w:color w:val="auto"/>
              </w:rPr>
            </w:pPr>
            <w:r>
              <w:rPr>
                <w:rFonts w:ascii="Arial" w:cs="Arial" w:eastAsia="Arial" w:hAnsi="Arial"/>
                <w:sz w:val="18"/>
                <w:szCs w:val="18"/>
                <w:color w:val="auto"/>
              </w:rPr>
              <w:t>$8,000,000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 2015</w:t>
            </w:r>
          </w:p>
        </w:tc>
        <w:tc>
          <w:tcPr>
            <w:tcW w:w="4980" w:type="dxa"/>
            <w:vAlign w:val="bottom"/>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 2016</w:t>
            </w:r>
          </w:p>
        </w:tc>
        <w:tc>
          <w:tcPr>
            <w:tcW w:w="498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 the first Calendar Quarter of 2017 (in the event no prior Quarterly Cap Event</w:t>
            </w:r>
          </w:p>
        </w:tc>
        <w:tc>
          <w:tcPr>
            <w:tcW w:w="4980" w:type="dxa"/>
            <w:vAlign w:val="bottom"/>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Quarter)</w:t>
            </w:r>
          </w:p>
        </w:tc>
        <w:tc>
          <w:tcPr>
            <w:tcW w:w="4980" w:type="dxa"/>
            <w:vAlign w:val="bottom"/>
          </w:tcPr>
          <w:p>
            <w:pPr>
              <w:jc w:val="right"/>
              <w:spacing w:after="0"/>
              <w:rPr>
                <w:sz w:val="20"/>
                <w:szCs w:val="20"/>
                <w:color w:val="auto"/>
              </w:rPr>
            </w:pPr>
            <w:r>
              <w:rPr>
                <w:rFonts w:ascii="Arial" w:cs="Arial" w:eastAsia="Arial" w:hAnsi="Arial"/>
                <w:sz w:val="18"/>
                <w:szCs w:val="18"/>
                <w:color w:val="auto"/>
              </w:rPr>
              <w:t>$13,000,000</w:t>
            </w:r>
          </w:p>
        </w:tc>
      </w:tr>
    </w:tbl>
    <w:p>
      <w:pPr>
        <w:spacing w:after="0" w:line="200"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each Calendar Quarter occurring</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Arial" w:cs="Arial" w:eastAsia="Arial" w:hAnsi="Arial"/>
          <w:sz w:val="18"/>
          <w:szCs w:val="18"/>
          <w:b w:val="1"/>
          <w:bCs w:val="1"/>
          <w:color w:val="auto"/>
        </w:rPr>
        <w:t>Scheduled Quarterly Amount (in the</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5"/>
          <w:szCs w:val="15"/>
          <w:b w:val="1"/>
          <w:bCs w:val="1"/>
          <w:color w:val="auto"/>
        </w:rPr>
        <w:t>event there is or has been a Quarterly Cap</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Event Quarter)</w:t>
      </w:r>
    </w:p>
    <w:p>
      <w:pPr>
        <w:spacing w:after="0" w:line="16" w:lineRule="exact"/>
        <w:rPr>
          <w:sz w:val="20"/>
          <w:szCs w:val="20"/>
          <w:color w:val="auto"/>
        </w:rPr>
      </w:pPr>
    </w:p>
    <w:p>
      <w:pPr>
        <w:sectPr>
          <w:pgSz w:w="11900" w:h="16838" w:orient="portrait"/>
          <w:cols w:equalWidth="0" w:num="2">
            <w:col w:w="6340" w:space="720"/>
            <w:col w:w="43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 the first Calendar Quarter of 2017 (in the event of a prior or current Quarterly</w:t>
      </w:r>
    </w:p>
    <w:p>
      <w:pPr>
        <w:sectPr>
          <w:pgSz w:w="11900" w:h="16838" w:orient="portrait"/>
          <w:cols w:equalWidth="0" w:num="1">
            <w:col w:w="11420"/>
          </w:cols>
          <w:pgMar w:left="240" w:top="280"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Cap Event Quarter)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lesser of (1) the Outstanding Threshold Amount and (2) [***]</w:t>
      </w:r>
    </w:p>
    <w:p>
      <w:pPr>
        <w:spacing w:after="0" w:line="32" w:lineRule="exact"/>
        <w:rPr>
          <w:sz w:val="20"/>
          <w:szCs w:val="20"/>
          <w:color w:val="auto"/>
        </w:rPr>
      </w:pPr>
    </w:p>
    <w:p>
      <w:pPr>
        <w:sectPr>
          <w:pgSz w:w="11900" w:h="16838" w:orient="portrait"/>
          <w:cols w:equalWidth="0" w:num="2">
            <w:col w:w="6040" w:space="720"/>
            <w:col w:w="466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 the second Calendar Quarter of 2017 and thereafter (only in the event of a prior</w:t>
      </w:r>
    </w:p>
    <w:p>
      <w:pPr>
        <w:sectPr>
          <w:pgSz w:w="11900" w:h="16838" w:orient="portrait"/>
          <w:cols w:equalWidth="0" w:num="1">
            <w:col w:w="11420"/>
          </w:cols>
          <w:pgMar w:left="240" w:top="280"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Quarterly Cap Event Quarter)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lesser of (1) the Outstanding Threshold Amount and (2) [***]</w:t>
      </w:r>
    </w:p>
    <w:p>
      <w:pPr>
        <w:spacing w:after="0" w:line="174" w:lineRule="exact"/>
        <w:rPr>
          <w:sz w:val="20"/>
          <w:szCs w:val="20"/>
          <w:color w:val="auto"/>
        </w:rPr>
      </w:pPr>
    </w:p>
    <w:p>
      <w:pPr>
        <w:sectPr>
          <w:pgSz w:w="11900" w:h="16838" w:orient="portrait"/>
          <w:cols w:equalWidth="0" w:num="2">
            <w:col w:w="6040" w:space="720"/>
            <w:col w:w="466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80" w:right="239" w:bottom="1440" w:gutter="0" w:footer="0" w:header="0"/>
          <w:type w:val="continuous"/>
        </w:sectPr>
      </w:pPr>
    </w:p>
    <w:bookmarkStart w:id="116" w:name="page117"/>
    <w:bookmarkEnd w:id="116"/>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jc w:val="both"/>
        <w:ind w:right="80" w:firstLine="464"/>
        <w:spacing w:after="0" w:line="256"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Until such time as the Threshold Amount has been paid, the Scheduled Quarterly Amount will be calculated and payable by Seller or its Affiliates on a Calendar Quarter basis during the Payment Period, and Seller will, or will cause its Affiliates to, pay the Scheduled Quarterly Amount to Purchaser within [***] after the end of such Calendar Quarter. In any event, Seller or its Affiliate, in connection with or as a result of any Scheduled Quarterly Amount payment shall notify Purchaser when Seller believes the Threshold Amount has been reached.</w:t>
      </w:r>
    </w:p>
    <w:p>
      <w:pPr>
        <w:spacing w:after="0" w:line="143" w:lineRule="exact"/>
        <w:rPr>
          <w:sz w:val="20"/>
          <w:szCs w:val="20"/>
          <w:color w:val="auto"/>
        </w:rPr>
      </w:pPr>
    </w:p>
    <w:p>
      <w:pPr>
        <w:ind w:left="1180" w:hanging="259"/>
        <w:spacing w:after="0"/>
        <w:tabs>
          <w:tab w:leader="none" w:pos="118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Each Calendar Quarter during the Payment Period, the Scheduled Quarterly Amount payable by Seller and its Affiliates pursuant to</w:t>
      </w:r>
    </w:p>
    <w:p>
      <w:pPr>
        <w:spacing w:after="0" w:line="38"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will be subject to [***] (each, a </w:t>
      </w:r>
      <w:r>
        <w:rPr>
          <w:rFonts w:ascii="Arial" w:cs="Arial" w:eastAsia="Arial" w:hAnsi="Arial"/>
          <w:sz w:val="18"/>
          <w:szCs w:val="18"/>
          <w:b w:val="1"/>
          <w:bCs w:val="1"/>
          <w:i w:val="1"/>
          <w:iCs w:val="1"/>
          <w:color w:val="auto"/>
        </w:rPr>
        <w:t>“Quarterly Cap”</w:t>
      </w:r>
      <w:r>
        <w:rPr>
          <w:rFonts w:ascii="Arial" w:cs="Arial" w:eastAsia="Arial" w:hAnsi="Arial"/>
          <w:sz w:val="18"/>
          <w:szCs w:val="18"/>
          <w:color w:val="auto"/>
        </w:rPr>
        <w:t xml:space="preserve">), amounts in excess of which will not constitute a Scheduled Quarterly Amount and, thus, will not be payable by Seller or its Affiliates to Purchaser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The attainment of a Quarterly Cap in any Calendar Quarter during the Payment Period shall hereinafter be referred to as a “</w:t>
      </w:r>
      <w:r>
        <w:rPr>
          <w:rFonts w:ascii="Arial" w:cs="Arial" w:eastAsia="Arial" w:hAnsi="Arial"/>
          <w:sz w:val="18"/>
          <w:szCs w:val="18"/>
          <w:b w:val="1"/>
          <w:bCs w:val="1"/>
          <w:i w:val="1"/>
          <w:iCs w:val="1"/>
          <w:color w:val="auto"/>
        </w:rPr>
        <w:t>Quarterly Cap Event Quarter</w:t>
      </w:r>
      <w:r>
        <w:rPr>
          <w:rFonts w:ascii="Arial" w:cs="Arial" w:eastAsia="Arial" w:hAnsi="Arial"/>
          <w:sz w:val="18"/>
          <w:szCs w:val="18"/>
          <w:color w:val="auto"/>
        </w:rPr>
        <w:t>”</w:t>
      </w:r>
    </w:p>
    <w:p>
      <w:pPr>
        <w:spacing w:after="0" w:line="144" w:lineRule="exact"/>
        <w:rPr>
          <w:sz w:val="20"/>
          <w:szCs w:val="20"/>
          <w:color w:val="auto"/>
        </w:rPr>
      </w:pPr>
    </w:p>
    <w:p>
      <w:pPr>
        <w:ind w:left="1160" w:hanging="239"/>
        <w:spacing w:after="0"/>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b w:val="1"/>
          <w:bCs w:val="1"/>
          <w:color w:val="auto"/>
        </w:rPr>
      </w:pPr>
    </w:p>
    <w:p>
      <w:pPr>
        <w:ind w:firstLine="921"/>
        <w:spacing w:after="0" w:line="288" w:lineRule="auto"/>
        <w:tabs>
          <w:tab w:leader="none" w:pos="1171"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of a Quarterly Cap Event Quarter, then, beginning with the first Calendar Quarter of 2017, Seller shall perform a true-up for the Scheduled Quarterly Amount for the total of each of the preceding Quarterly Cap Event Quarter amounts unpaid, to the extent applicable. Such true-up shall reconcile the actual Scheduled Quarterly Amount for each applicable Calendar Quarter with the Scheduled Quarterly Amount calculated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(including, without limitation, a reconciliation of actual deductions with respect to Net Sales with the deductions that were accrued or estimated with respect thereto). Seller shall provide to Purchaser such reconciliation no later than [***] after the end of the first Calendar Quarter of 2017. If Seller is required to make a payment to Purchaser to effect such reconciliation, then subject to the rate adjustments in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and to the limitation in </w:t>
      </w:r>
      <w:r>
        <w:rPr>
          <w:rFonts w:ascii="Arial" w:cs="Arial" w:eastAsia="Arial" w:hAnsi="Arial"/>
          <w:sz w:val="16"/>
          <w:szCs w:val="16"/>
          <w:u w:val="single" w:color="auto"/>
          <w:color w:val="auto"/>
        </w:rPr>
        <w:t>Section 2.1(h)</w:t>
      </w:r>
      <w:r>
        <w:rPr>
          <w:rFonts w:ascii="Arial" w:cs="Arial" w:eastAsia="Arial" w:hAnsi="Arial"/>
          <w:sz w:val="16"/>
          <w:szCs w:val="16"/>
          <w:color w:val="auto"/>
        </w:rPr>
        <w:t xml:space="preserve">, Seller or its Affiliates shall provide such payment to Purchaser along with such reconciliation. Seller shall provide to Purchaser, along with the reconciliation, all documentation reasonably necessary to explain or support the reconciliation (as well as such other information as Purchaser shall reasonably request), in a form to be mutually agreed. Any reconciling payment made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shall be made without interest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7" w:name="page118"/>
    <w:bookmarkEnd w:id="117"/>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firstLine="921"/>
        <w:spacing w:after="0" w:line="253" w:lineRule="auto"/>
        <w:tabs>
          <w:tab w:leader="none" w:pos="1152"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Seller or its Affiliates shall have the option to prepay all or any portion of Scheduled Quarterly Amounts due hereunder at any time during the Payment Period upon written notice (specifying the Scheduled Quarterly Amount with respect to which such prepayment is made, or if not specified such prepayment shall be deemed made for the next Scheduled Quarterly Amount) and tender of payment to Purchaser; provided that if Seller determines to pay the Outstanding Threshold Amount, then Seller shall provide written notice to Purchaser of the exercise of this option not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the Outstanding Threshold Amount payment date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Upon payment of the Outstanding Threshold Amount on the Termination Date, neither Seller nor any of its Affiliates will have any obligation to pay to Purchaser any additional Scheduled Quarterly Amount pursuant to this Section 2.1 and this Agreement shall terminate</w:t>
      </w:r>
    </w:p>
    <w:p>
      <w:pPr>
        <w:spacing w:after="0" w:line="147" w:lineRule="exact"/>
        <w:rPr>
          <w:rFonts w:ascii="Arial" w:cs="Arial" w:eastAsia="Arial" w:hAnsi="Arial"/>
          <w:sz w:val="18"/>
          <w:szCs w:val="18"/>
          <w:b w:val="1"/>
          <w:bCs w:val="1"/>
          <w:color w:val="auto"/>
        </w:rPr>
      </w:pPr>
    </w:p>
    <w:p>
      <w:pPr>
        <w:jc w:val="both"/>
        <w:ind w:right="260" w:firstLine="921"/>
        <w:spacing w:after="0" w:line="256" w:lineRule="auto"/>
        <w:tabs>
          <w:tab w:leader="none" w:pos="1132"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All payments from Seller or its Affiliates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any other payment made by Seller or its Affiliates to Purchaser under this Agreement will be made in U.S. dollars by wire transfer of immediately available funds, free and clear of all Encumbrances and without offset or reduction by Seller or its Affiliates of any kind (except pursuant to the reconciliation procedures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to such account as Purchaser notifies Seller in writing.</w:t>
      </w:r>
    </w:p>
    <w:p>
      <w:pPr>
        <w:spacing w:after="0" w:line="143" w:lineRule="exact"/>
        <w:rPr>
          <w:rFonts w:ascii="Arial" w:cs="Arial" w:eastAsia="Arial" w:hAnsi="Arial"/>
          <w:sz w:val="18"/>
          <w:szCs w:val="18"/>
          <w:b w:val="1"/>
          <w:bCs w:val="1"/>
          <w:color w:val="auto"/>
        </w:rPr>
      </w:pPr>
    </w:p>
    <w:p>
      <w:pPr>
        <w:ind w:right="300" w:firstLine="921"/>
        <w:spacing w:after="0" w:line="332" w:lineRule="auto"/>
        <w:tabs>
          <w:tab w:leader="none" w:pos="1161"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Seller will, and will cause its Affiliates to, hold in trust for the benefit of Purchaser any portion of Net Sales constituting Scheduled Quarterly Amounts in the applicable Calendar Quarter until such funds are paid to Purchaser within the time period provided therefor hereunder.</w:t>
      </w:r>
    </w:p>
    <w:p>
      <w:pPr>
        <w:spacing w:after="0" w:line="85" w:lineRule="exact"/>
        <w:rPr>
          <w:rFonts w:ascii="Arial" w:cs="Arial" w:eastAsia="Arial" w:hAnsi="Arial"/>
          <w:sz w:val="16"/>
          <w:szCs w:val="16"/>
          <w:b w:val="1"/>
          <w:bCs w:val="1"/>
          <w:color w:val="auto"/>
        </w:rPr>
      </w:pPr>
    </w:p>
    <w:p>
      <w:pPr>
        <w:ind w:right="60" w:firstLine="921"/>
        <w:spacing w:after="0" w:line="259" w:lineRule="auto"/>
        <w:tabs>
          <w:tab w:leader="none" w:pos="1171"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Neither Seller nor any of its Affiliates will have any obligation to pay to Purchaser any Scheduled Quarterly Amount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once Purchaser has actually received an aggregate amount of such payments equal to the Threshold Amount or Seller or its Affiliates have satisfied in full the obligations under </w:t>
      </w:r>
      <w:r>
        <w:rPr>
          <w:rFonts w:ascii="Arial" w:cs="Arial" w:eastAsia="Arial" w:hAnsi="Arial"/>
          <w:sz w:val="18"/>
          <w:szCs w:val="18"/>
          <w:u w:val="single" w:color="auto"/>
          <w:color w:val="auto"/>
        </w:rPr>
        <w:t>Section 4.9(m)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D</w:t>
      </w:r>
      <w:r>
        <w:rPr>
          <w:rFonts w:ascii="Arial" w:cs="Arial" w:eastAsia="Arial" w:hAnsi="Arial"/>
          <w:sz w:val="14"/>
          <w:szCs w:val="14"/>
          <w:b w:val="1"/>
          <w:bCs w:val="1"/>
          <w:color w:val="auto"/>
        </w:rPr>
        <w:t>ELIVERABLES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UE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p>
      <w:pPr>
        <w:spacing w:after="0" w:line="177" w:lineRule="exact"/>
        <w:rPr>
          <w:sz w:val="20"/>
          <w:szCs w:val="20"/>
          <w:color w:val="auto"/>
        </w:rPr>
      </w:pPr>
    </w:p>
    <w:p>
      <w:pPr>
        <w:ind w:right="20" w:firstLine="921"/>
        <w:spacing w:after="0" w:line="287" w:lineRule="auto"/>
        <w:tabs>
          <w:tab w:leader="none" w:pos="1161"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 xml:space="preserve">Within [***] of the end of each Calendar Quarter during the Payment Period, Seller will send a written report to Purchaser showing (i) the Net Sales for the Calendar Quarter in question (and for that Calendar Year to date), showing in reasonably specific detail how calculated, (ii) a breakdown of such Net Sales by Product and country, (iii) any Quarterly Cap applicable to such Scheduled Quarterly Amount, (iv) whether, in connection with or as a result of such Scheduled Quarterly Amount payment, Seller believes the Threshold Amount has been reached, certified by an executive officer of Seller as true and complete in all material respects (the </w:t>
      </w:r>
      <w:r>
        <w:rPr>
          <w:rFonts w:ascii="Arial" w:cs="Arial" w:eastAsia="Arial" w:hAnsi="Arial"/>
          <w:sz w:val="16"/>
          <w:szCs w:val="16"/>
          <w:b w:val="1"/>
          <w:bCs w:val="1"/>
          <w:i w:val="1"/>
          <w:iCs w:val="1"/>
          <w:color w:val="auto"/>
        </w:rPr>
        <w:t>“Quarterly Report”</w:t>
      </w:r>
      <w:r>
        <w:rPr>
          <w:rFonts w:ascii="Arial" w:cs="Arial" w:eastAsia="Arial" w:hAnsi="Arial"/>
          <w:sz w:val="16"/>
          <w:szCs w:val="16"/>
          <w:color w:val="auto"/>
        </w:rPr>
        <w:t xml:space="preserve">). Within [***] of the end of each Calendar Year , Seller or its Affiliate will deliver to Purchaser a reasonably detailed annual report, certified by an executive officer of Seller as true and complete in all material respects, setting forth, with respect to such calendar year, (A) the Clinical Updates, (B) the Commercial Updates and (C) the Intellectual Property Updates (the </w:t>
      </w:r>
      <w:r>
        <w:rPr>
          <w:rFonts w:ascii="Arial" w:cs="Arial" w:eastAsia="Arial" w:hAnsi="Arial"/>
          <w:sz w:val="16"/>
          <w:szCs w:val="16"/>
          <w:b w:val="1"/>
          <w:bCs w:val="1"/>
          <w:i w:val="1"/>
          <w:iCs w:val="1"/>
          <w:color w:val="auto"/>
        </w:rPr>
        <w:t>“Annual Report”</w:t>
      </w:r>
      <w:r>
        <w:rPr>
          <w:rFonts w:ascii="Arial" w:cs="Arial" w:eastAsia="Arial" w:hAnsi="Arial"/>
          <w:sz w:val="16"/>
          <w:szCs w:val="16"/>
          <w:color w:val="auto"/>
        </w:rPr>
        <w:t>); provided that in the event there is a material change in a Calendar Quarter to a previously provided Annual Report, then within [***] of the applicable quarter, Seller shall provide a supplemental report in reasonable detail describing such material change to the most recently provided Annual Report. Seller shall also provide Purchaser with such additional information regarding the updates included in each Annual Report as Purchaser may reasonably request from time to time.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8" w:name="page119"/>
    <w:bookmarkEnd w:id="118"/>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firstLine="921"/>
        <w:spacing w:after="0" w:line="294" w:lineRule="auto"/>
        <w:tabs>
          <w:tab w:leader="none" w:pos="1171"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 xml:space="preserve">Within [***] after the end of each of the first three Calendar Quarters of a Calendar Year during the Payment Period, the Amarin Parties will provide Purchaser with copies of the unaudited consolidated balance sheets of Parent and its consolidated subsidiaries for the corresponding Calendar Quarter, the related unaudited consolidated statements of income and cash flows for such Calendar Quarter and the notes to such financial statements (the </w:t>
      </w:r>
      <w:r>
        <w:rPr>
          <w:rFonts w:ascii="Arial" w:cs="Arial" w:eastAsia="Arial" w:hAnsi="Arial"/>
          <w:sz w:val="16"/>
          <w:szCs w:val="16"/>
          <w:b w:val="1"/>
          <w:bCs w:val="1"/>
          <w:i w:val="1"/>
          <w:iCs w:val="1"/>
          <w:color w:val="auto"/>
        </w:rPr>
        <w:t>“Unaudited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certified by an executive officer of Seller as true and complete in all material respects (except as permitted by Form 10-Q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Exchange Act of 1934, as amended). Each set of the Unaudited Financial Statements shall be the Confidential Information of the Amarin Parties.</w:t>
      </w:r>
    </w:p>
    <w:p>
      <w:pPr>
        <w:spacing w:after="0" w:line="115" w:lineRule="exact"/>
        <w:rPr>
          <w:rFonts w:ascii="Arial" w:cs="Arial" w:eastAsia="Arial" w:hAnsi="Arial"/>
          <w:sz w:val="16"/>
          <w:szCs w:val="16"/>
          <w:b w:val="1"/>
          <w:bCs w:val="1"/>
          <w:color w:val="auto"/>
        </w:rPr>
      </w:pPr>
    </w:p>
    <w:p>
      <w:pPr>
        <w:ind w:right="440" w:firstLine="921"/>
        <w:spacing w:after="0" w:line="268" w:lineRule="auto"/>
        <w:tabs>
          <w:tab w:leader="none" w:pos="1152"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Not less than [***] prior to the beginning of each Calendar Quarter during the Payment Period, Seller will provide Purchaser with a written statement describing [***].</w:t>
      </w:r>
    </w:p>
    <w:p>
      <w:pPr>
        <w:spacing w:after="0" w:line="13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Within [***] after the end of each Calendar Quarter during the Payment Period, Seller will provide Purchaser with a written statement, which</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describes [***].</w:t>
      </w:r>
    </w:p>
    <w:p>
      <w:pPr>
        <w:spacing w:after="0" w:line="164" w:lineRule="exact"/>
        <w:rPr>
          <w:rFonts w:ascii="Arial" w:cs="Arial" w:eastAsia="Arial" w:hAnsi="Arial"/>
          <w:sz w:val="16"/>
          <w:szCs w:val="16"/>
          <w:b w:val="1"/>
          <w:bCs w:val="1"/>
          <w:color w:val="auto"/>
        </w:rPr>
      </w:pPr>
    </w:p>
    <w:p>
      <w:pPr>
        <w:ind w:firstLine="921"/>
        <w:spacing w:after="0" w:line="256" w:lineRule="auto"/>
        <w:tabs>
          <w:tab w:leader="none" w:pos="1152"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Within [***] after the end of each Calendar Year during the Payment Period, the Amarin Parties will provide Purchaser with copies of the audited consolidated balance sheets of Parent and its consolidated subsidiaries for such Calendar Year, the related audited consolidated statements of income and cash flows for such Calendar Year, the notes to such financial statements, the report on such audited information by Deloitte &amp; Touche LLP (or such other independent certified public accounting firm as Parent determines) [***]</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R</w:t>
      </w:r>
      <w:r>
        <w:rPr>
          <w:rFonts w:ascii="Arial" w:cs="Arial" w:eastAsia="Arial" w:hAnsi="Arial"/>
          <w:sz w:val="14"/>
          <w:szCs w:val="14"/>
          <w:b w:val="1"/>
          <w:bCs w:val="1"/>
          <w:color w:val="auto"/>
        </w:rPr>
        <w:t>ECORDS</w:t>
      </w:r>
      <w:r>
        <w:rPr>
          <w:rFonts w:ascii="Arial" w:cs="Arial" w:eastAsia="Arial" w:hAnsi="Arial"/>
          <w:sz w:val="18"/>
          <w:szCs w:val="18"/>
          <w:b w:val="1"/>
          <w:bCs w:val="1"/>
          <w:color w:val="auto"/>
        </w:rPr>
        <w:t>; A</w:t>
      </w:r>
      <w:r>
        <w:rPr>
          <w:rFonts w:ascii="Arial" w:cs="Arial" w:eastAsia="Arial" w:hAnsi="Arial"/>
          <w:sz w:val="14"/>
          <w:szCs w:val="14"/>
          <w:b w:val="1"/>
          <w:bCs w:val="1"/>
          <w:color w:val="auto"/>
        </w:rPr>
        <w:t>UDIT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77" w:lineRule="exact"/>
        <w:rPr>
          <w:sz w:val="20"/>
          <w:szCs w:val="20"/>
          <w:color w:val="auto"/>
        </w:rPr>
      </w:pPr>
    </w:p>
    <w:p>
      <w:pPr>
        <w:ind w:right="80" w:firstLine="921"/>
        <w:spacing w:after="0" w:line="291" w:lineRule="auto"/>
        <w:tabs>
          <w:tab w:leader="none" w:pos="1161"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Seller will, and will cause its Affiliates to, consistent with their respective internal financial control and reporting practices and procedures, keep and maintain, for a period of [***] from the end of an applicable [***], accounts and records of all data reasonably required to verify calculations and related payments of Scheduled Quarterly Amounts, to verify and calculate the amounts to be paid to Purchaser under this Agreement, and to verify the expenses for which the Purchase Price proceeds were used. Seller shall also cause any counterparty to any out-license or sub-license of the Seller or the Seller’s Affiliates to prepare and maintain reasonably complete and accurate records of the information to be used in calculating Scheduled Quarterly Amounts and the expenses for which the Purchase Price proceeds were used, if any.</w:t>
      </w:r>
    </w:p>
    <w:p>
      <w:pPr>
        <w:spacing w:after="0" w:line="120" w:lineRule="exact"/>
        <w:rPr>
          <w:rFonts w:ascii="Arial" w:cs="Arial" w:eastAsia="Arial" w:hAnsi="Arial"/>
          <w:sz w:val="16"/>
          <w:szCs w:val="16"/>
          <w:b w:val="1"/>
          <w:bCs w:val="1"/>
          <w:color w:val="auto"/>
        </w:rPr>
      </w:pPr>
    </w:p>
    <w:p>
      <w:pPr>
        <w:jc w:val="both"/>
        <w:ind w:right="600" w:firstLine="921"/>
        <w:spacing w:after="0" w:line="259" w:lineRule="auto"/>
        <w:tabs>
          <w:tab w:leader="none" w:pos="1171"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During the Term and for [***] thereafter, during normal business hours and upon at least [***] prior written notice to Seller, but no more frequently than one time per [***] without cause, as determined by Purchaser in its reasonable discretion, and no more than one time with respect to each Calendar Quarter during the Payment Period, Purchaser has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9" w:name="page120"/>
    <w:bookmarkEnd w:id="119"/>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right to audit, through an independent certified public accountant selected by Purchaser and acceptable to Seller (which acceptance will not be unreasonably withheld, conditioned or delayed), those accounts and records of Seller and Seller’s Affiliates as may be reasonably necessary to verify the accuracy of the Quarterly Reports and the amounts received by Purchaser or the use of Purchase Price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conducting any such audit, such accountant will have entered into a confidentiality agreement in form and substance reasonably satisfactory to Seller). Purchaser’s independent certified public accountant will keep confidential all information obtained during such audit and will issue a written report to Purchaser and to Seller with only: (i) the actual amount of Net Sales made during the [***] in question, (ii) the resulting over- or under-payment of Scheduled Quarterly Amounts to Purchaser that occurred during, the [***] in question; and (iii) the details of any discrepancies between the Scheduled Quarterly Amounts that were paid and the Scheduled Quarterly Amounts that should have been paid. The determination of the actual amount of Scheduled Quarterly Amounts to be paid to Purchaser under this Agreement with respect to any [***] will be binding and conclusive on the Parties upon the expiration of [***] following the end of such [***], unless an audit of such [***] has been initiated before the expiration of such [***] period and is on-going, in which case, such determination will be binding and conclusive on the Parties upon completion of such audit. Without limiting the generality of the preceding sentence, in the event that the Parties dispute the results of any audit performed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then the Parties shall, within [***], agree upon a nationally recognized U.S. independent auditor who has no engagement with either of the Parties within the prior [***], to review the results of the audit and the calculations and data of Seller. The designated independent auditor shall make a binding determination on the Parties by selecting the results of one of the Parties, without adjustment or compromise. The costs and expenses of the engagement of the independent auditor selected to resolve the dispute will be allocated in accordance with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below.</w:t>
      </w:r>
    </w:p>
    <w:p>
      <w:pPr>
        <w:spacing w:after="0" w:line="126" w:lineRule="exact"/>
        <w:rPr>
          <w:sz w:val="20"/>
          <w:szCs w:val="20"/>
          <w:color w:val="auto"/>
        </w:rPr>
      </w:pPr>
    </w:p>
    <w:p>
      <w:pPr>
        <w:ind w:right="20" w:firstLine="921"/>
        <w:spacing w:after="0" w:line="294" w:lineRule="auto"/>
        <w:tabs>
          <w:tab w:leader="none" w:pos="1152"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 xml:space="preserve">Purchaser is solely responsible for all the expenses of the independent certified accountant, unless the independent certified public accountant’s report shows any underpayment by Seller exceeding [***] of the payment it owed Purchaser for any of the [***] then being reviewed. If the independent certified public accountant’s report shows that Seller underpaid by more than [***], Seller is responsible for the reasonable expenses incurred by Purchaser for the independent certified public accountant’s services. Any payment owed by one Party to another as a result of the audit shall be made within [***] of the receipt of the audit report, free and clear of any and all Encumbrances. In addition, any payment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bear interest in accordance with </w:t>
      </w:r>
      <w:r>
        <w:rPr>
          <w:rFonts w:ascii="Arial" w:cs="Arial" w:eastAsia="Arial" w:hAnsi="Arial"/>
          <w:sz w:val="16"/>
          <w:szCs w:val="16"/>
          <w:u w:val="single" w:color="auto"/>
          <w:color w:val="auto"/>
        </w:rPr>
        <w:t>Section 2.4.</w:t>
      </w:r>
    </w:p>
    <w:p>
      <w:pPr>
        <w:spacing w:after="0" w:line="11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2.4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payment under this Agreement is not made when due hereunder, the amount of such outstanding payment will accrue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such payment is due through and including the date on which full payment is made) at an annual rate equal to [***]. Payment of accrued interest will accompany payment of the outstanding payment.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0" w:name="page121"/>
    <w:bookmarkEnd w:id="120"/>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2.5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and Seller hereby agree that the terms of this Agreement fully define all consideration,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monetary or otherwise, to be paid, granted or delivered by Purchaser to Seller and by Seller to Purchaser in connection with the transactions contemplated herein. Neither Seller nor Purchaser have previously paid or entered into any other commitment to pay, whether orally or in writing, any Seller or Purchaser employee, directly or indirectly, any consideration, compensation or benefits, monetary or otherwise, in connection with the transactions contemplated herein.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3.1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ARTIES</w:t>
      </w:r>
      <w:r>
        <w:rPr>
          <w:rFonts w:ascii="Arial" w:cs="Arial" w:eastAsia="Arial" w:hAnsi="Arial"/>
          <w:sz w:val="18"/>
          <w:szCs w:val="18"/>
          <w:color w:val="auto"/>
        </w:rPr>
        <w:t>. The Amarin Parties, jointly and severally, represent and warrant to Purchaser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20" w:lineRule="exact"/>
        <w:rPr>
          <w:sz w:val="20"/>
          <w:szCs w:val="20"/>
          <w:color w:val="auto"/>
        </w:rPr>
      </w:pPr>
    </w:p>
    <w:p>
      <w:pPr>
        <w:jc w:val="both"/>
        <w:ind w:right="260" w:firstLine="921"/>
        <w:spacing w:after="0" w:line="310" w:lineRule="auto"/>
        <w:tabs>
          <w:tab w:leader="none" w:pos="1162"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color w:val="auto"/>
        </w:rPr>
        <w:t>Seller is an Irish company duly incorporated and validly existing under the laws of Ireland. Parent is a public limited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duly incorporated and validly existing under the laws of England and Wales. Each Amarin Party is, where applicable, in good standing in every jurisdiction in which the failure to do so would reasonably be expected to result, individually or in the aggregate, in a Material Adverse Effect.</w:t>
      </w:r>
    </w:p>
    <w:p>
      <w:pPr>
        <w:spacing w:after="0" w:line="97" w:lineRule="exact"/>
        <w:rPr>
          <w:rFonts w:ascii="Arial" w:cs="Arial" w:eastAsia="Arial" w:hAnsi="Arial"/>
          <w:sz w:val="16"/>
          <w:szCs w:val="16"/>
          <w:b w:val="1"/>
          <w:bCs w:val="1"/>
          <w:color w:val="auto"/>
        </w:rPr>
      </w:pPr>
    </w:p>
    <w:p>
      <w:pPr>
        <w:ind w:firstLine="921"/>
        <w:spacing w:after="0" w:line="287" w:lineRule="auto"/>
        <w:tabs>
          <w:tab w:leader="none" w:pos="1171"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Rights. </w:t>
      </w:r>
      <w:r>
        <w:rPr>
          <w:rFonts w:ascii="Arial" w:cs="Arial" w:eastAsia="Arial" w:hAnsi="Arial"/>
          <w:sz w:val="16"/>
          <w:szCs w:val="16"/>
          <w:color w:val="auto"/>
        </w:rPr>
        <w:t>Seller is the sole owner of all legal and equitable title to the Purchased Receivables, entitled to exercise its rights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therewith, free and clear of all Encumbrances, other than Permitted Encumbrances, such that, upon consummation of this Agreement, Purchaser will become entitled to receive, free and clear of all Encumbrances, other than Permitted Encumbrances, the Purchased Receivables. Seller has not pledged, sold, transferred, conveyed, assigned or delivered any interest in the Purchased Receivables to any other Person, or agreed to do so, and Seller has the full right, power and authority to sell, transfer, convey, assign and deliver the Purchased Receivables to Purchaser, free and clear of all Encumbrances, other than the Permitted Encumbrances. Upon the sale, transfer, conveyance, assignment and delivery of the Purchased Receivables to Purchaser pursuant to this Agreement, Purchaser will be the sole owner of all legal and equitable title to the Purchased Receivables, free and clear of any Encumbrances, other than the Permitted Encumbrances. Upon the filing of an appropriate UCC financing statement, the filings of particulars of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of this Agreement in the CRO and the filing of an appropriate patent security agreement in the PTO, there will have been duly filed all financing statements or other similar instruments or documents necessary under the applicable UCC (or any comparable law) of all applicable jurisdictions in the United States and all patent security agreements to perfect and maintain the perfection of Purchaser’s ownership interest in the Purchased Receivables and of the security interest in the Purchased Receivables granted by Seller to Purchaser pursuant to </w:t>
      </w:r>
      <w:r>
        <w:rPr>
          <w:rFonts w:ascii="Arial" w:cs="Arial" w:eastAsia="Arial" w:hAnsi="Arial"/>
          <w:sz w:val="16"/>
          <w:szCs w:val="16"/>
          <w:u w:val="single" w:color="auto"/>
          <w:color w:val="auto"/>
        </w:rPr>
        <w:t>Section 4.8</w:t>
      </w:r>
      <w:r>
        <w:rPr>
          <w:rFonts w:ascii="Arial" w:cs="Arial" w:eastAsia="Arial" w:hAnsi="Arial"/>
          <w:sz w:val="16"/>
          <w:szCs w:val="16"/>
          <w:color w:val="auto"/>
        </w:rPr>
        <w:t>, in each case, in the United States.</w:t>
      </w:r>
    </w:p>
    <w:p>
      <w:pPr>
        <w:spacing w:after="0" w:line="114" w:lineRule="exact"/>
        <w:rPr>
          <w:rFonts w:ascii="Arial" w:cs="Arial" w:eastAsia="Arial" w:hAnsi="Arial"/>
          <w:sz w:val="16"/>
          <w:szCs w:val="16"/>
          <w:b w:val="1"/>
          <w:bCs w:val="1"/>
          <w:color w:val="auto"/>
        </w:rPr>
      </w:pPr>
    </w:p>
    <w:p>
      <w:pPr>
        <w:jc w:val="both"/>
        <w:ind w:firstLine="921"/>
        <w:spacing w:after="0" w:line="262" w:lineRule="auto"/>
        <w:tabs>
          <w:tab w:leader="none" w:pos="11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Authorization. </w:t>
      </w:r>
      <w:r>
        <w:rPr>
          <w:rFonts w:ascii="Arial" w:cs="Arial" w:eastAsia="Arial" w:hAnsi="Arial"/>
          <w:sz w:val="18"/>
          <w:szCs w:val="18"/>
          <w:color w:val="auto"/>
        </w:rPr>
        <w:t>Each Amarin Party has all requisite power, right and authority and all material licenses, authorizations, consents and approvals of</w:t>
      </w:r>
      <w:r>
        <w:rPr>
          <w:rFonts w:ascii="Arial" w:cs="Arial" w:eastAsia="Arial" w:hAnsi="Arial"/>
          <w:sz w:val="18"/>
          <w:szCs w:val="18"/>
          <w:b w:val="1"/>
          <w:bCs w:val="1"/>
          <w:color w:val="auto"/>
        </w:rPr>
        <w:t xml:space="preserve"> </w:t>
      </w:r>
      <w:r>
        <w:rPr>
          <w:rFonts w:ascii="Arial" w:cs="Arial" w:eastAsia="Arial" w:hAnsi="Arial"/>
          <w:sz w:val="18"/>
          <w:szCs w:val="18"/>
          <w:color w:val="auto"/>
        </w:rPr>
        <w:t>all Governmental Authorities required to carry on its business as it is presently carried on by such Amarin Party, to enter into, execute and deliver this Agreement, the other Transaction Documents to which it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1" w:name="page122"/>
    <w:bookmarkEnd w:id="121"/>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is a party and the other documents to be delivered by such Amarin Party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to sell, assign, transfer, convey and deliver the Purchased Receivables to Purchaser and to perform all of the covenants, agreements, and obligations to be performed by such Amarin Party under the Transaction Documents. The Transaction Documents to which each Amarin Party is a party have been duly executed and delivered by an authorized officer of such Amarin Party and each constitutes such Amarin Party’s valid and binding obligation, enforceable against such Amarin Party in accordance with its respective terms, subject to bankruptcy, insolvency, reorganization or similar laws affecting the rights of creditors generally and to equitable principles (whether considered in a Proceeding in equity or at law).</w:t>
      </w:r>
    </w:p>
    <w:p>
      <w:pPr>
        <w:spacing w:after="0" w:line="138" w:lineRule="exact"/>
        <w:rPr>
          <w:sz w:val="20"/>
          <w:szCs w:val="20"/>
          <w:color w:val="auto"/>
        </w:rPr>
      </w:pPr>
    </w:p>
    <w:p>
      <w:pPr>
        <w:ind w:right="40" w:firstLine="921"/>
        <w:spacing w:after="0" w:line="290" w:lineRule="auto"/>
        <w:tabs>
          <w:tab w:leader="none" w:pos="1171"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Conflicts. </w:t>
      </w:r>
      <w:r>
        <w:rPr>
          <w:rFonts w:ascii="Arial" w:cs="Arial" w:eastAsia="Arial" w:hAnsi="Arial"/>
          <w:sz w:val="16"/>
          <w:szCs w:val="16"/>
          <w:color w:val="auto"/>
        </w:rPr>
        <w:t>Neither the execution and delivery of this Agreement or the other Transaction Documents by either Amarin Party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or consummation of this Agreement or the other Transaction Documents to which such Amarin Party is a party or the transactions contemplated hereby or thereby by such Amarin Party will: (i) contravene or conflict with, result in a Breach or violation of, constitute a default or accelerate the performance under (with due notice or lapse of time or both), in any respect, the terms of (A) to Seller’s Knowledge, any Applicable Law, (B) any provisions of the certificate of incorporation (or any certificate of change of name) or memorandum and articles of association (or other organizational or constitutional documents) of such Amarin Party, or (C) the Senior Notes or any material contract, agreement, or other arrangement to which either Amarin Party or any of their respective Affiliates is a party or by which either Amarin Party or any of their respective Affiliates or any of their respective assets is bound or committed; or (ii) result in the creation or imposition of any Encumbrance (except as provided in this Agreement) on the Purchased Receivables or the Additional Collateral.</w:t>
      </w:r>
    </w:p>
    <w:p>
      <w:pPr>
        <w:spacing w:after="0" w:line="112" w:lineRule="exact"/>
        <w:rPr>
          <w:rFonts w:ascii="Arial" w:cs="Arial" w:eastAsia="Arial" w:hAnsi="Arial"/>
          <w:sz w:val="16"/>
          <w:szCs w:val="16"/>
          <w:b w:val="1"/>
          <w:bCs w:val="1"/>
          <w:color w:val="auto"/>
        </w:rPr>
      </w:pPr>
    </w:p>
    <w:p>
      <w:pPr>
        <w:ind w:firstLine="921"/>
        <w:spacing w:after="0" w:line="290" w:lineRule="auto"/>
        <w:tabs>
          <w:tab w:leader="none" w:pos="1152"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Consent. </w:t>
      </w:r>
      <w:r>
        <w:rPr>
          <w:rFonts w:ascii="Arial" w:cs="Arial" w:eastAsia="Arial" w:hAnsi="Arial"/>
          <w:sz w:val="16"/>
          <w:szCs w:val="16"/>
          <w:color w:val="auto"/>
        </w:rPr>
        <w:t>The execution and delivery by each Amarin Party of this Agreement and the other Transaction Documents, and the performance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Amarin Party of its obligations and the consummation by each Amarin Party of any of the transactions contemplated hereby and thereby, do not require any consent, approval, license, order, authorization or declaration from, notice to, action or registration by or filing with any Governmental Authority or any other Person, except for (i) the filing of proper financing statements under the UCC, (ii) the filing of duly prepared intellectual property security agreements with the PTO, (iii) filings required by federal securities laws or stock exchange rules; (iv) the filings of particulars of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of this Agreement and the Irish Intellectual Property Charge Agreement in the CRO and (v) the filing of particulars of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of this Agreement and particulars of the Irish Intellectual Property Charge Agreement in the Irish Patents Office, the EPO and the European Trade Marks and Design Registration Office in connection with the European Patents.</w:t>
      </w:r>
    </w:p>
    <w:p>
      <w:pPr>
        <w:spacing w:after="0" w:line="112" w:lineRule="exact"/>
        <w:rPr>
          <w:rFonts w:ascii="Arial" w:cs="Arial" w:eastAsia="Arial" w:hAnsi="Arial"/>
          <w:sz w:val="16"/>
          <w:szCs w:val="16"/>
          <w:b w:val="1"/>
          <w:bCs w:val="1"/>
          <w:color w:val="auto"/>
        </w:rPr>
      </w:pPr>
    </w:p>
    <w:p>
      <w:pPr>
        <w:ind w:right="80" w:firstLine="921"/>
        <w:spacing w:after="0" w:line="310" w:lineRule="auto"/>
        <w:tabs>
          <w:tab w:leader="none" w:pos="1132"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Solvency. </w:t>
      </w:r>
      <w:r>
        <w:rPr>
          <w:rFonts w:ascii="Arial" w:cs="Arial" w:eastAsia="Arial" w:hAnsi="Arial"/>
          <w:sz w:val="16"/>
          <w:szCs w:val="16"/>
          <w:color w:val="auto"/>
        </w:rPr>
        <w:t>Immediately after consummation of the transactions contemplated by the Transaction Documents, (i) the fair saleable value of Seller’s</w:t>
      </w:r>
      <w:r>
        <w:rPr>
          <w:rFonts w:ascii="Arial" w:cs="Arial" w:eastAsia="Arial" w:hAnsi="Arial"/>
          <w:sz w:val="16"/>
          <w:szCs w:val="16"/>
          <w:b w:val="1"/>
          <w:bCs w:val="1"/>
          <w:color w:val="auto"/>
        </w:rPr>
        <w:t xml:space="preserve"> </w:t>
      </w:r>
      <w:r>
        <w:rPr>
          <w:rFonts w:ascii="Arial" w:cs="Arial" w:eastAsia="Arial" w:hAnsi="Arial"/>
          <w:sz w:val="16"/>
          <w:szCs w:val="16"/>
          <w:color w:val="auto"/>
        </w:rPr>
        <w:t>assets will be greater than the sum of its debts and other obligations, including contingent liabilities, (ii) the present fair saleable value of Seller’s assets will be greater than the amount that would be required to pay its probable liabilities on its existing debts and other obligations, including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22" w:name="page123"/>
    <w:bookmarkEnd w:id="122"/>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contingent liabilities, as they become absolute and matured, (iii) Seller will be able to realize upon its assets and pay its debts and other obligations, including contingent obligations, as they mature, (iv) Seller will not have unreasonably small capital with which to engage in its business, as currently conducted, and</w:t>
      </w:r>
    </w:p>
    <w:p>
      <w:pPr>
        <w:ind w:right="360" w:firstLine="8"/>
        <w:spacing w:after="0" w:line="261"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Seller does not have present plans or intentions to incur debts or other obligations or liabilities beyond its ability to pay such debts or other obligations or liabilities as they become absolute and matured.</w:t>
      </w:r>
    </w:p>
    <w:p>
      <w:pPr>
        <w:spacing w:after="0" w:line="131" w:lineRule="exact"/>
        <w:rPr>
          <w:rFonts w:ascii="Arial" w:cs="Arial" w:eastAsia="Arial" w:hAnsi="Arial"/>
          <w:sz w:val="18"/>
          <w:szCs w:val="18"/>
          <w:color w:val="auto"/>
        </w:rPr>
      </w:pPr>
    </w:p>
    <w:p>
      <w:pPr>
        <w:ind w:firstLine="921"/>
        <w:spacing w:after="0" w:line="256" w:lineRule="auto"/>
        <w:tabs>
          <w:tab w:leader="none" w:pos="1162"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No Litigation</w:t>
      </w:r>
      <w:r>
        <w:rPr>
          <w:rFonts w:ascii="Arial" w:cs="Arial" w:eastAsia="Arial" w:hAnsi="Arial"/>
          <w:sz w:val="18"/>
          <w:szCs w:val="18"/>
          <w:color w:val="auto"/>
        </w:rPr>
        <w:t>. There is no Proceeding against either Amarin Party, or to the Knowledge of Seller, investigation, pending or,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 threatened against either Amarin Party, or its Affiliates, at law or in equity (including that challenges the validity, ownership or enforceability of any of the Vascepa Product Rights), which, in each case, (i) if adversely determined, would reasonably be expected to have, individually or in the aggregate, a Material Adverse Effect, or (ii) challenges, or may have the effect of preventing, delaying, making illegal or otherwise interfering with, any of the transactions contemplated by any of the Transaction Documents.</w:t>
      </w:r>
    </w:p>
    <w:p>
      <w:pPr>
        <w:spacing w:after="0" w:line="138" w:lineRule="exact"/>
        <w:rPr>
          <w:rFonts w:ascii="Arial" w:cs="Arial" w:eastAsia="Arial" w:hAnsi="Arial"/>
          <w:sz w:val="18"/>
          <w:szCs w:val="18"/>
          <w:b w:val="1"/>
          <w:bCs w:val="1"/>
          <w:color w:val="auto"/>
        </w:rPr>
      </w:pPr>
    </w:p>
    <w:p>
      <w:pPr>
        <w:ind w:right="480" w:firstLine="921"/>
        <w:spacing w:after="0" w:line="258" w:lineRule="auto"/>
        <w:tabs>
          <w:tab w:leader="none" w:pos="1171"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w:t>
      </w:r>
      <w:r>
        <w:rPr>
          <w:rFonts w:ascii="Arial" w:cs="Arial" w:eastAsia="Arial" w:hAnsi="Arial"/>
          <w:sz w:val="18"/>
          <w:szCs w:val="18"/>
          <w:color w:val="auto"/>
        </w:rPr>
        <w:t>No Amarin Party is (i) in violation of, or has violated or has been given written notice of any violation,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Seller, is under investigation with respect to, or has been threatened to be charged with, any violation of, any Applicable Law that would reasonably be expected to have, individually or in the aggregate, a Material Adverse Effect, or (ii) subject to any Applicable Law that would reasonably be expected to have, individually or in the aggregate, a Material Adverse Effect.</w:t>
      </w:r>
    </w:p>
    <w:p>
      <w:pPr>
        <w:spacing w:after="0" w:line="136" w:lineRule="exact"/>
        <w:rPr>
          <w:rFonts w:ascii="Arial" w:cs="Arial" w:eastAsia="Arial" w:hAnsi="Arial"/>
          <w:sz w:val="18"/>
          <w:szCs w:val="18"/>
          <w:b w:val="1"/>
          <w:bCs w:val="1"/>
          <w:color w:val="auto"/>
        </w:rPr>
      </w:pPr>
    </w:p>
    <w:p>
      <w:pPr>
        <w:ind w:left="1140" w:hanging="219"/>
        <w:spacing w:after="0"/>
        <w:tabs>
          <w:tab w:leader="none" w:pos="1140"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In-Licensees and Sublicensees</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right="20" w:firstLine="1492"/>
        <w:spacing w:after="0" w:line="291" w:lineRule="auto"/>
        <w:tabs>
          <w:tab w:leader="none" w:pos="1693" w:val="left"/>
        </w:tabs>
        <w:numPr>
          <w:ilvl w:val="2"/>
          <w:numId w:val="81"/>
        </w:numPr>
        <w:rPr>
          <w:rFonts w:ascii="Arial" w:cs="Arial" w:eastAsia="Arial" w:hAnsi="Arial"/>
          <w:sz w:val="16"/>
          <w:szCs w:val="16"/>
          <w:b w:val="1"/>
          <w:bCs w:val="1"/>
          <w:color w:val="auto"/>
        </w:rPr>
      </w:pPr>
      <w:r>
        <w:rPr>
          <w:rFonts w:ascii="Arial" w:cs="Arial" w:eastAsia="Arial" w:hAnsi="Arial"/>
          <w:sz w:val="16"/>
          <w:szCs w:val="16"/>
          <w:i w:val="1"/>
          <w:iCs w:val="1"/>
          <w:color w:val="auto"/>
        </w:rPr>
        <w:t>Existing In-Licenses; No Other In-Licenses</w:t>
      </w:r>
      <w:r>
        <w:rPr>
          <w:rFonts w:ascii="Arial" w:cs="Arial" w:eastAsia="Arial" w:hAnsi="Arial"/>
          <w:sz w:val="16"/>
          <w:szCs w:val="16"/>
          <w:color w:val="auto"/>
        </w:rPr>
        <w:t>. Except as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3.1(i)</w:t>
      </w:r>
      <w:r>
        <w:rPr>
          <w:rFonts w:ascii="Arial" w:cs="Arial" w:eastAsia="Arial" w:hAnsi="Arial"/>
          <w:sz w:val="16"/>
          <w:szCs w:val="16"/>
          <w:color w:val="auto"/>
        </w:rPr>
        <w:t>, there are no In-Licenses (any In-License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3.1(i)</w:t>
      </w:r>
      <w:r>
        <w:rPr>
          <w:rFonts w:ascii="Arial" w:cs="Arial" w:eastAsia="Arial" w:hAnsi="Arial"/>
          <w:sz w:val="16"/>
          <w:szCs w:val="16"/>
          <w:color w:val="auto"/>
        </w:rPr>
        <w:t>, an “</w:t>
      </w:r>
      <w:r>
        <w:rPr>
          <w:rFonts w:ascii="Arial" w:cs="Arial" w:eastAsia="Arial" w:hAnsi="Arial"/>
          <w:sz w:val="16"/>
          <w:szCs w:val="16"/>
          <w:b w:val="1"/>
          <w:bCs w:val="1"/>
          <w:i w:val="1"/>
          <w:iCs w:val="1"/>
          <w:color w:val="auto"/>
        </w:rPr>
        <w:t>Existing In-License</w:t>
      </w:r>
      <w:r>
        <w:rPr>
          <w:rFonts w:ascii="Arial" w:cs="Arial" w:eastAsia="Arial" w:hAnsi="Arial"/>
          <w:sz w:val="16"/>
          <w:szCs w:val="16"/>
          <w:color w:val="auto"/>
        </w:rPr>
        <w:t xml:space="preserve">”). A true, correct and complete copy of each Existing In-License has been provided to the Purchaser by Seller prior to the date hereof.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Seller and the respective counterparty thereto have not made or granted any amendment or waiver of any provision of any Existing In-License. To the Knowledge of Seller, the development, discovery, manufacture, importation, sale, offer for sale or use of the Product did not and does not require Seller to obtain any In-License in addition to the Existing In-Licenses in order to avoid or resolve any infringement or misappropriation of intellectual property rights or other rights of any other Person.</w:t>
      </w:r>
    </w:p>
    <w:p>
      <w:pPr>
        <w:spacing w:after="0" w:line="120" w:lineRule="exact"/>
        <w:rPr>
          <w:rFonts w:ascii="Arial" w:cs="Arial" w:eastAsia="Arial" w:hAnsi="Arial"/>
          <w:sz w:val="16"/>
          <w:szCs w:val="16"/>
          <w:b w:val="1"/>
          <w:bCs w:val="1"/>
          <w:color w:val="auto"/>
        </w:rPr>
      </w:pPr>
    </w:p>
    <w:p>
      <w:pPr>
        <w:ind w:right="40" w:firstLine="1492"/>
        <w:spacing w:after="0" w:line="298" w:lineRule="auto"/>
        <w:tabs>
          <w:tab w:leader="none" w:pos="1742" w:val="left"/>
        </w:tabs>
        <w:numPr>
          <w:ilvl w:val="2"/>
          <w:numId w:val="81"/>
        </w:numPr>
        <w:rPr>
          <w:rFonts w:ascii="Arial" w:cs="Arial" w:eastAsia="Arial" w:hAnsi="Arial"/>
          <w:sz w:val="16"/>
          <w:szCs w:val="16"/>
          <w:b w:val="1"/>
          <w:bCs w:val="1"/>
          <w:color w:val="auto"/>
        </w:rPr>
      </w:pPr>
      <w:r>
        <w:rPr>
          <w:rFonts w:ascii="Arial" w:cs="Arial" w:eastAsia="Arial" w:hAnsi="Arial"/>
          <w:sz w:val="16"/>
          <w:szCs w:val="16"/>
          <w:i w:val="1"/>
          <w:iCs w:val="1"/>
          <w:color w:val="auto"/>
        </w:rPr>
        <w:t>Validity and Enforceability of the In-Licenses</w:t>
      </w:r>
      <w:r>
        <w:rPr>
          <w:rFonts w:ascii="Arial" w:cs="Arial" w:eastAsia="Arial" w:hAnsi="Arial"/>
          <w:sz w:val="16"/>
          <w:szCs w:val="16"/>
          <w:color w:val="auto"/>
        </w:rPr>
        <w:t>. Each of the Existing In-Licenses is a valid and binding obligation of Seller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counterparty thereto. Each of the Existing In-Licenses is enforceable against each counterparty thereto in accordance with its terms, except as may be limited by applicable Bankruptcy Laws or by general principles of equity (whether considered in a proceeding in equity or at law). The Seller has not received any notice in connection with an Existing In-License challenging the validity, enforceability or interpretation of any provision of such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23" w:name="page124"/>
    <w:bookmarkEnd w:id="123"/>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160" w:firstLine="1492"/>
        <w:spacing w:after="0" w:line="370" w:lineRule="auto"/>
        <w:tabs>
          <w:tab w:leader="none" w:pos="1791" w:val="left"/>
        </w:tabs>
        <w:numPr>
          <w:ilvl w:val="0"/>
          <w:numId w:val="82"/>
        </w:numPr>
        <w:rPr>
          <w:rFonts w:ascii="Arial" w:cs="Arial" w:eastAsia="Arial" w:hAnsi="Arial"/>
          <w:sz w:val="15"/>
          <w:szCs w:val="15"/>
          <w:b w:val="1"/>
          <w:bCs w:val="1"/>
          <w:color w:val="auto"/>
        </w:rPr>
      </w:pPr>
      <w:r>
        <w:rPr>
          <w:rFonts w:ascii="Arial" w:cs="Arial" w:eastAsia="Arial" w:hAnsi="Arial"/>
          <w:sz w:val="15"/>
          <w:szCs w:val="15"/>
          <w:i w:val="1"/>
          <w:iCs w:val="1"/>
          <w:color w:val="auto"/>
        </w:rPr>
        <w:t>No Liens or Assignments by Seller</w:t>
      </w:r>
      <w:r>
        <w:rPr>
          <w:rFonts w:ascii="Arial" w:cs="Arial" w:eastAsia="Arial" w:hAnsi="Arial"/>
          <w:sz w:val="15"/>
          <w:szCs w:val="15"/>
          <w:color w:val="auto"/>
        </w:rPr>
        <w:t>. Except as set forth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Schedule 3.1(i)</w:t>
      </w:r>
      <w:r>
        <w:rPr>
          <w:rFonts w:ascii="Arial" w:cs="Arial" w:eastAsia="Arial" w:hAnsi="Arial"/>
          <w:sz w:val="15"/>
          <w:szCs w:val="15"/>
          <w:color w:val="auto"/>
        </w:rPr>
        <w:t>, Seller has not, except for Permitted Liens or as contemplated</w:t>
      </w:r>
      <w:r>
        <w:rPr>
          <w:rFonts w:ascii="Arial" w:cs="Arial" w:eastAsia="Arial" w:hAnsi="Arial"/>
          <w:sz w:val="15"/>
          <w:szCs w:val="15"/>
          <w:i w:val="1"/>
          <w:iCs w:val="1"/>
          <w:color w:val="auto"/>
        </w:rPr>
        <w:t xml:space="preserve"> </w:t>
      </w:r>
      <w:r>
        <w:rPr>
          <w:rFonts w:ascii="Arial" w:cs="Arial" w:eastAsia="Arial" w:hAnsi="Arial"/>
          <w:sz w:val="15"/>
          <w:szCs w:val="15"/>
          <w:color w:val="auto"/>
        </w:rPr>
        <w:t>hereby, conveyed, assigned or in any other way transferred or granted any liens upon or security interests with respect to all or any portion of the Collateral.</w:t>
      </w:r>
    </w:p>
    <w:p>
      <w:pPr>
        <w:spacing w:after="0" w:line="62" w:lineRule="exact"/>
        <w:rPr>
          <w:rFonts w:ascii="Arial" w:cs="Arial" w:eastAsia="Arial" w:hAnsi="Arial"/>
          <w:sz w:val="15"/>
          <w:szCs w:val="15"/>
          <w:b w:val="1"/>
          <w:bCs w:val="1"/>
          <w:color w:val="auto"/>
        </w:rPr>
      </w:pPr>
    </w:p>
    <w:p>
      <w:pPr>
        <w:jc w:val="both"/>
        <w:ind w:right="20" w:firstLine="1492"/>
        <w:spacing w:after="0" w:line="306" w:lineRule="auto"/>
        <w:tabs>
          <w:tab w:leader="none" w:pos="1781" w:val="left"/>
        </w:tabs>
        <w:numPr>
          <w:ilvl w:val="0"/>
          <w:numId w:val="82"/>
        </w:numPr>
        <w:rPr>
          <w:rFonts w:ascii="Arial" w:cs="Arial" w:eastAsia="Arial" w:hAnsi="Arial"/>
          <w:sz w:val="16"/>
          <w:szCs w:val="16"/>
          <w:b w:val="1"/>
          <w:bCs w:val="1"/>
          <w:color w:val="auto"/>
        </w:rPr>
      </w:pPr>
      <w:r>
        <w:rPr>
          <w:rFonts w:ascii="Arial" w:cs="Arial" w:eastAsia="Arial" w:hAnsi="Arial"/>
          <w:sz w:val="16"/>
          <w:szCs w:val="16"/>
          <w:i w:val="1"/>
          <w:iCs w:val="1"/>
          <w:color w:val="auto"/>
        </w:rPr>
        <w:t>No Termination</w:t>
      </w:r>
      <w:r>
        <w:rPr>
          <w:rFonts w:ascii="Arial" w:cs="Arial" w:eastAsia="Arial" w:hAnsi="Arial"/>
          <w:sz w:val="16"/>
          <w:szCs w:val="16"/>
          <w:color w:val="auto"/>
        </w:rPr>
        <w:t>. The Seller has not (A) given notice to a counterparty of the termination of any Existing In-License (whether in whole or</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or any notice expressing any intention or desire to terminate any Existing In-License or (B) received from a counterparty thereto any notice of termination of any Existing In-License (whether in whole or in part) or any notice expressing any intention or desire to terminate any Existing In-License.</w:t>
      </w:r>
    </w:p>
    <w:p>
      <w:pPr>
        <w:spacing w:after="0" w:line="106" w:lineRule="exact"/>
        <w:rPr>
          <w:rFonts w:ascii="Arial" w:cs="Arial" w:eastAsia="Arial" w:hAnsi="Arial"/>
          <w:sz w:val="16"/>
          <w:szCs w:val="16"/>
          <w:b w:val="1"/>
          <w:bCs w:val="1"/>
          <w:color w:val="auto"/>
        </w:rPr>
      </w:pPr>
    </w:p>
    <w:p>
      <w:pPr>
        <w:ind w:firstLine="1492"/>
        <w:spacing w:after="0" w:line="294" w:lineRule="auto"/>
        <w:tabs>
          <w:tab w:leader="none" w:pos="1732" w:val="left"/>
        </w:tabs>
        <w:numPr>
          <w:ilvl w:val="0"/>
          <w:numId w:val="82"/>
        </w:numPr>
        <w:rPr>
          <w:rFonts w:ascii="Arial" w:cs="Arial" w:eastAsia="Arial" w:hAnsi="Arial"/>
          <w:sz w:val="16"/>
          <w:szCs w:val="16"/>
          <w:b w:val="1"/>
          <w:bCs w:val="1"/>
          <w:color w:val="auto"/>
        </w:rPr>
      </w:pPr>
      <w:r>
        <w:rPr>
          <w:rFonts w:ascii="Arial" w:cs="Arial" w:eastAsia="Arial" w:hAnsi="Arial"/>
          <w:sz w:val="16"/>
          <w:szCs w:val="16"/>
          <w:i w:val="1"/>
          <w:iCs w:val="1"/>
          <w:color w:val="auto"/>
        </w:rPr>
        <w:t>No Breaches or Defaults</w:t>
      </w:r>
      <w:r>
        <w:rPr>
          <w:rFonts w:ascii="Arial" w:cs="Arial" w:eastAsia="Arial" w:hAnsi="Arial"/>
          <w:sz w:val="16"/>
          <w:szCs w:val="16"/>
          <w:color w:val="auto"/>
        </w:rPr>
        <w:t>. There is and has been no breach or default under any provision of any Existing In-License either by Seller 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Knowledge of Seller, by the respective counterparty (or any predecessor thereof) thereto, which breach or default would or would reasonably be expected to materially impact Purchaser’s right to receive Scheduled Quarterly Amounts, and there is no event that upon notice or the passage of time, or both, would reasonably be expected to give rise to any breach or default either by Seller or, to the Knowledge of Seller, by the respective counterparty to such agreement, which breach or default would or would reasonably be expected to materially impact Purchaser’s right to receive Scheduled Quarterly Amounts.</w:t>
      </w:r>
    </w:p>
    <w:p>
      <w:pPr>
        <w:spacing w:after="0" w:line="115" w:lineRule="exact"/>
        <w:rPr>
          <w:rFonts w:ascii="Arial" w:cs="Arial" w:eastAsia="Arial" w:hAnsi="Arial"/>
          <w:sz w:val="16"/>
          <w:szCs w:val="16"/>
          <w:b w:val="1"/>
          <w:bCs w:val="1"/>
          <w:color w:val="auto"/>
        </w:rPr>
      </w:pPr>
    </w:p>
    <w:p>
      <w:pPr>
        <w:ind w:left="1780" w:hanging="288"/>
        <w:spacing w:after="0"/>
        <w:tabs>
          <w:tab w:leader="none" w:pos="1780" w:val="left"/>
        </w:tabs>
        <w:numPr>
          <w:ilvl w:val="0"/>
          <w:numId w:val="82"/>
        </w:numPr>
        <w:rPr>
          <w:rFonts w:ascii="Arial" w:cs="Arial" w:eastAsia="Arial" w:hAnsi="Arial"/>
          <w:sz w:val="15"/>
          <w:szCs w:val="15"/>
          <w:b w:val="1"/>
          <w:bCs w:val="1"/>
          <w:color w:val="auto"/>
        </w:rPr>
      </w:pPr>
      <w:r>
        <w:rPr>
          <w:rFonts w:ascii="Arial" w:cs="Arial" w:eastAsia="Arial" w:hAnsi="Arial"/>
          <w:sz w:val="15"/>
          <w:szCs w:val="15"/>
          <w:i w:val="1"/>
          <w:iCs w:val="1"/>
          <w:color w:val="auto"/>
        </w:rPr>
        <w:t>Payments Made</w:t>
      </w:r>
      <w:r>
        <w:rPr>
          <w:rFonts w:ascii="Arial" w:cs="Arial" w:eastAsia="Arial" w:hAnsi="Arial"/>
          <w:sz w:val="15"/>
          <w:szCs w:val="15"/>
          <w:color w:val="auto"/>
        </w:rPr>
        <w:t>. The Seller has made all payments to the respective counterparty required under each Existing In-License as of the date</w:t>
      </w:r>
    </w:p>
    <w:p>
      <w:pPr>
        <w:spacing w:after="0" w:line="49"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hereof.</w:t>
      </w:r>
    </w:p>
    <w:p>
      <w:pPr>
        <w:spacing w:after="0" w:line="164" w:lineRule="exact"/>
        <w:rPr>
          <w:rFonts w:ascii="Arial" w:cs="Arial" w:eastAsia="Arial" w:hAnsi="Arial"/>
          <w:sz w:val="15"/>
          <w:szCs w:val="15"/>
          <w:b w:val="1"/>
          <w:bCs w:val="1"/>
          <w:color w:val="auto"/>
        </w:rPr>
      </w:pPr>
    </w:p>
    <w:p>
      <w:pPr>
        <w:ind w:right="60" w:firstLine="1492"/>
        <w:spacing w:after="0" w:line="259" w:lineRule="auto"/>
        <w:tabs>
          <w:tab w:leader="none" w:pos="1830" w:val="left"/>
        </w:tabs>
        <w:numPr>
          <w:ilvl w:val="0"/>
          <w:numId w:val="82"/>
        </w:numPr>
        <w:rPr>
          <w:rFonts w:ascii="Arial" w:cs="Arial" w:eastAsia="Arial" w:hAnsi="Arial"/>
          <w:sz w:val="18"/>
          <w:szCs w:val="18"/>
          <w:b w:val="1"/>
          <w:bCs w:val="1"/>
          <w:color w:val="auto"/>
        </w:rPr>
      </w:pPr>
      <w:r>
        <w:rPr>
          <w:rFonts w:ascii="Arial" w:cs="Arial" w:eastAsia="Arial" w:hAnsi="Arial"/>
          <w:sz w:val="18"/>
          <w:szCs w:val="18"/>
          <w:i w:val="1"/>
          <w:iCs w:val="1"/>
          <w:color w:val="auto"/>
        </w:rPr>
        <w:t>No Assignments</w:t>
      </w:r>
      <w:r>
        <w:rPr>
          <w:rFonts w:ascii="Arial" w:cs="Arial" w:eastAsia="Arial" w:hAnsi="Arial"/>
          <w:sz w:val="18"/>
          <w:szCs w:val="18"/>
          <w:color w:val="auto"/>
        </w:rPr>
        <w:t>. The Seller has not consented to any assignment by the counterparty thereto of any of such counterparty’s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any Existing In-License and, to the Knowledge of Seller, such counterparty has not assigned any of its rights or obligations under such Existing In-License to any Person.</w:t>
      </w:r>
    </w:p>
    <w:p>
      <w:pPr>
        <w:spacing w:after="0" w:line="140" w:lineRule="exact"/>
        <w:rPr>
          <w:rFonts w:ascii="Arial" w:cs="Arial" w:eastAsia="Arial" w:hAnsi="Arial"/>
          <w:sz w:val="18"/>
          <w:szCs w:val="18"/>
          <w:b w:val="1"/>
          <w:bCs w:val="1"/>
          <w:color w:val="auto"/>
        </w:rPr>
      </w:pPr>
    </w:p>
    <w:p>
      <w:pPr>
        <w:ind w:right="220" w:firstLine="1492"/>
        <w:spacing w:after="0" w:line="332" w:lineRule="auto"/>
        <w:tabs>
          <w:tab w:leader="none" w:pos="1878" w:val="left"/>
        </w:tabs>
        <w:numPr>
          <w:ilvl w:val="0"/>
          <w:numId w:val="82"/>
        </w:numPr>
        <w:rPr>
          <w:rFonts w:ascii="Arial" w:cs="Arial" w:eastAsia="Arial" w:hAnsi="Arial"/>
          <w:sz w:val="16"/>
          <w:szCs w:val="16"/>
          <w:b w:val="1"/>
          <w:bCs w:val="1"/>
          <w:color w:val="auto"/>
        </w:rPr>
      </w:pPr>
      <w:r>
        <w:rPr>
          <w:rFonts w:ascii="Arial" w:cs="Arial" w:eastAsia="Arial" w:hAnsi="Arial"/>
          <w:sz w:val="16"/>
          <w:szCs w:val="16"/>
          <w:i w:val="1"/>
          <w:iCs w:val="1"/>
          <w:color w:val="auto"/>
        </w:rPr>
        <w:t>No Indemnification Claims</w:t>
      </w:r>
      <w:r>
        <w:rPr>
          <w:rFonts w:ascii="Arial" w:cs="Arial" w:eastAsia="Arial" w:hAnsi="Arial"/>
          <w:sz w:val="16"/>
          <w:szCs w:val="16"/>
          <w:color w:val="auto"/>
        </w:rPr>
        <w:t>. The Seller has not notified the respective counterparty to any Existing In-License or any other Person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claims for indemnification under any Existing In-License nor has Seller received any claims for indemnification under any Existing In-License.</w:t>
      </w:r>
    </w:p>
    <w:p>
      <w:pPr>
        <w:spacing w:after="0" w:line="85" w:lineRule="exact"/>
        <w:rPr>
          <w:rFonts w:ascii="Arial" w:cs="Arial" w:eastAsia="Arial" w:hAnsi="Arial"/>
          <w:sz w:val="16"/>
          <w:szCs w:val="16"/>
          <w:b w:val="1"/>
          <w:bCs w:val="1"/>
          <w:color w:val="auto"/>
        </w:rPr>
      </w:pPr>
    </w:p>
    <w:p>
      <w:pPr>
        <w:ind w:left="1780" w:hanging="288"/>
        <w:spacing w:after="0"/>
        <w:tabs>
          <w:tab w:leader="none" w:pos="1780" w:val="left"/>
        </w:tabs>
        <w:numPr>
          <w:ilvl w:val="0"/>
          <w:numId w:val="82"/>
        </w:numPr>
        <w:rPr>
          <w:rFonts w:ascii="Arial" w:cs="Arial" w:eastAsia="Arial" w:hAnsi="Arial"/>
          <w:sz w:val="16"/>
          <w:szCs w:val="16"/>
          <w:b w:val="1"/>
          <w:bCs w:val="1"/>
          <w:color w:val="auto"/>
        </w:rPr>
      </w:pPr>
      <w:r>
        <w:rPr>
          <w:rFonts w:ascii="Arial" w:cs="Arial" w:eastAsia="Arial" w:hAnsi="Arial"/>
          <w:sz w:val="16"/>
          <w:szCs w:val="16"/>
          <w:i w:val="1"/>
          <w:iCs w:val="1"/>
          <w:color w:val="auto"/>
        </w:rPr>
        <w:t>No Infringement</w:t>
      </w:r>
      <w:r>
        <w:rPr>
          <w:rFonts w:ascii="Arial" w:cs="Arial" w:eastAsia="Arial" w:hAnsi="Arial"/>
          <w:sz w:val="16"/>
          <w:szCs w:val="16"/>
          <w:color w:val="auto"/>
        </w:rPr>
        <w:t>. The Seller has not received any written notice from, or given any written notice to, any counterparty to any Existing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In-License regarding any infringement of any of the Vascepa Patent Rights. To the Knowledge of the Seller, [***].</w:t>
      </w:r>
    </w:p>
    <w:p>
      <w:pPr>
        <w:spacing w:after="0" w:line="159" w:lineRule="exact"/>
        <w:rPr>
          <w:sz w:val="20"/>
          <w:szCs w:val="20"/>
          <w:color w:val="auto"/>
        </w:rPr>
      </w:pPr>
    </w:p>
    <w:p>
      <w:pPr>
        <w:ind w:right="180" w:firstLine="921"/>
        <w:spacing w:after="0" w:line="275" w:lineRule="auto"/>
        <w:tabs>
          <w:tab w:leader="none" w:pos="113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Sublicenses; Out-Licenses</w:t>
      </w:r>
      <w:r>
        <w:rPr>
          <w:rFonts w:ascii="Arial" w:cs="Arial" w:eastAsia="Arial" w:hAnsi="Arial"/>
          <w:sz w:val="18"/>
          <w:szCs w:val="18"/>
          <w:color w:val="auto"/>
        </w:rPr>
        <w:t>. Other than the Manufacturing Agreements, Seller has not entered into or executed a sublicense or other out-license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other Person in respect of any Vascepa Product Rights or the Product.</w:t>
      </w:r>
    </w:p>
    <w:p>
      <w:pPr>
        <w:spacing w:after="0" w:line="119" w:lineRule="exact"/>
        <w:rPr>
          <w:rFonts w:ascii="Arial" w:cs="Arial" w:eastAsia="Arial" w:hAnsi="Arial"/>
          <w:sz w:val="18"/>
          <w:szCs w:val="18"/>
          <w:b w:val="1"/>
          <w:bCs w:val="1"/>
          <w:color w:val="auto"/>
        </w:rPr>
      </w:pPr>
    </w:p>
    <w:p>
      <w:pPr>
        <w:ind w:right="380" w:firstLine="921"/>
        <w:spacing w:after="0" w:line="262" w:lineRule="auto"/>
        <w:tabs>
          <w:tab w:leader="none" w:pos="1171"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3.1(k)</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list of the manufacturing and supply agreements entered into by Seller with Third</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for the supply of Product and active pharmaceutical ingredient incorporated therein (the “</w:t>
      </w:r>
      <w:r>
        <w:rPr>
          <w:rFonts w:ascii="Arial" w:cs="Arial" w:eastAsia="Arial" w:hAnsi="Arial"/>
          <w:sz w:val="18"/>
          <w:szCs w:val="18"/>
          <w:b w:val="1"/>
          <w:bCs w:val="1"/>
          <w:i w:val="1"/>
          <w:iCs w:val="1"/>
          <w:color w:val="auto"/>
        </w:rPr>
        <w:t>Manufacturing Agreements</w:t>
      </w:r>
      <w:r>
        <w:rPr>
          <w:rFonts w:ascii="Arial" w:cs="Arial" w:eastAsia="Arial" w:hAnsi="Arial"/>
          <w:sz w:val="18"/>
          <w:szCs w:val="18"/>
          <w:color w:val="auto"/>
        </w:rPr>
        <w:t>”). Seller has delivered to Purchaser true, correct and complete copies of each Manufacturing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24" w:name="page125"/>
    <w:bookmarkEnd w:id="124"/>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20" w:firstLine="1492"/>
        <w:spacing w:after="0" w:line="318" w:lineRule="auto"/>
        <w:tabs>
          <w:tab w:leader="none" w:pos="1693" w:val="left"/>
        </w:tabs>
        <w:numPr>
          <w:ilvl w:val="1"/>
          <w:numId w:val="84"/>
        </w:numPr>
        <w:rPr>
          <w:rFonts w:ascii="Arial" w:cs="Arial" w:eastAsia="Arial" w:hAnsi="Arial"/>
          <w:sz w:val="15"/>
          <w:szCs w:val="15"/>
          <w:b w:val="1"/>
          <w:bCs w:val="1"/>
          <w:color w:val="auto"/>
        </w:rPr>
      </w:pPr>
      <w:r>
        <w:rPr>
          <w:rFonts w:ascii="Arial" w:cs="Arial" w:eastAsia="Arial" w:hAnsi="Arial"/>
          <w:sz w:val="15"/>
          <w:szCs w:val="15"/>
          <w:i w:val="1"/>
          <w:iCs w:val="1"/>
          <w:color w:val="auto"/>
        </w:rPr>
        <w:t>Validity and Enforceability of the Manufacturing Agreements</w:t>
      </w:r>
      <w:r>
        <w:rPr>
          <w:rFonts w:ascii="Arial" w:cs="Arial" w:eastAsia="Arial" w:hAnsi="Arial"/>
          <w:sz w:val="15"/>
          <w:szCs w:val="15"/>
          <w:color w:val="auto"/>
        </w:rPr>
        <w:t>. Each of the Manufacturing Agreements is a valid and binding obligation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Seller and the counterparties thereto. The Manufacturing Agreements are enforceable against each of the parties thereto in accordance with their respective terms, except as may be limited by applicable Bankruptcy Laws or by general principles of equity (whether considered in a proceeding in equity or at law). The Seller has not received any notice in connection with a Manufacturing Agreement challenging the validity, enforceability or interpretation of any provision of such agreement, which challenge if successful would or would reasonably be expected to materially impact Purchaser’s right to receive Scheduled Quarterly Amounts.</w:t>
      </w:r>
    </w:p>
    <w:p>
      <w:pPr>
        <w:spacing w:after="0" w:line="99" w:lineRule="exact"/>
        <w:rPr>
          <w:rFonts w:ascii="Arial" w:cs="Arial" w:eastAsia="Arial" w:hAnsi="Arial"/>
          <w:sz w:val="15"/>
          <w:szCs w:val="15"/>
          <w:b w:val="1"/>
          <w:bCs w:val="1"/>
          <w:color w:val="auto"/>
        </w:rPr>
      </w:pPr>
    </w:p>
    <w:p>
      <w:pPr>
        <w:ind w:right="60" w:firstLine="1492"/>
        <w:spacing w:after="0" w:line="318" w:lineRule="auto"/>
        <w:tabs>
          <w:tab w:leader="none" w:pos="1742" w:val="left"/>
        </w:tabs>
        <w:numPr>
          <w:ilvl w:val="1"/>
          <w:numId w:val="84"/>
        </w:numPr>
        <w:rPr>
          <w:rFonts w:ascii="Arial" w:cs="Arial" w:eastAsia="Arial" w:hAnsi="Arial"/>
          <w:sz w:val="15"/>
          <w:szCs w:val="15"/>
          <w:b w:val="1"/>
          <w:bCs w:val="1"/>
          <w:color w:val="auto"/>
        </w:rPr>
      </w:pPr>
      <w:r>
        <w:rPr>
          <w:rFonts w:ascii="Arial" w:cs="Arial" w:eastAsia="Arial" w:hAnsi="Arial"/>
          <w:sz w:val="15"/>
          <w:szCs w:val="15"/>
          <w:i w:val="1"/>
          <w:iCs w:val="1"/>
          <w:color w:val="auto"/>
        </w:rPr>
        <w:t>No Breaches or Defaults</w:t>
      </w:r>
      <w:r>
        <w:rPr>
          <w:rFonts w:ascii="Arial" w:cs="Arial" w:eastAsia="Arial" w:hAnsi="Arial"/>
          <w:sz w:val="15"/>
          <w:szCs w:val="15"/>
          <w:color w:val="auto"/>
        </w:rPr>
        <w:t>. There is and has been no breach or default under any provision of any Manufacturing Agreement either by</w:t>
      </w:r>
      <w:r>
        <w:rPr>
          <w:rFonts w:ascii="Arial" w:cs="Arial" w:eastAsia="Arial" w:hAnsi="Arial"/>
          <w:sz w:val="15"/>
          <w:szCs w:val="15"/>
          <w:i w:val="1"/>
          <w:iCs w:val="1"/>
          <w:color w:val="auto"/>
        </w:rPr>
        <w:t xml:space="preserve"> </w:t>
      </w:r>
      <w:r>
        <w:rPr>
          <w:rFonts w:ascii="Arial" w:cs="Arial" w:eastAsia="Arial" w:hAnsi="Arial"/>
          <w:sz w:val="15"/>
          <w:szCs w:val="15"/>
          <w:color w:val="auto"/>
        </w:rPr>
        <w:t>Seller or, to the Knowledge of Seller, by the respective counterparty (or any predecessor thereof) thereto, which material breach or default would or would reasonably be expected to materially impact Purchaser’s right to receive Scheduled Quarterly Amounts, and there is no event that upon notice or the passage of time, or both, would reasonably be expected to give rise to any breach or default either by Seller or, to the Knowledge of Seller, by the respective counterparty to such agreement, which breach or default would or would reasonably be expected to materially impact Purchaser’s right to receive Scheduled Quarterly Amounts.</w:t>
      </w:r>
    </w:p>
    <w:p>
      <w:pPr>
        <w:spacing w:after="0" w:line="99" w:lineRule="exact"/>
        <w:rPr>
          <w:rFonts w:ascii="Arial" w:cs="Arial" w:eastAsia="Arial" w:hAnsi="Arial"/>
          <w:sz w:val="15"/>
          <w:szCs w:val="15"/>
          <w:b w:val="1"/>
          <w:bCs w:val="1"/>
          <w:color w:val="auto"/>
        </w:rPr>
      </w:pPr>
    </w:p>
    <w:p>
      <w:pPr>
        <w:jc w:val="both"/>
        <w:ind w:right="180" w:firstLine="1492"/>
        <w:spacing w:after="0" w:line="259" w:lineRule="auto"/>
        <w:tabs>
          <w:tab w:leader="none" w:pos="1791" w:val="left"/>
        </w:tabs>
        <w:numPr>
          <w:ilvl w:val="1"/>
          <w:numId w:val="84"/>
        </w:numPr>
        <w:rPr>
          <w:rFonts w:ascii="Arial" w:cs="Arial" w:eastAsia="Arial" w:hAnsi="Arial"/>
          <w:sz w:val="18"/>
          <w:szCs w:val="18"/>
          <w:b w:val="1"/>
          <w:bCs w:val="1"/>
          <w:color w:val="auto"/>
        </w:rPr>
      </w:pPr>
      <w:r>
        <w:rPr>
          <w:rFonts w:ascii="Arial" w:cs="Arial" w:eastAsia="Arial" w:hAnsi="Arial"/>
          <w:sz w:val="18"/>
          <w:szCs w:val="18"/>
          <w:i w:val="1"/>
          <w:iCs w:val="1"/>
          <w:color w:val="auto"/>
        </w:rPr>
        <w:t>Payments Made</w:t>
      </w:r>
      <w:r>
        <w:rPr>
          <w:rFonts w:ascii="Arial" w:cs="Arial" w:eastAsia="Arial" w:hAnsi="Arial"/>
          <w:sz w:val="18"/>
          <w:szCs w:val="18"/>
          <w:color w:val="auto"/>
        </w:rPr>
        <w:t>. The Seller has made all payments to the respective counterparty required under each Manufacturing Agreement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except where such failure to pay would or would reasonably be expected to materially impact Purchaser’s right to receive Scheduled Quarterly Amounts.</w:t>
      </w:r>
    </w:p>
    <w:p>
      <w:pPr>
        <w:spacing w:after="0" w:line="140" w:lineRule="exact"/>
        <w:rPr>
          <w:rFonts w:ascii="Arial" w:cs="Arial" w:eastAsia="Arial" w:hAnsi="Arial"/>
          <w:sz w:val="18"/>
          <w:szCs w:val="18"/>
          <w:b w:val="1"/>
          <w:bCs w:val="1"/>
          <w:color w:val="auto"/>
        </w:rPr>
      </w:pPr>
    </w:p>
    <w:p>
      <w:pPr>
        <w:ind w:right="140" w:firstLine="1492"/>
        <w:spacing w:after="0" w:line="259" w:lineRule="auto"/>
        <w:tabs>
          <w:tab w:leader="none" w:pos="1781" w:val="left"/>
        </w:tabs>
        <w:numPr>
          <w:ilvl w:val="1"/>
          <w:numId w:val="84"/>
        </w:numPr>
        <w:rPr>
          <w:rFonts w:ascii="Arial" w:cs="Arial" w:eastAsia="Arial" w:hAnsi="Arial"/>
          <w:sz w:val="18"/>
          <w:szCs w:val="18"/>
          <w:b w:val="1"/>
          <w:bCs w:val="1"/>
          <w:color w:val="auto"/>
        </w:rPr>
      </w:pPr>
      <w:r>
        <w:rPr>
          <w:rFonts w:ascii="Arial" w:cs="Arial" w:eastAsia="Arial" w:hAnsi="Arial"/>
          <w:sz w:val="18"/>
          <w:szCs w:val="18"/>
          <w:i w:val="1"/>
          <w:iCs w:val="1"/>
          <w:color w:val="auto"/>
        </w:rPr>
        <w:t>Amendments or Waivers</w:t>
      </w:r>
      <w:r>
        <w:rPr>
          <w:rFonts w:ascii="Arial" w:cs="Arial" w:eastAsia="Arial" w:hAnsi="Arial"/>
          <w:sz w:val="18"/>
          <w:szCs w:val="18"/>
          <w:color w:val="auto"/>
        </w:rPr>
        <w:t>. The Seller and the respective counterparty thereto have not made or granted any amendment or waiver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any Manufacturing Agreement, which amendment or waiver would or would reasonably be expected to materially impact Purchaser’s a right to receive Scheduled Quarterly Amounts.</w:t>
      </w:r>
    </w:p>
    <w:p>
      <w:pPr>
        <w:spacing w:after="0" w:line="140" w:lineRule="exact"/>
        <w:rPr>
          <w:rFonts w:ascii="Arial" w:cs="Arial" w:eastAsia="Arial" w:hAnsi="Arial"/>
          <w:sz w:val="18"/>
          <w:szCs w:val="18"/>
          <w:b w:val="1"/>
          <w:bCs w:val="1"/>
          <w:color w:val="auto"/>
        </w:rPr>
      </w:pPr>
    </w:p>
    <w:p>
      <w:pPr>
        <w:ind w:firstLine="1492"/>
        <w:spacing w:after="0" w:line="259" w:lineRule="auto"/>
        <w:tabs>
          <w:tab w:leader="none" w:pos="1732" w:val="left"/>
        </w:tabs>
        <w:numPr>
          <w:ilvl w:val="1"/>
          <w:numId w:val="84"/>
        </w:numPr>
        <w:rPr>
          <w:rFonts w:ascii="Arial" w:cs="Arial" w:eastAsia="Arial" w:hAnsi="Arial"/>
          <w:sz w:val="18"/>
          <w:szCs w:val="18"/>
          <w:b w:val="1"/>
          <w:bCs w:val="1"/>
          <w:color w:val="auto"/>
        </w:rPr>
      </w:pPr>
      <w:r>
        <w:rPr>
          <w:rFonts w:ascii="Arial" w:cs="Arial" w:eastAsia="Arial" w:hAnsi="Arial"/>
          <w:sz w:val="18"/>
          <w:szCs w:val="18"/>
          <w:i w:val="1"/>
          <w:iCs w:val="1"/>
          <w:color w:val="auto"/>
        </w:rPr>
        <w:t>No Indemnification Claims</w:t>
      </w:r>
      <w:r>
        <w:rPr>
          <w:rFonts w:ascii="Arial" w:cs="Arial" w:eastAsia="Arial" w:hAnsi="Arial"/>
          <w:sz w:val="18"/>
          <w:szCs w:val="18"/>
          <w:color w:val="auto"/>
        </w:rPr>
        <w:t>. The Seller has not notified the respective counterparty to each Manufacturing Agreement or any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claims for indemnification under any Manufacturing Agreement nor has Seller received any claims for indemnification under any Manufacturing Agreement.</w:t>
      </w:r>
    </w:p>
    <w:p>
      <w:pPr>
        <w:spacing w:after="0" w:line="134" w:lineRule="exact"/>
        <w:rPr>
          <w:rFonts w:ascii="Arial" w:cs="Arial" w:eastAsia="Arial" w:hAnsi="Arial"/>
          <w:sz w:val="18"/>
          <w:szCs w:val="18"/>
          <w:b w:val="1"/>
          <w:bCs w:val="1"/>
          <w:color w:val="auto"/>
        </w:rPr>
      </w:pPr>
    </w:p>
    <w:p>
      <w:pPr>
        <w:ind w:left="1140" w:hanging="219"/>
        <w:spacing w:after="0"/>
        <w:tabs>
          <w:tab w:leader="none" w:pos="11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177" w:lineRule="exact"/>
        <w:rPr>
          <w:rFonts w:ascii="Arial" w:cs="Arial" w:eastAsia="Arial" w:hAnsi="Arial"/>
          <w:sz w:val="18"/>
          <w:szCs w:val="18"/>
          <w:b w:val="1"/>
          <w:bCs w:val="1"/>
          <w:color w:val="auto"/>
        </w:rPr>
      </w:pPr>
    </w:p>
    <w:p>
      <w:pPr>
        <w:ind w:right="60" w:firstLine="1492"/>
        <w:spacing w:after="0" w:line="335" w:lineRule="auto"/>
        <w:tabs>
          <w:tab w:leader="none" w:pos="1693" w:val="left"/>
        </w:tabs>
        <w:numPr>
          <w:ilvl w:val="1"/>
          <w:numId w:val="85"/>
        </w:numPr>
        <w:rPr>
          <w:rFonts w:ascii="Arial" w:cs="Arial" w:eastAsia="Arial" w:hAnsi="Arial"/>
          <w:sz w:val="15"/>
          <w:szCs w:val="15"/>
          <w:b w:val="1"/>
          <w:bCs w:val="1"/>
          <w:color w:val="auto"/>
        </w:rPr>
      </w:pPr>
      <w:r>
        <w:rPr>
          <w:rFonts w:ascii="Arial" w:cs="Arial" w:eastAsia="Arial" w:hAnsi="Arial"/>
          <w:sz w:val="15"/>
          <w:szCs w:val="15"/>
          <w:color w:val="auto"/>
        </w:rPr>
        <w:t>Seller is not in violation of, and to the Knowledge of the Seller, the Seller is not under investigation with respect to, nor has the Seller been threatened to be charged with or given notice of any violation of, any law or Judgment applicable to the Seller, which violation would reasonably be expected to adversely affect the Seller’s rights in or to any Vascepa Product Rights or Purchaser’s rights with respect to Scheduled Quarterly Amounts hereunder.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25" w:name="page126"/>
    <w:bookmarkEnd w:id="125"/>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280" w:firstLine="1492"/>
        <w:spacing w:after="0" w:line="255" w:lineRule="auto"/>
        <w:tabs>
          <w:tab w:leader="none" w:pos="1742"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Except as would not reasonably be expected to have a Material Adverse Effect, all applications, submissions, information and data related to the Product submitted or utilized as the basis for any request to any Governmental Entity by or on behalf of the Seller were true and correct in all material respects as of the date of such submission or request, and any updates, changes, corrections or modification to such applications, submissions, information or data required under applicable laws or regulations have been submitted or will be submitted in a timely manner to the necessary Governmental Entities.</w:t>
      </w:r>
    </w:p>
    <w:p>
      <w:pPr>
        <w:spacing w:after="0" w:line="142" w:lineRule="exact"/>
        <w:rPr>
          <w:rFonts w:ascii="Arial" w:cs="Arial" w:eastAsia="Arial" w:hAnsi="Arial"/>
          <w:sz w:val="18"/>
          <w:szCs w:val="18"/>
          <w:b w:val="1"/>
          <w:bCs w:val="1"/>
          <w:color w:val="auto"/>
        </w:rPr>
      </w:pPr>
    </w:p>
    <w:p>
      <w:pPr>
        <w:ind w:right="200" w:firstLine="1492"/>
        <w:spacing w:after="0" w:line="335" w:lineRule="auto"/>
        <w:tabs>
          <w:tab w:leader="none" w:pos="1791" w:val="left"/>
        </w:tabs>
        <w:numPr>
          <w:ilvl w:val="1"/>
          <w:numId w:val="86"/>
        </w:numPr>
        <w:rPr>
          <w:rFonts w:ascii="Arial" w:cs="Arial" w:eastAsia="Arial" w:hAnsi="Arial"/>
          <w:sz w:val="15"/>
          <w:szCs w:val="15"/>
          <w:b w:val="1"/>
          <w:bCs w:val="1"/>
          <w:color w:val="auto"/>
        </w:rPr>
      </w:pPr>
      <w:r>
        <w:rPr>
          <w:rFonts w:ascii="Arial" w:cs="Arial" w:eastAsia="Arial" w:hAnsi="Arial"/>
          <w:sz w:val="15"/>
          <w:szCs w:val="15"/>
          <w:color w:val="auto"/>
        </w:rPr>
        <w:t>Seller has not committed any act, made any statement or failed to make any statement that would reasonably be expected to provide a basis for the FDA or any other Governmental Entity to invoke its policy with respect to “Fraud, Untrue Statements of Material Facts, Bribery, and Illegal Gratuities”, or similar policies, set forth in any applicable laws or regulations, except as would not reasonably be expected to have a Material Adverse Effect.</w:t>
      </w:r>
    </w:p>
    <w:p>
      <w:pPr>
        <w:spacing w:after="0" w:line="82" w:lineRule="exact"/>
        <w:rPr>
          <w:rFonts w:ascii="Arial" w:cs="Arial" w:eastAsia="Arial" w:hAnsi="Arial"/>
          <w:sz w:val="15"/>
          <w:szCs w:val="15"/>
          <w:b w:val="1"/>
          <w:bCs w:val="1"/>
          <w:color w:val="auto"/>
        </w:rPr>
      </w:pPr>
    </w:p>
    <w:p>
      <w:pPr>
        <w:ind w:left="1220" w:hanging="299"/>
        <w:spacing w:after="0"/>
        <w:tabs>
          <w:tab w:leader="none" w:pos="12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77" w:lineRule="exact"/>
        <w:rPr>
          <w:rFonts w:ascii="Arial" w:cs="Arial" w:eastAsia="Arial" w:hAnsi="Arial"/>
          <w:sz w:val="18"/>
          <w:szCs w:val="18"/>
          <w:b w:val="1"/>
          <w:bCs w:val="1"/>
          <w:color w:val="auto"/>
        </w:rPr>
      </w:pPr>
    </w:p>
    <w:p>
      <w:pPr>
        <w:jc w:val="both"/>
        <w:ind w:right="160" w:firstLine="1492"/>
        <w:spacing w:after="0" w:line="298" w:lineRule="auto"/>
        <w:tabs>
          <w:tab w:leader="none" w:pos="1693" w:val="left"/>
        </w:tabs>
        <w:numPr>
          <w:ilvl w:val="1"/>
          <w:numId w:val="87"/>
        </w:numPr>
        <w:rPr>
          <w:rFonts w:ascii="Arial" w:cs="Arial" w:eastAsia="Arial" w:hAnsi="Arial"/>
          <w:sz w:val="16"/>
          <w:szCs w:val="16"/>
          <w:b w:val="1"/>
          <w:bCs w:val="1"/>
          <w:color w:val="auto"/>
        </w:rPr>
      </w:pPr>
      <w:r>
        <w:rPr>
          <w:rFonts w:ascii="Arial" w:cs="Arial" w:eastAsia="Arial" w:hAnsi="Arial"/>
          <w:sz w:val="16"/>
          <w:szCs w:val="16"/>
          <w:u w:val="single" w:color="auto"/>
          <w:color w:val="auto"/>
        </w:rPr>
        <w:t>Schedule 3.1(m)</w:t>
      </w:r>
      <w:r>
        <w:rPr>
          <w:rFonts w:ascii="Arial" w:cs="Arial" w:eastAsia="Arial" w:hAnsi="Arial"/>
          <w:sz w:val="16"/>
          <w:szCs w:val="16"/>
          <w:color w:val="auto"/>
        </w:rPr>
        <w:t xml:space="preserve"> lists all of the Patents included within the Vascepa Patent Rights. Except as set forth on </w:t>
      </w:r>
      <w:r>
        <w:rPr>
          <w:rFonts w:ascii="Arial" w:cs="Arial" w:eastAsia="Arial" w:hAnsi="Arial"/>
          <w:sz w:val="16"/>
          <w:szCs w:val="16"/>
          <w:u w:val="single" w:color="auto"/>
          <w:color w:val="auto"/>
        </w:rPr>
        <w:t>Schedule 3.1(m)</w:t>
      </w:r>
      <w:r>
        <w:rPr>
          <w:rFonts w:ascii="Arial" w:cs="Arial" w:eastAsia="Arial" w:hAnsi="Arial"/>
          <w:sz w:val="16"/>
          <w:szCs w:val="16"/>
          <w:color w:val="auto"/>
        </w:rPr>
        <w:t xml:space="preserve">, Seller is the registered owner of all of the Vascepa Patent Rights. </w:t>
      </w:r>
      <w:r>
        <w:rPr>
          <w:rFonts w:ascii="Arial" w:cs="Arial" w:eastAsia="Arial" w:hAnsi="Arial"/>
          <w:sz w:val="16"/>
          <w:szCs w:val="16"/>
          <w:u w:val="single" w:color="auto"/>
          <w:color w:val="auto"/>
        </w:rPr>
        <w:t>Schedule 3.1(m)</w:t>
      </w:r>
      <w:r>
        <w:rPr>
          <w:rFonts w:ascii="Arial" w:cs="Arial" w:eastAsia="Arial" w:hAnsi="Arial"/>
          <w:sz w:val="16"/>
          <w:szCs w:val="16"/>
          <w:color w:val="auto"/>
        </w:rPr>
        <w:t xml:space="preserve"> specifies as to each listed patent or patent application (A) the jurisdictions by or in which each such Vascepa Patent Right has issued as a patent or a patent application has been filed, including the respective patent or application numbers, and (B) any other Person owning or having an interest in such Vascepa Patent Right, including the nature of such interest.</w:t>
      </w:r>
    </w:p>
    <w:p>
      <w:pPr>
        <w:spacing w:after="0" w:line="112" w:lineRule="exact"/>
        <w:rPr>
          <w:rFonts w:ascii="Arial" w:cs="Arial" w:eastAsia="Arial" w:hAnsi="Arial"/>
          <w:sz w:val="16"/>
          <w:szCs w:val="16"/>
          <w:b w:val="1"/>
          <w:bCs w:val="1"/>
          <w:color w:val="auto"/>
        </w:rPr>
      </w:pPr>
    </w:p>
    <w:p>
      <w:pPr>
        <w:ind w:right="360" w:firstLine="1492"/>
        <w:spacing w:after="0" w:line="370" w:lineRule="auto"/>
        <w:tabs>
          <w:tab w:leader="none" w:pos="1742" w:val="left"/>
        </w:tabs>
        <w:numPr>
          <w:ilvl w:val="1"/>
          <w:numId w:val="87"/>
        </w:numPr>
        <w:rPr>
          <w:rFonts w:ascii="Arial" w:cs="Arial" w:eastAsia="Arial" w:hAnsi="Arial"/>
          <w:sz w:val="15"/>
          <w:szCs w:val="15"/>
          <w:b w:val="1"/>
          <w:bCs w:val="1"/>
          <w:color w:val="auto"/>
        </w:rPr>
      </w:pPr>
      <w:r>
        <w:rPr>
          <w:rFonts w:ascii="Arial" w:cs="Arial" w:eastAsia="Arial" w:hAnsi="Arial"/>
          <w:sz w:val="15"/>
          <w:szCs w:val="15"/>
          <w:color w:val="auto"/>
        </w:rPr>
        <w:t>The Vascepa Patents Rights are the only Patents that are owned or controlled by Seller, or under which Seller is empowered to grant licenses, the subject matter of which is necessary or useful in the development, manufacture, use, marketing, promotion, sale or distribution of the Product.</w:t>
      </w:r>
    </w:p>
    <w:p>
      <w:pPr>
        <w:spacing w:after="0" w:line="62" w:lineRule="exact"/>
        <w:rPr>
          <w:rFonts w:ascii="Arial" w:cs="Arial" w:eastAsia="Arial" w:hAnsi="Arial"/>
          <w:sz w:val="15"/>
          <w:szCs w:val="15"/>
          <w:b w:val="1"/>
          <w:bCs w:val="1"/>
          <w:color w:val="auto"/>
        </w:rPr>
      </w:pPr>
    </w:p>
    <w:p>
      <w:pPr>
        <w:ind w:firstLine="1492"/>
        <w:spacing w:after="0" w:line="370" w:lineRule="auto"/>
        <w:tabs>
          <w:tab w:leader="none" w:pos="1791" w:val="left"/>
        </w:tabs>
        <w:numPr>
          <w:ilvl w:val="1"/>
          <w:numId w:val="87"/>
        </w:numPr>
        <w:rPr>
          <w:rFonts w:ascii="Arial" w:cs="Arial" w:eastAsia="Arial" w:hAnsi="Arial"/>
          <w:sz w:val="15"/>
          <w:szCs w:val="15"/>
          <w:b w:val="1"/>
          <w:bCs w:val="1"/>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Schedule 3.1(m)</w:t>
      </w:r>
      <w:r>
        <w:rPr>
          <w:rFonts w:ascii="Arial" w:cs="Arial" w:eastAsia="Arial" w:hAnsi="Arial"/>
          <w:sz w:val="15"/>
          <w:szCs w:val="15"/>
          <w:color w:val="auto"/>
        </w:rPr>
        <w:t>, Seller has not received written notice of, and is not a party to, any pending, and to the Knowledge of Seller there are no threatened, litigations, interferences, reexaminations, oppositions or like procedures involving any of the Vascepa Patent Rights.</w:t>
      </w:r>
    </w:p>
    <w:p>
      <w:pPr>
        <w:spacing w:after="0" w:line="62" w:lineRule="exact"/>
        <w:rPr>
          <w:rFonts w:ascii="Arial" w:cs="Arial" w:eastAsia="Arial" w:hAnsi="Arial"/>
          <w:sz w:val="15"/>
          <w:szCs w:val="15"/>
          <w:b w:val="1"/>
          <w:bCs w:val="1"/>
          <w:color w:val="auto"/>
        </w:rPr>
      </w:pPr>
    </w:p>
    <w:p>
      <w:pPr>
        <w:ind w:right="80" w:firstLine="1492"/>
        <w:spacing w:after="0" w:line="256" w:lineRule="auto"/>
        <w:tabs>
          <w:tab w:leader="none" w:pos="1781"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All of the issued Patents within the Vascepa Patent Rights are in full force and effect and have not lapsed, expired or otherwise terminated. Seller has not received any written notice relating to the lapse, expiration or other termination of any of the issued patents within the Vascepa Patent Rights, or alleging that, and Seller has not received any written legal opinion that alleges that, an issued patent within any of the Vascepa Patent Rights is invalid or unenforceable.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26" w:name="page127"/>
    <w:bookmarkEnd w:id="126"/>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100" w:firstLine="1492"/>
        <w:spacing w:after="0" w:line="268" w:lineRule="auto"/>
        <w:tabs>
          <w:tab w:leader="none" w:pos="1732"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Seller has not received any written notice that there is any, and, to the Knowledge of Seller, there is no, Person who is or claims to be an inventor under any of the Vascepa Patent Rights who is not a named inventor thereof.</w:t>
      </w:r>
    </w:p>
    <w:p>
      <w:pPr>
        <w:spacing w:after="0" w:line="131" w:lineRule="exact"/>
        <w:rPr>
          <w:rFonts w:ascii="Arial" w:cs="Arial" w:eastAsia="Arial" w:hAnsi="Arial"/>
          <w:sz w:val="18"/>
          <w:szCs w:val="18"/>
          <w:b w:val="1"/>
          <w:bCs w:val="1"/>
          <w:color w:val="auto"/>
        </w:rPr>
      </w:pPr>
    </w:p>
    <w:p>
      <w:pPr>
        <w:ind w:firstLine="1492"/>
        <w:spacing w:after="0" w:line="256" w:lineRule="auto"/>
        <w:tabs>
          <w:tab w:leader="none" w:pos="1781"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Seller has not and, to the Knowledge of Seller, no counterparty to an Existing In-License has received any written notice of any claim by any Person challenging inventorship or ownership of, the rights of Seller in and to, or the patentability, validity or enforceability of, any of the Vascepa Patent Rights, or asserting that the development, manufacture, importation, sale, offer for sale or use of the Product infringes or will infringe such Person’s patents or other intellectual property rights.</w:t>
      </w:r>
    </w:p>
    <w:p>
      <w:pPr>
        <w:spacing w:after="0" w:line="143" w:lineRule="exact"/>
        <w:rPr>
          <w:rFonts w:ascii="Arial" w:cs="Arial" w:eastAsia="Arial" w:hAnsi="Arial"/>
          <w:sz w:val="18"/>
          <w:szCs w:val="18"/>
          <w:b w:val="1"/>
          <w:bCs w:val="1"/>
          <w:color w:val="auto"/>
        </w:rPr>
      </w:pPr>
    </w:p>
    <w:p>
      <w:pPr>
        <w:ind w:left="1840" w:hanging="348"/>
        <w:spacing w:after="0"/>
        <w:tabs>
          <w:tab w:leader="none" w:pos="1840"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To the Knowledge of Seller, [***].</w:t>
      </w:r>
    </w:p>
    <w:p>
      <w:pPr>
        <w:spacing w:after="0" w:line="171" w:lineRule="exact"/>
        <w:rPr>
          <w:rFonts w:ascii="Arial" w:cs="Arial" w:eastAsia="Arial" w:hAnsi="Arial"/>
          <w:sz w:val="18"/>
          <w:szCs w:val="18"/>
          <w:b w:val="1"/>
          <w:bCs w:val="1"/>
          <w:color w:val="auto"/>
        </w:rPr>
      </w:pPr>
    </w:p>
    <w:p>
      <w:pPr>
        <w:ind w:left="1880" w:hanging="388"/>
        <w:spacing w:after="0"/>
        <w:tabs>
          <w:tab w:leader="none" w:pos="1880"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To the Knowledge of Seller, [***].</w:t>
      </w:r>
    </w:p>
    <w:p>
      <w:pPr>
        <w:spacing w:after="0" w:line="171" w:lineRule="exact"/>
        <w:rPr>
          <w:rFonts w:ascii="Arial" w:cs="Arial" w:eastAsia="Arial" w:hAnsi="Arial"/>
          <w:sz w:val="18"/>
          <w:szCs w:val="18"/>
          <w:b w:val="1"/>
          <w:bCs w:val="1"/>
          <w:color w:val="auto"/>
        </w:rPr>
      </w:pPr>
    </w:p>
    <w:p>
      <w:pPr>
        <w:ind w:right="240" w:firstLine="1492"/>
        <w:spacing w:after="0" w:line="268" w:lineRule="auto"/>
        <w:tabs>
          <w:tab w:leader="none" w:pos="1781"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Seller or the counterparty to each In-License has paid all maintenance fees, annuities and like payments required as of the date hereof with respect to any of the Vascepa Patent Rights.</w:t>
      </w:r>
    </w:p>
    <w:p>
      <w:pPr>
        <w:spacing w:after="0" w:line="125" w:lineRule="exact"/>
        <w:rPr>
          <w:rFonts w:ascii="Arial" w:cs="Arial" w:eastAsia="Arial" w:hAnsi="Arial"/>
          <w:sz w:val="18"/>
          <w:szCs w:val="18"/>
          <w:b w:val="1"/>
          <w:bCs w:val="1"/>
          <w:color w:val="auto"/>
        </w:rPr>
      </w:pPr>
    </w:p>
    <w:p>
      <w:pPr>
        <w:ind w:right="140" w:firstLine="921"/>
        <w:spacing w:after="0" w:line="262" w:lineRule="auto"/>
        <w:tabs>
          <w:tab w:leader="none" w:pos="117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Brokers Fees. </w:t>
      </w:r>
      <w:r>
        <w:rPr>
          <w:rFonts w:ascii="Arial" w:cs="Arial" w:eastAsia="Arial" w:hAnsi="Arial"/>
          <w:sz w:val="18"/>
          <w:szCs w:val="18"/>
          <w:color w:val="auto"/>
        </w:rPr>
        <w:t>Neither Seller nor any of its Affiliates has retained any Person to whom any brokerage commission, finder’s fee or other like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is or will be due in connection with this Agreement or the other Transaction Documents to which Seller is a party or the consummation of the transactions contemplated hereby or thereby.</w:t>
      </w:r>
    </w:p>
    <w:p>
      <w:pPr>
        <w:spacing w:after="0" w:line="132" w:lineRule="exact"/>
        <w:rPr>
          <w:rFonts w:ascii="Arial" w:cs="Arial" w:eastAsia="Arial" w:hAnsi="Arial"/>
          <w:sz w:val="18"/>
          <w:szCs w:val="18"/>
          <w:b w:val="1"/>
          <w:bCs w:val="1"/>
          <w:color w:val="auto"/>
        </w:rPr>
      </w:pPr>
    </w:p>
    <w:p>
      <w:pPr>
        <w:ind w:right="20" w:firstLine="921"/>
        <w:spacing w:after="0" w:line="275" w:lineRule="auto"/>
        <w:tabs>
          <w:tab w:leader="none" w:pos="116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Subordination. </w:t>
      </w:r>
      <w:r>
        <w:rPr>
          <w:rFonts w:ascii="Arial" w:cs="Arial" w:eastAsia="Arial" w:hAnsi="Arial"/>
          <w:sz w:val="18"/>
          <w:szCs w:val="18"/>
          <w:color w:val="auto"/>
        </w:rPr>
        <w:t>The claims and rights of Purchaser created by any Transaction Document in, to and under the Purchased Receivables are not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at any time, be subordinated to any creditor of Seller or any other Person or Governmental Authority.</w:t>
      </w:r>
    </w:p>
    <w:p>
      <w:pPr>
        <w:spacing w:after="0" w:line="119" w:lineRule="exact"/>
        <w:rPr>
          <w:rFonts w:ascii="Arial" w:cs="Arial" w:eastAsia="Arial" w:hAnsi="Arial"/>
          <w:sz w:val="18"/>
          <w:szCs w:val="18"/>
          <w:b w:val="1"/>
          <w:bCs w:val="1"/>
          <w:color w:val="auto"/>
        </w:rPr>
      </w:pPr>
    </w:p>
    <w:p>
      <w:pPr>
        <w:ind w:right="440" w:firstLine="921"/>
        <w:spacing w:after="0" w:line="262" w:lineRule="auto"/>
        <w:tabs>
          <w:tab w:leader="none" w:pos="117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UCC Representations and Warranties</w:t>
      </w:r>
      <w:r>
        <w:rPr>
          <w:rFonts w:ascii="Arial" w:cs="Arial" w:eastAsia="Arial" w:hAnsi="Arial"/>
          <w:sz w:val="18"/>
          <w:szCs w:val="18"/>
          <w:color w:val="auto"/>
        </w:rPr>
        <w:t>. Seller’s exact legal name is, and for the shorter of its existence as a company or the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ten (10) years has been, “ A</w:t>
      </w:r>
      <w:r>
        <w:rPr>
          <w:rFonts w:ascii="Arial" w:cs="Arial" w:eastAsia="Arial" w:hAnsi="Arial"/>
          <w:sz w:val="14"/>
          <w:szCs w:val="14"/>
          <w:color w:val="auto"/>
        </w:rPr>
        <w:t>MARIN</w:t>
      </w:r>
      <w:r>
        <w:rPr>
          <w:rFonts w:ascii="Arial" w:cs="Arial" w:eastAsia="Arial" w:hAnsi="Arial"/>
          <w:sz w:val="18"/>
          <w:szCs w:val="18"/>
          <w:color w:val="auto"/>
        </w:rPr>
        <w:t xml:space="preserve"> P</w:t>
      </w:r>
      <w:r>
        <w:rPr>
          <w:rFonts w:ascii="Arial" w:cs="Arial" w:eastAsia="Arial" w:hAnsi="Arial"/>
          <w:sz w:val="14"/>
          <w:szCs w:val="14"/>
          <w:color w:val="auto"/>
        </w:rPr>
        <w:t>HARMACEUTICALS</w:t>
      </w:r>
      <w:r>
        <w:rPr>
          <w:rFonts w:ascii="Arial" w:cs="Arial" w:eastAsia="Arial" w:hAnsi="Arial"/>
          <w:sz w:val="18"/>
          <w:szCs w:val="18"/>
          <w:color w:val="auto"/>
        </w:rPr>
        <w:t xml:space="preserve"> I</w:t>
      </w:r>
      <w:r>
        <w:rPr>
          <w:rFonts w:ascii="Arial" w:cs="Arial" w:eastAsia="Arial" w:hAnsi="Arial"/>
          <w:sz w:val="14"/>
          <w:szCs w:val="14"/>
          <w:color w:val="auto"/>
        </w:rPr>
        <w:t>RELAND</w:t>
      </w:r>
      <w:r>
        <w:rPr>
          <w:rFonts w:ascii="Arial" w:cs="Arial" w:eastAsia="Arial" w:hAnsi="Arial"/>
          <w:sz w:val="18"/>
          <w:szCs w:val="18"/>
          <w:color w:val="auto"/>
        </w:rPr>
        <w:t xml:space="preserve"> L</w:t>
      </w:r>
      <w:r>
        <w:rPr>
          <w:rFonts w:ascii="Arial" w:cs="Arial" w:eastAsia="Arial" w:hAnsi="Arial"/>
          <w:sz w:val="14"/>
          <w:szCs w:val="14"/>
          <w:color w:val="auto"/>
        </w:rPr>
        <w:t>IMITED</w:t>
      </w:r>
      <w:r>
        <w:rPr>
          <w:rFonts w:ascii="Arial" w:cs="Arial" w:eastAsia="Arial" w:hAnsi="Arial"/>
          <w:sz w:val="18"/>
          <w:szCs w:val="18"/>
          <w:color w:val="auto"/>
        </w:rPr>
        <w:t>” The Seller is, and for the shorter of its existence as a company or the immediately preceding ten (10) years has been, incorporated under the laws of Ireland.</w:t>
      </w:r>
    </w:p>
    <w:p>
      <w:pPr>
        <w:spacing w:after="0" w:line="132" w:lineRule="exact"/>
        <w:rPr>
          <w:rFonts w:ascii="Arial" w:cs="Arial" w:eastAsia="Arial" w:hAnsi="Arial"/>
          <w:sz w:val="18"/>
          <w:szCs w:val="18"/>
          <w:b w:val="1"/>
          <w:bCs w:val="1"/>
          <w:color w:val="auto"/>
        </w:rPr>
      </w:pPr>
    </w:p>
    <w:p>
      <w:pPr>
        <w:ind w:right="120" w:firstLine="921"/>
        <w:spacing w:after="0" w:line="339" w:lineRule="auto"/>
        <w:tabs>
          <w:tab w:leader="none" w:pos="1171"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Senior Notes; No Encumbrances</w:t>
      </w:r>
      <w:r>
        <w:rPr>
          <w:rFonts w:ascii="Arial" w:cs="Arial" w:eastAsia="Arial" w:hAnsi="Arial"/>
          <w:sz w:val="15"/>
          <w:szCs w:val="15"/>
          <w:color w:val="auto"/>
        </w:rPr>
        <w:t>. The Senior Notes, and the obligations of each Amarin Party in connection therewith, are not secured by any</w:t>
      </w:r>
      <w:r>
        <w:rPr>
          <w:rFonts w:ascii="Arial" w:cs="Arial" w:eastAsia="Arial" w:hAnsi="Arial"/>
          <w:sz w:val="15"/>
          <w:szCs w:val="15"/>
          <w:b w:val="1"/>
          <w:bCs w:val="1"/>
          <w:color w:val="auto"/>
        </w:rPr>
        <w:t xml:space="preserve"> </w:t>
      </w:r>
      <w:r>
        <w:rPr>
          <w:rFonts w:ascii="Arial" w:cs="Arial" w:eastAsia="Arial" w:hAnsi="Arial"/>
          <w:sz w:val="15"/>
          <w:szCs w:val="15"/>
          <w:color w:val="auto"/>
        </w:rPr>
        <w:t>assets of Seller or any Affiliate of Seller. Each Amarin Party is in material compliance with all of its obligations under the Senior Notes. Without limiting the generality of any of the representations or warranties of the Amarin Parties herein, no Encumbrance exists on the Collateral other than Permitted Encumbrances.</w:t>
      </w:r>
    </w:p>
    <w:p>
      <w:pPr>
        <w:spacing w:after="0" w:line="85" w:lineRule="exact"/>
        <w:rPr>
          <w:rFonts w:ascii="Arial" w:cs="Arial" w:eastAsia="Arial" w:hAnsi="Arial"/>
          <w:sz w:val="15"/>
          <w:szCs w:val="15"/>
          <w:b w:val="1"/>
          <w:bCs w:val="1"/>
          <w:color w:val="auto"/>
        </w:rPr>
      </w:pPr>
    </w:p>
    <w:p>
      <w:pPr>
        <w:ind w:left="1160" w:hanging="239"/>
        <w:spacing w:after="0"/>
        <w:tabs>
          <w:tab w:leader="none" w:pos="11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1140" w:hanging="219"/>
        <w:spacing w:after="0"/>
        <w:tabs>
          <w:tab w:leader="none" w:pos="1140"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27" w:name="page128"/>
    <w:bookmarkEnd w:id="127"/>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18"/>
          <w:szCs w:val="18"/>
          <w:color w:val="auto"/>
        </w:rPr>
        <w:t>. Purchaser represents and warrants to Seller, as of the Closing Date, as follows:</w:t>
      </w:r>
    </w:p>
    <w:p>
      <w:pPr>
        <w:spacing w:after="0" w:line="171" w:lineRule="exact"/>
        <w:rPr>
          <w:sz w:val="20"/>
          <w:szCs w:val="20"/>
          <w:color w:val="auto"/>
        </w:rPr>
      </w:pPr>
    </w:p>
    <w:p>
      <w:pPr>
        <w:ind w:left="1160" w:hanging="239"/>
        <w:spacing w:after="0"/>
        <w:tabs>
          <w:tab w:leader="none" w:pos="116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color w:val="auto"/>
        </w:rPr>
        <w:t>Purchaser is a Cayman Islands exempted limited partnership, duly formed and validly existing under the laws of the Cayman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Islands.</w:t>
      </w:r>
    </w:p>
    <w:p>
      <w:pPr>
        <w:spacing w:after="0" w:line="159" w:lineRule="exact"/>
        <w:rPr>
          <w:sz w:val="20"/>
          <w:szCs w:val="20"/>
          <w:color w:val="auto"/>
        </w:rPr>
      </w:pPr>
    </w:p>
    <w:p>
      <w:pPr>
        <w:ind w:right="100" w:firstLine="921"/>
        <w:spacing w:after="0" w:line="293" w:lineRule="auto"/>
        <w:tabs>
          <w:tab w:leader="none" w:pos="1171"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w:t>
      </w:r>
      <w:r>
        <w:rPr>
          <w:rFonts w:ascii="Arial" w:cs="Arial" w:eastAsia="Arial" w:hAnsi="Arial"/>
          <w:sz w:val="16"/>
          <w:szCs w:val="16"/>
          <w:color w:val="auto"/>
        </w:rPr>
        <w:t>Purchaser has all necessary power, right and authority and all licenses, authorizations, consents and approvals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Authorities required to carry on its business as it is presently carried on by Purchaser, to enter into, execute and deliver this Agreement and the other Transaction Documents to which it is a party and to perform all of the covenants, agreements, and obligations to be performed by Purchaser hereunder and under the Transaction Documents to which it is a party. This Agreement and the other Transaction Documents to which it is a party have been duly executed and delivered by Purchaser and each constitutes Purchaser’s valid and binding obligation, enforceable against Purchaser in accordance with its respective terms, subject to bankruptcy, insolvency, reorganization or similar laws affecting the rights of creditors generally and to equitable principles.</w:t>
      </w:r>
    </w:p>
    <w:p>
      <w:pPr>
        <w:spacing w:after="0" w:line="110" w:lineRule="exact"/>
        <w:rPr>
          <w:rFonts w:ascii="Arial" w:cs="Arial" w:eastAsia="Arial" w:hAnsi="Arial"/>
          <w:sz w:val="16"/>
          <w:szCs w:val="16"/>
          <w:b w:val="1"/>
          <w:bCs w:val="1"/>
          <w:color w:val="auto"/>
        </w:rPr>
      </w:pPr>
    </w:p>
    <w:p>
      <w:pPr>
        <w:ind w:right="60" w:firstLine="921"/>
        <w:spacing w:after="0" w:line="296" w:lineRule="auto"/>
        <w:tabs>
          <w:tab w:leader="none" w:pos="1152"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Conflicts. </w:t>
      </w:r>
      <w:r>
        <w:rPr>
          <w:rFonts w:ascii="Arial" w:cs="Arial" w:eastAsia="Arial" w:hAnsi="Arial"/>
          <w:sz w:val="16"/>
          <w:szCs w:val="16"/>
          <w:color w:val="auto"/>
        </w:rPr>
        <w:t>Neither the execution and delivery of this Agreement or any other Transaction Documents by Purchaser nor the performance or</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of this Agreement or any other Transaction Documents to which it is a party or the transactions contemplated hereby or thereby by Purchaser will contravene or conflict with, result in a Breach or violation of, constitute a default or accelerate the performance under (with due notice or lapse of time or both), in any respect, the terms of: (i) to Purchaser’s Knowledge, any Applicable Law; (ii) any material contract, agreement, or other arrangement to which Purchaser is a party or by which Purchaser or any of its assets is bound or committed; or (iii) the applicable organizational or constitutional documents of Purchaser.</w:t>
      </w:r>
    </w:p>
    <w:p>
      <w:pPr>
        <w:spacing w:after="0" w:line="107" w:lineRule="exact"/>
        <w:rPr>
          <w:rFonts w:ascii="Arial" w:cs="Arial" w:eastAsia="Arial" w:hAnsi="Arial"/>
          <w:sz w:val="16"/>
          <w:szCs w:val="16"/>
          <w:b w:val="1"/>
          <w:bCs w:val="1"/>
          <w:color w:val="auto"/>
        </w:rPr>
      </w:pPr>
    </w:p>
    <w:p>
      <w:pPr>
        <w:ind w:right="60" w:firstLine="921"/>
        <w:spacing w:after="0" w:line="256" w:lineRule="auto"/>
        <w:tabs>
          <w:tab w:leader="none" w:pos="1171"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Consent. </w:t>
      </w:r>
      <w:r>
        <w:rPr>
          <w:rFonts w:ascii="Arial" w:cs="Arial" w:eastAsia="Arial" w:hAnsi="Arial"/>
          <w:sz w:val="18"/>
          <w:szCs w:val="18"/>
          <w:color w:val="auto"/>
        </w:rPr>
        <w:t>Other than the filing of any documentation contemplated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4.7</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4.9</w:t>
      </w:r>
      <w:r>
        <w:rPr>
          <w:rFonts w:ascii="Arial" w:cs="Arial" w:eastAsia="Arial" w:hAnsi="Arial"/>
          <w:sz w:val="18"/>
          <w:szCs w:val="18"/>
          <w:color w:val="auto"/>
        </w:rPr>
        <w:t>, no consent, approval, license, order,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registration, declaration or filing with any Governmental Authority or any other Person is required by Purchaser in connection with the execution and delivery by Purchaser of this Agreement or the other Transaction Documents to which it is a party, the performance by Purchaser of its obligations under this Agreement and any other Transaction Document to which it is a party or the consummation by Purchaser of any of the transactions contemplated hereby or thereby.</w:t>
      </w:r>
    </w:p>
    <w:p>
      <w:pPr>
        <w:spacing w:after="0" w:line="138" w:lineRule="exact"/>
        <w:rPr>
          <w:rFonts w:ascii="Arial" w:cs="Arial" w:eastAsia="Arial" w:hAnsi="Arial"/>
          <w:sz w:val="18"/>
          <w:szCs w:val="18"/>
          <w:b w:val="1"/>
          <w:bCs w:val="1"/>
          <w:color w:val="auto"/>
        </w:rPr>
      </w:pPr>
    </w:p>
    <w:p>
      <w:pPr>
        <w:jc w:val="both"/>
        <w:ind w:right="180" w:firstLine="921"/>
        <w:spacing w:after="0" w:line="262" w:lineRule="auto"/>
        <w:tabs>
          <w:tab w:leader="none" w:pos="11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Brokers Fees. </w:t>
      </w:r>
      <w:r>
        <w:rPr>
          <w:rFonts w:ascii="Arial" w:cs="Arial" w:eastAsia="Arial" w:hAnsi="Arial"/>
          <w:sz w:val="18"/>
          <w:szCs w:val="18"/>
          <w:color w:val="auto"/>
        </w:rPr>
        <w:t>Neither Purchaser nor any of its Affiliates has retained any Person to whom any brokerage commission, finder’s fee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like payment is or will be due in connection with this Agreement or the other Transaction Documents to which Purchaser is a party or the consummation of the transactions contemplated hereby or thereby.</w:t>
      </w:r>
    </w:p>
    <w:p>
      <w:pPr>
        <w:spacing w:after="0" w:line="132"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3.3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UARANTEES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(a) Purchaser is assuming all market risk associated with Product and, as such, will have no</w:t>
      </w:r>
      <w:r>
        <w:rPr>
          <w:rFonts w:ascii="Arial" w:cs="Arial" w:eastAsia="Arial" w:hAnsi="Arial"/>
          <w:sz w:val="16"/>
          <w:szCs w:val="16"/>
          <w:b w:val="1"/>
          <w:bCs w:val="1"/>
          <w:color w:val="auto"/>
        </w:rPr>
        <w:t xml:space="preserve"> </w:t>
      </w:r>
      <w:r>
        <w:rPr>
          <w:rFonts w:ascii="Arial" w:cs="Arial" w:eastAsia="Arial" w:hAnsi="Arial"/>
          <w:sz w:val="16"/>
          <w:szCs w:val="16"/>
          <w:color w:val="auto"/>
        </w:rPr>
        <w:t>recourse against Seller or any of Seller’s Affiliates based on the failure of the sales of Product to meet its or any other Person’s projections, and (b) nothing in this Agreement shall be construed to constitute a guarantee by Seller regarding the commercial viability or economic potential of any Product in the marketplace.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28" w:name="page129"/>
    <w:bookmarkEnd w:id="128"/>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right="620" w:firstLine="456"/>
        <w:spacing w:after="0" w:line="310" w:lineRule="auto"/>
        <w:rPr>
          <w:sz w:val="20"/>
          <w:szCs w:val="20"/>
          <w:color w:val="auto"/>
        </w:rPr>
      </w:pPr>
      <w:r>
        <w:rPr>
          <w:rFonts w:ascii="Arial" w:cs="Arial" w:eastAsia="Arial" w:hAnsi="Arial"/>
          <w:sz w:val="16"/>
          <w:szCs w:val="16"/>
          <w:b w:val="1"/>
          <w:bCs w:val="1"/>
          <w:color w:val="auto"/>
        </w:rPr>
        <w:t>3.4 D</w:t>
      </w:r>
      <w:r>
        <w:rPr>
          <w:rFonts w:ascii="Arial" w:cs="Arial" w:eastAsia="Arial" w:hAnsi="Arial"/>
          <w:sz w:val="13"/>
          <w:szCs w:val="13"/>
          <w:b w:val="1"/>
          <w:bCs w:val="1"/>
          <w:color w:val="auto"/>
        </w:rPr>
        <w:t>ISCLAIMER OF</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ARRANTIES</w:t>
      </w:r>
      <w:r>
        <w:rPr>
          <w:rFonts w:ascii="Arial" w:cs="Arial" w:eastAsia="Arial" w:hAnsi="Arial"/>
          <w:sz w:val="16"/>
          <w:szCs w:val="16"/>
          <w:color w:val="auto"/>
        </w:rPr>
        <w:t>. EXCEPT AS EXPRESSLY SET FORTH IN THIS AGREEMENT OR ANY OTHER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EACH PARTY EXPRESSLY DISCLAIMS, WAIVES, RELEASES, AND RENOUNCES ANY WARRANTY, EXPRESS OR IMPLIED, INCLUDING ANY WARRANTY OF MERCHANTABILITY, NONINFRINGEMENT OR FITNESS FOR A PARTICULAR PURPOSE.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SELLER; SECURITY INTEREST</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Amarin Parties covenant and agree with Purchaser that for the duration of the Term, such Amarin Party (as applicable) will perform the obligations set forth below:</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S</w:t>
      </w:r>
      <w:r>
        <w:rPr>
          <w:rFonts w:ascii="Arial" w:cs="Arial" w:eastAsia="Arial" w:hAnsi="Arial"/>
          <w:sz w:val="14"/>
          <w:szCs w:val="14"/>
          <w:b w:val="1"/>
          <w:bCs w:val="1"/>
          <w:color w:val="auto"/>
        </w:rPr>
        <w:t>ELLER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ESPONSIBILITIES</w:t>
      </w:r>
      <w:r>
        <w:rPr>
          <w:rFonts w:ascii="Arial" w:cs="Arial" w:eastAsia="Arial" w:hAnsi="Arial"/>
          <w:sz w:val="18"/>
          <w:szCs w:val="18"/>
          <w:b w:val="1"/>
          <w:bCs w:val="1"/>
          <w:color w:val="auto"/>
        </w:rPr>
        <w:t>.</w:t>
      </w:r>
    </w:p>
    <w:p>
      <w:pPr>
        <w:spacing w:after="0" w:line="177" w:lineRule="exact"/>
        <w:rPr>
          <w:sz w:val="20"/>
          <w:szCs w:val="20"/>
          <w:color w:val="auto"/>
        </w:rPr>
      </w:pPr>
    </w:p>
    <w:p>
      <w:pPr>
        <w:ind w:left="1160" w:hanging="239"/>
        <w:spacing w:after="0"/>
        <w:tabs>
          <w:tab w:leader="none" w:pos="11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The Amarin Parties will use commercially reasonable efforts to pursue the Funded Activities.</w:t>
      </w:r>
    </w:p>
    <w:p>
      <w:pPr>
        <w:spacing w:after="0" w:line="171" w:lineRule="exact"/>
        <w:rPr>
          <w:rFonts w:ascii="Arial" w:cs="Arial" w:eastAsia="Arial" w:hAnsi="Arial"/>
          <w:sz w:val="18"/>
          <w:szCs w:val="18"/>
          <w:b w:val="1"/>
          <w:bCs w:val="1"/>
          <w:color w:val="auto"/>
        </w:rPr>
      </w:pPr>
    </w:p>
    <w:p>
      <w:pPr>
        <w:ind w:right="200" w:firstLine="921"/>
        <w:spacing w:after="0" w:line="268" w:lineRule="auto"/>
        <w:tabs>
          <w:tab w:leader="none" w:pos="117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Amarin Parties will, each Calendar Quarter, allocate to the promotion and marketing of Product in the Territory, a commercially reasonable level of resources (both monetary and personnel).</w:t>
      </w:r>
    </w:p>
    <w:p>
      <w:pPr>
        <w:spacing w:after="0" w:line="131" w:lineRule="exact"/>
        <w:rPr>
          <w:rFonts w:ascii="Arial" w:cs="Arial" w:eastAsia="Arial" w:hAnsi="Arial"/>
          <w:sz w:val="18"/>
          <w:szCs w:val="18"/>
          <w:b w:val="1"/>
          <w:bCs w:val="1"/>
          <w:color w:val="auto"/>
        </w:rPr>
      </w:pPr>
    </w:p>
    <w:p>
      <w:pPr>
        <w:ind w:right="560" w:firstLine="921"/>
        <w:spacing w:after="0" w:line="268" w:lineRule="auto"/>
        <w:tabs>
          <w:tab w:leader="none" w:pos="1152"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The Amarin Parties agree to reasonably fund the expenses associated with the discovery, development and Commercialization of Product, including the Funded Activities.</w:t>
      </w:r>
    </w:p>
    <w:p>
      <w:pPr>
        <w:spacing w:after="0" w:line="131" w:lineRule="exact"/>
        <w:rPr>
          <w:rFonts w:ascii="Arial" w:cs="Arial" w:eastAsia="Arial" w:hAnsi="Arial"/>
          <w:sz w:val="18"/>
          <w:szCs w:val="18"/>
          <w:b w:val="1"/>
          <w:bCs w:val="1"/>
          <w:color w:val="auto"/>
        </w:rPr>
      </w:pPr>
    </w:p>
    <w:p>
      <w:pPr>
        <w:ind w:right="20" w:firstLine="921"/>
        <w:spacing w:after="0" w:line="259" w:lineRule="auto"/>
        <w:tabs>
          <w:tab w:leader="none" w:pos="117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 xml:space="preserve">With respect to each Product, the Amarin Parties will use commercially reasonable efforts to avoid supply channel shortages. The Amarin Parties will use commercially reasonable efforts to expand the supply of Product if necessary to provide Net Sales such that the Scheduled Quarterly Amount for an upcoming calendar quarter, as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would not be expected to exceed [***].</w:t>
      </w:r>
    </w:p>
    <w:p>
      <w:pPr>
        <w:spacing w:after="0" w:line="140" w:lineRule="exact"/>
        <w:rPr>
          <w:rFonts w:ascii="Arial" w:cs="Arial" w:eastAsia="Arial" w:hAnsi="Arial"/>
          <w:sz w:val="18"/>
          <w:szCs w:val="18"/>
          <w:b w:val="1"/>
          <w:bCs w:val="1"/>
          <w:color w:val="auto"/>
        </w:rPr>
      </w:pPr>
    </w:p>
    <w:p>
      <w:pPr>
        <w:ind w:firstLine="921"/>
        <w:spacing w:after="0" w:line="332" w:lineRule="auto"/>
        <w:tabs>
          <w:tab w:leader="none" w:pos="1152" w:val="left"/>
        </w:tabs>
        <w:numPr>
          <w:ilvl w:val="0"/>
          <w:numId w:val="92"/>
        </w:numPr>
        <w:rPr>
          <w:rFonts w:ascii="Arial" w:cs="Arial" w:eastAsia="Arial" w:hAnsi="Arial"/>
          <w:sz w:val="16"/>
          <w:szCs w:val="16"/>
          <w:b w:val="1"/>
          <w:bCs w:val="1"/>
          <w:color w:val="auto"/>
        </w:rPr>
      </w:pPr>
      <w:r>
        <w:rPr>
          <w:rFonts w:ascii="Arial" w:cs="Arial" w:eastAsia="Arial" w:hAnsi="Arial"/>
          <w:sz w:val="16"/>
          <w:szCs w:val="16"/>
          <w:color w:val="auto"/>
        </w:rPr>
        <w:t>With respect to the performance of this Agreement and the activities contemplated hereby, the Amarin Parties will, and will cause their respective Affiliates to, comply in all material respects with all Applicable Law, except where compliance therewith is contested in good faith by appropriate proceedings.</w:t>
      </w:r>
    </w:p>
    <w:p>
      <w:pPr>
        <w:spacing w:after="0" w:line="85" w:lineRule="exact"/>
        <w:rPr>
          <w:rFonts w:ascii="Arial" w:cs="Arial" w:eastAsia="Arial" w:hAnsi="Arial"/>
          <w:sz w:val="16"/>
          <w:szCs w:val="16"/>
          <w:b w:val="1"/>
          <w:bCs w:val="1"/>
          <w:color w:val="auto"/>
        </w:rPr>
      </w:pPr>
    </w:p>
    <w:p>
      <w:pPr>
        <w:jc w:val="both"/>
        <w:ind w:right="60" w:firstLine="921"/>
        <w:spacing w:after="0" w:line="332" w:lineRule="auto"/>
        <w:tabs>
          <w:tab w:leader="none" w:pos="1132" w:val="left"/>
        </w:tabs>
        <w:numPr>
          <w:ilvl w:val="0"/>
          <w:numId w:val="92"/>
        </w:numPr>
        <w:rPr>
          <w:rFonts w:ascii="Arial" w:cs="Arial" w:eastAsia="Arial" w:hAnsi="Arial"/>
          <w:sz w:val="16"/>
          <w:szCs w:val="16"/>
          <w:b w:val="1"/>
          <w:bCs w:val="1"/>
          <w:color w:val="auto"/>
        </w:rPr>
      </w:pPr>
      <w:r>
        <w:rPr>
          <w:rFonts w:ascii="Arial" w:cs="Arial" w:eastAsia="Arial" w:hAnsi="Arial"/>
          <w:sz w:val="16"/>
          <w:szCs w:val="16"/>
          <w:color w:val="auto"/>
        </w:rPr>
        <w:t>Seller will, and will cause its Affiliates to, use commercially reasonable efforts to maintain the Regulatory Approvals and all other FDA, FFDCA and other Governmental Authority approvals, including complying will any and all requirements for post-marketing follow-up studies and information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29" w:name="page130"/>
    <w:bookmarkEnd w:id="129"/>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460" w:firstLine="921"/>
        <w:spacing w:after="0" w:line="268" w:lineRule="auto"/>
        <w:tabs>
          <w:tab w:leader="none" w:pos="116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Amarin Parties will, and will cause its Affiliates to, use commercially reasonable efforts to maintain its relationships with Third Person manufacturers and suppliers.</w:t>
      </w:r>
    </w:p>
    <w:p>
      <w:pPr>
        <w:spacing w:after="0" w:line="131" w:lineRule="exact"/>
        <w:rPr>
          <w:rFonts w:ascii="Arial" w:cs="Arial" w:eastAsia="Arial" w:hAnsi="Arial"/>
          <w:sz w:val="18"/>
          <w:szCs w:val="18"/>
          <w:b w:val="1"/>
          <w:bCs w:val="1"/>
          <w:color w:val="auto"/>
        </w:rPr>
      </w:pPr>
    </w:p>
    <w:p>
      <w:pPr>
        <w:ind w:right="240" w:firstLine="921"/>
        <w:spacing w:after="0" w:line="332" w:lineRule="auto"/>
        <w:tabs>
          <w:tab w:leader="none" w:pos="1171"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Seller will, and will cause its Affiliates to, use commercially reasonable efforts to obtain consents from any licensee or sublicensee of Vascepa Patent Rights necessary to provide Purchaser with copies of royalty reports delivered by such licensee or sublicensee to Seller.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I</w:t>
      </w:r>
      <w:r>
        <w:rPr>
          <w:rFonts w:ascii="Arial" w:cs="Arial" w:eastAsia="Arial" w:hAnsi="Arial"/>
          <w:sz w:val="14"/>
          <w:szCs w:val="14"/>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r>
        <w:rPr>
          <w:rFonts w:ascii="Arial" w:cs="Arial" w:eastAsia="Arial" w:hAnsi="Arial"/>
          <w:sz w:val="18"/>
          <w:szCs w:val="18"/>
          <w:b w:val="1"/>
          <w:bCs w:val="1"/>
          <w:color w:val="auto"/>
        </w:rPr>
        <w:t>.</w:t>
      </w:r>
    </w:p>
    <w:p>
      <w:pPr>
        <w:spacing w:after="0" w:line="177" w:lineRule="exact"/>
        <w:rPr>
          <w:sz w:val="20"/>
          <w:szCs w:val="20"/>
          <w:color w:val="auto"/>
        </w:rPr>
      </w:pPr>
    </w:p>
    <w:p>
      <w:pPr>
        <w:ind w:firstLine="921"/>
        <w:spacing w:after="0" w:line="306" w:lineRule="auto"/>
        <w:tabs>
          <w:tab w:leader="none" w:pos="1161"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Seller shall promptly inform the Purchaser of any suspected infringement by a Third Person of any Vascepa Patent Right. The Seller shall provide to the Purchaser a copy of any written notice of any suspected infringement of any Vascepa Patent Rights delivered or received by the Seller, as well as copies of material correspondence related thereto, as soon as practicable and in any event not more than [***] following such delivery or receipt.</w:t>
      </w:r>
    </w:p>
    <w:p>
      <w:pPr>
        <w:spacing w:after="0" w:line="106" w:lineRule="exact"/>
        <w:rPr>
          <w:rFonts w:ascii="Arial" w:cs="Arial" w:eastAsia="Arial" w:hAnsi="Arial"/>
          <w:sz w:val="16"/>
          <w:szCs w:val="16"/>
          <w:b w:val="1"/>
          <w:bCs w:val="1"/>
          <w:color w:val="auto"/>
        </w:rPr>
      </w:pPr>
    </w:p>
    <w:p>
      <w:pPr>
        <w:ind w:right="140" w:firstLine="921"/>
        <w:spacing w:after="0" w:line="298" w:lineRule="auto"/>
        <w:tabs>
          <w:tab w:leader="none" w:pos="1171"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Seller shall promptly inform the Purchaser of any Third Person that, to Seller’s Knowledge, is seeking market entry for any generic version of Vascepa, including the filing of an ANDA or a Paragraph IV patent certification by a Third Party. The Seller shall provide to the Purchaser a copy of any written notice of any Third Person seeking market entry for a generic version of Vascepa (including a Paragraph IV Notification) delivered or received by the Seller, as well as copies of material correspondence related thereto, as soon as practicable and in any event not more than [***] following such delivery or receipt.</w:t>
      </w:r>
    </w:p>
    <w:p>
      <w:pPr>
        <w:spacing w:after="0" w:line="112" w:lineRule="exact"/>
        <w:rPr>
          <w:rFonts w:ascii="Arial" w:cs="Arial" w:eastAsia="Arial" w:hAnsi="Arial"/>
          <w:sz w:val="16"/>
          <w:szCs w:val="16"/>
          <w:b w:val="1"/>
          <w:bCs w:val="1"/>
          <w:color w:val="auto"/>
        </w:rPr>
      </w:pPr>
    </w:p>
    <w:p>
      <w:pPr>
        <w:ind w:right="100" w:firstLine="921"/>
        <w:spacing w:after="0" w:line="268" w:lineRule="auto"/>
        <w:tabs>
          <w:tab w:leader="none" w:pos="1152"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Prior to initiating, or permitting the initiation of, an Enforcement Action regarding any suspected infringement by a Third Person of any Vascepa Patent Right, the Seller shall provide the Purchaser with [***] of such Enforcement Action.</w:t>
      </w:r>
    </w:p>
    <w:p>
      <w:pPr>
        <w:spacing w:after="0" w:line="131" w:lineRule="exact"/>
        <w:rPr>
          <w:rFonts w:ascii="Arial" w:cs="Arial" w:eastAsia="Arial" w:hAnsi="Arial"/>
          <w:sz w:val="18"/>
          <w:szCs w:val="18"/>
          <w:b w:val="1"/>
          <w:bCs w:val="1"/>
          <w:color w:val="auto"/>
        </w:rPr>
      </w:pPr>
    </w:p>
    <w:p>
      <w:pPr>
        <w:ind w:right="140" w:firstLine="921"/>
        <w:spacing w:after="0" w:line="294" w:lineRule="auto"/>
        <w:tabs>
          <w:tab w:leader="none" w:pos="1171"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If the Seller recovers monetary damages from a Third Person in an action brought for such Third Person’s infringement of any of the Vascepa Patent Rights, where such damages, whether in the form of judgment or settlement, result from such infringement of such Vascepa Patent Rights, such recovery will be allocated first to the reimbursement of any expenses incurred by the Seller or a Permitted Licensee in such litigation, and any remaining amounts that are not awarded as a multiple of compensatory damages for willful infringement will be treated as Net Sales of the Product. All costs and expenses (including attorneys’ fees and expenses) incurred by a party hereto in connection with any Enforcement Action shall be borne by such party.</w:t>
      </w:r>
    </w:p>
    <w:p>
      <w:pPr>
        <w:spacing w:after="0" w:line="115" w:lineRule="exact"/>
        <w:rPr>
          <w:rFonts w:ascii="Arial" w:cs="Arial" w:eastAsia="Arial" w:hAnsi="Arial"/>
          <w:sz w:val="16"/>
          <w:szCs w:val="16"/>
          <w:b w:val="1"/>
          <w:bCs w:val="1"/>
          <w:color w:val="auto"/>
        </w:rPr>
      </w:pPr>
    </w:p>
    <w:p>
      <w:pPr>
        <w:ind w:left="1160" w:hanging="239"/>
        <w:spacing w:after="0"/>
        <w:tabs>
          <w:tab w:leader="none" w:pos="116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65"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4.3 C</w:t>
      </w:r>
      <w:r>
        <w:rPr>
          <w:rFonts w:ascii="Arial" w:cs="Arial" w:eastAsia="Arial" w:hAnsi="Arial"/>
          <w:sz w:val="13"/>
          <w:szCs w:val="13"/>
          <w:b w:val="1"/>
          <w:bCs w:val="1"/>
          <w:color w:val="auto"/>
        </w:rPr>
        <w:t>OMMERCIALIZATION OF</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RODUCT</w:t>
      </w:r>
      <w:r>
        <w:rPr>
          <w:rFonts w:ascii="Arial" w:cs="Arial" w:eastAsia="Arial" w:hAnsi="Arial"/>
          <w:sz w:val="16"/>
          <w:szCs w:val="16"/>
          <w:b w:val="1"/>
          <w:bCs w:val="1"/>
          <w:color w:val="auto"/>
        </w:rPr>
        <w:t xml:space="preserve">. </w:t>
      </w:r>
      <w:r>
        <w:rPr>
          <w:rFonts w:ascii="Arial" w:cs="Arial" w:eastAsia="Arial" w:hAnsi="Arial"/>
          <w:sz w:val="16"/>
          <w:szCs w:val="16"/>
          <w:color w:val="auto"/>
        </w:rPr>
        <w:t>Seller hereby agrees to use its commercially reasonable efforts to promptly Commercialize the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and use its commercially reasonable efforts to maximize Net Sales of the Product in a manner that would satisfy payments of the Scheduled Quarterly Amounts.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30" w:name="page131"/>
    <w:bookmarkEnd w:id="130"/>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R</w:t>
      </w:r>
      <w:r>
        <w:rPr>
          <w:rFonts w:ascii="Arial" w:cs="Arial" w:eastAsia="Arial" w:hAnsi="Arial"/>
          <w:sz w:val="14"/>
          <w:szCs w:val="14"/>
          <w:b w:val="1"/>
          <w:bCs w:val="1"/>
          <w:color w:val="auto"/>
        </w:rPr>
        <w:t>ESTRICTIVE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Amarin Party will not, nor shall it permit any Affiliate to, without the prior written consent of Purchaser:</w:t>
      </w:r>
    </w:p>
    <w:p>
      <w:pPr>
        <w:spacing w:after="0" w:line="177" w:lineRule="exact"/>
        <w:rPr>
          <w:sz w:val="20"/>
          <w:szCs w:val="20"/>
          <w:color w:val="auto"/>
        </w:rPr>
      </w:pPr>
    </w:p>
    <w:p>
      <w:pPr>
        <w:ind w:right="60" w:firstLine="921"/>
        <w:spacing w:after="0" w:line="256" w:lineRule="auto"/>
        <w:tabs>
          <w:tab w:leader="none" w:pos="1161"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incur, create, issue, assume, Guarantee, suffer to exist or otherwise become liable for or with respect to, or become responsible for, the payment or performance of, contingently or otherwise, whether present or future, Indebtedness in an amount greater than the product of (x) [***] and (y) the sum of EBITDA for the [***] immediately preceding such incurrence, creation, issuance, assumption, Guarantee, existence, liability or responsibility, other than Permitted Indebtedness;</w:t>
      </w:r>
    </w:p>
    <w:p>
      <w:pPr>
        <w:spacing w:after="0" w:line="143" w:lineRule="exact"/>
        <w:rPr>
          <w:rFonts w:ascii="Arial" w:cs="Arial" w:eastAsia="Arial" w:hAnsi="Arial"/>
          <w:sz w:val="18"/>
          <w:szCs w:val="18"/>
          <w:b w:val="1"/>
          <w:bCs w:val="1"/>
          <w:color w:val="auto"/>
        </w:rPr>
      </w:pPr>
    </w:p>
    <w:p>
      <w:pPr>
        <w:ind w:left="1180" w:hanging="259"/>
        <w:spacing w:after="0"/>
        <w:tabs>
          <w:tab w:leader="none" w:pos="1180"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declare or pay any cash dividend or make any cash distribution on its capital stock, other than dividends or distributions by Seller to Parent,</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unless, [***];</w:t>
      </w:r>
    </w:p>
    <w:p>
      <w:pPr>
        <w:spacing w:after="0" w:line="164" w:lineRule="exact"/>
        <w:rPr>
          <w:rFonts w:ascii="Arial" w:cs="Arial" w:eastAsia="Arial" w:hAnsi="Arial"/>
          <w:sz w:val="16"/>
          <w:szCs w:val="16"/>
          <w:b w:val="1"/>
          <w:bCs w:val="1"/>
          <w:color w:val="auto"/>
        </w:rPr>
      </w:pPr>
    </w:p>
    <w:p>
      <w:pPr>
        <w:ind w:firstLine="921"/>
        <w:spacing w:after="0" w:line="255" w:lineRule="auto"/>
        <w:tabs>
          <w:tab w:leader="none" w:pos="1152"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amend, restate, supplement or otherwise modify its certificate of incorporation (and any certificate of change of name) or memorandum and articles of association (or other organizational or constitutional documents) in any respect except for such amendments, restatements, supplements or modifications that: (i) do not affect the adversely interests of Purchaser in any material respect under this Agreement or in the Collateral (other than changes to the organizational documents of Parent to remove any limit on Parent’s ability to incur Indebtedness contained therein) and (ii) could not reasonably be expected to have a Material Adverse Effect;</w:t>
      </w:r>
    </w:p>
    <w:p>
      <w:pPr>
        <w:spacing w:after="0" w:line="142" w:lineRule="exact"/>
        <w:rPr>
          <w:rFonts w:ascii="Arial" w:cs="Arial" w:eastAsia="Arial" w:hAnsi="Arial"/>
          <w:sz w:val="18"/>
          <w:szCs w:val="18"/>
          <w:b w:val="1"/>
          <w:bCs w:val="1"/>
          <w:color w:val="auto"/>
        </w:rPr>
      </w:pPr>
    </w:p>
    <w:p>
      <w:pPr>
        <w:ind w:left="1180" w:hanging="259"/>
        <w:spacing w:after="0"/>
        <w:tabs>
          <w:tab w:leader="none" w:pos="1180"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create, grant or suffer to exist any Encumbrance on any of the Collateral other than as required under this Agreement and other than Permitted</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Encumbrances;</w:t>
      </w:r>
    </w:p>
    <w:p>
      <w:pPr>
        <w:spacing w:after="0" w:line="164" w:lineRule="exact"/>
        <w:rPr>
          <w:rFonts w:ascii="Arial" w:cs="Arial" w:eastAsia="Arial" w:hAnsi="Arial"/>
          <w:sz w:val="16"/>
          <w:szCs w:val="16"/>
          <w:b w:val="1"/>
          <w:bCs w:val="1"/>
          <w:color w:val="auto"/>
        </w:rPr>
      </w:pPr>
    </w:p>
    <w:p>
      <w:pPr>
        <w:ind w:left="1160" w:hanging="239"/>
        <w:spacing w:after="0"/>
        <w:tabs>
          <w:tab w:leader="none" w:pos="11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 or</w:t>
      </w:r>
    </w:p>
    <w:p>
      <w:pPr>
        <w:spacing w:after="0" w:line="171" w:lineRule="exact"/>
        <w:rPr>
          <w:rFonts w:ascii="Arial" w:cs="Arial" w:eastAsia="Arial" w:hAnsi="Arial"/>
          <w:sz w:val="18"/>
          <w:szCs w:val="18"/>
          <w:b w:val="1"/>
          <w:bCs w:val="1"/>
          <w:color w:val="auto"/>
        </w:rPr>
      </w:pPr>
    </w:p>
    <w:p>
      <w:pPr>
        <w:ind w:right="140" w:firstLine="921"/>
        <w:spacing w:after="0" w:line="268" w:lineRule="auto"/>
        <w:tabs>
          <w:tab w:leader="none" w:pos="1132"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commit to do or engage in any of the foregoing (other than any such commitments as are contingent upon repayment in full of the Outstanding Threshold Amount or otherwise obtaining a consent from the Purchaser).</w:t>
      </w:r>
    </w:p>
    <w:p>
      <w:pPr>
        <w:spacing w:after="0" w:line="126"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4.5 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shall provide Purchaser with a prompt written update (but no later than within [***] following any significant development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information to be included in (a) a Clinical Update or (b) a Commercial Update and shall provide no later than [***] after the end of each fiscal quarter an Intellectual Property Update; provided that notice hereunder shall be deemed delivered to Purchaser upon Seller’s issuance of any press release with respect to such information.</w:t>
      </w:r>
    </w:p>
    <w:p>
      <w:pPr>
        <w:spacing w:after="0" w:line="13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4.6 R</w:t>
      </w:r>
      <w:r>
        <w:rPr>
          <w:rFonts w:ascii="Arial" w:cs="Arial" w:eastAsia="Arial" w:hAnsi="Arial"/>
          <w:sz w:val="14"/>
          <w:szCs w:val="14"/>
          <w:b w:val="1"/>
          <w:bCs w:val="1"/>
          <w:color w:val="auto"/>
        </w:rPr>
        <w:t>ELEVANT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and not in limitation of, the other provisions of this Agreement, Seller will provide Purchaser with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as promptly as practicable (and in any event within [***]) after obtaining Knowledge of any of the following:</w:t>
      </w:r>
    </w:p>
    <w:p>
      <w:pPr>
        <w:spacing w:after="0" w:line="126" w:lineRule="exact"/>
        <w:rPr>
          <w:sz w:val="20"/>
          <w:szCs w:val="20"/>
          <w:color w:val="auto"/>
        </w:rPr>
      </w:pPr>
    </w:p>
    <w:p>
      <w:pPr>
        <w:ind w:left="1160" w:hanging="239"/>
        <w:spacing w:after="0"/>
        <w:tabs>
          <w:tab w:leader="none" w:pos="116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the occurrence of a Bankruptcy Event;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280" w:right="359" w:bottom="1440" w:gutter="0" w:footer="0" w:header="0"/>
        </w:sectPr>
      </w:pPr>
    </w:p>
    <w:bookmarkStart w:id="131" w:name="page132"/>
    <w:bookmarkEnd w:id="131"/>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1180" w:hanging="259"/>
        <w:spacing w:after="0"/>
        <w:tabs>
          <w:tab w:leader="none" w:pos="1180"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any material Breach by either Amarin Party of any covenant, agreement or other provision of this Agreement or any other Transaction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165" w:lineRule="exact"/>
        <w:rPr>
          <w:sz w:val="20"/>
          <w:szCs w:val="20"/>
          <w:color w:val="auto"/>
        </w:rPr>
      </w:pPr>
    </w:p>
    <w:p>
      <w:pPr>
        <w:ind w:firstLine="921"/>
        <w:spacing w:after="0" w:line="255" w:lineRule="auto"/>
        <w:tabs>
          <w:tab w:leader="none" w:pos="1152"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any Event of Default or any event, which after the giving of notice or the passage of time would become an Event of Default or that any representation or warranty made by the Amarin Parties in this Agreement or any other Transaction Document or in any certificate delivered to Purchaser pursuant hereto or thereto that is qualified by materiality shall prove to be untrue, inaccurate or incomplete on the date as of which made, or that any representation or warranty made by Seller in this Agreement or any other Transaction Document that is not qualified by materiality shall prove to be untrue, inaccurate or incomplete in any material respect on the date as of which made; or</w:t>
      </w:r>
    </w:p>
    <w:p>
      <w:pPr>
        <w:spacing w:after="0" w:line="142" w:lineRule="exact"/>
        <w:rPr>
          <w:rFonts w:ascii="Arial" w:cs="Arial" w:eastAsia="Arial" w:hAnsi="Arial"/>
          <w:sz w:val="18"/>
          <w:szCs w:val="18"/>
          <w:b w:val="1"/>
          <w:bCs w:val="1"/>
          <w:color w:val="auto"/>
        </w:rPr>
      </w:pPr>
    </w:p>
    <w:p>
      <w:pPr>
        <w:ind w:left="1180" w:hanging="259"/>
        <w:spacing w:after="0"/>
        <w:tabs>
          <w:tab w:leader="none" w:pos="1180" w:val="left"/>
        </w:tabs>
        <w:numPr>
          <w:ilvl w:val="0"/>
          <w:numId w:val="98"/>
        </w:numPr>
        <w:rPr>
          <w:rFonts w:ascii="Arial" w:cs="Arial" w:eastAsia="Arial" w:hAnsi="Arial"/>
          <w:sz w:val="15"/>
          <w:szCs w:val="15"/>
          <w:b w:val="1"/>
          <w:bCs w:val="1"/>
          <w:color w:val="auto"/>
        </w:rPr>
      </w:pPr>
      <w:r>
        <w:rPr>
          <w:rFonts w:ascii="Arial" w:cs="Arial" w:eastAsia="Arial" w:hAnsi="Arial"/>
          <w:sz w:val="15"/>
          <w:szCs w:val="15"/>
          <w:color w:val="auto"/>
        </w:rPr>
        <w:t>any event, occurrence or development that would reasonably be expected, individually or in the aggregate, to result in a Material Adverse Effect.</w:t>
      </w:r>
    </w:p>
    <w:p>
      <w:pPr>
        <w:spacing w:after="0" w:line="20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4.7 T</w:t>
      </w:r>
      <w:r>
        <w:rPr>
          <w:rFonts w:ascii="Arial" w:cs="Arial" w:eastAsia="Arial" w:hAnsi="Arial"/>
          <w:sz w:val="13"/>
          <w:szCs w:val="13"/>
          <w:b w:val="1"/>
          <w:bCs w:val="1"/>
          <w:color w:val="auto"/>
        </w:rPr>
        <w:t>RUE</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ALE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and Seller intend and agree that the sale, conveyance, assignment and transfer of the Purchased Receivables shall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true sale by Seller to Purchaser of the Purchased Receivables that is absolute and irrevocable and that provides Purchaser with the full benefits and detriments of beneficial ownership of the Purchased Receivables, and neither Purchaser nor Seller intends the transactions contemplated hereunder to be a financing transaction, borrowing or a loan from Purchaser to Seller. Each Party further agrees that it will treat the sale of the Purchased Receivables as a sale of an “account” in accordance with the UCC. Seller disclaims any beneficial ownership interest in the Purchased Receivables upon execution of this Agreement and each of Seller and Purchaser waives any right to contest or otherwise assert that this Agreement is other than a true, absolute and irrevocable sale and assignment by Seller to Purchaser of the Purchased Receivables under Applicable Law, which waiver will be enforceable against the applicable Party in any bankruptcy, insolvency or similar proceeding relating to such Party, except to the extent required by GAAP or the rules of the SEC. Seller authorizes and consents to Purchaser filing, including with the Secretary of State of the State of Delaware, one or more UCC financing statements (and continuation statements with respect to such financing statements when applicable) or other instruments and notices, in such manner and in such jurisdictions as in Purchaser’s determination may be necessary or appropriate to evidence the purchase, acquisition and acceptance by Purchaser of the Purchased Receivables hereunder and to perfect and maintain the perfection of Purchaser’s ownership in the Purchased Receivables and the security interest in the Purchased Receivables granted by Seller to Purchaser pursuant to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will provide Seller with a reasonable opportunity to review any such financing statements (or similar documents) prior to filing. For greater certainty, Purchaser will not file this Agreement in connection with the filing of any such financing statements (or similar documents). For sake of clarification, the foregoing statements in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shall not bind either party regarding the reporting of the transactions contemplated hereby for GAAP or SEC reporting purposes.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132" w:name="page133"/>
    <w:bookmarkEnd w:id="132"/>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4.8 P</w:t>
      </w:r>
      <w:r>
        <w:rPr>
          <w:rFonts w:ascii="Arial" w:cs="Arial" w:eastAsia="Arial" w:hAnsi="Arial"/>
          <w:sz w:val="13"/>
          <w:szCs w:val="13"/>
          <w:b w:val="1"/>
          <w:bCs w:val="1"/>
          <w:color w:val="auto"/>
        </w:rPr>
        <w:t>RECAUTIONARY</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ECURITY</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NTEREST IN</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URCHASED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4.9</w:t>
      </w:r>
      <w:r>
        <w:rPr>
          <w:rFonts w:ascii="Arial" w:cs="Arial" w:eastAsia="Arial" w:hAnsi="Arial"/>
          <w:sz w:val="16"/>
          <w:szCs w:val="16"/>
          <w:b w:val="1"/>
          <w:bCs w:val="1"/>
          <w:color w:val="auto"/>
        </w:rPr>
        <w:t xml:space="preserve"> </w:t>
      </w:r>
      <w:r>
        <w:rPr>
          <w:rFonts w:ascii="Arial" w:cs="Arial" w:eastAsia="Arial" w:hAnsi="Arial"/>
          <w:sz w:val="16"/>
          <w:szCs w:val="16"/>
          <w:color w:val="auto"/>
        </w:rPr>
        <w:t>and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4.7</w:t>
      </w:r>
      <w:r>
        <w:rPr>
          <w:rFonts w:ascii="Arial" w:cs="Arial" w:eastAsia="Arial" w:hAnsi="Arial"/>
          <w:sz w:val="16"/>
          <w:szCs w:val="16"/>
          <w:color w:val="auto"/>
        </w:rPr>
        <w:t>, it is the intent</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expectation of both Seller and Purchaser that the sale, conveyance, assignment and transfer of the Purchased Receivables be a true, irrevocable and absolute sale by Seller to Purchaser for all purposes. Notwithstanding the foregoing, in an abundance of caution to address the possibility that, notwithstanding that Seller and Purchaser expressly intend and expect for the sale, conveyance, assignment and transfer of the Purchased Receivables hereunder to be a true and absolute sale and assignment for all purposes, in the event that such sale and assignment will be characterized as a loan or other financial accommodation and not a true sale or such sale will for any reason be ineffective or unenforceable as such, as determined in a judicial, administrative or other proceeding (any of the foregoing being a “</w:t>
      </w:r>
      <w:r>
        <w:rPr>
          <w:rFonts w:ascii="Arial" w:cs="Arial" w:eastAsia="Arial" w:hAnsi="Arial"/>
          <w:sz w:val="16"/>
          <w:szCs w:val="16"/>
          <w:b w:val="1"/>
          <w:bCs w:val="1"/>
          <w:i w:val="1"/>
          <w:iCs w:val="1"/>
          <w:color w:val="auto"/>
        </w:rPr>
        <w:t>Recharacterization</w:t>
      </w:r>
      <w:r>
        <w:rPr>
          <w:rFonts w:ascii="Arial" w:cs="Arial" w:eastAsia="Arial" w:hAnsi="Arial"/>
          <w:sz w:val="16"/>
          <w:szCs w:val="16"/>
          <w:color w:val="auto"/>
        </w:rPr>
        <w:t>”), then this Agreement will be deemed to constitute a security agreement under the UCC and other Applicable Law. For this purpose and without being in derogation of the intention of Seller and Purchaser that the sale of the Purchased Receivables will constitute a true sale thereof, effective as of the Closing Date, Seller does hereby grant to Purchaser a continuing security interest of first priority in all of Seller’s right, title and interest in, to and under the Purchased Receivables, whether now or hereafter existing, and any and all “proceeds” thereof (as such term is defined in the UCC), in each case, for the benefit of Purchaser as security for the prompt and complete payment of a loan deemed to have been made in an amount equal to the Purchase Price together with the performance when due of all of Seller’s obligations now or hereafter existing under this Agreement and the other Transaction Documents, which security interest will, upon the filing of a duly prepared financing statement in the appropriate filing office and filing particulars of the security interest in the CRO, be perfected and prior to all other Encumbrances thereon, other than Permitted Encumbrances, to the extent that such security interest in the Collateral can be perfected under the UCC by the filing of financing statement in such filing office or making such other filings. Purchaser will have, in addition to the rights and remedies which it may have under this Agreement, all other rights and remedies provided to a secured creditor after default under the UCC and other Applicable Law, which rights and remedies will be cumulative. Seller hereby authorizes Purchaser, as secured party, to file the UCC financing statements and Form C1 contemplated hereby. In the case of any Recharacterization, each of Seller and Purchaser represents and warrants as to itself that each remittance of payments of the Scheduled Quarterly Amount, in respect of the payments of the Scheduled Quarterly Amount or any other payment owed by Seller to Purchaser under this Agreement, will have been in payment of a debt incurred by Seller in the ordinary course of business or financial affairs of Seller and Purchaser, and made in the ordinary course of business or financial affairs of Seller and Purchaser.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 IN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R</w:t>
      </w:r>
      <w:r>
        <w:rPr>
          <w:rFonts w:ascii="Arial" w:cs="Arial" w:eastAsia="Arial" w:hAnsi="Arial"/>
          <w:sz w:val="14"/>
          <w:szCs w:val="14"/>
          <w:b w:val="1"/>
          <w:bCs w:val="1"/>
          <w:color w:val="auto"/>
        </w:rPr>
        <w:t>EMEDIES</w:t>
      </w:r>
      <w:r>
        <w:rPr>
          <w:rFonts w:ascii="Arial" w:cs="Arial" w:eastAsia="Arial" w:hAnsi="Arial"/>
          <w:sz w:val="18"/>
          <w:szCs w:val="18"/>
          <w:b w:val="1"/>
          <w:bCs w:val="1"/>
          <w:color w:val="auto"/>
        </w:rPr>
        <w:t>.</w:t>
      </w:r>
    </w:p>
    <w:p>
      <w:pPr>
        <w:spacing w:after="0" w:line="177" w:lineRule="exact"/>
        <w:rPr>
          <w:sz w:val="20"/>
          <w:szCs w:val="20"/>
          <w:color w:val="auto"/>
        </w:rPr>
      </w:pPr>
    </w:p>
    <w:p>
      <w:pPr>
        <w:jc w:val="both"/>
        <w:ind w:right="200" w:firstLine="921"/>
        <w:spacing w:after="0" w:line="259" w:lineRule="auto"/>
        <w:tabs>
          <w:tab w:leader="none" w:pos="1161"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Seller hereby grants to Purchaser a security interest in all of Seller’s right, title and interest in, to and under the Additional Collateral, to secure the prompt and complete payment and performance when due of all obligations of Seller hereunder and under the other Transaction Documents, which security interest will upon:</w:t>
      </w:r>
    </w:p>
    <w:p>
      <w:pPr>
        <w:spacing w:after="0" w:line="140" w:lineRule="exact"/>
        <w:rPr>
          <w:sz w:val="20"/>
          <w:szCs w:val="20"/>
          <w:color w:val="auto"/>
        </w:rPr>
      </w:pPr>
    </w:p>
    <w:p>
      <w:pPr>
        <w:ind w:left="5620" w:right="300" w:hanging="4699"/>
        <w:spacing w:after="0" w:line="440" w:lineRule="auto"/>
        <w:tabs>
          <w:tab w:leader="none" w:pos="11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filing of a duly prepared financing statement in the appropriate filing office (and the filing of the U.S. Patent Security Agreement in the PTO); 22</w:t>
      </w:r>
    </w:p>
    <w:p>
      <w:pPr>
        <w:sectPr>
          <w:pgSz w:w="11900" w:h="16838" w:orient="portrait"/>
          <w:cols w:equalWidth="0" w:num="1">
            <w:col w:w="11420"/>
          </w:cols>
          <w:pgMar w:left="240" w:top="280" w:right="239" w:bottom="1440" w:gutter="0" w:footer="0" w:header="0"/>
        </w:sectPr>
      </w:pPr>
    </w:p>
    <w:bookmarkStart w:id="133" w:name="page134"/>
    <w:bookmarkEnd w:id="133"/>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1180" w:hanging="259"/>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filing of particulars of the security interest in the CRO; and</w:t>
      </w:r>
    </w:p>
    <w:p>
      <w:pPr>
        <w:spacing w:after="0" w:line="171" w:lineRule="exact"/>
        <w:rPr>
          <w:rFonts w:ascii="Arial" w:cs="Arial" w:eastAsia="Arial" w:hAnsi="Arial"/>
          <w:sz w:val="18"/>
          <w:szCs w:val="18"/>
          <w:color w:val="auto"/>
        </w:rPr>
      </w:pPr>
    </w:p>
    <w:p>
      <w:pPr>
        <w:ind w:left="920" w:right="480" w:firstLine="1"/>
        <w:spacing w:after="0" w:line="268" w:lineRule="auto"/>
        <w:tabs>
          <w:tab w:leader="none" w:pos="12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filing in the Irish Patents Office, the European Trade Marks and Design Registration Office and the EPO in connection with the European Patents.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 perfected and prior to all other Encumbrances thereon, other than Permitted Encumbrances, to the extent that such security interest in the Collateral can be perfected under the UCC by the filing of a financing statement in such filing office or by making such other filings.</w:t>
      </w:r>
    </w:p>
    <w:p>
      <w:pPr>
        <w:spacing w:after="0" w:line="132" w:lineRule="exact"/>
        <w:rPr>
          <w:sz w:val="20"/>
          <w:szCs w:val="20"/>
          <w:color w:val="auto"/>
        </w:rPr>
      </w:pPr>
    </w:p>
    <w:p>
      <w:pPr>
        <w:ind w:right="140" w:firstLine="921"/>
        <w:spacing w:after="0" w:line="255" w:lineRule="auto"/>
        <w:tabs>
          <w:tab w:leader="none" w:pos="1171"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Seller will notify Purchaser in writing [***] to any change in, or amendment or alteration to, (i) its legal name, (ii) its form or type of organizational structure or jurisdiction of organization, or (iii) its Federal Employer Identification Number. Seller agrees not to effect or permit any such change referred to above unless all filings have been made under the UCC or otherwise requested by Purchaser that are required or advisable in order for Purchaser to continue at all times following such change to have a valid, legal and perfected Encumbrance (prior and superior in right and interest to any other Person) in all the Collateral.</w:t>
      </w:r>
    </w:p>
    <w:p>
      <w:pPr>
        <w:spacing w:after="0" w:line="142" w:lineRule="exact"/>
        <w:rPr>
          <w:rFonts w:ascii="Arial" w:cs="Arial" w:eastAsia="Arial" w:hAnsi="Arial"/>
          <w:sz w:val="18"/>
          <w:szCs w:val="18"/>
          <w:b w:val="1"/>
          <w:bCs w:val="1"/>
          <w:color w:val="auto"/>
        </w:rPr>
      </w:pPr>
    </w:p>
    <w:p>
      <w:pPr>
        <w:ind w:right="120" w:firstLine="921"/>
        <w:spacing w:after="0" w:line="310" w:lineRule="auto"/>
        <w:tabs>
          <w:tab w:leader="none" w:pos="1152" w:val="left"/>
        </w:tabs>
        <w:numPr>
          <w:ilvl w:val="0"/>
          <w:numId w:val="102"/>
        </w:numPr>
        <w:rPr>
          <w:rFonts w:ascii="Arial" w:cs="Arial" w:eastAsia="Arial" w:hAnsi="Arial"/>
          <w:sz w:val="15"/>
          <w:szCs w:val="15"/>
          <w:b w:val="1"/>
          <w:bCs w:val="1"/>
          <w:color w:val="auto"/>
        </w:rPr>
      </w:pPr>
      <w:r>
        <w:rPr>
          <w:rFonts w:ascii="Arial" w:cs="Arial" w:eastAsia="Arial" w:hAnsi="Arial"/>
          <w:sz w:val="15"/>
          <w:szCs w:val="15"/>
          <w:color w:val="auto"/>
        </w:rPr>
        <w:t xml:space="preserve">Without limiting the generality of </w:t>
      </w:r>
      <w:r>
        <w:rPr>
          <w:rFonts w:ascii="Arial" w:cs="Arial" w:eastAsia="Arial" w:hAnsi="Arial"/>
          <w:sz w:val="15"/>
          <w:szCs w:val="15"/>
          <w:u w:val="single" w:color="auto"/>
          <w:color w:val="auto"/>
        </w:rPr>
        <w:t>Section 9.4(a)</w:t>
      </w:r>
      <w:r>
        <w:rPr>
          <w:rFonts w:ascii="Arial" w:cs="Arial" w:eastAsia="Arial" w:hAnsi="Arial"/>
          <w:sz w:val="15"/>
          <w:szCs w:val="15"/>
          <w:color w:val="auto"/>
        </w:rPr>
        <w:t>, Seller will execute any and all further documents, financing statements, agreements and instruments, and take all further action that may be required under Applicable Law, or that Purchaser may reasonably request, in order to grant, create, preserve, enforce, protect and perfect the validity and priority of the security interests and other Encumbrances created by this Agreement in the Collateral. Without limiting the foregoing, Seller will do or cause to be done all acts and things that may be required, or that Purchaser from time to time may reasonably request, to assure and confirm that Purchaser holds duly created and enforceable and perfected Encumbrances upon the Collateral (including any property or assets that are acquired or otherwise become Collateral after the date of this Agreement), in each case, as contemplated by, and with the lien priority required under, this Agreement; provided that (a) Seller shall not be obligated to undertake any filings or other actions with respect to any jurisdictions outside of the United States other than Ireland and the European Patent Office, and (b) no control agreements with respect to any deposit accounts or securities accounts shall be required.</w:t>
      </w:r>
    </w:p>
    <w:p>
      <w:pPr>
        <w:spacing w:after="0" w:line="108" w:lineRule="exact"/>
        <w:rPr>
          <w:rFonts w:ascii="Arial" w:cs="Arial" w:eastAsia="Arial" w:hAnsi="Arial"/>
          <w:sz w:val="15"/>
          <w:szCs w:val="15"/>
          <w:b w:val="1"/>
          <w:bCs w:val="1"/>
          <w:color w:val="auto"/>
        </w:rPr>
      </w:pPr>
    </w:p>
    <w:p>
      <w:pPr>
        <w:ind w:firstLine="921"/>
        <w:spacing w:after="0" w:line="256" w:lineRule="auto"/>
        <w:tabs>
          <w:tab w:leader="none" w:pos="1171"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Upon the request of Purchaser at any time after the occurrence and during the continuance of an Event of Default, Seller will permit Purchaser or any advisor, auditor, consultant, attorney or representative acting for Purchaser, upon reasonable notice to Seller and during normal business hours, to make extracts from and copy the books and records of Seller (and its Affiliates, as applicable) relating to the Collateral, and to discuss any matter pertaining to the Collateral with the officers and employees of Seller (and its Affiliates, as applicable).</w:t>
      </w:r>
    </w:p>
    <w:p>
      <w:pPr>
        <w:spacing w:after="0" w:line="143" w:lineRule="exact"/>
        <w:rPr>
          <w:rFonts w:ascii="Arial" w:cs="Arial" w:eastAsia="Arial" w:hAnsi="Arial"/>
          <w:sz w:val="18"/>
          <w:szCs w:val="18"/>
          <w:b w:val="1"/>
          <w:bCs w:val="1"/>
          <w:color w:val="auto"/>
        </w:rPr>
      </w:pPr>
    </w:p>
    <w:p>
      <w:pPr>
        <w:ind w:right="60" w:firstLine="921"/>
        <w:spacing w:after="0" w:line="306" w:lineRule="auto"/>
        <w:tabs>
          <w:tab w:leader="none" w:pos="1152"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 xml:space="preserve">Seller will not, and will cause its Affiliates not to directly or indirectly, sell, transfer, assign, lease, license, sublicense, convey or otherwise directly or indirectly dispose of any of the Collateral or any interest therein, except as permitted by this Agreement and except for Permitted Encumbrances. This </w:t>
      </w:r>
      <w:r>
        <w:rPr>
          <w:rFonts w:ascii="Arial" w:cs="Arial" w:eastAsia="Arial" w:hAnsi="Arial"/>
          <w:sz w:val="16"/>
          <w:szCs w:val="16"/>
          <w:u w:val="single" w:color="auto"/>
          <w:color w:val="auto"/>
        </w:rPr>
        <w:t>Section 4.9(e)</w:t>
      </w:r>
      <w:r>
        <w:rPr>
          <w:rFonts w:ascii="Arial" w:cs="Arial" w:eastAsia="Arial" w:hAnsi="Arial"/>
          <w:sz w:val="16"/>
          <w:szCs w:val="16"/>
          <w:color w:val="auto"/>
        </w:rPr>
        <w:t xml:space="preserve"> shall in no way limit Purchaser’s rights or remedies upon the occurrence of a Change of Control.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34" w:name="page135"/>
    <w:bookmarkEnd w:id="134"/>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180" w:firstLine="921"/>
        <w:spacing w:after="0" w:line="256" w:lineRule="auto"/>
        <w:tabs>
          <w:tab w:leader="none" w:pos="1132"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 xml:space="preserve">Upon the occurrence and during the continuance of an Event of Default, Purchaser will have in any jurisdiction in which enforcement hereof is sought, in addition to all other rights and remedies granted in this Agreement, at law or in equity (including as set forth in </w:t>
      </w:r>
      <w:r>
        <w:rPr>
          <w:rFonts w:ascii="Arial" w:cs="Arial" w:eastAsia="Arial" w:hAnsi="Arial"/>
          <w:sz w:val="18"/>
          <w:szCs w:val="18"/>
          <w:u w:val="single" w:color="auto"/>
          <w:color w:val="auto"/>
        </w:rPr>
        <w:t>Section 4.9(m)</w:t>
      </w:r>
      <w:r>
        <w:rPr>
          <w:rFonts w:ascii="Arial" w:cs="Arial" w:eastAsia="Arial" w:hAnsi="Arial"/>
          <w:sz w:val="18"/>
          <w:szCs w:val="18"/>
          <w:color w:val="auto"/>
        </w:rPr>
        <w:t>) with respect to the Collateral, the rights and remedies of a secured party under the UCC (whether or not in effect in the jurisdiction where such rights are exercised) or other Applicable Law.</w:t>
      </w:r>
    </w:p>
    <w:p>
      <w:pPr>
        <w:spacing w:after="0" w:line="143" w:lineRule="exact"/>
        <w:rPr>
          <w:rFonts w:ascii="Arial" w:cs="Arial" w:eastAsia="Arial" w:hAnsi="Arial"/>
          <w:sz w:val="18"/>
          <w:szCs w:val="18"/>
          <w:b w:val="1"/>
          <w:bCs w:val="1"/>
          <w:color w:val="auto"/>
        </w:rPr>
      </w:pPr>
    </w:p>
    <w:p>
      <w:pPr>
        <w:ind w:right="60" w:firstLine="921"/>
        <w:spacing w:after="0" w:line="306" w:lineRule="auto"/>
        <w:tabs>
          <w:tab w:leader="none" w:pos="1161"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Seller agrees that, upon the occurrence and during the continuance of an Event of Default, Purchaser will have the right, subject to Applicable Law and subsection (n) below, to sell or otherwise dispose of all or any part of the Collateral, at public or private sale, for cash, upon credit or for future delivery as Purchaser shall deem appropriate. Each purchaser at any such sale shall hold the property sold absolutely, free from any claim or right on the part of Seller.</w:t>
      </w:r>
    </w:p>
    <w:p>
      <w:pPr>
        <w:spacing w:after="0" w:line="106" w:lineRule="exact"/>
        <w:rPr>
          <w:rFonts w:ascii="Arial" w:cs="Arial" w:eastAsia="Arial" w:hAnsi="Arial"/>
          <w:sz w:val="16"/>
          <w:szCs w:val="16"/>
          <w:b w:val="1"/>
          <w:bCs w:val="1"/>
          <w:color w:val="auto"/>
        </w:rPr>
      </w:pPr>
    </w:p>
    <w:p>
      <w:pPr>
        <w:ind w:firstLine="921"/>
        <w:spacing w:after="0" w:line="288" w:lineRule="auto"/>
        <w:tabs>
          <w:tab w:leader="none" w:pos="1171"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 xml:space="preserve">Purchaser will give Seller [***] written notice of the time and place of any such proposed sale. Any such notice will (i) in the case of a public sale, state the time and place fixed for such sale, (ii) in the case of a private sale, state the day after which such sale may be consummated, (iii) contain the information specified in Section 9-613 of the UCC, (iv) be authenticated and (v) be sent to the parties required to be notified pursuant to Section 9-611(c) of the UCC;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Purchaser fails to comply with this sentence in any respect, its liability for such failure shall be limited to the liability (if any) imposed on it as a matter of law under the UCC. Seller agrees that such written notice will satisfy all requirements for notice to Seller that are imposed under the UCC or other Applicable Law with respect to the exercise of Purchaser’s rights and remedies hereunder upon default. Purchaser will not be obligated to make any sale or other disposition of any Collateral if it shall determine not to do so, regardless of the fact that notice of sale or other disposition of such Collateral shall have been given. Purchaser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w:t>
      </w:r>
    </w:p>
    <w:p>
      <w:pPr>
        <w:spacing w:after="0" w:line="119" w:lineRule="exact"/>
        <w:rPr>
          <w:rFonts w:ascii="Arial" w:cs="Arial" w:eastAsia="Arial" w:hAnsi="Arial"/>
          <w:sz w:val="16"/>
          <w:szCs w:val="16"/>
          <w:b w:val="1"/>
          <w:bCs w:val="1"/>
          <w:color w:val="auto"/>
        </w:rPr>
      </w:pPr>
    </w:p>
    <w:p>
      <w:pPr>
        <w:ind w:firstLine="921"/>
        <w:spacing w:after="0" w:line="255" w:lineRule="auto"/>
        <w:tabs>
          <w:tab w:leader="none" w:pos="1122"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Any public sale will be held at such time or times within ordinary business hours and at such place or places as Purchaser may fix and state in the notice of such sale. At any sale or other disposition, the Collateral, or portion thereof, to be sold may be sold in one lot as an entirety or in separate parcels, as Purchaser may (in its sole and absolute discretion) determine. If any of the Collateral is sold, leased, or otherwise disposed of by Purchaser on credit, the obligations secured by the security interests granted herein shall not be deemed to have been reduced as a result thereof unless and until payment in full is received thereon by Purchaser.</w:t>
      </w:r>
    </w:p>
    <w:p>
      <w:pPr>
        <w:spacing w:after="0" w:line="142" w:lineRule="exact"/>
        <w:rPr>
          <w:rFonts w:ascii="Arial" w:cs="Arial" w:eastAsia="Arial" w:hAnsi="Arial"/>
          <w:sz w:val="18"/>
          <w:szCs w:val="18"/>
          <w:b w:val="1"/>
          <w:bCs w:val="1"/>
          <w:color w:val="auto"/>
        </w:rPr>
      </w:pPr>
    </w:p>
    <w:p>
      <w:pPr>
        <w:ind w:firstLine="921"/>
        <w:spacing w:after="0" w:line="259" w:lineRule="auto"/>
        <w:tabs>
          <w:tab w:leader="none" w:pos="1132"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At any such public (or, to the extent permitted by Applicable Law, private) sale made pursuant hereto, Purchaser may bid for or purchase, free (to the extent permitted by Applicable Law) from any right of redemption, stay, valuation or appraisal on the part of Seller, the Collateral or any part thereof offered for sale, and Purchaser may make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135" w:name="page136"/>
    <w:bookmarkEnd w:id="135"/>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payment on account thereof by using any or all of the obligations secured by the security interests granted herein as a credit against the purchase price, and Purchaser may, upon compliance with the terms of sale, hold, retain and dispose of such property without further accountability to Seller therefor.</w:t>
      </w:r>
    </w:p>
    <w:p>
      <w:pPr>
        <w:spacing w:after="0" w:line="85" w:lineRule="exact"/>
        <w:rPr>
          <w:sz w:val="20"/>
          <w:szCs w:val="20"/>
          <w:color w:val="auto"/>
        </w:rPr>
      </w:pPr>
    </w:p>
    <w:p>
      <w:pPr>
        <w:ind w:firstLine="921"/>
        <w:spacing w:after="0" w:line="259" w:lineRule="auto"/>
        <w:tabs>
          <w:tab w:leader="none" w:pos="1171"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As an alternative to exercising the power of sale herein conferred upon it, Purchaser may proceed by a suit or suits at law or in equity to foreclose upon the Collateral and, subject to subsection (n) below, to sell the Collateral or any portion thereof pursuant to a judgment or decree of a court or courts having competent jurisdiction or pursuant to a proceeding by a court-appointed receiver.</w:t>
      </w:r>
    </w:p>
    <w:p>
      <w:pPr>
        <w:spacing w:after="0" w:line="140" w:lineRule="exact"/>
        <w:rPr>
          <w:rFonts w:ascii="Arial" w:cs="Arial" w:eastAsia="Arial" w:hAnsi="Arial"/>
          <w:sz w:val="18"/>
          <w:szCs w:val="18"/>
          <w:b w:val="1"/>
          <w:bCs w:val="1"/>
          <w:color w:val="auto"/>
        </w:rPr>
      </w:pPr>
    </w:p>
    <w:p>
      <w:pPr>
        <w:ind w:right="180" w:firstLine="921"/>
        <w:spacing w:after="0" w:line="268" w:lineRule="auto"/>
        <w:tabs>
          <w:tab w:leader="none" w:pos="1122"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Seller hereby waives all rights of demand, redemption, stay, valuation and appraisal that Seller now has or may at any time in the future have under any rule of law or statute now existing or hereafter enacted.</w:t>
      </w:r>
    </w:p>
    <w:p>
      <w:pPr>
        <w:spacing w:after="0" w:line="131" w:lineRule="exact"/>
        <w:rPr>
          <w:rFonts w:ascii="Arial" w:cs="Arial" w:eastAsia="Arial" w:hAnsi="Arial"/>
          <w:sz w:val="18"/>
          <w:szCs w:val="18"/>
          <w:b w:val="1"/>
          <w:bCs w:val="1"/>
          <w:color w:val="auto"/>
        </w:rPr>
      </w:pPr>
    </w:p>
    <w:p>
      <w:pPr>
        <w:ind w:right="40" w:firstLine="921"/>
        <w:spacing w:after="0" w:line="291" w:lineRule="auto"/>
        <w:tabs>
          <w:tab w:leader="none" w:pos="1220"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4.9(f)</w:t>
      </w:r>
      <w:r>
        <w:rPr>
          <w:rFonts w:ascii="Arial" w:cs="Arial" w:eastAsia="Arial" w:hAnsi="Arial"/>
          <w:sz w:val="16"/>
          <w:szCs w:val="16"/>
          <w:color w:val="auto"/>
        </w:rPr>
        <w:t xml:space="preserve">, upon the occurrence and during the continuance of an Event of Default, Purchaser may accelerate the Outstanding Threshold Amount, which upon such acceleration, shall become due and payable to Purchaser; provided that upon an Event of Default specified in clause (d) of the definition thereof, automatically and without any notice to Seller, the Outstanding Threshold Amount, will be due and payable to Purchaser (except as set forth in </w:t>
      </w:r>
      <w:r>
        <w:rPr>
          <w:rFonts w:ascii="Arial" w:cs="Arial" w:eastAsia="Arial" w:hAnsi="Arial"/>
          <w:sz w:val="16"/>
          <w:szCs w:val="16"/>
          <w:u w:val="single" w:color="auto"/>
          <w:color w:val="auto"/>
        </w:rPr>
        <w:t>Section 4.9(n)</w:t>
      </w:r>
      <w:r>
        <w:rPr>
          <w:rFonts w:ascii="Arial" w:cs="Arial" w:eastAsia="Arial" w:hAnsi="Arial"/>
          <w:sz w:val="16"/>
          <w:szCs w:val="16"/>
          <w:color w:val="auto"/>
        </w:rPr>
        <w:t xml:space="preserve"> below). Presentment, demand, protest or notice of any kind are hereby expressly waived. Further, if an Event of Default shall occur and be continuing, Purchaser may, subject to any restrictions set forth in this </w:t>
      </w:r>
      <w:r>
        <w:rPr>
          <w:rFonts w:ascii="Arial" w:cs="Arial" w:eastAsia="Arial" w:hAnsi="Arial"/>
          <w:sz w:val="16"/>
          <w:szCs w:val="16"/>
          <w:u w:val="single" w:color="auto"/>
          <w:color w:val="auto"/>
        </w:rPr>
        <w:t>Section 4.9</w:t>
      </w:r>
      <w:r>
        <w:rPr>
          <w:rFonts w:ascii="Arial" w:cs="Arial" w:eastAsia="Arial" w:hAnsi="Arial"/>
          <w:sz w:val="16"/>
          <w:szCs w:val="16"/>
          <w:color w:val="auto"/>
        </w:rPr>
        <w:t>, foreclose or otherwise realize upon the Collateral in such portions or in full as Purchaser sees fit in its sole discretion.</w:t>
      </w:r>
    </w:p>
    <w:p>
      <w:pPr>
        <w:spacing w:after="0" w:line="120" w:lineRule="exact"/>
        <w:rPr>
          <w:rFonts w:ascii="Arial" w:cs="Arial" w:eastAsia="Arial" w:hAnsi="Arial"/>
          <w:sz w:val="16"/>
          <w:szCs w:val="16"/>
          <w:b w:val="1"/>
          <w:bCs w:val="1"/>
          <w:color w:val="auto"/>
        </w:rPr>
      </w:pPr>
    </w:p>
    <w:p>
      <w:pPr>
        <w:ind w:firstLine="921"/>
        <w:spacing w:after="0" w:line="256" w:lineRule="auto"/>
        <w:tabs>
          <w:tab w:leader="none" w:pos="1171"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Without limiting the generality of the foregoing, if there is an occurrence and during the continuance of an Event of Default described in subsection (d) of that definition (a Bankruptcy Event), and if there is a sale or other disposition of all or any part of the Collateral by Purchaser pursuant to subsection (g) or subsection (k) above, then, in such case, Purchaser hereby agrees to accept from the proceeds of such a sale or other disposition an amount equal to the Outstanding Threshold Amount.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4.10 I</w:t>
      </w:r>
      <w:r>
        <w:rPr>
          <w:rFonts w:ascii="Arial" w:cs="Arial" w:eastAsia="Arial" w:hAnsi="Arial"/>
          <w:sz w:val="14"/>
          <w:szCs w:val="14"/>
          <w:b w:val="1"/>
          <w:bCs w:val="1"/>
          <w:color w:val="auto"/>
        </w:rPr>
        <w:t>N</w:t>
      </w:r>
      <w:r>
        <w:rPr>
          <w:rFonts w:ascii="Arial" w:cs="Arial" w:eastAsia="Arial" w:hAnsi="Arial"/>
          <w:sz w:val="18"/>
          <w:szCs w:val="18"/>
          <w:b w:val="1"/>
          <w:bCs w:val="1"/>
          <w:color w:val="auto"/>
        </w:rPr>
        <w:t>-L</w:t>
      </w:r>
      <w:r>
        <w:rPr>
          <w:rFonts w:ascii="Arial" w:cs="Arial" w:eastAsia="Arial" w:hAnsi="Arial"/>
          <w:sz w:val="14"/>
          <w:szCs w:val="14"/>
          <w:b w:val="1"/>
          <w:bCs w:val="1"/>
          <w:color w:val="auto"/>
        </w:rPr>
        <w:t>ICENSES</w:t>
      </w:r>
      <w:r>
        <w:rPr>
          <w:rFonts w:ascii="Arial" w:cs="Arial" w:eastAsia="Arial" w:hAnsi="Arial"/>
          <w:sz w:val="18"/>
          <w:szCs w:val="18"/>
          <w:b w:val="1"/>
          <w:bCs w:val="1"/>
          <w:color w:val="auto"/>
        </w:rPr>
        <w:t>.</w:t>
      </w:r>
    </w:p>
    <w:p>
      <w:pPr>
        <w:spacing w:after="0" w:line="177" w:lineRule="exact"/>
        <w:rPr>
          <w:sz w:val="20"/>
          <w:szCs w:val="20"/>
          <w:color w:val="auto"/>
        </w:rPr>
      </w:pPr>
    </w:p>
    <w:p>
      <w:pPr>
        <w:ind w:right="80" w:firstLine="921"/>
        <w:spacing w:after="0" w:line="252" w:lineRule="auto"/>
        <w:tabs>
          <w:tab w:leader="none" w:pos="1161"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Seller shall act in a commercially reasonable manner with respect to its obligations under each of the In-Licenses. Promptly, and in any event within [***], after receipt of any (written or oral) notice from a counterparty to such In-License or its Affiliates of an alleged breach under any In-License, Seller shall give notice thereof to the Purchaser, including delivering the Purchaser a copy of any such written notice. To the extent commercially reasonable, Seller shall undertake efforts to cure any breaches by it under any In-License and shall give written notice to the Purchaser upon curing any such breach. Promptly, and in</w:t>
      </w:r>
    </w:p>
    <w:p>
      <w:pPr>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any event within [***] following Seller’s notice to a counterparty to any material In-License of an alleged material breach under such In-License, Seller shall give notice thereof to the Purchaser, including delivering the Purchaser a copy of any such written notice.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36" w:name="page137"/>
    <w:bookmarkEnd w:id="136"/>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1180" w:hanging="259"/>
        <w:spacing w:after="0"/>
        <w:tabs>
          <w:tab w:leader="none" w:pos="1180" w:val="left"/>
        </w:tabs>
        <w:numPr>
          <w:ilvl w:val="1"/>
          <w:numId w:val="106"/>
        </w:numPr>
        <w:rPr>
          <w:rFonts w:ascii="Arial" w:cs="Arial" w:eastAsia="Arial" w:hAnsi="Arial"/>
          <w:sz w:val="16"/>
          <w:szCs w:val="16"/>
          <w:b w:val="1"/>
          <w:bCs w:val="1"/>
          <w:color w:val="auto"/>
        </w:rPr>
      </w:pPr>
      <w:r>
        <w:rPr>
          <w:rFonts w:ascii="Arial" w:cs="Arial" w:eastAsia="Arial" w:hAnsi="Arial"/>
          <w:sz w:val="16"/>
          <w:szCs w:val="16"/>
          <w:color w:val="auto"/>
        </w:rPr>
        <w:t>Seller shall promptly (and in any event within [***]) provide the Purchaser with (i) executed copies of each new material In-License,</w:t>
      </w:r>
    </w:p>
    <w:p>
      <w:pPr>
        <w:spacing w:after="0" w:line="38" w:lineRule="exact"/>
        <w:rPr>
          <w:rFonts w:ascii="Arial" w:cs="Arial" w:eastAsia="Arial" w:hAnsi="Arial"/>
          <w:sz w:val="16"/>
          <w:szCs w:val="16"/>
          <w:b w:val="1"/>
          <w:bCs w:val="1"/>
          <w:color w:val="auto"/>
        </w:rPr>
      </w:pPr>
    </w:p>
    <w:p>
      <w:pPr>
        <w:ind w:right="260" w:firstLine="8"/>
        <w:spacing w:after="0" w:line="323" w:lineRule="auto"/>
        <w:tabs>
          <w:tab w:leader="none" w:pos="25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executed copies of each material amendment, supplement, modification or waiver of any provision of an In-License and (iii) copies of all material reports, documents, and other materials provided by Seller to the counterparty to each In-License or provided by the counterparty to each In-License to Seller.</w:t>
      </w:r>
    </w:p>
    <w:p>
      <w:pPr>
        <w:spacing w:after="0" w:line="92" w:lineRule="exact"/>
        <w:rPr>
          <w:rFonts w:ascii="Arial" w:cs="Arial" w:eastAsia="Arial" w:hAnsi="Arial"/>
          <w:sz w:val="16"/>
          <w:szCs w:val="16"/>
          <w:color w:val="auto"/>
        </w:rPr>
      </w:pPr>
    </w:p>
    <w:p>
      <w:pPr>
        <w:ind w:left="1160" w:hanging="239"/>
        <w:spacing w:after="0"/>
        <w:tabs>
          <w:tab w:leader="none" w:pos="1160" w:val="left"/>
        </w:tabs>
        <w:numPr>
          <w:ilvl w:val="1"/>
          <w:numId w:val="107"/>
        </w:numPr>
        <w:rPr>
          <w:rFonts w:ascii="Arial" w:cs="Arial" w:eastAsia="Arial" w:hAnsi="Arial"/>
          <w:sz w:val="16"/>
          <w:szCs w:val="16"/>
          <w:b w:val="1"/>
          <w:bCs w:val="1"/>
          <w:color w:val="auto"/>
        </w:rPr>
      </w:pPr>
      <w:r>
        <w:rPr>
          <w:rFonts w:ascii="Arial" w:cs="Arial" w:eastAsia="Arial" w:hAnsi="Arial"/>
          <w:sz w:val="16"/>
          <w:szCs w:val="16"/>
          <w:color w:val="auto"/>
        </w:rPr>
        <w:t>Seller shall provide Purchaser with written notice following a counterparty’s material breach of its obligations under any material In-License.</w:t>
      </w:r>
    </w:p>
    <w:p>
      <w:pPr>
        <w:spacing w:after="0" w:line="194" w:lineRule="exact"/>
        <w:rPr>
          <w:rFonts w:ascii="Arial" w:cs="Arial" w:eastAsia="Arial" w:hAnsi="Arial"/>
          <w:sz w:val="16"/>
          <w:szCs w:val="16"/>
          <w:b w:val="1"/>
          <w:bCs w:val="1"/>
          <w:color w:val="auto"/>
        </w:rPr>
      </w:pPr>
    </w:p>
    <w:p>
      <w:pPr>
        <w:ind w:left="1180" w:hanging="259"/>
        <w:spacing w:after="0"/>
        <w:tabs>
          <w:tab w:leader="none" w:pos="1180"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Seller shall provide the Purchaser with written notice following the termination of any material In-License.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4.11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p>
      <w:pPr>
        <w:spacing w:after="0" w:line="177" w:lineRule="exact"/>
        <w:rPr>
          <w:sz w:val="20"/>
          <w:szCs w:val="20"/>
          <w:color w:val="auto"/>
        </w:rPr>
      </w:pPr>
    </w:p>
    <w:p>
      <w:pPr>
        <w:ind w:right="80" w:firstLine="921"/>
        <w:spacing w:after="0" w:line="255" w:lineRule="auto"/>
        <w:tabs>
          <w:tab w:leader="none" w:pos="1161" w:val="left"/>
        </w:tabs>
        <w:numPr>
          <w:ilvl w:val="1"/>
          <w:numId w:val="108"/>
        </w:numPr>
        <w:rPr>
          <w:rFonts w:ascii="Arial" w:cs="Arial" w:eastAsia="Arial" w:hAnsi="Arial"/>
          <w:sz w:val="18"/>
          <w:szCs w:val="18"/>
          <w:b w:val="1"/>
          <w:bCs w:val="1"/>
          <w:color w:val="auto"/>
        </w:rPr>
      </w:pPr>
      <w:r>
        <w:rPr>
          <w:rFonts w:ascii="Arial" w:cs="Arial" w:eastAsia="Arial" w:hAnsi="Arial"/>
          <w:sz w:val="18"/>
          <w:szCs w:val="18"/>
          <w:color w:val="auto"/>
        </w:rPr>
        <w:t>Seller shall act in a commercially reasonable manner with respect to its obligations under each of the Manufacturing Agreements. Promptly, and in any event within [***], after receipt of any (written or oral) notice from any of the parties thereto of an alleged breach by Seller under a Manufacturing Agreement, Seller shall give notice thereof to the Purchaser, including delivering the Purchaser a copy of any such written notice. To the extent commercially reasonable, Seller shall undertake efforts to cure any breaches by it under any Manufacturing Agreement and shall give written notice to the Purchaser upon curing any such breach.</w:t>
      </w:r>
    </w:p>
    <w:p>
      <w:pPr>
        <w:spacing w:after="0" w:line="142" w:lineRule="exact"/>
        <w:rPr>
          <w:rFonts w:ascii="Arial" w:cs="Arial" w:eastAsia="Arial" w:hAnsi="Arial"/>
          <w:sz w:val="18"/>
          <w:szCs w:val="18"/>
          <w:b w:val="1"/>
          <w:bCs w:val="1"/>
          <w:color w:val="auto"/>
        </w:rPr>
      </w:pPr>
    </w:p>
    <w:p>
      <w:pPr>
        <w:jc w:val="both"/>
        <w:ind w:right="120" w:firstLine="921"/>
        <w:spacing w:after="0" w:line="298" w:lineRule="auto"/>
        <w:tabs>
          <w:tab w:leader="none" w:pos="1171" w:val="left"/>
        </w:tabs>
        <w:numPr>
          <w:ilvl w:val="1"/>
          <w:numId w:val="108"/>
        </w:numPr>
        <w:rPr>
          <w:rFonts w:ascii="Arial" w:cs="Arial" w:eastAsia="Arial" w:hAnsi="Arial"/>
          <w:sz w:val="16"/>
          <w:szCs w:val="16"/>
          <w:b w:val="1"/>
          <w:bCs w:val="1"/>
          <w:color w:val="auto"/>
        </w:rPr>
      </w:pPr>
      <w:r>
        <w:rPr>
          <w:rFonts w:ascii="Arial" w:cs="Arial" w:eastAsia="Arial" w:hAnsi="Arial"/>
          <w:sz w:val="16"/>
          <w:szCs w:val="16"/>
          <w:color w:val="auto"/>
        </w:rPr>
        <w:t>Promptly (and in any event within [***]) after Seller becomes aware of, or comes to believe in good faith that there has been, a material breach of any Manufacturing Agreement by the counterparty thereto, Seller shall provide notice of such breach to the Purchaser. In addition, Seller shall provide to the Purchaser a copy of any written notice of material breach or alleged material breach of any material Manufacturing Agreement delivered by Seller to the counterparty thereto as soon as practicable and in any event not less than [***] following such delivery.</w:t>
      </w:r>
    </w:p>
    <w:p>
      <w:pPr>
        <w:spacing w:after="0" w:line="112" w:lineRule="exact"/>
        <w:rPr>
          <w:rFonts w:ascii="Arial" w:cs="Arial" w:eastAsia="Arial" w:hAnsi="Arial"/>
          <w:sz w:val="16"/>
          <w:szCs w:val="16"/>
          <w:b w:val="1"/>
          <w:bCs w:val="1"/>
          <w:color w:val="auto"/>
        </w:rPr>
      </w:pPr>
    </w:p>
    <w:p>
      <w:pPr>
        <w:ind w:left="1160" w:hanging="239"/>
        <w:spacing w:after="0"/>
        <w:tabs>
          <w:tab w:leader="none" w:pos="1160" w:val="left"/>
        </w:tabs>
        <w:numPr>
          <w:ilvl w:val="1"/>
          <w:numId w:val="108"/>
        </w:numPr>
        <w:rPr>
          <w:rFonts w:ascii="Arial" w:cs="Arial" w:eastAsia="Arial" w:hAnsi="Arial"/>
          <w:sz w:val="16"/>
          <w:szCs w:val="16"/>
          <w:b w:val="1"/>
          <w:bCs w:val="1"/>
          <w:color w:val="auto"/>
        </w:rPr>
      </w:pPr>
      <w:r>
        <w:rPr>
          <w:rFonts w:ascii="Arial" w:cs="Arial" w:eastAsia="Arial" w:hAnsi="Arial"/>
          <w:sz w:val="16"/>
          <w:szCs w:val="16"/>
          <w:color w:val="auto"/>
        </w:rPr>
        <w:t>Seller shall promptly (and in any event within [***]) provide the Purchaser with (i) executed copies of each new Manufacturing Agreement, and</w:t>
      </w:r>
    </w:p>
    <w:p>
      <w:pPr>
        <w:spacing w:after="0" w:line="38" w:lineRule="exact"/>
        <w:rPr>
          <w:rFonts w:ascii="Arial" w:cs="Arial" w:eastAsia="Arial" w:hAnsi="Arial"/>
          <w:sz w:val="16"/>
          <w:szCs w:val="16"/>
          <w:b w:val="1"/>
          <w:bCs w:val="1"/>
          <w:color w:val="auto"/>
        </w:rPr>
      </w:pPr>
    </w:p>
    <w:p>
      <w:pPr>
        <w:ind w:left="260" w:hanging="252"/>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executed copies of each material amendment, supplement, modification or waiver of any provision of a Manufacturing Agreement.</w:t>
      </w:r>
    </w:p>
    <w:p>
      <w:pPr>
        <w:spacing w:after="0" w:line="164" w:lineRule="exact"/>
        <w:rPr>
          <w:rFonts w:ascii="Arial" w:cs="Arial" w:eastAsia="Arial" w:hAnsi="Arial"/>
          <w:sz w:val="18"/>
          <w:szCs w:val="18"/>
          <w:color w:val="auto"/>
        </w:rPr>
      </w:pPr>
    </w:p>
    <w:p>
      <w:pPr>
        <w:jc w:val="both"/>
        <w:ind w:firstLine="921"/>
        <w:spacing w:after="0" w:line="259" w:lineRule="auto"/>
        <w:tabs>
          <w:tab w:leader="none" w:pos="1171"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Seller (i) shall use commercially reasonable efforts to determine [***] forecasted amount of Product and (ii) will notify Purchaser within [***] if it cannot secure agreement from manufacturers to supply a [***] forecasted amount of Product, it being understood that such obligation in clause (ii) is solely an obligation to provide such notice.</w:t>
      </w:r>
    </w:p>
    <w:p>
      <w:pPr>
        <w:spacing w:after="0" w:line="140"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Seller shall provide the Purchaser with written notice following the termination of any Manufacturing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137" w:name="page138"/>
    <w:bookmarkEnd w:id="137"/>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4.12 O</w:t>
      </w:r>
      <w:r>
        <w:rPr>
          <w:rFonts w:ascii="Arial" w:cs="Arial" w:eastAsia="Arial" w:hAnsi="Arial"/>
          <w:sz w:val="14"/>
          <w:szCs w:val="14"/>
          <w:b w:val="1"/>
          <w:bCs w:val="1"/>
          <w:color w:val="auto"/>
        </w:rPr>
        <w:t>UT</w:t>
      </w:r>
      <w:r>
        <w:rPr>
          <w:rFonts w:ascii="Arial" w:cs="Arial" w:eastAsia="Arial" w:hAnsi="Arial"/>
          <w:sz w:val="18"/>
          <w:szCs w:val="18"/>
          <w:b w:val="1"/>
          <w:bCs w:val="1"/>
          <w:color w:val="auto"/>
        </w:rPr>
        <w:t>-L</w:t>
      </w:r>
      <w:r>
        <w:rPr>
          <w:rFonts w:ascii="Arial" w:cs="Arial" w:eastAsia="Arial" w:hAnsi="Arial"/>
          <w:sz w:val="14"/>
          <w:szCs w:val="14"/>
          <w:b w:val="1"/>
          <w:bCs w:val="1"/>
          <w:color w:val="auto"/>
        </w:rPr>
        <w:t>ICENSES</w:t>
      </w:r>
      <w:r>
        <w:rPr>
          <w:rFonts w:ascii="Arial" w:cs="Arial" w:eastAsia="Arial" w:hAnsi="Arial"/>
          <w:sz w:val="18"/>
          <w:szCs w:val="18"/>
          <w:b w:val="1"/>
          <w:bCs w:val="1"/>
          <w:color w:val="auto"/>
        </w:rPr>
        <w:t>.</w:t>
      </w:r>
    </w:p>
    <w:p>
      <w:pPr>
        <w:spacing w:after="0" w:line="177" w:lineRule="exact"/>
        <w:rPr>
          <w:sz w:val="20"/>
          <w:szCs w:val="20"/>
          <w:color w:val="auto"/>
        </w:rPr>
      </w:pPr>
    </w:p>
    <w:p>
      <w:pPr>
        <w:ind w:right="100" w:firstLine="921"/>
        <w:spacing w:after="0" w:line="256" w:lineRule="auto"/>
        <w:tabs>
          <w:tab w:leader="none" w:pos="1161" w:val="left"/>
        </w:tabs>
        <w:numPr>
          <w:ilvl w:val="1"/>
          <w:numId w:val="110"/>
        </w:numPr>
        <w:rPr>
          <w:rFonts w:ascii="Arial" w:cs="Arial" w:eastAsia="Arial" w:hAnsi="Arial"/>
          <w:sz w:val="18"/>
          <w:szCs w:val="18"/>
          <w:b w:val="1"/>
          <w:bCs w:val="1"/>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and compliance with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Seller may license (but not assign or otherwise convey title to, except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all or a portion of the Vascepa Product Rights to a Third Person (a “</w:t>
      </w:r>
      <w:r>
        <w:rPr>
          <w:rFonts w:ascii="Arial" w:cs="Arial" w:eastAsia="Arial" w:hAnsi="Arial"/>
          <w:sz w:val="18"/>
          <w:szCs w:val="18"/>
          <w:b w:val="1"/>
          <w:bCs w:val="1"/>
          <w:i w:val="1"/>
          <w:iCs w:val="1"/>
          <w:color w:val="auto"/>
        </w:rPr>
        <w:t>Permitted Licensee</w:t>
      </w:r>
      <w:r>
        <w:rPr>
          <w:rFonts w:ascii="Arial" w:cs="Arial" w:eastAsia="Arial" w:hAnsi="Arial"/>
          <w:sz w:val="18"/>
          <w:szCs w:val="18"/>
          <w:color w:val="auto"/>
        </w:rPr>
        <w:t>”) to research, develop, manufacture, promote, market, use, sell, offer for sale, import or distribute Product(s) in all or any portion of the Territory without the Purchaser’s prior written consent (any such license, a “</w:t>
      </w:r>
      <w:r>
        <w:rPr>
          <w:rFonts w:ascii="Arial" w:cs="Arial" w:eastAsia="Arial" w:hAnsi="Arial"/>
          <w:sz w:val="18"/>
          <w:szCs w:val="18"/>
          <w:b w:val="1"/>
          <w:bCs w:val="1"/>
          <w:i w:val="1"/>
          <w:iCs w:val="1"/>
          <w:color w:val="auto"/>
        </w:rPr>
        <w:t>Permitted License</w:t>
      </w:r>
      <w:r>
        <w:rPr>
          <w:rFonts w:ascii="Arial" w:cs="Arial" w:eastAsia="Arial" w:hAnsi="Arial"/>
          <w:sz w:val="18"/>
          <w:szCs w:val="18"/>
          <w:color w:val="auto"/>
        </w:rPr>
        <w:t>”).</w:t>
      </w:r>
    </w:p>
    <w:p>
      <w:pPr>
        <w:spacing w:after="0" w:line="143" w:lineRule="exact"/>
        <w:rPr>
          <w:rFonts w:ascii="Arial" w:cs="Arial" w:eastAsia="Arial" w:hAnsi="Arial"/>
          <w:sz w:val="18"/>
          <w:szCs w:val="18"/>
          <w:b w:val="1"/>
          <w:bCs w:val="1"/>
          <w:color w:val="auto"/>
        </w:rPr>
      </w:pPr>
    </w:p>
    <w:p>
      <w:pPr>
        <w:ind w:left="1180" w:hanging="259"/>
        <w:spacing w:after="0"/>
        <w:tabs>
          <w:tab w:leader="none" w:pos="1180"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Seller shall promptly (and in any event within [***]) provide the Purchaser with (i) executed copies of each executed Permitted License,</w:t>
      </w:r>
    </w:p>
    <w:p>
      <w:pPr>
        <w:spacing w:after="0" w:line="38" w:lineRule="exact"/>
        <w:rPr>
          <w:rFonts w:ascii="Arial" w:cs="Arial" w:eastAsia="Arial" w:hAnsi="Arial"/>
          <w:sz w:val="16"/>
          <w:szCs w:val="16"/>
          <w:b w:val="1"/>
          <w:bCs w:val="1"/>
          <w:color w:val="auto"/>
        </w:rPr>
      </w:pPr>
    </w:p>
    <w:p>
      <w:pPr>
        <w:ind w:firstLine="8"/>
        <w:spacing w:after="0" w:line="255" w:lineRule="auto"/>
        <w:tabs>
          <w:tab w:leader="none" w:pos="2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executed copies of each material amendment, supplement, modification or waiver of any provision of a Permitted License and (iii) copies of all material reports, documents, and other materials provided by Seller to the counterparty to each Permitted License provided or by the counterparty to any Permitted License to Seller.</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 xml:space="preserve">Any license contemplated by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shall [***].</w:t>
      </w:r>
    </w:p>
    <w:p>
      <w:pPr>
        <w:spacing w:after="0" w:line="171" w:lineRule="exact"/>
        <w:rPr>
          <w:rFonts w:ascii="Arial" w:cs="Arial" w:eastAsia="Arial" w:hAnsi="Arial"/>
          <w:sz w:val="18"/>
          <w:szCs w:val="18"/>
          <w:b w:val="1"/>
          <w:bCs w:val="1"/>
          <w:color w:val="auto"/>
        </w:rPr>
      </w:pPr>
    </w:p>
    <w:p>
      <w:pPr>
        <w:ind w:left="1180" w:hanging="259"/>
        <w:spacing w:after="0"/>
        <w:tabs>
          <w:tab w:leader="none" w:pos="1180" w:val="left"/>
        </w:tabs>
        <w:numPr>
          <w:ilvl w:val="1"/>
          <w:numId w:val="111"/>
        </w:numPr>
        <w:rPr>
          <w:rFonts w:ascii="Arial" w:cs="Arial" w:eastAsia="Arial" w:hAnsi="Arial"/>
          <w:sz w:val="16"/>
          <w:szCs w:val="16"/>
          <w:b w:val="1"/>
          <w:bCs w:val="1"/>
          <w:color w:val="auto"/>
        </w:rPr>
      </w:pPr>
      <w:r>
        <w:rPr>
          <w:rFonts w:ascii="Arial" w:cs="Arial" w:eastAsia="Arial" w:hAnsi="Arial"/>
          <w:sz w:val="16"/>
          <w:szCs w:val="16"/>
          <w:color w:val="auto"/>
        </w:rPr>
        <w:t>The Seller shall provide the Purchaser with written notice following a counterparty’s material breach of its obligations under any Permitted</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License.</w:t>
      </w:r>
    </w:p>
    <w:p>
      <w:pPr>
        <w:spacing w:after="0" w:line="164" w:lineRule="exact"/>
        <w:rPr>
          <w:rFonts w:ascii="Arial" w:cs="Arial" w:eastAsia="Arial" w:hAnsi="Arial"/>
          <w:sz w:val="16"/>
          <w:szCs w:val="16"/>
          <w:b w:val="1"/>
          <w:bCs w:val="1"/>
          <w:color w:val="auto"/>
        </w:rPr>
      </w:pPr>
    </w:p>
    <w:p>
      <w:pPr>
        <w:ind w:left="1160" w:hanging="239"/>
        <w:spacing w:after="0"/>
        <w:tabs>
          <w:tab w:leader="none" w:pos="1160"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The Seller shall provide the Purchaser with written notice following the termination of any Permitted License.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4.13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r>
        <w:rPr>
          <w:rFonts w:ascii="Arial" w:cs="Arial" w:eastAsia="Arial" w:hAnsi="Arial"/>
          <w:sz w:val="18"/>
          <w:szCs w:val="18"/>
          <w:b w:val="1"/>
          <w:bCs w:val="1"/>
          <w:color w:val="auto"/>
        </w:rPr>
        <w:t>.</w:t>
      </w:r>
    </w:p>
    <w:p>
      <w:pPr>
        <w:spacing w:after="0" w:line="177" w:lineRule="exact"/>
        <w:rPr>
          <w:sz w:val="20"/>
          <w:szCs w:val="20"/>
          <w:color w:val="auto"/>
        </w:rPr>
      </w:pPr>
    </w:p>
    <w:p>
      <w:pPr>
        <w:ind w:right="40" w:firstLine="921"/>
        <w:spacing w:after="0" w:line="255" w:lineRule="auto"/>
        <w:tabs>
          <w:tab w:leader="none" w:pos="1161"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Seller shall comply in all material respects with its obligations under the Senior Notes and shall not take any action or forego any action that would reasonably be expected to constitute a material breach thereof. Promptly, and in any event within [***], after receipt of any (written or oral) notice from any of the holders of Senior Notes of an alleged breach by Seller under the Senior Notes, Seller shall give notice thereof to the Purchaser, including delivering the Purchaser a copy of any such written notice. The Seller shall use its commercially reasonable efforts to cure any breaches by it under the Senior Notes and shall give written notice to the Purchaser upon curing any such breach.</w:t>
      </w:r>
    </w:p>
    <w:p>
      <w:pPr>
        <w:spacing w:after="0" w:line="142" w:lineRule="exact"/>
        <w:rPr>
          <w:rFonts w:ascii="Arial" w:cs="Arial" w:eastAsia="Arial" w:hAnsi="Arial"/>
          <w:sz w:val="18"/>
          <w:szCs w:val="18"/>
          <w:b w:val="1"/>
          <w:bCs w:val="1"/>
          <w:color w:val="auto"/>
        </w:rPr>
      </w:pPr>
    </w:p>
    <w:p>
      <w:pPr>
        <w:ind w:right="20" w:firstLine="921"/>
        <w:spacing w:after="0" w:line="332" w:lineRule="auto"/>
        <w:tabs>
          <w:tab w:leader="none" w:pos="1171"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If Seller fails, or expects to fail, to satisfy any of its obligations under the Senior Notes, including any payment obligations owed to the holders of the Senior Notes, when such obligations are due, Seller shall immediately notify the Purchaser of the specifics regarding such failure or expected failure.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4.14 C</w:t>
      </w:r>
      <w:r>
        <w:rPr>
          <w:rFonts w:ascii="Arial" w:cs="Arial" w:eastAsia="Arial" w:hAnsi="Arial"/>
          <w:sz w:val="14"/>
          <w:szCs w:val="14"/>
          <w:b w:val="1"/>
          <w:bCs w:val="1"/>
          <w:color w:val="auto"/>
        </w:rPr>
        <w:t>HANGE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w:t>
      </w:r>
    </w:p>
    <w:p>
      <w:pPr>
        <w:spacing w:after="0" w:line="177" w:lineRule="exact"/>
        <w:rPr>
          <w:sz w:val="20"/>
          <w:szCs w:val="20"/>
          <w:color w:val="auto"/>
        </w:rPr>
      </w:pPr>
    </w:p>
    <w:p>
      <w:pPr>
        <w:ind w:right="260" w:firstLine="921"/>
        <w:spacing w:after="0" w:line="298" w:lineRule="auto"/>
        <w:tabs>
          <w:tab w:leader="none" w:pos="1161"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Upon the consummation of a Change of Control on or before December 31, 2013, automatically and without any notice to Seller, an amount equal to, when taken together with the cumulative amount of cash paid by Seller (or its Affiliates, as applicable) and actually received by Purchaser under this Agreement immediately prior to the closing of such occurrence that would constitute a Change of Control, $140,000,000 will be due and payable to Purchaser. Presentment, demand, protest or notice of any kind are hereby expressly waived.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38" w:name="page139"/>
    <w:bookmarkEnd w:id="138"/>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40" w:firstLine="921"/>
        <w:spacing w:after="0" w:line="332" w:lineRule="auto"/>
        <w:tabs>
          <w:tab w:leader="none" w:pos="1171"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Upon the consummation of a Change of Control after December 31, 2013, automatically and without any notice to Seller, an amount equal to the Outstanding Threshold Amount will be due and payable to Purchaser. Presentment, demand, protest or notice of any kind are hereby expressly waived.</w:t>
      </w:r>
    </w:p>
    <w:p>
      <w:pPr>
        <w:spacing w:after="0" w:line="85" w:lineRule="exact"/>
        <w:rPr>
          <w:rFonts w:ascii="Arial" w:cs="Arial" w:eastAsia="Arial" w:hAnsi="Arial"/>
          <w:sz w:val="16"/>
          <w:szCs w:val="16"/>
          <w:b w:val="1"/>
          <w:bCs w:val="1"/>
          <w:color w:val="auto"/>
        </w:rPr>
      </w:pPr>
    </w:p>
    <w:p>
      <w:pPr>
        <w:ind w:firstLine="921"/>
        <w:spacing w:after="0" w:line="268" w:lineRule="auto"/>
        <w:tabs>
          <w:tab w:leader="none" w:pos="1152"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 xml:space="preserve">Upon payment of the amount specified in Section 4.14(a) or 4.14(b), as applicable, neither Seller nor any of its Affiliates will have any obligation to pay to Purchaser any additional Scheduled Quarterly Amount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this Agreement shall terminate.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5.1 D</w:t>
      </w:r>
      <w:r>
        <w:rPr>
          <w:rFonts w:ascii="Arial" w:cs="Arial" w:eastAsia="Arial" w:hAnsi="Arial"/>
          <w:sz w:val="13"/>
          <w:szCs w:val="13"/>
          <w:b w:val="1"/>
          <w:bCs w:val="1"/>
          <w:color w:val="auto"/>
        </w:rPr>
        <w:t>EFINITION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ONFIDENTIAL</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Party means any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furnished by or on behalf of such Party to the other Party or its Affiliates pursuant to this Agreement or learned through observation during visit(s) to the other Party’s facilities, in each case which information (a) is of the nature that is typically known to be of a confidential nature, or (b) if disclosed in tangible form, is marked “Confidential” or with other similar designation to indicate its confidential or proprietary nature, or (c) if disclosed orally, is indicated orally to be confidential or proprietary at the time of such disclosure. Without limiting the generality of the foregoing, except as provided in the immediately succeeding sentence, all reports and information provided or accessed pursuant to Sections 2.2 or 2.3, and all copies of agreements provided by Seller pursuant to this Agreement, will be deemed the Confidential Information of Seller. Notwithstanding the foregoing, a Party’s Confidential Information will not include information that, in each case as demonstrated by written documentation or other competent evidence: (i) was already known to the receiving Party, other than under an obligation of confidentiality, at the time of disclosure; (ii) was generally available to the public or otherwise part of the public domain at the time of its disclosure to the receiving Party; (iii) became generally available to the public or otherwise part of the public domain after its disclosure and other than through any act or omission of the receiving Party in breach of this Agreement; (iv) was subsequently lawfully disclosed to the receiving Party by a Third Person having no obligation of which the receiving Party is aware to the disclosing Party or its Affiliates; or (v) is independently developed by the receiving Party without the benefit of Confidential Information of the disclosing Party.</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5.2 O</w:t>
      </w:r>
      <w:r>
        <w:rPr>
          <w:rFonts w:ascii="Arial" w:cs="Arial" w:eastAsia="Arial" w:hAnsi="Arial"/>
          <w:sz w:val="13"/>
          <w:szCs w:val="13"/>
          <w:b w:val="1"/>
          <w:bCs w:val="1"/>
          <w:color w:val="auto"/>
        </w:rPr>
        <w:t>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authorized in this Agreement or except upon obtaining the other Party’s prior written permission to the contrary,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that during the Term and for [***] thereafter it will: (a) maintain in confidence, and not disclose to any Person, the other Party’s Confidential Information;</w:t>
      </w:r>
    </w:p>
    <w:p>
      <w:pPr>
        <w:spacing w:after="0" w:line="1" w:lineRule="exact"/>
        <w:rPr>
          <w:sz w:val="20"/>
          <w:szCs w:val="20"/>
          <w:color w:val="auto"/>
        </w:rPr>
      </w:pPr>
    </w:p>
    <w:p>
      <w:pPr>
        <w:ind w:right="20" w:firstLine="8"/>
        <w:spacing w:after="0" w:line="361" w:lineRule="auto"/>
        <w:tabs>
          <w:tab w:leader="none" w:pos="24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not use the other Party’s Confidential Information for any purpose, except as contemplated in this Agreement; and (c) protect the other Party’s Confidential Information in its possession by using the same degree of care as it uses to protect its own Confidential Information (but no less than a reasonable degree of care).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39" w:name="page140"/>
    <w:bookmarkEnd w:id="139"/>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 xml:space="preserve">Notwithstanding anything to the contrary in this Agreement, a Party will be entitled to injunctive relief to restrain the Breach or threatened Breach by the other Party of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without having to prove actual Damages or threatened irreparable harm. Such injunctive relief will be in addition to any rights and remedies available to the aggrieved Party at law, in equity, and under this Agreement for such Breach or threatened Breach.</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P</w:t>
      </w:r>
      <w:r>
        <w:rPr>
          <w:rFonts w:ascii="Arial" w:cs="Arial" w:eastAsia="Arial" w:hAnsi="Arial"/>
          <w:sz w:val="14"/>
          <w:szCs w:val="14"/>
          <w:b w:val="1"/>
          <w:bCs w:val="1"/>
          <w:color w:val="auto"/>
        </w:rPr>
        <w:t>ERMITTED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ISCLOSURES</w:t>
      </w:r>
      <w:r>
        <w:rPr>
          <w:rFonts w:ascii="Arial" w:cs="Arial" w:eastAsia="Arial" w:hAnsi="Arial"/>
          <w:sz w:val="18"/>
          <w:szCs w:val="18"/>
          <w:b w:val="1"/>
          <w:bCs w:val="1"/>
          <w:color w:val="auto"/>
        </w:rPr>
        <w:t>.</w:t>
      </w:r>
    </w:p>
    <w:p>
      <w:pPr>
        <w:spacing w:after="0" w:line="171" w:lineRule="exact"/>
        <w:rPr>
          <w:sz w:val="20"/>
          <w:szCs w:val="20"/>
          <w:color w:val="auto"/>
        </w:rPr>
      </w:pPr>
    </w:p>
    <w:p>
      <w:pPr>
        <w:ind w:left="1160" w:hanging="239"/>
        <w:spacing w:after="0"/>
        <w:tabs>
          <w:tab w:leader="none" w:pos="11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Permitted Persons. </w:t>
      </w:r>
      <w:r>
        <w:rPr>
          <w:rFonts w:ascii="Arial" w:cs="Arial" w:eastAsia="Arial" w:hAnsi="Arial"/>
          <w:sz w:val="16"/>
          <w:szCs w:val="16"/>
          <w:color w:val="auto"/>
        </w:rPr>
        <w:t>A Party may disclose the other Party’s Confidential Information, without the other Party’s prior written permission, to:</w:t>
      </w:r>
    </w:p>
    <w:p>
      <w:pPr>
        <w:spacing w:after="0" w:line="200" w:lineRule="exact"/>
        <w:rPr>
          <w:rFonts w:ascii="Arial" w:cs="Arial" w:eastAsia="Arial" w:hAnsi="Arial"/>
          <w:sz w:val="16"/>
          <w:szCs w:val="16"/>
          <w:b w:val="1"/>
          <w:bCs w:val="1"/>
          <w:color w:val="auto"/>
        </w:rPr>
      </w:pPr>
    </w:p>
    <w:p>
      <w:pPr>
        <w:ind w:right="160" w:firstLine="1492"/>
        <w:spacing w:after="0" w:line="294" w:lineRule="auto"/>
        <w:tabs>
          <w:tab w:leader="none" w:pos="1693" w:val="left"/>
        </w:tabs>
        <w:numPr>
          <w:ilvl w:val="1"/>
          <w:numId w:val="116"/>
        </w:numPr>
        <w:rPr>
          <w:rFonts w:ascii="Arial" w:cs="Arial" w:eastAsia="Arial" w:hAnsi="Arial"/>
          <w:sz w:val="16"/>
          <w:szCs w:val="16"/>
          <w:b w:val="1"/>
          <w:bCs w:val="1"/>
          <w:color w:val="auto"/>
        </w:rPr>
      </w:pPr>
      <w:r>
        <w:rPr>
          <w:rFonts w:ascii="Arial" w:cs="Arial" w:eastAsia="Arial" w:hAnsi="Arial"/>
          <w:sz w:val="16"/>
          <w:szCs w:val="16"/>
          <w:color w:val="auto"/>
        </w:rPr>
        <w:t xml:space="preserve">its and its Affiliates’ members, trustees, managers, directors, employees, partners, agents, consultants, attorneys, accountants, shareholders, investors, banks and other financing sources, and permitted assignees, purchasers, transferees or successors-in-interest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each case, who need to know such Confidential Information to provide financing to the Party or to assist the Party in evaluating the transactions contemplated hereby or in fulfilling its obligations or exploiting its rights hereunder (or to determine their interest in providing such financing or assistance) and who are, prior to receiving such disclosure, bound by written or professional confidentiality and non-use obligations no less stringent than those contained herein; or</w:t>
      </w:r>
    </w:p>
    <w:p>
      <w:pPr>
        <w:spacing w:after="0" w:line="115" w:lineRule="exact"/>
        <w:rPr>
          <w:rFonts w:ascii="Arial" w:cs="Arial" w:eastAsia="Arial" w:hAnsi="Arial"/>
          <w:sz w:val="16"/>
          <w:szCs w:val="16"/>
          <w:b w:val="1"/>
          <w:bCs w:val="1"/>
          <w:color w:val="auto"/>
        </w:rPr>
      </w:pPr>
    </w:p>
    <w:p>
      <w:pPr>
        <w:jc w:val="both"/>
        <w:ind w:right="180" w:firstLine="1492"/>
        <w:spacing w:after="0" w:line="335" w:lineRule="auto"/>
        <w:tabs>
          <w:tab w:leader="none" w:pos="1742" w:val="left"/>
        </w:tabs>
        <w:numPr>
          <w:ilvl w:val="1"/>
          <w:numId w:val="116"/>
        </w:numPr>
        <w:rPr>
          <w:rFonts w:ascii="Arial" w:cs="Arial" w:eastAsia="Arial" w:hAnsi="Arial"/>
          <w:sz w:val="15"/>
          <w:szCs w:val="15"/>
          <w:b w:val="1"/>
          <w:bCs w:val="1"/>
          <w:color w:val="auto"/>
        </w:rPr>
      </w:pPr>
      <w:r>
        <w:rPr>
          <w:rFonts w:ascii="Arial" w:cs="Arial" w:eastAsia="Arial" w:hAnsi="Arial"/>
          <w:sz w:val="15"/>
          <w:szCs w:val="15"/>
          <w:color w:val="auto"/>
        </w:rPr>
        <w:t xml:space="preserve">permitted assignees, purchasers, transferees, or successors-in-interest (or potential assignees, purchasers, transferees, or successors-in-interest) under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who need to know such Confidential Information in connection with such assignment, sale, or transfer (or potential assignment, sale, or transfer) and who are bound by written or professional confidentiality and non-use obligations no less stringent than those contained herein.</w:t>
      </w:r>
    </w:p>
    <w:p>
      <w:pPr>
        <w:spacing w:after="0" w:line="82" w:lineRule="exact"/>
        <w:rPr>
          <w:rFonts w:ascii="Arial" w:cs="Arial" w:eastAsia="Arial" w:hAnsi="Arial"/>
          <w:sz w:val="15"/>
          <w:szCs w:val="15"/>
          <w:b w:val="1"/>
          <w:bCs w:val="1"/>
          <w:color w:val="auto"/>
        </w:rPr>
      </w:pPr>
    </w:p>
    <w:p>
      <w:pPr>
        <w:ind w:firstLine="921"/>
        <w:spacing w:after="0" w:line="291" w:lineRule="auto"/>
        <w:tabs>
          <w:tab w:leader="none" w:pos="1171"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Legally Required. </w:t>
      </w:r>
      <w:r>
        <w:rPr>
          <w:rFonts w:ascii="Arial" w:cs="Arial" w:eastAsia="Arial" w:hAnsi="Arial"/>
          <w:sz w:val="16"/>
          <w:szCs w:val="16"/>
          <w:color w:val="auto"/>
        </w:rPr>
        <w:t>A Party may disclose the other Party’s Confidential Information, without the other Party’s prior written permission,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to the extent such disclosure is necessary to comply with Applicable Law, applicable stock exchange requirements, or an order or subpoena from a court of competent jurisdiction; provided that the compelled Party, to the extent it may legally do so, will give reasonable advance notice to the other Party of such disclosure and, at such other Party’s reasonable request and expense, the compelled Party will use its reasonable efforts to secure confidential treatment of such Confidential Information prior to its disclosure (whether through protective orders or otherwise). Notwithstanding the foregoing, if a Party receives a request from an authorized representative of a Tax authority for a copy of this Agreement, that Party may provide a copy of this Agreement to such Tax authority representative without advance notice to, or the permission or cooperation of, the other Party.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40" w:name="page141"/>
    <w:bookmarkEnd w:id="140"/>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5.4 T</w:t>
      </w:r>
      <w:r>
        <w:rPr>
          <w:rFonts w:ascii="Arial" w:cs="Arial" w:eastAsia="Arial" w:hAnsi="Arial"/>
          <w:sz w:val="13"/>
          <w:szCs w:val="13"/>
          <w:b w:val="1"/>
          <w:bCs w:val="1"/>
          <w:color w:val="auto"/>
        </w:rPr>
        <w:t>ERMS OF</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allowed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5.3</w:t>
      </w:r>
      <w:r>
        <w:rPr>
          <w:rFonts w:ascii="Arial" w:cs="Arial" w:eastAsia="Arial" w:hAnsi="Arial"/>
          <w:sz w:val="16"/>
          <w:szCs w:val="16"/>
          <w:b w:val="1"/>
          <w:bCs w:val="1"/>
          <w:color w:val="auto"/>
        </w:rPr>
        <w:t xml:space="preserve"> </w:t>
      </w:r>
      <w:r>
        <w:rPr>
          <w:rFonts w:ascii="Arial" w:cs="Arial" w:eastAsia="Arial" w:hAnsi="Arial"/>
          <w:sz w:val="16"/>
          <w:szCs w:val="16"/>
          <w:color w:val="auto"/>
        </w:rPr>
        <w:t>or as otherwise permitted in accordance with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5.4</w:t>
      </w:r>
      <w:r>
        <w:rPr>
          <w:rFonts w:ascii="Arial" w:cs="Arial" w:eastAsia="Arial" w:hAnsi="Arial"/>
          <w:sz w:val="16"/>
          <w:szCs w:val="16"/>
          <w:color w:val="auto"/>
        </w:rPr>
        <w:t>, neither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will make any public announcements concerning this Agreement or the terms hereof, without the prior written consent of the other Party and each Party agrees that it will each treat the contents and terms of this Agreement and the consideration for this Agreement as Confidential Information of the other Party. Consistent with </w:t>
      </w:r>
      <w:r>
        <w:rPr>
          <w:rFonts w:ascii="Arial" w:cs="Arial" w:eastAsia="Arial" w:hAnsi="Arial"/>
          <w:sz w:val="16"/>
          <w:szCs w:val="16"/>
          <w:u w:val="single" w:color="auto"/>
          <w:color w:val="auto"/>
        </w:rPr>
        <w:t>Section 5.3(b)</w:t>
      </w:r>
      <w:r>
        <w:rPr>
          <w:rFonts w:ascii="Arial" w:cs="Arial" w:eastAsia="Arial" w:hAnsi="Arial"/>
          <w:sz w:val="16"/>
          <w:szCs w:val="16"/>
          <w:color w:val="auto"/>
        </w:rPr>
        <w:t>, Purchaser and Seller agree to use reasonable efforts to provide the other with a copy of any required SEC or other filing regarding this Agreement or its terms to review prior to filing and to consider any comments of the other Party in good faith, and to the extent either Party has to file or disclose this Agreement with the SEC, such Party will consider in good faith the other Party’s comments with respect to confidential treatment of this Agreement’s terms and will redact this Agreement in a manner allowed by the SEC to protect sensitive terms, and will be permitted to file this Agreement, as so redacted, with the SEC. For purposes of clarity, each Party is free to discuss with Third Persons the information regarding this Agreement and Parties’ relationship disclosed in such SEC filings and any other authorized public announcements.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AND TERMINATION</w:t>
      </w:r>
    </w:p>
    <w:p>
      <w:pPr>
        <w:spacing w:after="0" w:line="17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6.1 T</w:t>
      </w:r>
      <w:r>
        <w:rPr>
          <w:rFonts w:ascii="Arial" w:cs="Arial" w:eastAsia="Arial" w:hAnsi="Arial"/>
          <w:sz w:val="14"/>
          <w:szCs w:val="14"/>
          <w:b w:val="1"/>
          <w:bCs w:val="1"/>
          <w:color w:val="auto"/>
        </w:rPr>
        <w:t>ERM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commence as of the Effective Date and will continue until all of Purchaser’s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 any payments on account of the Purchased Receivables set forth in this Agreement and all other amounts to which Purchaser may be entitled to receive as payment hereunder have expired, unless earlier terminated pursuant to the mutual written agreement of the Parties or pursuant to Section 2.1(e)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Upon expiration or earlier termination of the Term, this Agreement shall terminate.</w:t>
      </w:r>
    </w:p>
    <w:p>
      <w:pPr>
        <w:spacing w:after="0" w:line="13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6.2 S</w:t>
      </w:r>
      <w:r>
        <w:rPr>
          <w:rFonts w:ascii="Arial" w:cs="Arial" w:eastAsia="Arial" w:hAnsi="Arial"/>
          <w:sz w:val="14"/>
          <w:szCs w:val="14"/>
          <w:b w:val="1"/>
          <w:bCs w:val="1"/>
          <w:color w:val="auto"/>
        </w:rPr>
        <w:t>URVIVAL</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this Article 6, the following provisions shall survive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2.1(g)</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this Section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(Tax Matters),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(Parent Guaranty)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(Miscellaneous) and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extent necessary for the interpretation of any surviving provisions). Termination of this Agreement shall not relieve any Party of liability in respect of breaches of this Agreement by any Party on or prior to termination.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R</w:t>
      </w:r>
      <w:r>
        <w:rPr>
          <w:rFonts w:ascii="Arial" w:cs="Arial" w:eastAsia="Arial" w:hAnsi="Arial"/>
          <w:sz w:val="14"/>
          <w:szCs w:val="14"/>
          <w:b w:val="1"/>
          <w:bCs w:val="1"/>
          <w:color w:val="auto"/>
        </w:rPr>
        <w:t>ELEASE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IENS</w:t>
      </w:r>
      <w:r>
        <w:rPr>
          <w:rFonts w:ascii="Arial" w:cs="Arial" w:eastAsia="Arial" w:hAnsi="Arial"/>
          <w:sz w:val="18"/>
          <w:szCs w:val="18"/>
          <w:b w:val="1"/>
          <w:bCs w:val="1"/>
          <w:color w:val="auto"/>
        </w:rPr>
        <w:t>.</w:t>
      </w:r>
    </w:p>
    <w:p>
      <w:pPr>
        <w:spacing w:after="0" w:line="177" w:lineRule="exact"/>
        <w:rPr>
          <w:sz w:val="20"/>
          <w:szCs w:val="20"/>
          <w:color w:val="auto"/>
        </w:rPr>
      </w:pPr>
    </w:p>
    <w:p>
      <w:pPr>
        <w:ind w:right="80" w:firstLine="921"/>
        <w:spacing w:after="0" w:line="268" w:lineRule="auto"/>
        <w:tabs>
          <w:tab w:leader="none" w:pos="1161"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 xml:space="preserve">The security interests granted hereby and the other Transaction Documents shall be automatically released upon the payment of the Outstanding Threshold Amount or, in connection with a Change of Control, upon the payment of the amounts specified in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31" w:lineRule="exact"/>
        <w:rPr>
          <w:rFonts w:ascii="Arial" w:cs="Arial" w:eastAsia="Arial" w:hAnsi="Arial"/>
          <w:sz w:val="18"/>
          <w:szCs w:val="18"/>
          <w:b w:val="1"/>
          <w:bCs w:val="1"/>
          <w:color w:val="auto"/>
        </w:rPr>
      </w:pPr>
    </w:p>
    <w:p>
      <w:pPr>
        <w:ind w:right="420" w:firstLine="921"/>
        <w:spacing w:after="0" w:line="306" w:lineRule="auto"/>
        <w:tabs>
          <w:tab w:leader="none" w:pos="1171"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Upon such release or any release of Collateral or any part thereof expressly permitted by and in accordance with the provisions of this Agreement, Purchaser hereby authorizes Seller to file any UCC termination statements and releases necessary to effect such termination, and Purchaser will execute and deliver to Seller any additional documents or instruments as Seller shall reasonably request to evidence such termination.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141" w:name="page142"/>
    <w:bookmarkEnd w:id="141"/>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100" w:firstLine="921"/>
        <w:spacing w:after="0" w:line="256" w:lineRule="auto"/>
        <w:tabs>
          <w:tab w:leader="none" w:pos="1152"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Purchaser shall foreclose on the Collateral in accordance with </w:t>
      </w:r>
      <w:r>
        <w:rPr>
          <w:rFonts w:ascii="Arial" w:cs="Arial" w:eastAsia="Arial" w:hAnsi="Arial"/>
          <w:sz w:val="18"/>
          <w:szCs w:val="18"/>
          <w:u w:val="single" w:color="auto"/>
          <w:color w:val="auto"/>
        </w:rPr>
        <w:t>Section 4.</w:t>
      </w:r>
      <w:r>
        <w:rPr>
          <w:rFonts w:ascii="Arial" w:cs="Arial" w:eastAsia="Arial" w:hAnsi="Arial"/>
          <w:sz w:val="18"/>
          <w:szCs w:val="18"/>
          <w:color w:val="auto"/>
        </w:rPr>
        <w:t>9, then, Purchaser agrees that it will license the Vascepa Product Rights to any Permitted Licensee on the same terms as set forth in the then existing Permitted License of such Permitted Licensee. Purchaser agrees that it will promptly enter into any agreements and documents with Seller and/or such Permitted Licensee as reasonably requested by Seller to provide for the foregoing.</w:t>
      </w:r>
    </w:p>
    <w:p>
      <w:pPr>
        <w:spacing w:after="0" w:line="143" w:lineRule="exact"/>
        <w:rPr>
          <w:rFonts w:ascii="Arial" w:cs="Arial" w:eastAsia="Arial" w:hAnsi="Arial"/>
          <w:sz w:val="18"/>
          <w:szCs w:val="18"/>
          <w:b w:val="1"/>
          <w:bCs w:val="1"/>
          <w:color w:val="auto"/>
        </w:rPr>
      </w:pPr>
    </w:p>
    <w:p>
      <w:pPr>
        <w:ind w:right="220" w:firstLine="921"/>
        <w:spacing w:after="0" w:line="370" w:lineRule="auto"/>
        <w:tabs>
          <w:tab w:leader="none" w:pos="1171" w:val="left"/>
        </w:tabs>
        <w:numPr>
          <w:ilvl w:val="0"/>
          <w:numId w:val="118"/>
        </w:numPr>
        <w:rPr>
          <w:rFonts w:ascii="Arial" w:cs="Arial" w:eastAsia="Arial" w:hAnsi="Arial"/>
          <w:sz w:val="15"/>
          <w:szCs w:val="15"/>
          <w:b w:val="1"/>
          <w:bCs w:val="1"/>
          <w:color w:val="auto"/>
        </w:rPr>
      </w:pPr>
      <w:r>
        <w:rPr>
          <w:rFonts w:ascii="Arial" w:cs="Arial" w:eastAsia="Arial" w:hAnsi="Arial"/>
          <w:sz w:val="15"/>
          <w:szCs w:val="15"/>
          <w:color w:val="auto"/>
        </w:rPr>
        <w:t>For the avoidance of doubt, and in no way limiting Seller’s obligations to make payments in respect of the Purchased Receivables, the Parties acknowledge and agree that Seller shall have the right to use its cash and other Proceeds in connection with the operation of its business in the ordinary course.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MATTERS</w:t>
      </w:r>
    </w:p>
    <w:p>
      <w:pPr>
        <w:spacing w:after="0" w:line="177"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The Parties agree that no deduction or withholding of any Tax is required under any provision of U.S. federal, state or local or foreign law in respect of any payment under this Agreement. If any applicable provision of U.S. federal, state or local or foreign law requires any deduction or withholding of any Tax in respect of any payment under this Agreement, then Seller shall make such deduction or withholding and shall timely pay the full amount to the relevant Governmental Authority in accordance with applicable law, and Seller shall pay an additional amount to Purchaser such that the net after-tax payment to Purchaser is equal to the amount to which Purchaser would have been entitled if no such amount was deducted or withheld. Seller shall indemnify and hold harmless, on an after-tax basis, Purchaser, its direct and indirect partners, employees, agents, representatives and affiliates against (a) any Tax (including interest or penalties on or with respect to such a Tax) imposed on or with respect to, or measured by, any payment under this Agreement, and (ii) any loss (including but not limited to any Tax, interest, penalties, attorneys’ fees and accountants’ fees) as a result of any claim by any Governmental Authority resulting from the failure or asserted failure of Seller to deduct and withhold any Tax that should have been deducted or withheld from any payment under this Agreement.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GUARANTY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Parent hereby unconditionally and irrevocably Guarantees, as primary obligor and not merely as surety, the complete and timely performance by Seller of its obligations under this Agreement, including, but not limited to, the complete and timely performance by Seller of its obligation to make payments in respect of the Purchased Receivables pursuant to the terms of this Agreement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Guaranteed Obligations</w:t>
      </w:r>
      <w:r>
        <w:rPr>
          <w:rFonts w:ascii="Arial" w:cs="Arial" w:eastAsia="Arial" w:hAnsi="Arial"/>
          <w:sz w:val="16"/>
          <w:szCs w:val="16"/>
          <w:b w:val="1"/>
          <w:bCs w:val="1"/>
          <w:color w:val="auto"/>
        </w:rPr>
        <w:t>”</w:t>
      </w:r>
      <w:r>
        <w:rPr>
          <w:rFonts w:ascii="Arial" w:cs="Arial" w:eastAsia="Arial" w:hAnsi="Arial"/>
          <w:sz w:val="16"/>
          <w:szCs w:val="16"/>
          <w:color w:val="auto"/>
        </w:rPr>
        <w:t>). Parent hereby acknowledges and agrees that Purchaser may proceed directly against the Parent in the event of nonperformance by Seller, for any reason, of the Guaranteed Obligations. Parent hereby waives any circumstance which might constitute a legal or equitable discharge of a surety or guarantor, including, but not limited to: (a) notice of acceptance of this guaranty; (b) presentment and demand concerning the liabilities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42" w:name="page143"/>
    <w:bookmarkEnd w:id="142"/>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Parent; (c) notice of any dishonor or default by, or disputes with, Purchaser; and (d) any right to require that any action or proceeding be brought against Seller or any other Person, or to require that Purchaser seek enforcement of any performance against Seller or any other Person, prior to any action against Parent under the terms of this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color w:val="auto"/>
        </w:rPr>
        <w:t>9.1 E</w:t>
      </w:r>
      <w:r>
        <w:rPr>
          <w:rFonts w:ascii="Arial" w:cs="Arial" w:eastAsia="Arial" w:hAnsi="Arial"/>
          <w:sz w:val="14"/>
          <w:szCs w:val="14"/>
          <w:b w:val="1"/>
          <w:bCs w:val="1"/>
          <w:color w:val="auto"/>
        </w:rPr>
        <w:t>NTIRE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the Bill of Sale and this Agreement’s other exhibits and schedules) sets forth all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agreements, warranties, representations, conditions and understandings between and among the Parties and supersedes and terminates all prior agreements and understandings between or among the Parties relating to the subject matter hereof. There are no covenants, promises, agreements, warranties, representations, conditions or understandings, either oral or written, between the Parties other than as set forth in this Agreement (including the Bill of Sale and this Agreement’s other exhibits and schedules).</w:t>
      </w:r>
    </w:p>
    <w:p>
      <w:pPr>
        <w:spacing w:after="0" w:line="13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9.2 A</w:t>
      </w:r>
      <w:r>
        <w:rPr>
          <w:rFonts w:ascii="Arial" w:cs="Arial" w:eastAsia="Arial" w:hAnsi="Arial"/>
          <w:sz w:val="14"/>
          <w:szCs w:val="14"/>
          <w:b w:val="1"/>
          <w:bCs w:val="1"/>
          <w:color w:val="auto"/>
        </w:rPr>
        <w:t>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supplemented only by a written agreement signed by an authorized officer of each Party (or,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Party that is a trust, its trustee).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9.3 B</w:t>
      </w:r>
      <w:r>
        <w:rPr>
          <w:rFonts w:ascii="Arial" w:cs="Arial" w:eastAsia="Arial" w:hAnsi="Arial"/>
          <w:sz w:val="13"/>
          <w:szCs w:val="13"/>
          <w:b w:val="1"/>
          <w:bCs w:val="1"/>
          <w:color w:val="auto"/>
        </w:rPr>
        <w:t>INDING</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S</w:t>
      </w:r>
      <w:r>
        <w:rPr>
          <w:rFonts w:ascii="Arial" w:cs="Arial" w:eastAsia="Arial" w:hAnsi="Arial"/>
          <w:sz w:val="13"/>
          <w:szCs w:val="13"/>
          <w:b w:val="1"/>
          <w:bCs w:val="1"/>
          <w:color w:val="auto"/>
        </w:rPr>
        <w:t>UCCESSORS AND</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conditions and obligations of this Agreement will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binding upon the Parties hereto and their respective permitted successors and assigns thereof. Neither this Agreement nor any rights or obligations hereunder may be sold, assigned, hypothecated or otherwise transferred in whole or in part by any Party, by operation of law or otherwise,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Seller may consummate a transaction constituting (a) a Change of Control provided that it is conditioned upon the applicable payment described in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being paid to Purchaser, or (b) Permitted License, in either case without prior written consent. Subject to the terms of, and compliance with, </w:t>
      </w:r>
      <w:r>
        <w:rPr>
          <w:rFonts w:ascii="Arial" w:cs="Arial" w:eastAsia="Arial" w:hAnsi="Arial"/>
          <w:sz w:val="16"/>
          <w:szCs w:val="16"/>
          <w:u w:val="single" w:color="auto"/>
          <w:color w:val="auto"/>
        </w:rPr>
        <w:t>Article 5</w:t>
      </w:r>
      <w:r>
        <w:rPr>
          <w:rFonts w:ascii="Arial" w:cs="Arial" w:eastAsia="Arial" w:hAnsi="Arial"/>
          <w:sz w:val="16"/>
          <w:szCs w:val="16"/>
          <w:color w:val="auto"/>
        </w:rPr>
        <w:t>, Purchaser may sell, assign, hypothecate or otherwise transfer all or any part of the Purchased Receivables (i.e., payment amounts and no other rights or obligations) to any one or more Persons upon prior written notice to Seller.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9.4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SSURANCES</w:t>
      </w:r>
      <w:r>
        <w:rPr>
          <w:rFonts w:ascii="Arial" w:cs="Arial" w:eastAsia="Arial" w:hAnsi="Arial"/>
          <w:sz w:val="18"/>
          <w:szCs w:val="18"/>
          <w:b w:val="1"/>
          <w:bCs w:val="1"/>
          <w:color w:val="auto"/>
        </w:rPr>
        <w:t>.</w:t>
      </w:r>
    </w:p>
    <w:p>
      <w:pPr>
        <w:spacing w:after="0" w:line="177" w:lineRule="exact"/>
        <w:rPr>
          <w:sz w:val="20"/>
          <w:szCs w:val="20"/>
          <w:color w:val="auto"/>
        </w:rPr>
      </w:pPr>
    </w:p>
    <w:p>
      <w:pPr>
        <w:ind w:right="40" w:firstLine="921"/>
        <w:spacing w:after="0" w:line="294" w:lineRule="auto"/>
        <w:tabs>
          <w:tab w:leader="none" w:pos="1161"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Seller and Purchaser covenant and agree, at any time or from time to time after the Closing Date, to execute and deliver such other documents, certificates, agreements, instruments and other writings and to take such other actions as may be necessary or desirable, or reasonably requested by the other Party, in each case, without further consideration but at the expense of Seller, in order to vest and maintain in Purchaser good and marketable title in, to and under the Purchased Receivables free and clear of any and all Encumbrances (other than Permitted Encumbrances), and to consummate the other transactions contemplated hereby, including the perfection under the applicable UCC (or any comparable law) of all applicable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43" w:name="page144"/>
    <w:bookmarkEnd w:id="143"/>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jurisdictions in the United States and Ireland and maintenance of perfection of Purchaser’s ownership interest in the Purchased Receivables, the back-up security interest in the Purchased Receivables granted by Seller to Purchaser pursuant to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and the security interest in the Additional Collateral granted by Seller to Purchaser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Notwithstanding the foregoing, (a) Seller shall not be obligated to undertake any filings or other actions with respect to any jurisdictions outside of the United States other than the Republic of Ireland, and the European Patent Office, and (b) no control agreements with respect to any deposit accounts or securities accounts shall be required.</w:t>
      </w:r>
    </w:p>
    <w:p>
      <w:pPr>
        <w:spacing w:after="0" w:line="143" w:lineRule="exact"/>
        <w:rPr>
          <w:sz w:val="20"/>
          <w:szCs w:val="20"/>
          <w:color w:val="auto"/>
        </w:rPr>
      </w:pPr>
    </w:p>
    <w:p>
      <w:pPr>
        <w:ind w:right="80" w:firstLine="921"/>
        <w:spacing w:after="0" w:line="332" w:lineRule="auto"/>
        <w:tabs>
          <w:tab w:leader="none" w:pos="1171"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 xml:space="preserve">During the Term, Purchaser will hold in trust for the benefit of Seller any over-payment of Scheduled Quarterly Amounts received by Purchaser and identified as such in the audit report described in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until such funds, if any, are paid to Seller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w:t>
      </w:r>
    </w:p>
    <w:p>
      <w:pPr>
        <w:spacing w:after="0" w:line="79"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9.5 C</w:t>
      </w:r>
      <w:r>
        <w:rPr>
          <w:rFonts w:ascii="Arial" w:cs="Arial" w:eastAsia="Arial" w:hAnsi="Arial"/>
          <w:sz w:val="14"/>
          <w:szCs w:val="14"/>
          <w:b w:val="1"/>
          <w:bCs w:val="1"/>
          <w:color w:val="auto"/>
        </w:rPr>
        <w:t>OUNTERPARTS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ACSIMILE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will be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will constitute one and the same instrument. To evidence the fact that it has executed this Agreement, a Party may send a copy of its executed counterpart to the other Parties by facsimile or other electronic transmission. In such event, such Party will forthwith deliver to the other Parties the counterpart of this Agreement executed by such Party.</w:t>
      </w:r>
    </w:p>
    <w:p>
      <w:pPr>
        <w:spacing w:after="0" w:line="13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color w:val="auto"/>
        </w:rPr>
        <w:t>9.6 I</w:t>
      </w:r>
      <w:r>
        <w:rPr>
          <w:rFonts w:ascii="Arial" w:cs="Arial" w:eastAsia="Arial" w:hAnsi="Arial"/>
          <w:sz w:val="14"/>
          <w:szCs w:val="14"/>
          <w:b w:val="1"/>
          <w:bCs w:val="1"/>
          <w:color w:val="auto"/>
        </w:rPr>
        <w:t>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When a reference is made in this Agreement to Articles, Sections or Exhibits, such reference will be to an Article, Section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to this Agreement unless otherwise indicated. The words “include,” “includes,” and “including” when used herein will be deemed in each case to be followed by the words “without limitation” and will not be construed to limit any general statement which it follows to the specific or similar items or matters immediately following it. The headings and captions in this Agreement are for convenience and reference purposes only and will not be considered a part of or affect the construction or interpretation of any provision of this Agreement. Unless specified otherwise, all statements of, or references to, monetary amounts in this Agreement are in U.S. dollars. Provisions that require that a Party or the Parties “agree,” “consent,” or “approve” or the like will require that such agreement, consent or approval be specific and in writing, whether by written agreement, letter, approved minutes or otherwise. Words of any gender include the other gender. Neither Party hereto will be or be deemed to be the drafter of this Agreement for the purposes of construing this Agreement against one Party or any other.</w:t>
      </w:r>
    </w:p>
    <w:p>
      <w:pPr>
        <w:spacing w:after="0" w:line="14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9.7 W</w:t>
      </w:r>
      <w:r>
        <w:rPr>
          <w:rFonts w:ascii="Arial" w:cs="Arial" w:eastAsia="Arial" w:hAnsi="Arial"/>
          <w:sz w:val="14"/>
          <w:szCs w:val="14"/>
          <w:b w:val="1"/>
          <w:bCs w:val="1"/>
          <w:color w:val="auto"/>
        </w:rPr>
        <w:t>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No waiver by any Party of any term or condition of this Agreement, in any one or more instances, will be deemed to be or construed as a waiver of the same or any other term or condition of this Agreement on any future occasion.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144" w:name="page145"/>
    <w:bookmarkEnd w:id="144"/>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9.8 R</w:t>
      </w:r>
      <w:r>
        <w:rPr>
          <w:rFonts w:ascii="Arial" w:cs="Arial" w:eastAsia="Arial" w:hAnsi="Arial"/>
          <w:sz w:val="13"/>
          <w:szCs w:val="13"/>
          <w:b w:val="1"/>
          <w:bCs w:val="1"/>
          <w:color w:val="auto"/>
        </w:rPr>
        <w:t>ELATIONSHIP OF THE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the relationship between Purchaser and Seller under this Agreement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be that of buyer and seller, and nothing in this Agreement is intended to be construed so as to suggest that either Purchaser or Seller (except as expressly set forth herein) is obligated to provide, directly or indirectly, any advice, consultations or other services to the other Party. The Parties further acknowledge and agree that Purchaser is purchasing the Purchased Receivables solely in its capacity as an investor. Each Party is an independent contractor relative to the other Party under this Agreement, and this Agreement is not a partnership agreement and nothing in this Agreement will be construed to establish a relationship of co-partners or joint venturers between the Parties. Seller will have no responsibility for the hiring, termination or compensation of Purchaser’s employees or for any employee benefits for such employee and Purchaser will have no responsibility for the hiring, termination or compensation of Seller’s or any of its Affiliate’s employees or for any employee benefits of such employee. No employee or representative of Seller or any of Seller’s Affiliates will have any authority to bind or obligate Purchaser and no employee or representative of Purchaser will have any authority to bind or obligate Seller, for any sum or in any manner whatsoever. No employee or representative of Seller or any of Seller’s Affiliates will have any authority to create or impose any contractual or other Liability on Purchaser without Purchaser’s prior written approval and no employee or representative of Purchaser will have any authority to create or impose any contractual or other Liability on Seller without Seller’s prior written approval.</w:t>
      </w:r>
    </w:p>
    <w:p>
      <w:pPr>
        <w:spacing w:after="0" w:line="115" w:lineRule="exact"/>
        <w:rPr>
          <w:sz w:val="20"/>
          <w:szCs w:val="20"/>
          <w:color w:val="auto"/>
        </w:rPr>
      </w:pPr>
    </w:p>
    <w:p>
      <w:pPr>
        <w:ind w:right="440" w:firstLine="456"/>
        <w:spacing w:after="0" w:line="339" w:lineRule="auto"/>
        <w:rPr>
          <w:sz w:val="20"/>
          <w:szCs w:val="20"/>
          <w:color w:val="auto"/>
        </w:rPr>
      </w:pPr>
      <w:r>
        <w:rPr>
          <w:rFonts w:ascii="Arial" w:cs="Arial" w:eastAsia="Arial" w:hAnsi="Arial"/>
          <w:sz w:val="16"/>
          <w:szCs w:val="16"/>
          <w:b w:val="1"/>
          <w:bCs w:val="1"/>
          <w:color w:val="auto"/>
        </w:rPr>
        <w:t>9.9 N</w:t>
      </w:r>
      <w:r>
        <w:rPr>
          <w:rFonts w:ascii="Arial" w:cs="Arial" w:eastAsia="Arial" w:hAnsi="Arial"/>
          <w:sz w:val="13"/>
          <w:szCs w:val="13"/>
          <w:b w:val="1"/>
          <w:bCs w:val="1"/>
          <w:color w:val="auto"/>
        </w:rPr>
        <w:t>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consents, waivers, requests and other communications hereunder will be in writing and will be delivered in person,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overnight courier (e.g., Federal Express) or sent by confirmed facsimile transmission, to following addresses of the Parties:</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Purchaser:</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Biopharma Secured Debt Fund II Holdings Cayman 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Walkers Corporate Services Limited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Walker House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87 Mary Street, George Town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Grand Cayman KY1-9005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Cayman Islands</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No.: [***]</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Tel.No.: [***]</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Pedro Gonzalez de Cosio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45" w:name="page146"/>
    <w:bookmarkEnd w:id="145"/>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with a copy (which will not constitute notice) to:</w:t>
            </w:r>
          </w:p>
        </w:tc>
        <w:tc>
          <w:tcPr>
            <w:tcW w:w="2960" w:type="dxa"/>
            <w:vAlign w:val="bottom"/>
          </w:tcPr>
          <w:p>
            <w:pPr>
              <w:spacing w:after="0"/>
              <w:rPr>
                <w:sz w:val="19"/>
                <w:szCs w:val="19"/>
                <w:color w:val="auto"/>
              </w:rPr>
            </w:pPr>
          </w:p>
        </w:tc>
      </w:tr>
      <w:tr>
        <w:trPr>
          <w:trHeight w:val="412"/>
        </w:trPr>
        <w:tc>
          <w:tcPr>
            <w:tcW w:w="58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Pharmakon Advisors LP</w:t>
            </w:r>
          </w:p>
        </w:tc>
        <w:tc>
          <w:tcPr>
            <w:tcW w:w="2960" w:type="dxa"/>
            <w:vAlign w:val="bottom"/>
          </w:tcPr>
          <w:p>
            <w:pPr>
              <w:ind w:left="260"/>
              <w:spacing w:after="0"/>
              <w:rPr>
                <w:sz w:val="20"/>
                <w:szCs w:val="20"/>
                <w:color w:val="auto"/>
              </w:rPr>
            </w:pPr>
            <w:r>
              <w:rPr>
                <w:rFonts w:ascii="Arial" w:cs="Arial" w:eastAsia="Arial" w:hAnsi="Arial"/>
                <w:sz w:val="18"/>
                <w:szCs w:val="18"/>
                <w:color w:val="auto"/>
                <w:w w:val="89"/>
              </w:rPr>
              <w:t>Akin Gump Strauss Hauer&amp; Feld LLP</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110 East 59th Street, #3300</w:t>
            </w:r>
          </w:p>
        </w:tc>
        <w:tc>
          <w:tcPr>
            <w:tcW w:w="2960" w:type="dxa"/>
            <w:vAlign w:val="bottom"/>
          </w:tcPr>
          <w:p>
            <w:pPr>
              <w:ind w:left="260"/>
              <w:spacing w:after="0"/>
              <w:rPr>
                <w:sz w:val="20"/>
                <w:szCs w:val="20"/>
                <w:color w:val="auto"/>
              </w:rPr>
            </w:pPr>
            <w:r>
              <w:rPr>
                <w:rFonts w:ascii="Arial" w:cs="Arial" w:eastAsia="Arial" w:hAnsi="Arial"/>
                <w:sz w:val="18"/>
                <w:szCs w:val="18"/>
                <w:color w:val="auto"/>
              </w:rPr>
              <w:t>One Bryant Park</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2960" w:type="dxa"/>
            <w:vAlign w:val="bottom"/>
          </w:tcPr>
          <w:p>
            <w:pPr>
              <w:ind w:left="260"/>
              <w:spacing w:after="0"/>
              <w:rPr>
                <w:sz w:val="20"/>
                <w:szCs w:val="20"/>
                <w:color w:val="auto"/>
              </w:rPr>
            </w:pPr>
            <w:r>
              <w:rPr>
                <w:rFonts w:ascii="Arial" w:cs="Arial" w:eastAsia="Arial" w:hAnsi="Arial"/>
                <w:sz w:val="18"/>
                <w:szCs w:val="18"/>
                <w:color w:val="auto"/>
              </w:rPr>
              <w:t>New York, NY 10036-6745</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Attention: Pedro Gonzalez de Cosio</w:t>
            </w:r>
          </w:p>
        </w:tc>
        <w:tc>
          <w:tcPr>
            <w:tcW w:w="2960" w:type="dxa"/>
            <w:vAlign w:val="bottom"/>
          </w:tcPr>
          <w:p>
            <w:pPr>
              <w:ind w:left="260"/>
              <w:spacing w:after="0"/>
              <w:rPr>
                <w:sz w:val="20"/>
                <w:szCs w:val="20"/>
                <w:color w:val="auto"/>
              </w:rPr>
            </w:pPr>
            <w:r>
              <w:rPr>
                <w:rFonts w:ascii="Arial" w:cs="Arial" w:eastAsia="Arial" w:hAnsi="Arial"/>
                <w:sz w:val="18"/>
                <w:szCs w:val="18"/>
                <w:color w:val="auto"/>
              </w:rPr>
              <w:t>Attention: Geoffrey E. Secol</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2960" w:type="dxa"/>
            <w:vAlign w:val="bottom"/>
          </w:tcPr>
          <w:p>
            <w:pPr>
              <w:ind w:left="260"/>
              <w:spacing w:after="0"/>
              <w:rPr>
                <w:sz w:val="20"/>
                <w:szCs w:val="20"/>
                <w:color w:val="auto"/>
              </w:rPr>
            </w:pPr>
            <w:r>
              <w:rPr>
                <w:rFonts w:ascii="Arial" w:cs="Arial" w:eastAsia="Arial" w:hAnsi="Arial"/>
                <w:sz w:val="18"/>
                <w:szCs w:val="18"/>
                <w:color w:val="auto"/>
              </w:rPr>
              <w:t>Telephone: [***]</w:t>
            </w:r>
          </w:p>
        </w:tc>
      </w:tr>
      <w:tr>
        <w:trPr>
          <w:trHeight w:val="222"/>
        </w:trPr>
        <w:tc>
          <w:tcPr>
            <w:tcW w:w="58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2960" w:type="dxa"/>
            <w:vAlign w:val="bottom"/>
          </w:tcPr>
          <w:p>
            <w:pPr>
              <w:ind w:left="260"/>
              <w:spacing w:after="0"/>
              <w:rPr>
                <w:sz w:val="20"/>
                <w:szCs w:val="20"/>
                <w:color w:val="auto"/>
              </w:rPr>
            </w:pPr>
            <w:r>
              <w:rPr>
                <w:rFonts w:ascii="Arial" w:cs="Arial" w:eastAsia="Arial" w:hAnsi="Arial"/>
                <w:sz w:val="18"/>
                <w:szCs w:val="18"/>
                <w:color w:val="auto"/>
              </w:rPr>
              <w:t>Facsimile: [***]</w:t>
            </w:r>
          </w:p>
        </w:tc>
      </w:tr>
      <w:tr>
        <w:trPr>
          <w:trHeight w:val="378"/>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If to Seller:</w:t>
            </w:r>
          </w:p>
        </w:tc>
        <w:tc>
          <w:tcPr>
            <w:tcW w:w="2960" w:type="dxa"/>
            <w:vAlign w:val="bottom"/>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Amarin Pharmaceuticals Ireland Limited</w:t>
            </w:r>
          </w:p>
        </w:tc>
        <w:tc>
          <w:tcPr>
            <w:tcW w:w="29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2 Pembroke House</w:t>
            </w:r>
          </w:p>
        </w:tc>
        <w:tc>
          <w:tcPr>
            <w:tcW w:w="2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Upper Pembroke Street 28-32</w:t>
            </w:r>
          </w:p>
        </w:tc>
        <w:tc>
          <w:tcPr>
            <w:tcW w:w="2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Dublin 2, Ireland</w:t>
            </w:r>
          </w:p>
        </w:tc>
        <w:tc>
          <w:tcPr>
            <w:tcW w:w="2960" w:type="dxa"/>
            <w:vAlign w:val="bottom"/>
          </w:tcPr>
          <w:p>
            <w:pPr>
              <w:spacing w:after="0"/>
              <w:rPr>
                <w:sz w:val="18"/>
                <w:szCs w:val="18"/>
                <w:color w:val="auto"/>
              </w:rPr>
            </w:pPr>
          </w:p>
        </w:tc>
      </w:tr>
      <w:tr>
        <w:trPr>
          <w:trHeight w:val="184"/>
        </w:trPr>
        <w:tc>
          <w:tcPr>
            <w:tcW w:w="580" w:type="dxa"/>
            <w:vAlign w:val="bottom"/>
          </w:tcPr>
          <w:p>
            <w:pPr>
              <w:spacing w:after="0"/>
              <w:rPr>
                <w:sz w:val="15"/>
                <w:szCs w:val="15"/>
                <w:color w:val="auto"/>
              </w:rPr>
            </w:pPr>
          </w:p>
        </w:tc>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and</w:t>
            </w:r>
          </w:p>
        </w:tc>
        <w:tc>
          <w:tcPr>
            <w:tcW w:w="296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Amarin Pharmaceuticals Ireland Limited</w:t>
            </w:r>
          </w:p>
        </w:tc>
        <w:tc>
          <w:tcPr>
            <w:tcW w:w="29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Amarin Corporation plcc/o Amarin Pharma, Inc.</w:t>
            </w:r>
          </w:p>
        </w:tc>
        <w:tc>
          <w:tcPr>
            <w:tcW w:w="2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1430 Route 206, Suite 200</w:t>
            </w:r>
          </w:p>
        </w:tc>
        <w:tc>
          <w:tcPr>
            <w:tcW w:w="2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Bedminster, NJ 07921</w:t>
            </w:r>
          </w:p>
        </w:tc>
        <w:tc>
          <w:tcPr>
            <w:tcW w:w="2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Attention: Chief Executive Officer</w:t>
            </w:r>
          </w:p>
        </w:tc>
        <w:tc>
          <w:tcPr>
            <w:tcW w:w="2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Fax: [***]</w:t>
            </w:r>
          </w:p>
        </w:tc>
        <w:tc>
          <w:tcPr>
            <w:tcW w:w="2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Phone: [***]</w:t>
            </w:r>
          </w:p>
        </w:tc>
        <w:tc>
          <w:tcPr>
            <w:tcW w:w="29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6"/>
              </w:rPr>
              <w:t>with a copy (which will not constitute notice) to each of:</w:t>
            </w:r>
          </w:p>
        </w:tc>
        <w:tc>
          <w:tcPr>
            <w:tcW w:w="2960" w:type="dxa"/>
            <w:vAlign w:val="bottom"/>
          </w:tcPr>
          <w:p>
            <w:pPr>
              <w:spacing w:after="0"/>
              <w:rPr>
                <w:sz w:val="19"/>
                <w:szCs w:val="19"/>
                <w:color w:val="auto"/>
              </w:rPr>
            </w:pPr>
          </w:p>
        </w:tc>
      </w:tr>
      <w:tr>
        <w:trPr>
          <w:trHeight w:val="412"/>
        </w:trPr>
        <w:tc>
          <w:tcPr>
            <w:tcW w:w="58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Amarin Corporation</w:t>
            </w:r>
          </w:p>
        </w:tc>
        <w:tc>
          <w:tcPr>
            <w:tcW w:w="2960" w:type="dxa"/>
            <w:vAlign w:val="bottom"/>
          </w:tcPr>
          <w:p>
            <w:pPr>
              <w:ind w:left="260"/>
              <w:spacing w:after="0"/>
              <w:rPr>
                <w:sz w:val="20"/>
                <w:szCs w:val="20"/>
                <w:color w:val="auto"/>
              </w:rPr>
            </w:pPr>
            <w:r>
              <w:rPr>
                <w:rFonts w:ascii="Arial" w:cs="Arial" w:eastAsia="Arial" w:hAnsi="Arial"/>
                <w:sz w:val="18"/>
                <w:szCs w:val="18"/>
                <w:color w:val="auto"/>
              </w:rPr>
              <w:t>Cooley LLP</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1430 Route 206, Suite 200</w:t>
            </w:r>
          </w:p>
        </w:tc>
        <w:tc>
          <w:tcPr>
            <w:tcW w:w="2960" w:type="dxa"/>
            <w:vAlign w:val="bottom"/>
          </w:tcPr>
          <w:p>
            <w:pPr>
              <w:ind w:left="260"/>
              <w:spacing w:after="0"/>
              <w:rPr>
                <w:sz w:val="20"/>
                <w:szCs w:val="20"/>
                <w:color w:val="auto"/>
              </w:rPr>
            </w:pPr>
            <w:r>
              <w:rPr>
                <w:rFonts w:ascii="Arial" w:cs="Arial" w:eastAsia="Arial" w:hAnsi="Arial"/>
                <w:sz w:val="18"/>
                <w:szCs w:val="18"/>
                <w:color w:val="auto"/>
              </w:rPr>
              <w:t>3175 Hanover St.</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Bedminster, NJ 07921</w:t>
            </w:r>
          </w:p>
        </w:tc>
        <w:tc>
          <w:tcPr>
            <w:tcW w:w="2960" w:type="dxa"/>
            <w:vAlign w:val="bottom"/>
          </w:tcPr>
          <w:p>
            <w:pPr>
              <w:ind w:left="260"/>
              <w:spacing w:after="0"/>
              <w:rPr>
                <w:sz w:val="20"/>
                <w:szCs w:val="20"/>
                <w:color w:val="auto"/>
              </w:rPr>
            </w:pPr>
            <w:r>
              <w:rPr>
                <w:rFonts w:ascii="Arial" w:cs="Arial" w:eastAsia="Arial" w:hAnsi="Arial"/>
                <w:sz w:val="18"/>
                <w:szCs w:val="18"/>
                <w:color w:val="auto"/>
              </w:rPr>
              <w:t>Palo Alto, CA 94304</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Attention: Joe Kennedy</w:t>
            </w:r>
          </w:p>
        </w:tc>
        <w:tc>
          <w:tcPr>
            <w:tcW w:w="2960" w:type="dxa"/>
            <w:vAlign w:val="bottom"/>
          </w:tcPr>
          <w:p>
            <w:pPr>
              <w:ind w:left="260"/>
              <w:spacing w:after="0"/>
              <w:rPr>
                <w:sz w:val="20"/>
                <w:szCs w:val="20"/>
                <w:color w:val="auto"/>
              </w:rPr>
            </w:pPr>
            <w:r>
              <w:rPr>
                <w:rFonts w:ascii="Arial" w:cs="Arial" w:eastAsia="Arial" w:hAnsi="Arial"/>
                <w:sz w:val="18"/>
                <w:szCs w:val="18"/>
                <w:color w:val="auto"/>
              </w:rPr>
              <w:t>Attention: Glen Sato</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Fax: [***]</w:t>
            </w:r>
          </w:p>
        </w:tc>
        <w:tc>
          <w:tcPr>
            <w:tcW w:w="2960" w:type="dxa"/>
            <w:vAlign w:val="bottom"/>
          </w:tcPr>
          <w:p>
            <w:pPr>
              <w:ind w:left="260"/>
              <w:spacing w:after="0"/>
              <w:rPr>
                <w:sz w:val="20"/>
                <w:szCs w:val="20"/>
                <w:color w:val="auto"/>
              </w:rPr>
            </w:pPr>
            <w:r>
              <w:rPr>
                <w:rFonts w:ascii="Arial" w:cs="Arial" w:eastAsia="Arial" w:hAnsi="Arial"/>
                <w:sz w:val="18"/>
                <w:szCs w:val="18"/>
                <w:color w:val="auto"/>
              </w:rPr>
              <w:t>Telephone: [***]</w:t>
            </w:r>
          </w:p>
        </w:tc>
      </w:tr>
      <w:tr>
        <w:trPr>
          <w:trHeight w:val="222"/>
        </w:trPr>
        <w:tc>
          <w:tcPr>
            <w:tcW w:w="58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Phone: [***]</w:t>
            </w:r>
          </w:p>
        </w:tc>
        <w:tc>
          <w:tcPr>
            <w:tcW w:w="2960" w:type="dxa"/>
            <w:vAlign w:val="bottom"/>
          </w:tcPr>
          <w:p>
            <w:pPr>
              <w:ind w:left="260"/>
              <w:spacing w:after="0"/>
              <w:rPr>
                <w:sz w:val="20"/>
                <w:szCs w:val="20"/>
                <w:color w:val="auto"/>
              </w:rPr>
            </w:pPr>
            <w:r>
              <w:rPr>
                <w:rFonts w:ascii="Arial" w:cs="Arial" w:eastAsia="Arial" w:hAnsi="Arial"/>
                <w:sz w:val="18"/>
                <w:szCs w:val="18"/>
                <w:color w:val="auto"/>
              </w:rPr>
              <w:t>Facsimile: [***]</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or to such other address or addresses as Purchaser or Seller may from time to time designate by notice as provided herein. Any such notice will be deemed given</w:t>
      </w:r>
    </w:p>
    <w:p>
      <w:pPr>
        <w:spacing w:after="0" w:line="50" w:lineRule="exact"/>
        <w:rPr>
          <w:sz w:val="20"/>
          <w:szCs w:val="20"/>
          <w:color w:val="auto"/>
        </w:rPr>
      </w:pPr>
    </w:p>
    <w:p>
      <w:pPr>
        <w:ind w:firstLine="8"/>
        <w:spacing w:after="0" w:line="302" w:lineRule="auto"/>
        <w:tabs>
          <w:tab w:leader="none" w:pos="23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when actually received when so delivered personally or by overnight courier, (b) if mailed, other than during a period of general discontinuance or disruption of postal service due to strike, lockout or otherwise, on the fifth day after its postmarked date thereof, or (c) if sent by confirmed facsimile transmission, on the date sent if such day is a Business Day or the next following Business Day if such day is not a Business Day.</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280" w:right="359" w:bottom="1440" w:gutter="0" w:footer="0" w:header="0"/>
        </w:sectPr>
      </w:pPr>
    </w:p>
    <w:bookmarkStart w:id="146" w:name="page147"/>
    <w:bookmarkEnd w:id="146"/>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9.10 GOVERNING LAW; SUBMISSION TO JURISDICTION; WAIVER OF JURY TRIAL.</w:t>
      </w:r>
    </w:p>
    <w:p>
      <w:pPr>
        <w:spacing w:after="0" w:line="177" w:lineRule="exact"/>
        <w:rPr>
          <w:sz w:val="20"/>
          <w:szCs w:val="20"/>
          <w:color w:val="auto"/>
        </w:rPr>
      </w:pPr>
    </w:p>
    <w:p>
      <w:pPr>
        <w:ind w:firstLine="921"/>
        <w:spacing w:after="0" w:line="254" w:lineRule="auto"/>
        <w:tabs>
          <w:tab w:leader="none" w:pos="1161"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THIS AGREEMENT AND ANY PROCEEDING ARISING OUT OF OR RELATING TO THIS AGREEMENT OR THE TRANSACTIONS CONTEMPLATED HEREBY (WHETHER IN CONTRACT, TORT OR OTHERWISE) WILL BE GOVERNED BY, AND CONSTRUED, INTERPRETED AND ENFORCED IN ACCORDANCE WITH THE INTERNAL SUBSTANTIVE LAWS OF THE STATE OF NEW YORK, WITHOUT GIVING EFFECT TO THE PRINCIPLES OF CONFLICTS OF LAW THEREOF OTHER THAN SECTION 5-1401 OF THE GENERAL OBLIGATIONS LAW OF THE STATE OF NEW YORK, AND THE OBLIGATIONS, RIGHTS AND REMEDIES OF THE PARTIES HEREUNDER WILL BE DETERMINED IN ACCORDANCE WITH SUCH LAWS.</w:t>
      </w:r>
    </w:p>
    <w:p>
      <w:pPr>
        <w:spacing w:after="0" w:line="144" w:lineRule="exact"/>
        <w:rPr>
          <w:rFonts w:ascii="Arial" w:cs="Arial" w:eastAsia="Arial" w:hAnsi="Arial"/>
          <w:sz w:val="18"/>
          <w:szCs w:val="18"/>
          <w:b w:val="1"/>
          <w:bCs w:val="1"/>
          <w:color w:val="auto"/>
        </w:rPr>
      </w:pPr>
    </w:p>
    <w:p>
      <w:pPr>
        <w:ind w:right="20" w:firstLine="921"/>
        <w:spacing w:after="0" w:line="298" w:lineRule="auto"/>
        <w:tabs>
          <w:tab w:leader="none" w:pos="1171"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ANY PROCEEDING WITH RESPECT TO THIS AGREEMENT OR ANY OTHER TRANSACTION DOCUMENT WILL BE BROUGHT IN THE COURTS OF THE STATE OF NEW YORK LOCATED IN THE BOROUGH OF MANHATTAN, THE CITY OF NEW YORK OR OF THE UNITED STATES OF AMERICA FOR THE SOUTHERN DISTRICT OF NEW YORK, AND EACH PARTY HEREBY ACCEPTS FOR ITSELF AND IN RESPECT OF ITS RESPECTIVE PROPERTY, GENERALLY AND UNCONDITIONALLY, THE EXCLUSIVE JURISDICTION OF THE AFORESAID COURTS.</w:t>
      </w:r>
    </w:p>
    <w:p>
      <w:pPr>
        <w:spacing w:after="0" w:line="112" w:lineRule="exact"/>
        <w:rPr>
          <w:rFonts w:ascii="Arial" w:cs="Arial" w:eastAsia="Arial" w:hAnsi="Arial"/>
          <w:sz w:val="16"/>
          <w:szCs w:val="16"/>
          <w:b w:val="1"/>
          <w:bCs w:val="1"/>
          <w:color w:val="auto"/>
        </w:rPr>
      </w:pPr>
    </w:p>
    <w:p>
      <w:pPr>
        <w:ind w:right="20" w:firstLine="921"/>
        <w:spacing w:after="0" w:line="259" w:lineRule="auto"/>
        <w:tabs>
          <w:tab w:leader="none" w:pos="1152"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EACH PARTY HEREBY IRREVOCABLY WAIVES, TO THE FULLEST EXTENT PERMITTED BY APPLICABLE LAW, TRIAL BY JURY IN ANY ACTION OR DISPUTE ARISING OUT OF OR RELATING TO THIS AGREEMENT OR THE TRANSACTIONS CONTEMPLATED HEREBY (WHETHER IN CONTRACT, TORT OR OTHERWISE).</w:t>
      </w:r>
    </w:p>
    <w:p>
      <w:pPr>
        <w:spacing w:after="0" w:line="140" w:lineRule="exact"/>
        <w:rPr>
          <w:rFonts w:ascii="Arial" w:cs="Arial" w:eastAsia="Arial" w:hAnsi="Arial"/>
          <w:sz w:val="18"/>
          <w:szCs w:val="18"/>
          <w:b w:val="1"/>
          <w:bCs w:val="1"/>
          <w:color w:val="auto"/>
        </w:rPr>
      </w:pPr>
    </w:p>
    <w:p>
      <w:pPr>
        <w:ind w:right="20" w:firstLine="921"/>
        <w:spacing w:after="0" w:line="259" w:lineRule="auto"/>
        <w:tabs>
          <w:tab w:leader="none" w:pos="1171"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EACH PARTY HEREBY IRREVOCABLY WAIVES ANY OBJECTION, INCLUDING ANY OBJECTION TO THE LAYING OF VENUE OR BASED ON THE GROUNDS OF FORUM NON CONVENIENS, WHICH IT MAY NOW OR HEREAFTER HAVE TO THE BRINGING OF ANY SUCH ACTION OR PROCEEDING IN SUCH RESPECTIVE JURISDICTIONS.</w:t>
      </w:r>
    </w:p>
    <w:p>
      <w:pPr>
        <w:spacing w:after="0" w:line="140" w:lineRule="exact"/>
        <w:rPr>
          <w:rFonts w:ascii="Arial" w:cs="Arial" w:eastAsia="Arial" w:hAnsi="Arial"/>
          <w:sz w:val="18"/>
          <w:szCs w:val="18"/>
          <w:b w:val="1"/>
          <w:bCs w:val="1"/>
          <w:color w:val="auto"/>
        </w:rPr>
      </w:pPr>
    </w:p>
    <w:p>
      <w:pPr>
        <w:ind w:right="60" w:firstLine="921"/>
        <w:spacing w:after="0" w:line="256" w:lineRule="auto"/>
        <w:tabs>
          <w:tab w:leader="none" w:pos="1152"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 xml:space="preserve">EACH PARTY IRREVOCABLY CONSENTS TO THE SERVICE OF PROCESS OF ANY OF THE AFOREMENTIONED COURTS IN ANY SUCH ACTION OR PROCEEDING BY THE SENDING OF COPIES THEREOF BY FEDERAL EXPRESS OR OTHER OVERNIGHT COURIER COMPANY, TO SUCH PARTY AT ITS ADDRESS SPECIFIED BY </w:t>
      </w:r>
      <w:r>
        <w:rPr>
          <w:rFonts w:ascii="Arial" w:cs="Arial" w:eastAsia="Arial" w:hAnsi="Arial"/>
          <w:sz w:val="18"/>
          <w:szCs w:val="18"/>
          <w:u w:val="single" w:color="auto"/>
          <w:color w:val="auto"/>
        </w:rPr>
        <w:t>SECTION 9.9</w:t>
      </w:r>
      <w:r>
        <w:rPr>
          <w:rFonts w:ascii="Arial" w:cs="Arial" w:eastAsia="Arial" w:hAnsi="Arial"/>
          <w:sz w:val="18"/>
          <w:szCs w:val="18"/>
          <w:color w:val="auto"/>
        </w:rPr>
        <w:t>, SUCH SERVICE TO BECOME EFFECTIVE FOUR DAYS AFTER DELIVERY TO SUCH COURIER COMPANY.</w:t>
      </w:r>
    </w:p>
    <w:p>
      <w:pPr>
        <w:spacing w:after="0" w:line="143" w:lineRule="exact"/>
        <w:rPr>
          <w:rFonts w:ascii="Arial" w:cs="Arial" w:eastAsia="Arial" w:hAnsi="Arial"/>
          <w:sz w:val="18"/>
          <w:szCs w:val="18"/>
          <w:b w:val="1"/>
          <w:bCs w:val="1"/>
          <w:color w:val="auto"/>
        </w:rPr>
      </w:pPr>
    </w:p>
    <w:p>
      <w:pPr>
        <w:ind w:left="1140" w:hanging="219"/>
        <w:spacing w:after="0"/>
        <w:tabs>
          <w:tab w:leader="none" w:pos="114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NOTHING HEREIN WILL AFFECT THE RIGHT OF ANY PARTY TO SERVE PROCESS IN ANY OTHER MANNER PERMITTED BY</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LAW.</w:t>
      </w:r>
    </w:p>
    <w:p>
      <w:pPr>
        <w:spacing w:after="0" w:line="159"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9.11 E</w:t>
      </w:r>
      <w:r>
        <w:rPr>
          <w:rFonts w:ascii="Arial" w:cs="Arial" w:eastAsia="Arial" w:hAnsi="Arial"/>
          <w:sz w:val="13"/>
          <w:szCs w:val="13"/>
          <w:b w:val="1"/>
          <w:bCs w:val="1"/>
          <w:color w:val="auto"/>
        </w:rPr>
        <w:t>QUITABLE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ELIEF</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hereto acknowledges that each other Party may have no adequate remedy at law if a Party fails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obligations under this Agreement in any material respect. In such event, the Parties agree that, in addition to any other rights the Parties may have (whether at law or in equity), in the event of any material Breach or threatened material Breach by any Party of any covenant, obligation or other provision set forth in this Agreement, any non-Breaching Party may be entitled (in addition to any other remedy that may be available to it) to seek (a) a decree or other of specific performance or mandamus to enforce the observance and performance of such covenant, obligation or other provision, and (b) an injunction restraining such material Breach or threatened material Breach.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47" w:name="page148"/>
    <w:bookmarkEnd w:id="147"/>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right="260" w:firstLine="456"/>
        <w:spacing w:after="0" w:line="296" w:lineRule="auto"/>
        <w:rPr>
          <w:sz w:val="20"/>
          <w:szCs w:val="20"/>
          <w:color w:val="auto"/>
        </w:rPr>
      </w:pPr>
      <w:r>
        <w:rPr>
          <w:rFonts w:ascii="Arial" w:cs="Arial" w:eastAsia="Arial" w:hAnsi="Arial"/>
          <w:sz w:val="16"/>
          <w:szCs w:val="16"/>
          <w:b w:val="1"/>
          <w:bCs w:val="1"/>
          <w:color w:val="auto"/>
        </w:rPr>
        <w:t>9.12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HIRD</w:t>
      </w:r>
      <w:r>
        <w:rPr>
          <w:rFonts w:ascii="Arial" w:cs="Arial" w:eastAsia="Arial" w:hAnsi="Arial"/>
          <w:sz w:val="16"/>
          <w:szCs w:val="16"/>
          <w:b w:val="1"/>
          <w:bCs w:val="1"/>
          <w:color w:val="auto"/>
        </w:rPr>
        <w:t>-P</w:t>
      </w:r>
      <w:r>
        <w:rPr>
          <w:rFonts w:ascii="Arial" w:cs="Arial" w:eastAsia="Arial" w:hAnsi="Arial"/>
          <w:sz w:val="13"/>
          <w:szCs w:val="13"/>
          <w:b w:val="1"/>
          <w:bCs w:val="1"/>
          <w:color w:val="auto"/>
        </w:rPr>
        <w:t>ARTY</w:t>
      </w:r>
      <w:r>
        <w:rPr>
          <w:rFonts w:ascii="Arial" w:cs="Arial" w:eastAsia="Arial" w:hAnsi="Arial"/>
          <w:sz w:val="16"/>
          <w:szCs w:val="16"/>
          <w:b w:val="1"/>
          <w:bCs w:val="1"/>
          <w:color w:val="auto"/>
        </w:rPr>
        <w:t xml:space="preserve"> B</w:t>
      </w:r>
      <w:r>
        <w:rPr>
          <w:rFonts w:ascii="Arial" w:cs="Arial" w:eastAsia="Arial" w:hAnsi="Arial"/>
          <w:sz w:val="13"/>
          <w:szCs w:val="13"/>
          <w:b w:val="1"/>
          <w:bCs w:val="1"/>
          <w:color w:val="auto"/>
        </w:rPr>
        <w:t>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benefits and remedies under this Agreement are solely intended for the benefit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their permitted successors and assigns), and no other Person other than the Parties will have any rights whatsoever to (a) enforce any obligation contained in this Agreement, (b) seek a benefit or remedy for any Breach of this Agreement, or (c) take any other action relating to this Agreement under any legal theory, including but not limited to, actions in contract, tort (including but not limited to negligence, gross negligence and strict liability), or as a defense, set-off or counterclaim to any action or claim brought or made by the Parties (or any of their permitted successors and assigns).</w:t>
      </w:r>
    </w:p>
    <w:p>
      <w:pPr>
        <w:spacing w:after="0" w:line="10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9.13 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hereof should be held invalid, illegal or unenforceable in any jurisdiction, the Parties will negotiate in good faith a</w:t>
      </w:r>
      <w:r>
        <w:rPr>
          <w:rFonts w:ascii="Arial" w:cs="Arial" w:eastAsia="Arial" w:hAnsi="Arial"/>
          <w:sz w:val="18"/>
          <w:szCs w:val="18"/>
          <w:b w:val="1"/>
          <w:bCs w:val="1"/>
          <w:color w:val="auto"/>
        </w:rPr>
        <w:t xml:space="preserve"> </w:t>
      </w:r>
      <w:r>
        <w:rPr>
          <w:rFonts w:ascii="Arial" w:cs="Arial" w:eastAsia="Arial" w:hAnsi="Arial"/>
          <w:sz w:val="18"/>
          <w:szCs w:val="18"/>
          <w:color w:val="auto"/>
        </w:rPr>
        <w:t>valid, legal and enforceable substitute provision that most nearly reflects the original intent of the Parties and all other provisions hereof will remain in full force and effect in such jurisdiction and will be liberally construed in order to carry out the intentions of the Parties as nearly as may be possible. Such invalidity, illegality or unenforceability will not affect the validity, legality or enforceability of such provision in any other jurisdiction. Nothing in this Agreement will be interpreted so as to require a Party to violate any Applicable Law.</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9.14 E</w:t>
      </w:r>
      <w:r>
        <w:rPr>
          <w:rFonts w:ascii="Arial" w:cs="Arial" w:eastAsia="Arial" w:hAnsi="Arial"/>
          <w:sz w:val="14"/>
          <w:szCs w:val="14"/>
          <w:b w:val="1"/>
          <w:bCs w:val="1"/>
          <w:color w:val="auto"/>
        </w:rPr>
        <w:t>XPENSES</w:t>
      </w:r>
      <w:r>
        <w:rPr>
          <w:rFonts w:ascii="Arial" w:cs="Arial" w:eastAsia="Arial" w:hAnsi="Arial"/>
          <w:sz w:val="18"/>
          <w:szCs w:val="18"/>
          <w:b w:val="1"/>
          <w:bCs w:val="1"/>
          <w:color w:val="auto"/>
        </w:rPr>
        <w:t>.</w:t>
      </w:r>
    </w:p>
    <w:p>
      <w:pPr>
        <w:spacing w:after="0" w:line="177" w:lineRule="exact"/>
        <w:rPr>
          <w:sz w:val="20"/>
          <w:szCs w:val="20"/>
          <w:color w:val="auto"/>
        </w:rPr>
      </w:pPr>
    </w:p>
    <w:p>
      <w:pPr>
        <w:ind w:right="120" w:firstLine="921"/>
        <w:spacing w:after="0" w:line="268" w:lineRule="auto"/>
        <w:tabs>
          <w:tab w:leader="none" w:pos="1161"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Each Party will be responsible for and bear all of its own costs and expenses with regard to the negotiation and execution of this Agreement and the other Transaction Documents by the Parties.</w:t>
      </w:r>
    </w:p>
    <w:p>
      <w:pPr>
        <w:spacing w:after="0" w:line="131" w:lineRule="exact"/>
        <w:rPr>
          <w:rFonts w:ascii="Arial" w:cs="Arial" w:eastAsia="Arial" w:hAnsi="Arial"/>
          <w:sz w:val="18"/>
          <w:szCs w:val="18"/>
          <w:b w:val="1"/>
          <w:bCs w:val="1"/>
          <w:color w:val="auto"/>
        </w:rPr>
      </w:pPr>
    </w:p>
    <w:p>
      <w:pPr>
        <w:ind w:firstLine="921"/>
        <w:spacing w:after="0" w:line="332" w:lineRule="auto"/>
        <w:tabs>
          <w:tab w:leader="none" w:pos="1171"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In any Proceeding between the Parties arising out of or involving this Agreement or any other Transaction Document, the prevailing party will be entitled to recover, in addition to any other relief awarded, all expenses it incurs in that Proceeding, including reasonable attorneys’ fees and expenses.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48" w:name="page149"/>
    <w:bookmarkEnd w:id="148"/>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 Agreement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w:t>
      </w:r>
      <w:r>
        <w:rPr>
          <w:rFonts w:ascii="Arial" w:cs="Arial" w:eastAsia="Arial" w:hAnsi="Arial"/>
          <w:sz w:val="18"/>
          <w:szCs w:val="18"/>
          <w:b w:val="1"/>
          <w:bCs w:val="1"/>
          <w:color w:val="auto"/>
        </w:rPr>
        <w:t>P</w:t>
      </w:r>
      <w:r>
        <w:rPr>
          <w:rFonts w:ascii="Arial" w:cs="Arial" w:eastAsia="Arial" w:hAnsi="Arial"/>
          <w:sz w:val="14"/>
          <w:szCs w:val="14"/>
          <w:b w:val="1"/>
          <w:bCs w:val="1"/>
          <w:color w:val="auto"/>
        </w:rPr>
        <w:t>HARMA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AYMAN</w:t>
      </w:r>
      <w:r>
        <w:rPr>
          <w:rFonts w:ascii="Arial" w:cs="Arial" w:eastAsia="Arial" w:hAnsi="Arial"/>
          <w:sz w:val="18"/>
          <w:szCs w:val="18"/>
          <w:b w:val="1"/>
          <w:bCs w:val="1"/>
          <w:color w:val="auto"/>
        </w:rPr>
        <w:t xml:space="preserve"> 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Pharmakon Advisors, LP, its</w:t>
            </w:r>
          </w:p>
        </w:tc>
      </w:tr>
      <w:tr>
        <w:trPr>
          <w:trHeight w:val="222"/>
        </w:trPr>
        <w:tc>
          <w:tcPr>
            <w:tcW w:w="6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investment manager</w:t>
            </w:r>
          </w:p>
        </w:tc>
      </w:tr>
      <w:tr>
        <w:trPr>
          <w:trHeight w:val="44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Pharmakon Management I, LLC, its general partner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Pedro Gonzalez de Cosio</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Pedro Gonzalez de Cosio</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SELLER:</w:t>
            </w:r>
          </w:p>
        </w:tc>
        <w:tc>
          <w:tcPr>
            <w:tcW w:w="57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PARENT:</w:t>
            </w:r>
          </w:p>
        </w:tc>
      </w:tr>
      <w:tr>
        <w:trPr>
          <w:trHeight w:val="4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RELAND</w:t>
            </w:r>
          </w:p>
        </w:tc>
        <w:tc>
          <w:tcPr>
            <w:tcW w:w="5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8"/>
                <w:szCs w:val="18"/>
                <w:b w:val="1"/>
                <w:bCs w:val="1"/>
                <w:color w:val="auto"/>
              </w:rPr>
              <w:t xml:space="preserve"> PLC</w:t>
            </w:r>
          </w:p>
        </w:tc>
      </w:tr>
      <w:tr>
        <w:trPr>
          <w:trHeight w:val="228"/>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IMITED</w:t>
            </w:r>
          </w:p>
        </w:tc>
        <w:tc>
          <w:tcPr>
            <w:tcW w:w="68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c>
          <w:tcPr>
            <w:tcW w:w="680" w:type="dxa"/>
            <w:vAlign w:val="bottom"/>
          </w:tcPr>
          <w:p>
            <w:pPr>
              <w:ind w:left="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Zakrzewski</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John F. Thero</w:t>
            </w:r>
          </w:p>
        </w:tc>
        <w:tc>
          <w:tcPr>
            <w:tcW w:w="680" w:type="dxa"/>
            <w:vAlign w:val="bottom"/>
          </w:tcPr>
          <w:p>
            <w:pPr>
              <w:ind w:left="1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S. Zakrzewski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Purchase and Sale Agreement]</w:t>
      </w:r>
    </w:p>
    <w:p>
      <w:pPr>
        <w:sectPr>
          <w:pgSz w:w="11900" w:h="16838" w:orient="portrait"/>
          <w:cols w:equalWidth="0" w:num="1">
            <w:col w:w="11420"/>
          </w:cols>
          <w:pgMar w:left="240" w:top="280" w:right="239" w:bottom="1440" w:gutter="0" w:footer="0" w:header="0"/>
        </w:sectPr>
      </w:pPr>
    </w:p>
    <w:bookmarkStart w:id="149" w:name="page150"/>
    <w:bookmarkEnd w:id="149"/>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“Additional Collateral” </w:t>
      </w:r>
      <w:r>
        <w:rPr>
          <w:rFonts w:ascii="Arial" w:cs="Arial" w:eastAsia="Arial" w:hAnsi="Arial"/>
          <w:sz w:val="18"/>
          <w:szCs w:val="18"/>
          <w:color w:val="auto"/>
        </w:rPr>
        <w:t>means all of Seller’s right, title and interest in, to and under the following property, whether now owned or hereafter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wherever located:</w:t>
      </w:r>
    </w:p>
    <w:p>
      <w:pPr>
        <w:spacing w:after="0" w:line="132" w:lineRule="exact"/>
        <w:rPr>
          <w:sz w:val="20"/>
          <w:szCs w:val="20"/>
          <w:color w:val="auto"/>
        </w:rPr>
      </w:pPr>
    </w:p>
    <w:p>
      <w:pPr>
        <w:ind w:left="1160" w:hanging="239"/>
        <w:spacing w:after="0"/>
        <w:tabs>
          <w:tab w:leader="none" w:pos="116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all Vascepa Product Rights and all of Seller’s rights and privileges with respect thereto;</w:t>
      </w:r>
    </w:p>
    <w:p>
      <w:pPr>
        <w:spacing w:after="0" w:line="17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all Regulatory Approvals;</w:t>
      </w:r>
    </w:p>
    <w:p>
      <w:pPr>
        <w:spacing w:after="0" w:line="171" w:lineRule="exact"/>
        <w:rPr>
          <w:rFonts w:ascii="Arial" w:cs="Arial" w:eastAsia="Arial" w:hAnsi="Arial"/>
          <w:sz w:val="18"/>
          <w:szCs w:val="18"/>
          <w:b w:val="1"/>
          <w:bCs w:val="1"/>
          <w:color w:val="auto"/>
        </w:rPr>
      </w:pPr>
    </w:p>
    <w:p>
      <w:pPr>
        <w:ind w:right="20" w:firstLine="921"/>
        <w:spacing w:after="0" w:line="268" w:lineRule="auto"/>
        <w:tabs>
          <w:tab w:leader="none" w:pos="1152"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all Supporting Obligations (as such term is defined in the UCC) in respect of the foregoing and all collateral security and guarantees given by any Person with respect to any of the foregoing;</w:t>
      </w:r>
    </w:p>
    <w:p>
      <w:pPr>
        <w:spacing w:after="0" w:line="13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all of Seller’s books and records relating to any and all of the foregoing; and</w:t>
      </w:r>
    </w:p>
    <w:p>
      <w:pPr>
        <w:spacing w:after="0" w:line="171"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all Proceeds (as such term is defined in the UCC) and products of and to any and all of the foregoing.</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with respect to an entity, any business entity controlling, controlled by, or under common control with such entity, but only so long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such control exists. For the purposes of this definition,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mean the possession, directly (or indirectly through one or more intermediary entities), of the power to direct the management or policies of an entity, including through ownership of 50% or more of the voting securities of such entity (or, in the case of an entity that is not a corporation, ownership of 50% or more of the corresponding interest for the election of the entity’s managing authority).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“ANCHOR Clinical Indication” </w:t>
      </w:r>
      <w:r>
        <w:rPr>
          <w:rFonts w:ascii="Arial" w:cs="Arial" w:eastAsia="Arial" w:hAnsi="Arial"/>
          <w:sz w:val="18"/>
          <w:szCs w:val="18"/>
          <w:color w:val="auto"/>
        </w:rPr>
        <w:t>means the use of the Product as a treatment for patients with high (</w:t>
      </w:r>
      <w:r>
        <w:rPr>
          <w:rFonts w:ascii="Arial" w:cs="Arial" w:eastAsia="Arial" w:hAnsi="Arial"/>
          <w:sz w:val="18"/>
          <w:szCs w:val="18"/>
          <w:u w:val="single" w:color="auto"/>
          <w:color w:val="auto"/>
        </w:rPr>
        <w:t>&gt;</w:t>
      </w:r>
      <w:r>
        <w:rPr>
          <w:rFonts w:ascii="Arial" w:cs="Arial" w:eastAsia="Arial" w:hAnsi="Arial"/>
          <w:sz w:val="18"/>
          <w:szCs w:val="18"/>
          <w:color w:val="auto"/>
        </w:rPr>
        <w:t>200 and &lt;500mg/dL) triglyceride levels who are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statin therapy.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“ANCHOR Clinical Trials” </w:t>
      </w:r>
      <w:r>
        <w:rPr>
          <w:rFonts w:ascii="Arial" w:cs="Arial" w:eastAsia="Arial" w:hAnsi="Arial"/>
          <w:sz w:val="18"/>
          <w:szCs w:val="18"/>
          <w:color w:val="auto"/>
        </w:rPr>
        <w:t>means the clinical trials of the Product intended to support the registration of the Product in the ANCHOR Clinical Indication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new clinical trials implemented with respect to the ANCHOR Clinical Indication.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“Applicable Law” </w:t>
      </w:r>
      <w:r>
        <w:rPr>
          <w:rFonts w:ascii="Arial" w:cs="Arial" w:eastAsia="Arial" w:hAnsi="Arial"/>
          <w:sz w:val="18"/>
          <w:szCs w:val="18"/>
          <w:color w:val="auto"/>
        </w:rPr>
        <w:t>means, with respect to any Person, all provisions of (a) all constitutions, statutes, laws, rules, regulations, ordinances and orders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Governmental Authorities, (b) any authority, consent, approval, license, permit (or the like) or exemption (or the like) of any Governmental Authority, and (c) any orders, decisions, judgments, writs and decrees issued or entered by any Governmental Authority; in each case, applicable to such Person or any of its properties or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400"/>
          </w:cols>
          <w:pgMar w:left="240" w:top="280" w:right="259" w:bottom="1440" w:gutter="0" w:footer="0" w:header="0"/>
        </w:sectPr>
      </w:pPr>
    </w:p>
    <w:bookmarkStart w:id="150" w:name="page151"/>
    <w:bookmarkEnd w:id="150"/>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“Bankruptcy Event” </w:t>
      </w:r>
      <w:r>
        <w:rPr>
          <w:rFonts w:ascii="Arial" w:cs="Arial" w:eastAsia="Arial" w:hAnsi="Arial"/>
          <w:sz w:val="18"/>
          <w:szCs w:val="18"/>
          <w:color w:val="auto"/>
        </w:rPr>
        <w:t>means, with respect to either Amarin Party, the occurrence of any of the following:</w:t>
      </w:r>
    </w:p>
    <w:p>
      <w:pPr>
        <w:spacing w:after="0" w:line="171" w:lineRule="exact"/>
        <w:rPr>
          <w:sz w:val="20"/>
          <w:szCs w:val="20"/>
          <w:color w:val="auto"/>
        </w:rPr>
      </w:pPr>
    </w:p>
    <w:p>
      <w:pPr>
        <w:ind w:right="100" w:firstLine="921"/>
        <w:spacing w:after="0" w:line="294" w:lineRule="auto"/>
        <w:tabs>
          <w:tab w:leader="none" w:pos="1161"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Such Amarin Party will voluntarily commence any case, proceeding or other action (i) under any existing or future law of any jurisdiction, domestic or foreign, relating to bankruptcy, insolvency, reorganization, relief, examinership of debtors or the like, seeking to have an order for relief entered with respect to it, or seeking to adjudicate it bankrupt or insolvent, or seeking reorganization, arrangement, adjustment, winding-up, liquidation, dissolution, examinership, composition or other relief with respect to it or its debts, or (ii) seeking appointment of a receiver, examiner, trustee, custodian or other similar official for it or for all or any portion of its assets, or Seller will make a general assignment for the benefit of its creditors;</w:t>
      </w:r>
    </w:p>
    <w:p>
      <w:pPr>
        <w:spacing w:after="0" w:line="115" w:lineRule="exact"/>
        <w:rPr>
          <w:rFonts w:ascii="Arial" w:cs="Arial" w:eastAsia="Arial" w:hAnsi="Arial"/>
          <w:sz w:val="16"/>
          <w:szCs w:val="16"/>
          <w:b w:val="1"/>
          <w:bCs w:val="1"/>
          <w:color w:val="auto"/>
        </w:rPr>
      </w:pPr>
    </w:p>
    <w:p>
      <w:pPr>
        <w:ind w:right="60" w:firstLine="921"/>
        <w:spacing w:after="0" w:line="268" w:lineRule="auto"/>
        <w:tabs>
          <w:tab w:leader="none" w:pos="1171"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 xml:space="preserve">there will be commenced against either Amarin Party any case, proceeding or other action of a nature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that remains undismissed or undischarged for a period of [***] from the commencement thereof; or</w:t>
      </w:r>
    </w:p>
    <w:p>
      <w:pPr>
        <w:spacing w:after="0" w:line="131" w:lineRule="exact"/>
        <w:rPr>
          <w:rFonts w:ascii="Arial" w:cs="Arial" w:eastAsia="Arial" w:hAnsi="Arial"/>
          <w:sz w:val="18"/>
          <w:szCs w:val="18"/>
          <w:b w:val="1"/>
          <w:bCs w:val="1"/>
          <w:color w:val="auto"/>
        </w:rPr>
      </w:pPr>
    </w:p>
    <w:p>
      <w:pPr>
        <w:ind w:firstLine="921"/>
        <w:spacing w:after="0" w:line="259" w:lineRule="auto"/>
        <w:tabs>
          <w:tab w:leader="none" w:pos="1152"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there will be commenced against either Amarin Party any case, proceeding or other action seeking issuance of a warrant of attachment, execution, distraint or similar process against all or any substantial portion of its assets, which results in the entry of an order or decree for any such relief that will not have been vacated, discharged, stayed or satisfied pending appeal for [***] from the entry thereof.</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“Bankruptcy Laws” </w:t>
      </w:r>
      <w:r>
        <w:rPr>
          <w:rFonts w:ascii="Arial" w:cs="Arial" w:eastAsia="Arial" w:hAnsi="Arial"/>
          <w:sz w:val="18"/>
          <w:szCs w:val="18"/>
          <w:color w:val="auto"/>
        </w:rPr>
        <w:t>means, collectively, bankruptcy, insolvency, reorganization, examinership, moratorium, fraudulent conveyance, fraudulent transfer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laws affecting the enforcement of creditors’ rights generally.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“Bill of Sale” </w:t>
      </w:r>
      <w:r>
        <w:rPr>
          <w:rFonts w:ascii="Arial" w:cs="Arial" w:eastAsia="Arial" w:hAnsi="Arial"/>
          <w:sz w:val="18"/>
          <w:szCs w:val="18"/>
          <w:color w:val="auto"/>
        </w:rPr>
        <w:t>means the Bill of Sale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“Breach” </w:t>
      </w:r>
      <w:r>
        <w:rPr>
          <w:rFonts w:ascii="Arial" w:cs="Arial" w:eastAsia="Arial" w:hAnsi="Arial"/>
          <w:sz w:val="18"/>
          <w:szCs w:val="18"/>
          <w:color w:val="auto"/>
        </w:rPr>
        <w:t>of a representation, warranty, covenant, agreement, obligation or other provision will be deemed to have occurred if there is or has been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inaccuracy in or breach of, or any failure to comply with or perform, such representation, warranty, covenant, agreement, obligation or other provision, and </w:t>
      </w:r>
      <w:r>
        <w:rPr>
          <w:rFonts w:ascii="Arial" w:cs="Arial" w:eastAsia="Arial" w:hAnsi="Arial"/>
          <w:sz w:val="18"/>
          <w:szCs w:val="18"/>
          <w:b w:val="1"/>
          <w:bCs w:val="1"/>
          <w:i w:val="1"/>
          <w:iCs w:val="1"/>
          <w:color w:val="auto"/>
        </w:rPr>
        <w:t xml:space="preserve">“Breach” </w:t>
      </w:r>
      <w:r>
        <w:rPr>
          <w:rFonts w:ascii="Arial" w:cs="Arial" w:eastAsia="Arial" w:hAnsi="Arial"/>
          <w:sz w:val="18"/>
          <w:szCs w:val="18"/>
          <w:color w:val="auto"/>
        </w:rPr>
        <w:t>will be deemed to refer to any such inaccuracy, breach or failure.</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that is not a Saturday, Sunday or other day on which commercial banks in New York City and Dublin are authorized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Applicable Law to remain closed.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“Calendar Quarter” </w:t>
      </w:r>
      <w:r>
        <w:rPr>
          <w:rFonts w:ascii="Arial" w:cs="Arial" w:eastAsia="Arial" w:hAnsi="Arial"/>
          <w:sz w:val="18"/>
          <w:szCs w:val="18"/>
          <w:color w:val="auto"/>
        </w:rPr>
        <w:t>means the 3-month period ended March 31, June 30, September 30 or December 31,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“Calendar Year” </w:t>
      </w:r>
      <w:r>
        <w:rPr>
          <w:rFonts w:ascii="Arial" w:cs="Arial" w:eastAsia="Arial" w:hAnsi="Arial"/>
          <w:sz w:val="18"/>
          <w:szCs w:val="18"/>
          <w:color w:val="auto"/>
        </w:rPr>
        <w:t>means the 12-month period from January 1 through December 31.</w:t>
      </w:r>
    </w:p>
    <w:p>
      <w:pPr>
        <w:spacing w:after="0" w:line="17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Change in Law</w:t>
      </w:r>
      <w:r>
        <w:rPr>
          <w:rFonts w:ascii="Arial" w:cs="Arial" w:eastAsia="Arial" w:hAnsi="Arial"/>
          <w:sz w:val="15"/>
          <w:szCs w:val="15"/>
          <w:color w:val="auto"/>
        </w:rPr>
        <w:t>” means any change in, or repeal, withdrawal, adoption or issuance of, any statute, law, rule, regulation, ordinance, order, decision, decree, judgment, ruling, policy, notice, interpretation, position or published guidance of any Governmental Authority that Seller or its advisors reasonably believe could affect the actual or potential applicability of, or Seller’s actual or potential liability for, any withholding Tax with respect to payments to Purchaser hereunder.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w:t>
      </w:r>
    </w:p>
    <w:p>
      <w:pPr>
        <w:sectPr>
          <w:pgSz w:w="11900" w:h="16838" w:orient="portrait"/>
          <w:cols w:equalWidth="0" w:num="1">
            <w:col w:w="11420"/>
          </w:cols>
          <w:pgMar w:left="240" w:top="280" w:right="239" w:bottom="1440" w:gutter="0" w:footer="0" w:header="0"/>
        </w:sectPr>
      </w:pPr>
    </w:p>
    <w:bookmarkStart w:id="151" w:name="page152"/>
    <w:bookmarkEnd w:id="151"/>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means:</w:t>
      </w:r>
    </w:p>
    <w:p>
      <w:pPr>
        <w:spacing w:after="0" w:line="171" w:lineRule="exact"/>
        <w:rPr>
          <w:sz w:val="20"/>
          <w:szCs w:val="20"/>
          <w:color w:val="auto"/>
        </w:rPr>
      </w:pPr>
    </w:p>
    <w:p>
      <w:pPr>
        <w:ind w:right="300" w:firstLine="921"/>
        <w:spacing w:after="0" w:line="256" w:lineRule="auto"/>
        <w:tabs>
          <w:tab w:leader="none" w:pos="1161"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 xml:space="preserve">the acquisition at any time by a “person” or “group” (as such terms are used in Sections 13(d) and 14(d)(2) of the Securities Exchange Act of 1934, as in effect on the Effective Date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who or which are the beneficial owners (as defined in Rule 13(d)-3 under the Exchange Act), directly or indirectly, of securities representing more than 50% of the combined voting power in the election of directors of the then outstanding securities of Seller or Parent or any successor of Seller or Parent;</w:t>
      </w:r>
    </w:p>
    <w:p>
      <w:pPr>
        <w:spacing w:after="0" w:line="143" w:lineRule="exact"/>
        <w:rPr>
          <w:rFonts w:ascii="Arial" w:cs="Arial" w:eastAsia="Arial" w:hAnsi="Arial"/>
          <w:sz w:val="18"/>
          <w:szCs w:val="18"/>
          <w:b w:val="1"/>
          <w:bCs w:val="1"/>
          <w:color w:val="auto"/>
        </w:rPr>
      </w:pPr>
    </w:p>
    <w:p>
      <w:pPr>
        <w:ind w:right="160" w:firstLine="921"/>
        <w:spacing w:after="0" w:line="370" w:lineRule="auto"/>
        <w:tabs>
          <w:tab w:leader="none" w:pos="1171" w:val="left"/>
        </w:tabs>
        <w:numPr>
          <w:ilvl w:val="0"/>
          <w:numId w:val="126"/>
        </w:numPr>
        <w:rPr>
          <w:rFonts w:ascii="Arial" w:cs="Arial" w:eastAsia="Arial" w:hAnsi="Arial"/>
          <w:sz w:val="15"/>
          <w:szCs w:val="15"/>
          <w:b w:val="1"/>
          <w:bCs w:val="1"/>
          <w:color w:val="auto"/>
        </w:rPr>
      </w:pPr>
      <w:r>
        <w:rPr>
          <w:rFonts w:ascii="Arial" w:cs="Arial" w:eastAsia="Arial" w:hAnsi="Arial"/>
          <w:sz w:val="15"/>
          <w:szCs w:val="15"/>
          <w:color w:val="auto"/>
        </w:rPr>
        <w:t>consummation of any assignment, sale or disposition of all or substantially all of the assets of Seller or Parent (other than any such assignment, sale or disposition by Parent to any of its subsidiaries) or all or substantially all of the Product that is not a license agreement pursuant to subsection (e) below;</w:t>
      </w:r>
    </w:p>
    <w:p>
      <w:pPr>
        <w:spacing w:after="0" w:line="62" w:lineRule="exact"/>
        <w:rPr>
          <w:rFonts w:ascii="Arial" w:cs="Arial" w:eastAsia="Arial" w:hAnsi="Arial"/>
          <w:sz w:val="15"/>
          <w:szCs w:val="15"/>
          <w:b w:val="1"/>
          <w:bCs w:val="1"/>
          <w:color w:val="auto"/>
        </w:rPr>
      </w:pPr>
    </w:p>
    <w:p>
      <w:pPr>
        <w:ind w:firstLine="921"/>
        <w:spacing w:after="0" w:line="259" w:lineRule="auto"/>
        <w:tabs>
          <w:tab w:leader="none" w:pos="1152"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consummation of any merger, consolidation, or statutory share exchange to which Seller or Parent is a party, as a result of which the Persons who were stockholders immediately prior to the effective date of the merger, consolidation or share exchange shall have beneficial ownership of less than 50% of the combined voting power in the election of directors of the surviving corporation;</w:t>
      </w:r>
    </w:p>
    <w:p>
      <w:pPr>
        <w:spacing w:after="0" w:line="140" w:lineRule="exact"/>
        <w:rPr>
          <w:rFonts w:ascii="Arial" w:cs="Arial" w:eastAsia="Arial" w:hAnsi="Arial"/>
          <w:sz w:val="18"/>
          <w:szCs w:val="18"/>
          <w:b w:val="1"/>
          <w:bCs w:val="1"/>
          <w:color w:val="auto"/>
        </w:rPr>
      </w:pPr>
    </w:p>
    <w:p>
      <w:pPr>
        <w:ind w:right="280" w:firstLine="921"/>
        <w:spacing w:after="0" w:line="268" w:lineRule="auto"/>
        <w:tabs>
          <w:tab w:leader="none" w:pos="1171"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consummation by Seller or Parent of any sale or disposition, directly or indirectly, of any of the Collateral or any interest therein to any Third Person, including by operation of law or otherwise, except as permitted under this Agreement; or</w:t>
      </w:r>
    </w:p>
    <w:p>
      <w:pPr>
        <w:spacing w:after="0" w:line="131" w:lineRule="exact"/>
        <w:rPr>
          <w:rFonts w:ascii="Arial" w:cs="Arial" w:eastAsia="Arial" w:hAnsi="Arial"/>
          <w:sz w:val="18"/>
          <w:szCs w:val="18"/>
          <w:b w:val="1"/>
          <w:bCs w:val="1"/>
          <w:color w:val="auto"/>
        </w:rPr>
      </w:pPr>
    </w:p>
    <w:p>
      <w:pPr>
        <w:ind w:right="100" w:firstLine="921"/>
        <w:spacing w:after="0" w:line="268" w:lineRule="auto"/>
        <w:tabs>
          <w:tab w:leader="none" w:pos="1152"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the grant by Seller or Parent or any of its Affiliates at any time during the Payment Period to a Third Person of a license to market, offer for sale and sell Product in the U.S. if, and only if, at the time entry into such license Purchaser has not been paid [***].</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Notwithstanding anything to the foregoing, a “Change of Control” shall not include (and nothing herein shall prohibit) a merger or other transaction solely involving Parent and its Affiliates for the purposes of changing the jurisdiction of organization or taxation of the Parent.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Clinical Indications</w:t>
      </w:r>
      <w:r>
        <w:rPr>
          <w:rFonts w:ascii="Arial" w:cs="Arial" w:eastAsia="Arial" w:hAnsi="Arial"/>
          <w:sz w:val="18"/>
          <w:szCs w:val="18"/>
          <w:color w:val="auto"/>
        </w:rPr>
        <w:t>” means collectively, the ANCHOR Clinical Indication and the MARINE Clinical Indication</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Clinical Trials</w:t>
      </w:r>
      <w:r>
        <w:rPr>
          <w:rFonts w:ascii="Arial" w:cs="Arial" w:eastAsia="Arial" w:hAnsi="Arial"/>
          <w:sz w:val="16"/>
          <w:szCs w:val="16"/>
          <w:color w:val="auto"/>
        </w:rPr>
        <w:t>” means collectively, the ANCHOR Clinical Trials and the MARINE Clinical Trials. For clarity, the REDUCE-IT clinical studies and any other clinical trial or investigation of the Product conducted by or on behalf of Seller during the Payment Period shall not be deemed “Clinical Trials”.</w:t>
      </w:r>
    </w:p>
    <w:p>
      <w:pPr>
        <w:spacing w:after="0" w:line="8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Clinical Updates</w:t>
      </w:r>
      <w:r>
        <w:rPr>
          <w:rFonts w:ascii="Arial" w:cs="Arial" w:eastAsia="Arial" w:hAnsi="Arial"/>
          <w:sz w:val="18"/>
          <w:szCs w:val="18"/>
          <w:color w:val="auto"/>
        </w:rPr>
        <w:t>” means material information and developments with respect to each Clinical Trial, including, without limitation, any regulatory submissions made to, and correspondence received from, the FDA, or corresponding Governmental Entity in a foreign country, with respect to the number of patient deaths that have occurred in such Clinical Trial, including any patient deaths attributed to a Product, and requests to the FDA, or corresponding Governmental Authority in a foreign country, for any Regulatory Approval.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A-3</w:t>
      </w:r>
    </w:p>
    <w:p>
      <w:pPr>
        <w:sectPr>
          <w:pgSz w:w="11900" w:h="16838" w:orient="portrait"/>
          <w:cols w:equalWidth="0" w:num="1">
            <w:col w:w="11380"/>
          </w:cols>
          <w:pgMar w:left="240" w:top="279" w:right="279" w:bottom="1440" w:gutter="0" w:footer="0" w:header="0"/>
        </w:sectPr>
      </w:pPr>
    </w:p>
    <w:bookmarkStart w:id="152" w:name="page153"/>
    <w:bookmarkEnd w:id="152"/>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“Closing”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“Closing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“Collateral” </w:t>
      </w:r>
      <w:r>
        <w:rPr>
          <w:rFonts w:ascii="Arial" w:cs="Arial" w:eastAsia="Arial" w:hAnsi="Arial"/>
          <w:sz w:val="16"/>
          <w:szCs w:val="16"/>
          <w:color w:val="auto"/>
        </w:rPr>
        <w:t>means the Additional Collateral and, in the event of a Recharacterization, the Additional Collateral plus the Purchased Receivables.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Combination Product</w:t>
      </w:r>
      <w:r>
        <w:rPr>
          <w:rFonts w:ascii="Arial" w:cs="Arial" w:eastAsia="Arial" w:hAnsi="Arial"/>
          <w:sz w:val="16"/>
          <w:szCs w:val="16"/>
          <w:color w:val="auto"/>
        </w:rPr>
        <w:t>” means any Product that includes at least one additional active ingredient other than icosapent ethyl or another omega-3 fatty</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acid. Drug delivery vehicles, adjuvants, and excipients shall not be deemed to be “active ingredients”, except in the case where such delivery vehicle, adjuvant, or excipient is recognized as an active ingredient in accordance with applicable FDA regulations.</w:t>
      </w:r>
    </w:p>
    <w:p>
      <w:pPr>
        <w:spacing w:after="0" w:line="13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 Updates</w:t>
      </w:r>
      <w:r>
        <w:rPr>
          <w:rFonts w:ascii="Arial" w:cs="Arial" w:eastAsia="Arial" w:hAnsi="Arial"/>
          <w:sz w:val="18"/>
          <w:szCs w:val="18"/>
          <w:color w:val="auto"/>
        </w:rPr>
        <w:t>” means material information and developments with respect to the Seller’s Commercialization plans and prospects for the Product, including, without limitation, a summary of significant marketing activities with respect to the Product; a summary of any material supply chain and manufacturing matters; and information with respect to any Marketing Approvals obtained for such Product.</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Commercialization</w:t>
      </w:r>
      <w:r>
        <w:rPr>
          <w:rFonts w:ascii="Arial" w:cs="Arial" w:eastAsia="Arial" w:hAnsi="Arial"/>
          <w:sz w:val="18"/>
          <w:szCs w:val="18"/>
          <w:color w:val="auto"/>
        </w:rPr>
        <w:t>” means any and all activities directed to the manufacture, distribution, marketing, detailing, promotion, selling and securing of reimbursement of any product after Marketing Approval has been obtained (including without limitation making, using, importing, selling and offering for sale any product), and shall include post-Marketing Approval studies, post-launch marketing, promoting, detailing, marketing research, distributing, customer service, selling a product, importing, exporting or transporting a product for sale, and regulatory compliance with respect to the foregoing. When used as a verb, “Commercialize” shall mean to engage in Commercialization.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CRO</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Irish Companies Registration Office.</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“Damages” </w:t>
      </w:r>
      <w:r>
        <w:rPr>
          <w:rFonts w:ascii="Arial" w:cs="Arial" w:eastAsia="Arial" w:hAnsi="Arial"/>
          <w:sz w:val="16"/>
          <w:szCs w:val="16"/>
          <w:color w:val="auto"/>
        </w:rPr>
        <w:t>means any loss, damage, Liability, claim, demand, settlement amount, judgment, award, fine, penalty, Tax, fee (including any reasonable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expert fee, accounting fee or advisory fee), charge, cost (including any reasonable cost of investigation and court cost) or expense of any nature.</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“EBITDA” </w:t>
      </w:r>
      <w:r>
        <w:rPr>
          <w:rFonts w:ascii="Arial" w:cs="Arial" w:eastAsia="Arial" w:hAnsi="Arial"/>
          <w:sz w:val="16"/>
          <w:szCs w:val="16"/>
          <w:color w:val="auto"/>
        </w:rPr>
        <w:t>means, for such period determined on a consolidated basis in accordance with GAAP, net profit or loss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duplication and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extent deducted in determining net profit or loss) (a) interest expense net of interest income, (b) provision for income taxes and (c) depreciation, amortization and stock-based compensation and other similar non-cash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included in EBITDA and without duplication,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A-4</w:t>
      </w:r>
    </w:p>
    <w:p>
      <w:pPr>
        <w:sectPr>
          <w:pgSz w:w="11900" w:h="16838" w:orient="portrait"/>
          <w:cols w:equalWidth="0" w:num="1">
            <w:col w:w="11380"/>
          </w:cols>
          <w:pgMar w:left="240" w:top="280" w:right="279" w:bottom="1440" w:gutter="0" w:footer="0" w:header="0"/>
        </w:sectPr>
      </w:pPr>
    </w:p>
    <w:bookmarkStart w:id="153" w:name="page154"/>
    <w:bookmarkEnd w:id="153"/>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following shall be excluded: (i) extraordinary gains and losses and unusual or non-recurring income or charges, (ii) currency translation gains and losses related to currency remeasurements of Indebtedness and (iii) fair value non-cash gains or losses of swaps, derivatives or similar arrangements.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has the meaning set forth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“EMEA” </w:t>
      </w:r>
      <w:r>
        <w:rPr>
          <w:rFonts w:ascii="Arial" w:cs="Arial" w:eastAsia="Arial" w:hAnsi="Arial"/>
          <w:sz w:val="18"/>
          <w:szCs w:val="18"/>
          <w:color w:val="auto"/>
        </w:rPr>
        <w:t>means the European Medicines Agency or any successor agency thereto.</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“Encumbrance” </w:t>
      </w:r>
      <w:r>
        <w:rPr>
          <w:rFonts w:ascii="Arial" w:cs="Arial" w:eastAsia="Arial" w:hAnsi="Arial"/>
          <w:sz w:val="18"/>
          <w:szCs w:val="18"/>
          <w:color w:val="auto"/>
        </w:rPr>
        <w:t>means any lien, charge, security interest, mortgage, option, pledge, assignment or any other encumbrance of any Person of any 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whatsoever.</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“Enforcement Action” </w:t>
      </w:r>
      <w:r>
        <w:rPr>
          <w:rFonts w:ascii="Arial" w:cs="Arial" w:eastAsia="Arial" w:hAnsi="Arial"/>
          <w:sz w:val="16"/>
          <w:szCs w:val="16"/>
          <w:color w:val="auto"/>
        </w:rPr>
        <w:t>means any Proceeding brought, or assertion made, by Seller (whether as plaintiff or by means of counterclaim) against any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 relating to arising out of any infringement, misuse or misappropriation by such Third Person of any Vascepa Patent Rights.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EPO”</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European Patent Office.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European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those Patents with a description of “Europe” under the heading “Jurisdiction” on Schedule 3.1(m).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means each of the following events or occurrences:</w:t>
      </w:r>
    </w:p>
    <w:p>
      <w:pPr>
        <w:spacing w:after="0" w:line="171" w:lineRule="exact"/>
        <w:rPr>
          <w:sz w:val="20"/>
          <w:szCs w:val="20"/>
          <w:color w:val="auto"/>
        </w:rPr>
      </w:pPr>
    </w:p>
    <w:p>
      <w:pPr>
        <w:ind w:right="100" w:firstLine="921"/>
        <w:spacing w:after="0" w:line="259" w:lineRule="auto"/>
        <w:tabs>
          <w:tab w:leader="none" w:pos="1161"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failure of Seller to deliver or cause to be delivered to Purchaser any Scheduled Quarterly Amount or Quarterly Cap, as applicable, when and as such payment is due and payable in accordance with the terms of this Agreement and such failure is not cured within 30 days after written notice thereof is given to Seller by Purchaser;</w:t>
      </w:r>
    </w:p>
    <w:p>
      <w:pPr>
        <w:spacing w:after="0" w:line="140" w:lineRule="exact"/>
        <w:rPr>
          <w:rFonts w:ascii="Arial" w:cs="Arial" w:eastAsia="Arial" w:hAnsi="Arial"/>
          <w:sz w:val="18"/>
          <w:szCs w:val="18"/>
          <w:b w:val="1"/>
          <w:bCs w:val="1"/>
          <w:color w:val="auto"/>
        </w:rPr>
      </w:pPr>
    </w:p>
    <w:p>
      <w:pPr>
        <w:ind w:right="360" w:firstLine="921"/>
        <w:spacing w:after="0" w:line="268" w:lineRule="auto"/>
        <w:tabs>
          <w:tab w:leader="none" w:pos="1171"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 xml:space="preserve">failure of Seller to deliver any of the deliverables to Purchaser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such failure is not cured within [***] after written notice thereof is given to Seller by Purchaser;</w:t>
      </w:r>
    </w:p>
    <w:p>
      <w:pPr>
        <w:spacing w:after="0" w:line="131" w:lineRule="exact"/>
        <w:rPr>
          <w:rFonts w:ascii="Arial" w:cs="Arial" w:eastAsia="Arial" w:hAnsi="Arial"/>
          <w:sz w:val="18"/>
          <w:szCs w:val="18"/>
          <w:b w:val="1"/>
          <w:bCs w:val="1"/>
          <w:color w:val="auto"/>
        </w:rPr>
      </w:pPr>
    </w:p>
    <w:p>
      <w:pPr>
        <w:ind w:right="680" w:firstLine="921"/>
        <w:spacing w:after="0" w:line="268" w:lineRule="auto"/>
        <w:tabs>
          <w:tab w:leader="none" w:pos="1152"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 xml:space="preserve">Breach of the covenants in </w:t>
      </w:r>
      <w:r>
        <w:rPr>
          <w:rFonts w:ascii="Arial" w:cs="Arial" w:eastAsia="Arial" w:hAnsi="Arial"/>
          <w:sz w:val="18"/>
          <w:szCs w:val="18"/>
          <w:u w:val="single" w:color="auto"/>
          <w:color w:val="auto"/>
        </w:rPr>
        <w:t>Section 4.4(a)</w:t>
      </w:r>
      <w:r>
        <w:rPr>
          <w:rFonts w:ascii="Arial" w:cs="Arial" w:eastAsia="Arial" w:hAnsi="Arial"/>
          <w:sz w:val="18"/>
          <w:szCs w:val="18"/>
          <w:color w:val="auto"/>
        </w:rPr>
        <w:t xml:space="preserve"> (or, solely as it relates thereto, </w:t>
      </w:r>
      <w:r>
        <w:rPr>
          <w:rFonts w:ascii="Arial" w:cs="Arial" w:eastAsia="Arial" w:hAnsi="Arial"/>
          <w:sz w:val="18"/>
          <w:szCs w:val="18"/>
          <w:u w:val="single" w:color="auto"/>
          <w:color w:val="auto"/>
        </w:rPr>
        <w:t>Section 4.4(e)</w:t>
      </w:r>
      <w:r>
        <w:rPr>
          <w:rFonts w:ascii="Arial" w:cs="Arial" w:eastAsia="Arial" w:hAnsi="Arial"/>
          <w:sz w:val="18"/>
          <w:szCs w:val="18"/>
          <w:color w:val="auto"/>
        </w:rPr>
        <w:t>) and such Breach is not cured within [***] of the occurrence of such Breach;</w:t>
      </w:r>
    </w:p>
    <w:p>
      <w:pPr>
        <w:spacing w:after="0" w:line="13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An Amarin Party becomes subject to a Bankruptcy Event; and</w:t>
      </w:r>
    </w:p>
    <w:p>
      <w:pPr>
        <w:spacing w:after="0" w:line="171" w:lineRule="exact"/>
        <w:rPr>
          <w:rFonts w:ascii="Arial" w:cs="Arial" w:eastAsia="Arial" w:hAnsi="Arial"/>
          <w:sz w:val="18"/>
          <w:szCs w:val="18"/>
          <w:b w:val="1"/>
          <w:bCs w:val="1"/>
          <w:color w:val="auto"/>
        </w:rPr>
      </w:pPr>
    </w:p>
    <w:p>
      <w:pPr>
        <w:ind w:right="40" w:firstLine="921"/>
        <w:spacing w:after="0" w:line="306" w:lineRule="auto"/>
        <w:tabs>
          <w:tab w:leader="none" w:pos="1152"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Purchaser shall fail to have a first-priority perfected security interest (subject to Permitted Encumbrances) under the UCC (or any comparable law) of all applicable jurisdictions in the United States and Ireland in any of the Additional Collateral to the extent required under the Transaction Documents and such first-priority perfected security interest is not restored within [***] after written notice thereof is given to Seller by Purchaser.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“Existing In-License”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3.1(i)</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w:t>
      </w:r>
    </w:p>
    <w:p>
      <w:pPr>
        <w:sectPr>
          <w:pgSz w:w="11900" w:h="16838" w:orient="portrait"/>
          <w:cols w:equalWidth="0" w:num="1">
            <w:col w:w="11420"/>
          </w:cols>
          <w:pgMar w:left="240" w:top="280" w:right="239" w:bottom="1440" w:gutter="0" w:footer="0" w:header="0"/>
        </w:sectPr>
      </w:pPr>
    </w:p>
    <w:bookmarkStart w:id="154" w:name="page155"/>
    <w:bookmarkEnd w:id="154"/>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“FDA” </w:t>
      </w:r>
      <w:r>
        <w:rPr>
          <w:rFonts w:ascii="Arial" w:cs="Arial" w:eastAsia="Arial" w:hAnsi="Arial"/>
          <w:sz w:val="18"/>
          <w:szCs w:val="18"/>
          <w:color w:val="auto"/>
        </w:rPr>
        <w:t>means the United States Food and Drug Administration and any successor entity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FFDCA</w:t>
      </w:r>
      <w:r>
        <w:rPr>
          <w:rFonts w:ascii="Arial" w:cs="Arial" w:eastAsia="Arial" w:hAnsi="Arial"/>
          <w:sz w:val="18"/>
          <w:szCs w:val="18"/>
          <w:color w:val="auto"/>
        </w:rPr>
        <w:t>” means the Federal Food, Drug, and Cosmetic Act.</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 xml:space="preserve">“Funded Activities” </w:t>
      </w:r>
      <w:r>
        <w:rPr>
          <w:rFonts w:ascii="Arial" w:cs="Arial" w:eastAsia="Arial" w:hAnsi="Arial"/>
          <w:sz w:val="15"/>
          <w:szCs w:val="15"/>
          <w:color w:val="auto"/>
        </w:rPr>
        <w:t>means any and all activities, efforts and services performed in furtherance of the research, discovery, development, commercialization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exploitation of Product, including the purchase of materials, general and administrative expenses, corporate infrastructure and corporate overhead.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means United States generally accepted accounting principles, consistently applied throughout Seller’s organization.</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“Governmental Authority” </w:t>
      </w:r>
      <w:r>
        <w:rPr>
          <w:rFonts w:ascii="Arial" w:cs="Arial" w:eastAsia="Arial" w:hAnsi="Arial"/>
          <w:sz w:val="18"/>
          <w:szCs w:val="18"/>
          <w:color w:val="auto"/>
        </w:rPr>
        <w:t>means the government of the United States, any other nation or any political subdivision thereof, whether state or local,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agency, authority (including supranational authority), instrumentality, regulatory body, court, central bank or other Person exercising executive, legislative, judicial, taxing, regulatory or administrative powers or functions of or pertaining to government.</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“Guaranty” </w:t>
      </w:r>
      <w:r>
        <w:rPr>
          <w:rFonts w:ascii="Arial" w:cs="Arial" w:eastAsia="Arial" w:hAnsi="Arial"/>
          <w:sz w:val="18"/>
          <w:szCs w:val="18"/>
          <w:color w:val="auto"/>
        </w:rPr>
        <w:t>of any Person means any obligation, contingent or otherwise, of such Person (a) to pay any Indebtedness of any other Person or to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protect, or having the practical effect of protecting, the holder of any such Indebtedness against loss (whether such obligation arises by virtue of such Person being a partner of a partnership or participant in a joint venture or by agreement to pay, to keep well, to purchase assets, goods, securities or services or to take or pay, or otherwise) or (b) incurred in connection with the issuance by a Third Person of a Guaranty of any Indebtedness of any other Person (whether such obligation arises by agreement to reimburse or indemnify such Third Person or otherwise). The word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 xml:space="preserve"> when used as a verb has the correlative meaning.</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Guaranteed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Improvements</w:t>
      </w:r>
      <w:r>
        <w:rPr>
          <w:rFonts w:ascii="Arial" w:cs="Arial" w:eastAsia="Arial" w:hAnsi="Arial"/>
          <w:sz w:val="18"/>
          <w:szCs w:val="18"/>
          <w:color w:val="auto"/>
        </w:rPr>
        <w:t>” means any improvement, invention or discovery relating to the composition, manufacture, use or sale of a Product, an active ingredient therein, the formulation of such Product, or a derivative of any of the foregoing</w:t>
      </w:r>
    </w:p>
    <w:p>
      <w:pPr>
        <w:spacing w:after="0" w:line="132"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b w:val="1"/>
          <w:bCs w:val="1"/>
          <w:i w:val="1"/>
          <w:iCs w:val="1"/>
          <w:color w:val="auto"/>
        </w:rPr>
        <w:t xml:space="preserve">“Indebtedness” </w:t>
      </w:r>
      <w:r>
        <w:rPr>
          <w:rFonts w:ascii="Arial" w:cs="Arial" w:eastAsia="Arial" w:hAnsi="Arial"/>
          <w:sz w:val="15"/>
          <w:szCs w:val="15"/>
          <w:color w:val="auto"/>
        </w:rPr>
        <w:t>of any Person means (a) any obligation of such Person for borrowed money, (b) any obligation of such Person evidenced by a bond,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debenture, note or other similar instrument, (c) any obligation of such Person to pay the deferred purchase price of property or services (except (i) trade account payable that arise in the ordinary course of business, (ii) payroll liabilities and deferred compensation, and (iii) any purchase price adjustment, royalty, earnout, milestone, contingent or deferred payment obligations, in each case pursuant to this subsection (iii) incurred in connection with an acquisition or In-License),</w:t>
      </w:r>
    </w:p>
    <w:p>
      <w:pPr>
        <w:spacing w:after="0" w:line="3" w:lineRule="exact"/>
        <w:rPr>
          <w:sz w:val="20"/>
          <w:szCs w:val="20"/>
          <w:color w:val="auto"/>
        </w:rPr>
      </w:pPr>
    </w:p>
    <w:p>
      <w:pPr>
        <w:ind w:right="300" w:firstLine="8"/>
        <w:spacing w:after="0" w:line="255" w:lineRule="auto"/>
        <w:tabs>
          <w:tab w:leader="none" w:pos="2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obligation of such Person as lessee under a capital lease (under GAAP as in effect on the date hereof), (e) any Mandatorily Redeemable Stock of such Person, (f) any obligation of such Person to purchase securities or other property that arises out of or in connection with the sale of the same or substantially similar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A-6</w:t>
      </w:r>
    </w:p>
    <w:p>
      <w:pPr>
        <w:sectPr>
          <w:pgSz w:w="11900" w:h="16838" w:orient="portrait"/>
          <w:cols w:equalWidth="0" w:num="1">
            <w:col w:w="11380"/>
          </w:cols>
          <w:pgMar w:left="240" w:top="280" w:right="279" w:bottom="1440" w:gutter="0" w:footer="0" w:header="0"/>
        </w:sectPr>
      </w:pPr>
    </w:p>
    <w:bookmarkStart w:id="155" w:name="page156"/>
    <w:bookmarkEnd w:id="155"/>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securities or property, (g) any non-contingent obligation of such Person to reimburse any other Person in respect of amounts paid under a letter of credit or other Guaranty issued by such other Person, (h) any Indebtedness of others secured by an Encumbrance on any asset of such Person and (i) any Indebtedness of others Guaranteed by such Person; provided that intercompany loans among the Amarin Parties and their Affiliates shall not constitute Indebtedness.</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“In-License” </w:t>
      </w:r>
      <w:r>
        <w:rPr>
          <w:rFonts w:ascii="Arial" w:cs="Arial" w:eastAsia="Arial" w:hAnsi="Arial"/>
          <w:sz w:val="18"/>
          <w:szCs w:val="18"/>
          <w:color w:val="auto"/>
        </w:rPr>
        <w:t>means any license or other agreement between Seller or any of its Affiliates and any Third Person pursuant to which Seller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obtains a license, a right, a covenant not to sue or similar grant of rights, or an option to obtain any such grants of rights, to any Vascepa Product Right that is or was necessary or useful for the research, development, use or Commercialization of the Product. For clarity, Manufacturing Agreements shall not be deemed “In-Licenses”.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“Intellectual Property Charge Agreements” </w:t>
      </w:r>
      <w:r>
        <w:rPr>
          <w:rFonts w:ascii="Arial" w:cs="Arial" w:eastAsia="Arial" w:hAnsi="Arial"/>
          <w:sz w:val="16"/>
          <w:szCs w:val="16"/>
          <w:color w:val="auto"/>
        </w:rPr>
        <w:t>means the Irish Intellectual Property Charge Agreement and the US Patent Security Agreement.</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Updates</w:t>
      </w:r>
      <w:r>
        <w:rPr>
          <w:rFonts w:ascii="Arial" w:cs="Arial" w:eastAsia="Arial" w:hAnsi="Arial"/>
          <w:sz w:val="16"/>
          <w:szCs w:val="16"/>
          <w:color w:val="auto"/>
        </w:rPr>
        <w:t>” means any new Patents issued or patent applications filed, amended or supplemented, relating to the Product in a Major Country, any final rejections or abandonments with respect to any of the Vascepa Patent Rights, any third party submissions, requests for reexamination, or oppositions filed, and any other material information or developments with respect to the Vascepa Product Rights.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“Irish Intellectual Property Charge Agreement” </w:t>
      </w:r>
      <w:r>
        <w:rPr>
          <w:rFonts w:ascii="Arial" w:cs="Arial" w:eastAsia="Arial" w:hAnsi="Arial"/>
          <w:sz w:val="16"/>
          <w:szCs w:val="16"/>
          <w:color w:val="auto"/>
        </w:rPr>
        <w:t>means the Irish law Intellectual Property Charge Agreement to be agreed by the Parties.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Judgment</w:t>
      </w:r>
      <w:r>
        <w:rPr>
          <w:rFonts w:ascii="Arial" w:cs="Arial" w:eastAsia="Arial" w:hAnsi="Arial"/>
          <w:sz w:val="18"/>
          <w:szCs w:val="18"/>
          <w:color w:val="auto"/>
        </w:rPr>
        <w:t>” means any judgment, order, writ, injunction, citation, award or decree of any nature.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means [***].</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“Liability” </w:t>
      </w:r>
      <w:r>
        <w:rPr>
          <w:rFonts w:ascii="Arial" w:cs="Arial" w:eastAsia="Arial" w:hAnsi="Arial"/>
          <w:sz w:val="16"/>
          <w:szCs w:val="16"/>
          <w:color w:val="auto"/>
        </w:rPr>
        <w:t>of any Person means (in each case, whether with full or limited recourse) any indebtedness, liability, obligation, covenant or duty of or 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or any term or condition to be observed by or binding upon, such Person or any of its assets, of any kind, nature or description, direct or indirect, absolute or contingent, due or not due, contractual or tortious, liquidated or unliquidated, whether arising under contract, Applicable Law, or otherwise, whether now existing or hereafter arising, and whether for the payment of money or the performance or non-performance of any act.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Country</w:t>
      </w:r>
      <w:r>
        <w:rPr>
          <w:rFonts w:ascii="Arial" w:cs="Arial" w:eastAsia="Arial" w:hAnsi="Arial"/>
          <w:sz w:val="18"/>
          <w:szCs w:val="18"/>
          <w:color w:val="auto"/>
        </w:rPr>
        <w:t>” means any of [***]</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“Mandatorily Redeemable Stock” </w:t>
      </w:r>
      <w:r>
        <w:rPr>
          <w:rFonts w:ascii="Arial" w:cs="Arial" w:eastAsia="Arial" w:hAnsi="Arial"/>
          <w:sz w:val="18"/>
          <w:szCs w:val="18"/>
          <w:color w:val="auto"/>
        </w:rPr>
        <w:t>means, with respect to any Person, any share of such Person’s capital stock to the extent that it is (a) redeemable,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or required to be purchased or otherwise retired or extinguished, or convertible into any Indebtedness or other Liability of such Person, (i) at a fixed or determinable date, whether by operation of a sinking fund or otherwise, (ii) at the option of any Person other than such Person or (iii) upon the occurrence of a condition not solely within the control of such Person, such as a redemption required to be made out of future earnings or (b) convertible into shares of such Person’s capital stock described in subsection (a) above.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Annex A-7</w:t>
      </w:r>
    </w:p>
    <w:p>
      <w:pPr>
        <w:sectPr>
          <w:pgSz w:w="11900" w:h="16838" w:orient="portrait"/>
          <w:cols w:equalWidth="0" w:num="1">
            <w:col w:w="11320"/>
          </w:cols>
          <w:pgMar w:left="240" w:top="280" w:right="339" w:bottom="1440" w:gutter="0" w:footer="0" w:header="0"/>
        </w:sectPr>
      </w:pPr>
    </w:p>
    <w:bookmarkStart w:id="156" w:name="page157"/>
    <w:bookmarkEnd w:id="156"/>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Manufacturing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3.1(k)</w:t>
      </w:r>
      <w:r>
        <w:rPr>
          <w:rFonts w:ascii="Arial" w:cs="Arial" w:eastAsia="Arial" w:hAnsi="Arial"/>
          <w:sz w:val="18"/>
          <w:szCs w:val="18"/>
          <w:color w:val="auto"/>
        </w:rPr>
        <w: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Approval</w:t>
      </w:r>
      <w:r>
        <w:rPr>
          <w:rFonts w:ascii="Arial" w:cs="Arial" w:eastAsia="Arial" w:hAnsi="Arial"/>
          <w:sz w:val="18"/>
          <w:szCs w:val="18"/>
          <w:color w:val="auto"/>
        </w:rPr>
        <w:t>” means the approval of an NDA by the FDA necessary for the Commercialization of a pharmaceutical product in the United States (or, in a country other than the United States, the equivalent necessary approval(s) by applicable Governmental Entities for Commercialization of a pharmaceutical product in such country).</w:t>
      </w:r>
    </w:p>
    <w:p>
      <w:pPr>
        <w:spacing w:after="0" w:line="134"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Material Adverse Effect</w:t>
      </w:r>
      <w:r>
        <w:rPr>
          <w:rFonts w:ascii="Arial" w:cs="Arial" w:eastAsia="Arial" w:hAnsi="Arial"/>
          <w:sz w:val="15"/>
          <w:szCs w:val="15"/>
          <w:b w:val="1"/>
          <w:bCs w:val="1"/>
          <w:color w:val="auto"/>
        </w:rPr>
        <w:t xml:space="preserve">” </w:t>
      </w:r>
      <w:r>
        <w:rPr>
          <w:rFonts w:ascii="Arial" w:cs="Arial" w:eastAsia="Arial" w:hAnsi="Arial"/>
          <w:sz w:val="15"/>
          <w:szCs w:val="15"/>
          <w:color w:val="auto"/>
        </w:rPr>
        <w:t>means a material adverse effect on: (a) the validity or enforceability of any of the Transaction Documents; (b) the back-up</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security interest granted pursuant to </w:t>
      </w:r>
      <w:r>
        <w:rPr>
          <w:rFonts w:ascii="Arial" w:cs="Arial" w:eastAsia="Arial" w:hAnsi="Arial"/>
          <w:sz w:val="15"/>
          <w:szCs w:val="15"/>
          <w:u w:val="single" w:color="auto"/>
          <w:color w:val="auto"/>
        </w:rPr>
        <w:t>Section 4.8</w:t>
      </w:r>
      <w:r>
        <w:rPr>
          <w:rFonts w:ascii="Arial" w:cs="Arial" w:eastAsia="Arial" w:hAnsi="Arial"/>
          <w:sz w:val="15"/>
          <w:szCs w:val="15"/>
          <w:color w:val="auto"/>
        </w:rPr>
        <w:t xml:space="preserve">; (c) the security interest granted pursuant to </w:t>
      </w:r>
      <w:r>
        <w:rPr>
          <w:rFonts w:ascii="Arial" w:cs="Arial" w:eastAsia="Arial" w:hAnsi="Arial"/>
          <w:sz w:val="15"/>
          <w:szCs w:val="15"/>
          <w:u w:val="single" w:color="auto"/>
          <w:color w:val="auto"/>
        </w:rPr>
        <w:t>Section 4.9</w:t>
      </w:r>
      <w:r>
        <w:rPr>
          <w:rFonts w:ascii="Arial" w:cs="Arial" w:eastAsia="Arial" w:hAnsi="Arial"/>
          <w:sz w:val="15"/>
          <w:szCs w:val="15"/>
          <w:color w:val="auto"/>
        </w:rPr>
        <w:t>; (d) the right or ability of each Amarin Party to grant any of the rights or perform any of its material obligations under any of the Transaction Documents or to consummate any of the transactions contemplated thereby;</w:t>
      </w:r>
    </w:p>
    <w:p>
      <w:pPr>
        <w:spacing w:after="0" w:line="1" w:lineRule="exact"/>
        <w:rPr>
          <w:sz w:val="20"/>
          <w:szCs w:val="20"/>
          <w:color w:val="auto"/>
        </w:rPr>
      </w:pPr>
    </w:p>
    <w:p>
      <w:pPr>
        <w:ind w:firstLine="8"/>
        <w:spacing w:after="0" w:line="254" w:lineRule="auto"/>
        <w:tabs>
          <w:tab w:leader="none" w:pos="2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rights and remedies of Purchaser under any of the Transaction Documents; (f) the right of Purchaser to receive a Scheduled Quarterly Amount payment or the timing, amount or duration of such payment of Scheduled Quarterly Amount; (g) the Purchased Receivables or any of Purchaser’s right, title and interest therein, thereto and thereunder pursuant to this Agreement; or (h) Seller’s title to or control of, or the validity or enforceability of, any of the Vascepa Product Rights.</w:t>
      </w:r>
    </w:p>
    <w:p>
      <w:pPr>
        <w:spacing w:after="0" w:line="14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NDA</w:t>
      </w:r>
      <w:r>
        <w:rPr>
          <w:rFonts w:ascii="Arial" w:cs="Arial" w:eastAsia="Arial" w:hAnsi="Arial"/>
          <w:sz w:val="16"/>
          <w:szCs w:val="16"/>
          <w:color w:val="auto"/>
        </w:rPr>
        <w:t>” means a new drug application (as such term is used under the FFDCA), or other applicable pharmaceutical approval submission to the FDA for Marketing Approval (or, in a country other than the U.S., the equivalent necessary submissions to the applicable Governmental Entity for Marketing Approval).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means [***]</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“Outstanding Threshold Amount” </w:t>
      </w:r>
      <w:r>
        <w:rPr>
          <w:rFonts w:ascii="Arial" w:cs="Arial" w:eastAsia="Arial" w:hAnsi="Arial"/>
          <w:sz w:val="18"/>
          <w:szCs w:val="18"/>
          <w:color w:val="auto"/>
        </w:rPr>
        <w:t>means an amount equal to, when taken together with the cumulative amount of cash paid by Seller (or its Affiliates,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and actually received by Purchaser under this Agreement prior to such occurrence, the Threshold Amount.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“Party”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“Parties” </w:t>
      </w:r>
      <w:r>
        <w:rPr>
          <w:rFonts w:ascii="Arial" w:cs="Arial" w:eastAsia="Arial" w:hAnsi="Arial"/>
          <w:sz w:val="18"/>
          <w:szCs w:val="18"/>
          <w:color w:val="auto"/>
        </w:rPr>
        <w:t>has the meaning set forth in the Preamble</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“Patents” </w:t>
      </w:r>
      <w:r>
        <w:rPr>
          <w:rFonts w:ascii="Arial" w:cs="Arial" w:eastAsia="Arial" w:hAnsi="Arial"/>
          <w:sz w:val="16"/>
          <w:szCs w:val="16"/>
          <w:color w:val="auto"/>
        </w:rPr>
        <w:t>means all patents and patent applications existing as of the Effective Date and all patent applications filed or patents issued hereafter,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continuation, continuation-in-part, division, provisional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Annex A-8</w:t>
      </w:r>
    </w:p>
    <w:p>
      <w:pPr>
        <w:sectPr>
          <w:pgSz w:w="11900" w:h="16838" w:orient="portrait"/>
          <w:cols w:equalWidth="0" w:num="1">
            <w:col w:w="11340"/>
          </w:cols>
          <w:pgMar w:left="240" w:top="280" w:right="319" w:bottom="1440" w:gutter="0" w:footer="0" w:header="0"/>
        </w:sectPr>
      </w:pPr>
    </w:p>
    <w:bookmarkStart w:id="157" w:name="page158"/>
    <w:bookmarkEnd w:id="157"/>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Period” </w:t>
      </w:r>
      <w:r>
        <w:rPr>
          <w:rFonts w:ascii="Arial" w:cs="Arial" w:eastAsia="Arial" w:hAnsi="Arial"/>
          <w:sz w:val="18"/>
          <w:szCs w:val="18"/>
          <w:color w:val="auto"/>
        </w:rPr>
        <w:t>means the period of time commencing on October 1, 2013 and ending on the Threshold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“Permitted Encumbrances” </w:t>
      </w:r>
      <w:r>
        <w:rPr>
          <w:rFonts w:ascii="Arial" w:cs="Arial" w:eastAsia="Arial" w:hAnsi="Arial"/>
          <w:sz w:val="18"/>
          <w:szCs w:val="18"/>
          <w:color w:val="auto"/>
        </w:rPr>
        <w:t>means:</w:t>
      </w:r>
    </w:p>
    <w:p>
      <w:pPr>
        <w:spacing w:after="0" w:line="171" w:lineRule="exact"/>
        <w:rPr>
          <w:sz w:val="20"/>
          <w:szCs w:val="20"/>
          <w:color w:val="auto"/>
        </w:rPr>
      </w:pPr>
    </w:p>
    <w:p>
      <w:pPr>
        <w:ind w:left="1160" w:hanging="239"/>
        <w:spacing w:after="0"/>
        <w:tabs>
          <w:tab w:leader="none" w:pos="1160"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Encumbrances created in favor of Purchaser pursuant to this Agreement;</w:t>
      </w:r>
    </w:p>
    <w:p>
      <w:pPr>
        <w:spacing w:after="0" w:line="171" w:lineRule="exact"/>
        <w:rPr>
          <w:rFonts w:ascii="Arial" w:cs="Arial" w:eastAsia="Arial" w:hAnsi="Arial"/>
          <w:sz w:val="18"/>
          <w:szCs w:val="18"/>
          <w:b w:val="1"/>
          <w:bCs w:val="1"/>
          <w:color w:val="auto"/>
        </w:rPr>
      </w:pPr>
    </w:p>
    <w:p>
      <w:pPr>
        <w:ind w:right="360" w:firstLine="921"/>
        <w:spacing w:after="0" w:line="268" w:lineRule="auto"/>
        <w:tabs>
          <w:tab w:leader="none" w:pos="1171"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inchoate Encumbrances for Taxes not yet delinquent or Encumbrances for Taxes which are being contested in good faith and by appropriate proceedings and for which adequate reserves have been established in accordance with GAAP;</w:t>
      </w:r>
    </w:p>
    <w:p>
      <w:pPr>
        <w:spacing w:after="0" w:line="131" w:lineRule="exact"/>
        <w:rPr>
          <w:rFonts w:ascii="Arial" w:cs="Arial" w:eastAsia="Arial" w:hAnsi="Arial"/>
          <w:sz w:val="18"/>
          <w:szCs w:val="18"/>
          <w:b w:val="1"/>
          <w:bCs w:val="1"/>
          <w:color w:val="auto"/>
        </w:rPr>
      </w:pPr>
    </w:p>
    <w:p>
      <w:pPr>
        <w:jc w:val="both"/>
        <w:ind w:right="100" w:firstLine="921"/>
        <w:spacing w:after="0" w:line="256" w:lineRule="auto"/>
        <w:tabs>
          <w:tab w:leader="none" w:pos="1152"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Encumbrances in respect of property of Seller imposed by Applicable Law which were incurred in the ordinary course of business and do not secure Indebtedness for borrowed money, such as carriers’, warehousemen’s, distributors’, wholesalers’, materialmen’s and mechanics’ liens and other similar Encumbrances arising in the ordinary course of business and which do not in the aggregate materially detract from the value of the property of Seller and do not materially impair the use thereof in the operation of the business of Seller;</w:t>
      </w:r>
    </w:p>
    <w:p>
      <w:pPr>
        <w:spacing w:after="0" w:line="143" w:lineRule="exact"/>
        <w:rPr>
          <w:rFonts w:ascii="Arial" w:cs="Arial" w:eastAsia="Arial" w:hAnsi="Arial"/>
          <w:sz w:val="18"/>
          <w:szCs w:val="18"/>
          <w:b w:val="1"/>
          <w:bCs w:val="1"/>
          <w:color w:val="auto"/>
        </w:rPr>
      </w:pPr>
    </w:p>
    <w:p>
      <w:pPr>
        <w:ind w:right="20" w:firstLine="921"/>
        <w:spacing w:after="0" w:line="283" w:lineRule="auto"/>
        <w:tabs>
          <w:tab w:leader="none" w:pos="1171" w:val="left"/>
        </w:tabs>
        <w:numPr>
          <w:ilvl w:val="1"/>
          <w:numId w:val="130"/>
        </w:numPr>
        <w:rPr>
          <w:rFonts w:ascii="Arial" w:cs="Arial" w:eastAsia="Arial" w:hAnsi="Arial"/>
          <w:sz w:val="16"/>
          <w:szCs w:val="16"/>
          <w:b w:val="1"/>
          <w:bCs w:val="1"/>
          <w:color w:val="auto"/>
        </w:rPr>
      </w:pPr>
      <w:r>
        <w:rPr>
          <w:rFonts w:ascii="Arial" w:cs="Arial" w:eastAsia="Arial" w:hAnsi="Arial"/>
          <w:sz w:val="16"/>
          <w:szCs w:val="16"/>
          <w:color w:val="auto"/>
        </w:rPr>
        <w:t>Encumbrances (i) imposed by Applicable Law or deposits made in connection therewith in the ordinary course of business in connection with workers’ compensation, unemployment insurance and other types of social security legislation, (ii) incurred in the ordinary course of business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w:t>
      </w:r>
    </w:p>
    <w:p>
      <w:pPr>
        <w:spacing w:after="0" w:line="2" w:lineRule="exact"/>
        <w:rPr>
          <w:rFonts w:ascii="Arial" w:cs="Arial" w:eastAsia="Arial" w:hAnsi="Arial"/>
          <w:sz w:val="16"/>
          <w:szCs w:val="16"/>
          <w:b w:val="1"/>
          <w:bCs w:val="1"/>
          <w:color w:val="auto"/>
        </w:rPr>
      </w:pPr>
    </w:p>
    <w:p>
      <w:pPr>
        <w:ind w:firstLine="8"/>
        <w:spacing w:after="0" w:line="288" w:lineRule="auto"/>
        <w:tabs>
          <w:tab w:leader="none" w:pos="3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arising by virtue of deposits made in the ordinary course of business to secure liability for premiums to insurance carriers imposed by Applicable Law or deposits made in connection therewith in the ordinary course of business in connection with workers’ compensation, unemployment insurance and other types of social security legislation; provided, however, that, in the case of each of subclauses (i), (ii) and (iii) of this clause (d), (A) such Encumbrances are for amounts not yet due and payable or delinquent or, to the extent such amounts are so due and payable, such amounts are being contested in good faith and by appropriate proceedings and such contest is effective under Applicable Law to stay any attempt by the holder of such Encumbrance to realize thereon and for which adequate reserves have been established in accordance with GAAP; and (ii) to the extent such Encumbrances are not imposed by Applicable Law, such Liens shall in no event encumber any property other than cash and cash equivalents; and</w:t>
      </w:r>
    </w:p>
    <w:p>
      <w:pPr>
        <w:spacing w:after="0" w:line="122" w:lineRule="exact"/>
        <w:rPr>
          <w:rFonts w:ascii="Arial" w:cs="Arial" w:eastAsia="Arial" w:hAnsi="Arial"/>
          <w:sz w:val="16"/>
          <w:szCs w:val="16"/>
          <w:color w:val="auto"/>
        </w:rPr>
      </w:pPr>
    </w:p>
    <w:p>
      <w:pPr>
        <w:ind w:right="400" w:firstLine="921"/>
        <w:spacing w:after="0" w:line="332" w:lineRule="auto"/>
        <w:tabs>
          <w:tab w:leader="none" w:pos="1152" w:val="left"/>
        </w:tabs>
        <w:numPr>
          <w:ilvl w:val="1"/>
          <w:numId w:val="131"/>
        </w:numPr>
        <w:rPr>
          <w:rFonts w:ascii="Arial" w:cs="Arial" w:eastAsia="Arial" w:hAnsi="Arial"/>
          <w:sz w:val="16"/>
          <w:szCs w:val="16"/>
          <w:b w:val="1"/>
          <w:bCs w:val="1"/>
          <w:color w:val="auto"/>
        </w:rPr>
      </w:pPr>
      <w:r>
        <w:rPr>
          <w:rFonts w:ascii="Arial" w:cs="Arial" w:eastAsia="Arial" w:hAnsi="Arial"/>
          <w:sz w:val="16"/>
          <w:szCs w:val="16"/>
          <w:color w:val="auto"/>
        </w:rPr>
        <w:t>Encumbrances, consisting of the rights of licensors or licensees, existing on the date of this Agreement or granted or created in the ordinary course of business after the date of this Agreement, in each such case pursuant to an In-License or a Permitted License.</w:t>
      </w:r>
    </w:p>
    <w:p>
      <w:pPr>
        <w:spacing w:after="0" w:line="85" w:lineRule="exact"/>
        <w:rPr>
          <w:rFonts w:ascii="Arial" w:cs="Arial" w:eastAsia="Arial" w:hAnsi="Arial"/>
          <w:sz w:val="16"/>
          <w:szCs w:val="16"/>
          <w:b w:val="1"/>
          <w:bCs w:val="1"/>
          <w:color w:val="auto"/>
        </w:rPr>
      </w:pPr>
    </w:p>
    <w:p>
      <w:pPr>
        <w:ind w:right="200" w:firstLine="921"/>
        <w:spacing w:after="0" w:line="259" w:lineRule="auto"/>
        <w:tabs>
          <w:tab w:leader="none" w:pos="1132"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banker’s liens, rights of set-off or similar rights and remedies as to deposit accounts or other funds maintained with depository institutions; provided that such deposit accounts or funds are not established or deposited for the purpose of providing collateral for any Indebtedness and are not subject to restrictions on access by Seller in excess of those required by applicable banking regulations;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Annex A-9</w:t>
      </w:r>
    </w:p>
    <w:p>
      <w:pPr>
        <w:sectPr>
          <w:pgSz w:w="11900" w:h="16838" w:orient="portrait"/>
          <w:cols w:equalWidth="0" w:num="1">
            <w:col w:w="11360"/>
          </w:cols>
          <w:pgMar w:left="240" w:top="280" w:right="299" w:bottom="1440" w:gutter="0" w:footer="0" w:header="0"/>
        </w:sectPr>
      </w:pPr>
    </w:p>
    <w:bookmarkStart w:id="158" w:name="page159"/>
    <w:bookmarkEnd w:id="158"/>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160" w:firstLine="921"/>
        <w:spacing w:after="0" w:line="268" w:lineRule="auto"/>
        <w:tabs>
          <w:tab w:leader="none" w:pos="1161"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Encumbrances arising by virtue of UCC financing statement filings (or similar filings under applicable law) regarding operating leases entered into by the Borrower and the Subsidiaries in the ordinary course of business;</w:t>
      </w:r>
    </w:p>
    <w:p>
      <w:pPr>
        <w:spacing w:after="0" w:line="131" w:lineRule="exact"/>
        <w:rPr>
          <w:rFonts w:ascii="Arial" w:cs="Arial" w:eastAsia="Arial" w:hAnsi="Arial"/>
          <w:sz w:val="18"/>
          <w:szCs w:val="18"/>
          <w:b w:val="1"/>
          <w:bCs w:val="1"/>
          <w:color w:val="auto"/>
        </w:rPr>
      </w:pPr>
    </w:p>
    <w:p>
      <w:pPr>
        <w:ind w:right="720" w:firstLine="921"/>
        <w:spacing w:after="0" w:line="332" w:lineRule="auto"/>
        <w:tabs>
          <w:tab w:leader="none" w:pos="1171"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Encumbrances solely on any cash earnest money deposits, escrow arrangements or similar arrangements made by any Amarin Party in connection with any letter of intent or purchase agreement for any merger, consolidation, acquisition or other transaction permitted hereunder; and</w:t>
      </w:r>
    </w:p>
    <w:p>
      <w:pPr>
        <w:spacing w:after="0" w:line="85" w:lineRule="exact"/>
        <w:rPr>
          <w:rFonts w:ascii="Arial" w:cs="Arial" w:eastAsia="Arial" w:hAnsi="Arial"/>
          <w:sz w:val="16"/>
          <w:szCs w:val="16"/>
          <w:b w:val="1"/>
          <w:bCs w:val="1"/>
          <w:color w:val="auto"/>
        </w:rPr>
      </w:pPr>
    </w:p>
    <w:p>
      <w:pPr>
        <w:ind w:left="1140" w:hanging="219"/>
        <w:spacing w:after="0"/>
        <w:tabs>
          <w:tab w:leader="none" w:pos="114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Deposits or other cash used to collateralize any Permitted Indebtedness or Permitted Encumbrance under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clauses (a) – (g) of this definition of Permitted Encumbrance, and any other cash deposits in the ordinary course of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Indebtedness</w:t>
      </w:r>
      <w:r>
        <w:rPr>
          <w:rFonts w:ascii="Arial" w:cs="Arial" w:eastAsia="Arial" w:hAnsi="Arial"/>
          <w:sz w:val="18"/>
          <w:szCs w:val="18"/>
          <w:color w:val="auto"/>
        </w:rPr>
        <w:t>” means:</w:t>
      </w:r>
    </w:p>
    <w:p>
      <w:pPr>
        <w:spacing w:after="0" w:line="171" w:lineRule="exact"/>
        <w:rPr>
          <w:sz w:val="20"/>
          <w:szCs w:val="20"/>
          <w:color w:val="auto"/>
        </w:rPr>
      </w:pPr>
    </w:p>
    <w:p>
      <w:pPr>
        <w:ind w:left="700" w:hanging="2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in respect of capital leases or otherwise incurred to acquire equipment and capital assets;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with respect to surety and performance bonds and similar obligations arising in the ordinary course of business;</w:t>
      </w:r>
    </w:p>
    <w:p>
      <w:pPr>
        <w:spacing w:after="0" w:line="17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consisting of the endorsement of negotiable instruments for deposit or collection or similar transactions in the ordinary course of business consistent with past practice;</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consisting of intercompany journal entries made in connection with cost sharing or transfer pricing transactions, provided that all such transactions are cashless;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Indebtedness incurred in connection with Seller’s corporate credit cards issued by companies or financial institutions in the ordinary course of business;</w:t>
      </w:r>
    </w:p>
    <w:p>
      <w:pPr>
        <w:spacing w:after="0" w:line="205" w:lineRule="exact"/>
        <w:rPr>
          <w:rFonts w:ascii="Arial" w:cs="Arial" w:eastAsia="Arial" w:hAnsi="Arial"/>
          <w:sz w:val="15"/>
          <w:szCs w:val="15"/>
          <w:color w:val="auto"/>
        </w:rPr>
      </w:pPr>
    </w:p>
    <w:p>
      <w:pPr>
        <w:ind w:firstLine="464"/>
        <w:spacing w:after="0" w:line="259" w:lineRule="auto"/>
        <w:tabs>
          <w:tab w:leader="none" w:pos="67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in respect of letters of credit, bank guarantees and similar instruments issued for the account of any Amarin Party in the ordinary course of business supporting obligations under (A) workers’ compensation, unemployment insurance and other social security laws and (B) bids, trade contracts, leases, statutory obligations, surety and appeal bonds, performance bonds and obligations of a like nature;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customer advances or deposits received in the ordinary course of business;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A-10</w:t>
      </w:r>
    </w:p>
    <w:p>
      <w:pPr>
        <w:sectPr>
          <w:pgSz w:w="11900" w:h="16838" w:orient="portrait"/>
          <w:cols w:equalWidth="0" w:num="1">
            <w:col w:w="11360"/>
          </w:cols>
          <w:pgMar w:left="240" w:top="280" w:right="299" w:bottom="1440" w:gutter="0" w:footer="0" w:header="0"/>
        </w:sectPr>
      </w:pPr>
    </w:p>
    <w:bookmarkStart w:id="159" w:name="page160"/>
    <w:bookmarkEnd w:id="159"/>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firstLine="464"/>
        <w:spacing w:after="0" w:line="332" w:lineRule="auto"/>
        <w:tabs>
          <w:tab w:leader="none" w:pos="66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Senior Notes;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inventory or receivable financing in a principal amount not to exceed [***];</w:t>
      </w:r>
    </w:p>
    <w:p>
      <w:pPr>
        <w:spacing w:after="0" w:line="171" w:lineRule="exact"/>
        <w:rPr>
          <w:rFonts w:ascii="Arial" w:cs="Arial" w:eastAsia="Arial" w:hAnsi="Arial"/>
          <w:sz w:val="18"/>
          <w:szCs w:val="18"/>
          <w:color w:val="auto"/>
        </w:rPr>
      </w:pPr>
    </w:p>
    <w:p>
      <w:pPr>
        <w:ind w:right="320" w:firstLine="464"/>
        <w:spacing w:after="0" w:line="306" w:lineRule="auto"/>
        <w:tabs>
          <w:tab w:leader="none" w:pos="66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 up to [***], including the Senior Notes, in unsecured Indebtedness with a maturity date after [***] and not redeemable at the option of the holder before [***] (other than customary offers to repurchase such Indebtedness upon a change of control or “fundamental change” and other than settlement upon conversion of convertible Indebtedness), which shall not be issued or guaranteed by Seller (the </w:t>
      </w:r>
      <w:r>
        <w:rPr>
          <w:rFonts w:ascii="Arial" w:cs="Arial" w:eastAsia="Arial" w:hAnsi="Arial"/>
          <w:sz w:val="16"/>
          <w:szCs w:val="16"/>
          <w:b w:val="1"/>
          <w:bCs w:val="1"/>
          <w:i w:val="1"/>
          <w:iCs w:val="1"/>
          <w:color w:val="auto"/>
        </w:rPr>
        <w:t>“Initial Unsecured Debt”</w:t>
      </w:r>
      <w:r>
        <w:rPr>
          <w:rFonts w:ascii="Arial" w:cs="Arial" w:eastAsia="Arial" w:hAnsi="Arial"/>
          <w:sz w:val="16"/>
          <w:szCs w:val="16"/>
          <w:color w:val="auto"/>
        </w:rPr>
        <w:t>); and</w:t>
      </w:r>
    </w:p>
    <w:p>
      <w:pPr>
        <w:spacing w:after="0" w:line="106" w:lineRule="exact"/>
        <w:rPr>
          <w:rFonts w:ascii="Arial" w:cs="Arial" w:eastAsia="Arial" w:hAnsi="Arial"/>
          <w:sz w:val="16"/>
          <w:szCs w:val="16"/>
          <w:color w:val="auto"/>
        </w:rPr>
      </w:pPr>
    </w:p>
    <w:p>
      <w:pPr>
        <w:ind w:right="220" w:firstLine="921"/>
        <w:spacing w:after="0" w:line="256" w:lineRule="auto"/>
        <w:tabs>
          <w:tab w:leader="none" w:pos="117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additional unsecured Indebtedness with a maturity date after [***] and not redeemable at the option of the holder before [***] (other than customary offers to repurchase such Indebtedness upon a change of control or “fundamental change” and other than settlement upon conversion of convertible Indebtedness), which shall not be issued or guaranteed by Seller (the </w:t>
      </w:r>
      <w:r>
        <w:rPr>
          <w:rFonts w:ascii="Arial" w:cs="Arial" w:eastAsia="Arial" w:hAnsi="Arial"/>
          <w:sz w:val="18"/>
          <w:szCs w:val="18"/>
          <w:b w:val="1"/>
          <w:bCs w:val="1"/>
          <w:i w:val="1"/>
          <w:iCs w:val="1"/>
          <w:color w:val="auto"/>
        </w:rPr>
        <w:t>“Incremental Unsecured Debt”</w:t>
      </w:r>
      <w:r>
        <w:rPr>
          <w:rFonts w:ascii="Arial" w:cs="Arial" w:eastAsia="Arial" w:hAnsi="Arial"/>
          <w:sz w:val="18"/>
          <w:szCs w:val="18"/>
          <w:color w:val="auto"/>
        </w:rPr>
        <w:t>); provided that the Incremental Unsecured Debt shall not exceed [***];</w:t>
      </w:r>
    </w:p>
    <w:p>
      <w:pPr>
        <w:spacing w:after="0" w:line="143" w:lineRule="exact"/>
        <w:rPr>
          <w:rFonts w:ascii="Arial" w:cs="Arial" w:eastAsia="Arial" w:hAnsi="Arial"/>
          <w:sz w:val="18"/>
          <w:szCs w:val="18"/>
          <w:color w:val="auto"/>
        </w:rPr>
      </w:pPr>
    </w:p>
    <w:p>
      <w:pPr>
        <w:ind w:right="40" w:firstLine="464"/>
        <w:spacing w:after="0" w:line="306" w:lineRule="auto"/>
        <w:tabs>
          <w:tab w:leader="none" w:pos="75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Royalty financings, provided that (i) the royalties sold or so financed shall not exceed [***], (ii) no scheduled interest or principal payments shall be made pursuant to such financings unless the Company has, at the time of such payments, paid all then due and payable Scheduled Quarterly Amounts and (iii) the Amarin Parties shall have provided Purchaser at least [***] prior written notice of the consummation of any such financing;</w:t>
      </w:r>
    </w:p>
    <w:p>
      <w:pPr>
        <w:spacing w:after="0" w:line="106" w:lineRule="exact"/>
        <w:rPr>
          <w:rFonts w:ascii="Arial" w:cs="Arial" w:eastAsia="Arial" w:hAnsi="Arial"/>
          <w:sz w:val="16"/>
          <w:szCs w:val="16"/>
          <w:color w:val="auto"/>
        </w:rPr>
      </w:pPr>
    </w:p>
    <w:p>
      <w:pPr>
        <w:ind w:right="300" w:firstLine="464"/>
        <w:spacing w:after="0" w:line="256"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Indebtedness incurred to finance acquisitions (including Indebtedness acquired in connection with any acquisition) or to finance the purchase, construction or other acquisition of manufacturing capacity provided that Purchaser shall have consent to the incurrence (or acquisition) of such Indebtedness, which consent is not to be reasonably withheld or delayed (it being agreed that Purchaser may take into account its economic interest in receiving Scheduled Quarterly Amounts in providing or refusing to provide any such consent); and</w:t>
      </w:r>
    </w:p>
    <w:p>
      <w:pPr>
        <w:spacing w:after="0" w:line="143"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Extensions, refinancings and renewals of any items of Permitted Indebtedness, provided that the principal amount is not increased or the terms modified to impose more burdensome terms upon such Amarin Party, as the case may be.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Permitted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Permitted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77" w:lineRule="exact"/>
        <w:rPr>
          <w:sz w:val="20"/>
          <w:szCs w:val="20"/>
          <w:color w:val="auto"/>
        </w:rPr>
      </w:pPr>
    </w:p>
    <w:p>
      <w:pPr>
        <w:ind w:right="7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means any natural person, firm, corporation, limited liability company, partnership, joint venture, association,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joint-stock company, trust, unincorporated organization, Governmental Authority or any other legal entity, including public bodies, whether acting in an individual, fiduciary or other capacity.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w:t>
      </w:r>
    </w:p>
    <w:p>
      <w:pPr>
        <w:sectPr>
          <w:pgSz w:w="11900" w:h="16838" w:orient="portrait"/>
          <w:cols w:equalWidth="0" w:num="1">
            <w:col w:w="11420"/>
          </w:cols>
          <w:pgMar w:left="240" w:top="280" w:right="239" w:bottom="1440" w:gutter="0" w:footer="0" w:header="0"/>
        </w:sectPr>
      </w:pPr>
    </w:p>
    <w:bookmarkStart w:id="160" w:name="page161"/>
    <w:bookmarkEnd w:id="160"/>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“Pharmakon”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“Proceeding” </w:t>
      </w:r>
      <w:r>
        <w:rPr>
          <w:rFonts w:ascii="Arial" w:cs="Arial" w:eastAsia="Arial" w:hAnsi="Arial"/>
          <w:sz w:val="16"/>
          <w:szCs w:val="16"/>
          <w:color w:val="auto"/>
        </w:rPr>
        <w:t>means any action, suit, claim, litigation, arbitration, mediation, proceeding (including any civil, criminal, administrative, investigative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appellate proceeding and any informal proceeding), prosecution, contest, hearing, inquiry, inquest, audit, examination or investigation commenced, brought, conducted or heard by or before, or otherwise involving, any Governmental Authority, any arbitrator or arbitration panel or any mediator.</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“Product” </w:t>
      </w:r>
      <w:r>
        <w:rPr>
          <w:rFonts w:ascii="Arial" w:cs="Arial" w:eastAsia="Arial" w:hAnsi="Arial"/>
          <w:sz w:val="18"/>
          <w:szCs w:val="18"/>
          <w:color w:val="auto"/>
        </w:rPr>
        <w:t>means icosapent ethyl (including icosapent ethyl currently marketed as VASCEPA</w:t>
      </w:r>
      <w:r>
        <w:rPr>
          <w:rFonts w:ascii="Arial" w:cs="Arial" w:eastAsia="Arial" w:hAnsi="Arial"/>
          <w:sz w:val="11"/>
          <w:szCs w:val="11"/>
          <w:color w:val="auto"/>
        </w:rPr>
        <w:t>®</w:t>
      </w:r>
      <w:r>
        <w:rPr>
          <w:rFonts w:ascii="Arial" w:cs="Arial" w:eastAsia="Arial" w:hAnsi="Arial"/>
          <w:sz w:val="18"/>
          <w:szCs w:val="18"/>
          <w:color w:val="auto"/>
        </w:rPr>
        <w:t>) and any derivative or Improvement thereof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comprising icosapent ethyl as the primary active ingredient.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“PTO” </w:t>
      </w:r>
      <w:r>
        <w:rPr>
          <w:rFonts w:ascii="Arial" w:cs="Arial" w:eastAsia="Arial" w:hAnsi="Arial"/>
          <w:sz w:val="18"/>
          <w:szCs w:val="18"/>
          <w:color w:val="auto"/>
        </w:rPr>
        <w:t>means the United States Patent and Trademark Office.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“Purchase Price”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“Purchased Receivables” </w:t>
      </w:r>
      <w:r>
        <w:rPr>
          <w:rFonts w:ascii="Arial" w:cs="Arial" w:eastAsia="Arial" w:hAnsi="Arial"/>
          <w:sz w:val="18"/>
          <w:szCs w:val="18"/>
          <w:color w:val="auto"/>
        </w:rPr>
        <w:t>means (a) each payment of Scheduled Quarterly Amounts and (b) any Scheduled Quarterly Amount underpayments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monetary recoveries resulting from an audit of Seller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(c) any interest on any amounts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payable by Seller to Purchaser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irrespective of any amounts which may be payable by Seller or any of its Affiliates to Third Persons.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“Purchaser” </w:t>
      </w:r>
      <w:r>
        <w:rPr>
          <w:rFonts w:ascii="Arial" w:cs="Arial" w:eastAsia="Arial" w:hAnsi="Arial"/>
          <w:sz w:val="18"/>
          <w:szCs w:val="18"/>
          <w:color w:val="auto"/>
        </w:rPr>
        <w:t>has the meaning set forth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“Quarterly Cap”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“Quarterly Cap Event Quarter”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“Quarterly Reports”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“Recharacterization”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“Regulatory Approvals” </w:t>
      </w:r>
      <w:r>
        <w:rPr>
          <w:rFonts w:ascii="Arial" w:cs="Arial" w:eastAsia="Arial" w:hAnsi="Arial"/>
          <w:sz w:val="16"/>
          <w:szCs w:val="16"/>
          <w:color w:val="auto"/>
        </w:rPr>
        <w:t>means the New Drug Application, Abbreviated New Drug Application, Biologics License Application, or similar application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required to be filed by Seller with the appropriate Governmental Authority (e.g., the FDA in the United States; the EMEA in Europe) to obtain approval to market a Product in the relevant jurisdiction and issued (or to be issued) in the name of Seller (or its Affiliates), and any amendments or supplements thereto.</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Resource Allocation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means the U.S. Securities and Exchange Commission and any successor entity thereto.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Seller</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 the Preamble.</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Annex A-12</w:t>
      </w:r>
    </w:p>
    <w:p>
      <w:pPr>
        <w:sectPr>
          <w:pgSz w:w="11900" w:h="16838" w:orient="portrait"/>
          <w:cols w:equalWidth="0" w:num="1">
            <w:col w:w="11320"/>
          </w:cols>
          <w:pgMar w:left="240" w:top="280" w:right="339" w:bottom="1440" w:gutter="0" w:footer="0" w:header="0"/>
        </w:sectPr>
      </w:pPr>
    </w:p>
    <w:bookmarkStart w:id="161" w:name="page162"/>
    <w:bookmarkEnd w:id="161"/>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Senior Notes</w:t>
      </w:r>
      <w:r>
        <w:rPr>
          <w:rFonts w:ascii="Arial" w:cs="Arial" w:eastAsia="Arial" w:hAnsi="Arial"/>
          <w:sz w:val="16"/>
          <w:szCs w:val="16"/>
          <w:color w:val="auto"/>
        </w:rPr>
        <w:t>” means $150,000,000 principal amount 3.50% exchangeable senior notes due in 2032 issued by Corsicanto Limited, an Affiliate of Seller.</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SNDA</w:t>
      </w:r>
      <w:r>
        <w:rPr>
          <w:rFonts w:ascii="Arial" w:cs="Arial" w:eastAsia="Arial" w:hAnsi="Arial"/>
          <w:sz w:val="18"/>
          <w:szCs w:val="18"/>
          <w:color w:val="auto"/>
        </w:rPr>
        <w:t>” means a Supplemental New Drug Application filed with the FDA or the equivalent application filed with any equivalent agency or governmental authority outside the United States (including any supra-national agency such as in the European Union) requiring such filing.</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present or future tax, levy, impost, duty, assessment, charge, fee, deduction or withholding of any nature and whatever called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penalties thereon and any additions thereto) by any Governmental Authority, on whomsoever and wherever imposed, levied, collected, withheld or assessed.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xml:space="preserve"> of this Agreement will be as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“Termination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“Territory” </w:t>
      </w:r>
      <w:r>
        <w:rPr>
          <w:rFonts w:ascii="Arial" w:cs="Arial" w:eastAsia="Arial" w:hAnsi="Arial"/>
          <w:sz w:val="18"/>
          <w:szCs w:val="18"/>
          <w:color w:val="auto"/>
        </w:rPr>
        <w:t>means worldwide.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“Third Person” </w:t>
      </w:r>
      <w:r>
        <w:rPr>
          <w:rFonts w:ascii="Arial" w:cs="Arial" w:eastAsia="Arial" w:hAnsi="Arial"/>
          <w:sz w:val="18"/>
          <w:szCs w:val="18"/>
          <w:color w:val="auto"/>
        </w:rPr>
        <w:t>means any Person other than the Parties or their respective Affiliates.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“Threshold Amount” </w:t>
      </w:r>
      <w:r>
        <w:rPr>
          <w:rFonts w:ascii="Arial" w:cs="Arial" w:eastAsia="Arial" w:hAnsi="Arial"/>
          <w:sz w:val="18"/>
          <w:szCs w:val="18"/>
          <w:color w:val="auto"/>
        </w:rPr>
        <w:t>equals $150,000,000.</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Threshold Date</w:t>
      </w:r>
      <w:r>
        <w:rPr>
          <w:rFonts w:ascii="Arial" w:cs="Arial" w:eastAsia="Arial" w:hAnsi="Arial"/>
          <w:sz w:val="18"/>
          <w:szCs w:val="18"/>
          <w:color w:val="auto"/>
        </w:rPr>
        <w:t>” means the date on which Purchaser has actually received an aggregate amount of payments on account of the Scheduled Quarterly Payments equal to the Threshold Amount.</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“Transaction Documents” </w:t>
      </w:r>
      <w:r>
        <w:rPr>
          <w:rFonts w:ascii="Arial" w:cs="Arial" w:eastAsia="Arial" w:hAnsi="Arial"/>
          <w:sz w:val="18"/>
          <w:szCs w:val="18"/>
          <w:color w:val="auto"/>
        </w:rPr>
        <w:t>means, collectively, this Agreement, the Intellectual Property Charge Agreements, the Bill of Sale, and any 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or other instrument delivered in connection therewith.</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“UCC” </w:t>
      </w:r>
      <w:r>
        <w:rPr>
          <w:rFonts w:ascii="Arial" w:cs="Arial" w:eastAsia="Arial" w:hAnsi="Arial"/>
          <w:sz w:val="18"/>
          <w:szCs w:val="18"/>
          <w:color w:val="auto"/>
        </w:rPr>
        <w:t>means the Uniform Commercial Code as in effect from time to time in the State of New York;</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financing statement or by reason of any provisions of law, the perfection or the effect of perfection or non-perfection of Purchaser’s ownership interest in the Purchased Receivables, the back-up security interest granted pursuant to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or the security interest granted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is governed by the Uniform Commercial Code as in effect in a jurisdiction of the United States other than the State of New York, then </w:t>
      </w:r>
      <w:r>
        <w:rPr>
          <w:rFonts w:ascii="Arial" w:cs="Arial" w:eastAsia="Arial" w:hAnsi="Arial"/>
          <w:sz w:val="18"/>
          <w:szCs w:val="18"/>
          <w:b w:val="1"/>
          <w:bCs w:val="1"/>
          <w:i w:val="1"/>
          <w:iCs w:val="1"/>
          <w:color w:val="auto"/>
        </w:rPr>
        <w:t>“UCC”</w:t>
      </w:r>
      <w:r>
        <w:rPr>
          <w:rFonts w:ascii="Arial" w:cs="Arial" w:eastAsia="Arial" w:hAnsi="Arial"/>
          <w:sz w:val="18"/>
          <w:szCs w:val="18"/>
          <w:color w:val="auto"/>
        </w:rPr>
        <w:t xml:space="preserve"> shall mean the Uniform Commercial Code as in effect from time to time in such other jurisdiction for purposes of the provisions of this Agreement and any financing statement relating to such perfection or effect of perfection or non-perfection.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“U.S.”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“United States” </w:t>
      </w:r>
      <w:r>
        <w:rPr>
          <w:rFonts w:ascii="Arial" w:cs="Arial" w:eastAsia="Arial" w:hAnsi="Arial"/>
          <w:sz w:val="18"/>
          <w:szCs w:val="18"/>
          <w:color w:val="auto"/>
        </w:rPr>
        <w:t>means the United States of America, its 50 states, each territory thereof and the District of Columbia.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“U.S. Patent Security Agreement” </w:t>
      </w:r>
      <w:r>
        <w:rPr>
          <w:rFonts w:ascii="Arial" w:cs="Arial" w:eastAsia="Arial" w:hAnsi="Arial"/>
          <w:sz w:val="18"/>
          <w:szCs w:val="18"/>
          <w:color w:val="auto"/>
        </w:rPr>
        <w:t>means the U.S. law Patent Security Agreement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Exhibit C.</w:t>
      </w:r>
    </w:p>
    <w:p>
      <w:pPr>
        <w:spacing w:after="0" w:line="1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Annex A-13</w:t>
      </w:r>
    </w:p>
    <w:p>
      <w:pPr>
        <w:sectPr>
          <w:pgSz w:w="11900" w:h="16838" w:orient="portrait"/>
          <w:cols w:equalWidth="0" w:num="1">
            <w:col w:w="11320"/>
          </w:cols>
          <w:pgMar w:left="240" w:top="280" w:right="339" w:bottom="1440" w:gutter="0" w:footer="0" w:header="0"/>
        </w:sectPr>
      </w:pPr>
    </w:p>
    <w:bookmarkStart w:id="162" w:name="page163"/>
    <w:bookmarkEnd w:id="162"/>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“Unaudited Financial Statements”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“Vascepa Patent Rights” </w:t>
      </w:r>
      <w:r>
        <w:rPr>
          <w:rFonts w:ascii="Arial" w:cs="Arial" w:eastAsia="Arial" w:hAnsi="Arial"/>
          <w:sz w:val="16"/>
          <w:szCs w:val="16"/>
          <w:color w:val="auto"/>
        </w:rPr>
        <w:t>means (i) the Patents and patent applications listed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Schedule 3.1(m)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PCT and/or U.S. utility application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claiming priority to such provisional application(s) that are filed on or before the one year conversion date of such application(s)); (ii) any patent or patent application that claims priority to, and is a divisional, continuation, reissue, renewal, reexamination, substitution or extension of, any patent application identified in (i); (iii) any patents issuing on any patent application identified in (i) or (ii), including any reissues, renewals, reexaminations, substitutions or extensions thereof; (iv) any claim of a divisional, continuation or continuation-in-part application or patent (including any reissues, renewals, reexaminations, substitutions or extensions thereof) that is entitled to the priority date of, and is directed specifically to subject matter specifically described in, at least one of the patents or patent applications identified in (i), (ii) or (iii); (v) any foreign counterpart (including PCTs) of any patent or patent application identified in (i), (ii) or (iii) or of the claims identified in (iv); and (vi) any supplementary protection certificates or similar patent term extensions of any patents and patent applications identified in (i) through (v).</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“Vascepa Product Rights” </w:t>
      </w:r>
      <w:r>
        <w:rPr>
          <w:rFonts w:ascii="Arial" w:cs="Arial" w:eastAsia="Arial" w:hAnsi="Arial"/>
          <w:sz w:val="16"/>
          <w:szCs w:val="16"/>
          <w:color w:val="auto"/>
        </w:rPr>
        <w:t>means any and all of the following, as they exist throughout the world: (A) Vascepa Patent Rights; (B) rights in registered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unregistered trademarks, service marks, trade names, trade dress, logos, packaging design, slogans and Internet domain names, and registrations and applications for registration of any of the foregoing, in each case, as related to a Product; (C) copyrights in both published and unpublished works, including without limitation all compilations, databases and computer programs, manuals and other documentation and all copyright registrations and applications, and all derivatives, translations, adaptations and combinations of the above, in each case, as related to a Product; (D) rights in know-how, trade secrets,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 Product; (E) any and all other intellectual property rights and/or proprietary rights specifically relating to any of the foregoing; (F) claims of infringement and misappropriation against Third Parties relating to a Product; and (G) regulatory filings, submissions and approvals related to a Product, including, but not limited to, Vascepa New Drug Application No. N202057 and any supplemental New Drug Application relating thereto, and all data provided in any of the foregoing.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A-14</w:t>
      </w:r>
    </w:p>
    <w:p>
      <w:pPr>
        <w:sectPr>
          <w:pgSz w:w="11900" w:h="16838" w:orient="portrait"/>
          <w:cols w:equalWidth="0" w:num="1">
            <w:col w:w="11400"/>
          </w:cols>
          <w:pgMar w:left="240" w:top="280" w:right="259" w:bottom="1440" w:gutter="0" w:footer="0" w:header="0"/>
        </w:sectPr>
      </w:pPr>
    </w:p>
    <w:bookmarkStart w:id="163" w:name="page164"/>
    <w:bookmarkEnd w:id="163"/>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520" w:type="dxa"/>
            <w:vAlign w:val="bottom"/>
          </w:tcPr>
          <w:p>
            <w:pPr>
              <w:jc w:val="center"/>
              <w:ind w:left="3912"/>
              <w:spacing w:after="0"/>
              <w:rPr>
                <w:sz w:val="20"/>
                <w:szCs w:val="20"/>
                <w:color w:val="auto"/>
              </w:rPr>
            </w:pPr>
            <w:r>
              <w:rPr>
                <w:rFonts w:ascii="Arial" w:cs="Arial" w:eastAsia="Arial" w:hAnsi="Arial"/>
                <w:sz w:val="18"/>
                <w:szCs w:val="18"/>
                <w:b w:val="1"/>
                <w:bCs w:val="1"/>
                <w:color w:val="auto"/>
              </w:rPr>
              <w:t>EXHIBIT A</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378"/>
        </w:trPr>
        <w:tc>
          <w:tcPr>
            <w:tcW w:w="6520" w:type="dxa"/>
            <w:vAlign w:val="bottom"/>
          </w:tcPr>
          <w:p>
            <w:pPr>
              <w:jc w:val="center"/>
              <w:ind w:left="3892"/>
              <w:spacing w:after="0"/>
              <w:rPr>
                <w:sz w:val="20"/>
                <w:szCs w:val="20"/>
                <w:color w:val="auto"/>
              </w:rPr>
            </w:pPr>
            <w:r>
              <w:rPr>
                <w:rFonts w:ascii="Arial" w:cs="Arial" w:eastAsia="Arial" w:hAnsi="Arial"/>
                <w:sz w:val="18"/>
                <w:szCs w:val="18"/>
                <w:b w:val="1"/>
                <w:bCs w:val="1"/>
                <w:color w:val="auto"/>
                <w:w w:val="99"/>
              </w:rPr>
              <w:t>BILL OF SALE</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40"/>
        </w:trPr>
        <w:tc>
          <w:tcPr>
            <w:tcW w:w="6520" w:type="dxa"/>
            <w:vAlign w:val="bottom"/>
          </w:tcPr>
          <w:p>
            <w:pPr>
              <w:spacing w:after="0"/>
              <w:rPr>
                <w:sz w:val="20"/>
                <w:szCs w:val="20"/>
                <w:color w:val="auto"/>
              </w:rPr>
            </w:pPr>
            <w:r>
              <w:rPr>
                <w:rFonts w:ascii="Arial" w:cs="Arial" w:eastAsia="Arial" w:hAnsi="Arial"/>
                <w:sz w:val="18"/>
                <w:szCs w:val="18"/>
                <w:b w:val="1"/>
                <w:bCs w:val="1"/>
                <w:color w:val="auto"/>
                <w:w w:val="91"/>
              </w:rPr>
              <w:t>T</w:t>
            </w:r>
            <w:r>
              <w:rPr>
                <w:rFonts w:ascii="Arial" w:cs="Arial" w:eastAsia="Arial" w:hAnsi="Arial"/>
                <w:sz w:val="14"/>
                <w:szCs w:val="14"/>
                <w:b w:val="1"/>
                <w:bCs w:val="1"/>
                <w:color w:val="auto"/>
                <w:w w:val="91"/>
              </w:rPr>
              <w:t>HIS</w:t>
            </w:r>
            <w:r>
              <w:rPr>
                <w:rFonts w:ascii="Arial" w:cs="Arial" w:eastAsia="Arial" w:hAnsi="Arial"/>
                <w:sz w:val="18"/>
                <w:szCs w:val="18"/>
                <w:b w:val="1"/>
                <w:bCs w:val="1"/>
                <w:color w:val="auto"/>
                <w:w w:val="91"/>
              </w:rPr>
              <w:t xml:space="preserve"> B</w:t>
            </w:r>
            <w:r>
              <w:rPr>
                <w:rFonts w:ascii="Arial" w:cs="Arial" w:eastAsia="Arial" w:hAnsi="Arial"/>
                <w:sz w:val="14"/>
                <w:szCs w:val="14"/>
                <w:b w:val="1"/>
                <w:bCs w:val="1"/>
                <w:color w:val="auto"/>
                <w:w w:val="91"/>
              </w:rPr>
              <w:t>ILL OF</w:t>
            </w:r>
            <w:r>
              <w:rPr>
                <w:rFonts w:ascii="Arial" w:cs="Arial" w:eastAsia="Arial" w:hAnsi="Arial"/>
                <w:sz w:val="18"/>
                <w:szCs w:val="18"/>
                <w:b w:val="1"/>
                <w:bCs w:val="1"/>
                <w:color w:val="auto"/>
                <w:w w:val="91"/>
              </w:rPr>
              <w:t xml:space="preserve"> S</w:t>
            </w:r>
            <w:r>
              <w:rPr>
                <w:rFonts w:ascii="Arial" w:cs="Arial" w:eastAsia="Arial" w:hAnsi="Arial"/>
                <w:sz w:val="14"/>
                <w:szCs w:val="14"/>
                <w:b w:val="1"/>
                <w:bCs w:val="1"/>
                <w:color w:val="auto"/>
                <w:w w:val="91"/>
              </w:rPr>
              <w:t>ALE</w:t>
            </w:r>
            <w:r>
              <w:rPr>
                <w:rFonts w:ascii="Arial" w:cs="Arial" w:eastAsia="Arial" w:hAnsi="Arial"/>
                <w:sz w:val="18"/>
                <w:szCs w:val="18"/>
                <w:b w:val="1"/>
                <w:bCs w:val="1"/>
                <w:color w:val="auto"/>
                <w:w w:val="91"/>
              </w:rPr>
              <w:t xml:space="preserve"> </w:t>
            </w:r>
            <w:r>
              <w:rPr>
                <w:rFonts w:ascii="Arial" w:cs="Arial" w:eastAsia="Arial" w:hAnsi="Arial"/>
                <w:sz w:val="18"/>
                <w:szCs w:val="18"/>
                <w:color w:val="auto"/>
                <w:w w:val="91"/>
              </w:rPr>
              <w:t>(this</w:t>
            </w:r>
            <w:r>
              <w:rPr>
                <w:rFonts w:ascii="Arial" w:cs="Arial" w:eastAsia="Arial" w:hAnsi="Arial"/>
                <w:sz w:val="18"/>
                <w:szCs w:val="18"/>
                <w:b w:val="1"/>
                <w:bCs w:val="1"/>
                <w:color w:val="auto"/>
                <w:w w:val="91"/>
              </w:rPr>
              <w:t xml:space="preserve"> </w:t>
            </w:r>
            <w:r>
              <w:rPr>
                <w:rFonts w:ascii="Arial" w:cs="Arial" w:eastAsia="Arial" w:hAnsi="Arial"/>
                <w:sz w:val="18"/>
                <w:szCs w:val="18"/>
                <w:b w:val="1"/>
                <w:bCs w:val="1"/>
                <w:i w:val="1"/>
                <w:iCs w:val="1"/>
                <w:color w:val="auto"/>
                <w:w w:val="91"/>
              </w:rPr>
              <w:t>“Purchaser Bill of Sale”</w:t>
            </w:r>
            <w:r>
              <w:rPr>
                <w:rFonts w:ascii="Arial" w:cs="Arial" w:eastAsia="Arial" w:hAnsi="Arial"/>
                <w:sz w:val="18"/>
                <w:szCs w:val="18"/>
                <w:color w:val="auto"/>
                <w:w w:val="91"/>
              </w:rPr>
              <w:t>) is made, entered into and effective this</w:t>
            </w:r>
          </w:p>
        </w:tc>
        <w:tc>
          <w:tcPr>
            <w:tcW w:w="52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520" w:type="dxa"/>
            <w:vAlign w:val="bottom"/>
            <w:tcBorders>
              <w:bottom w:val="single" w:sz="8" w:color="auto"/>
            </w:tcBorders>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0"/>
              </w:rPr>
              <w:t xml:space="preserve">, 2012, by and between </w:t>
            </w:r>
            <w:r>
              <w:rPr>
                <w:rFonts w:ascii="Arial" w:cs="Arial" w:eastAsia="Arial" w:hAnsi="Arial"/>
                <w:sz w:val="18"/>
                <w:szCs w:val="18"/>
                <w:b w:val="1"/>
                <w:bCs w:val="1"/>
                <w:color w:val="auto"/>
                <w:w w:val="90"/>
              </w:rPr>
              <w:t>A</w:t>
            </w:r>
            <w:r>
              <w:rPr>
                <w:rFonts w:ascii="Arial" w:cs="Arial" w:eastAsia="Arial" w:hAnsi="Arial"/>
                <w:sz w:val="14"/>
                <w:szCs w:val="14"/>
                <w:b w:val="1"/>
                <w:bCs w:val="1"/>
                <w:color w:val="auto"/>
                <w:w w:val="90"/>
              </w:rPr>
              <w:t>MARIN</w:t>
            </w:r>
          </w:p>
        </w:tc>
      </w:tr>
    </w:tbl>
    <w:p>
      <w:pPr>
        <w:spacing w:after="0" w:line="1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P</w:t>
      </w:r>
      <w:r>
        <w:rPr>
          <w:rFonts w:ascii="Arial" w:cs="Arial" w:eastAsia="Arial" w:hAnsi="Arial"/>
          <w:sz w:val="13"/>
          <w:szCs w:val="13"/>
          <w:b w:val="1"/>
          <w:bCs w:val="1"/>
          <w:color w:val="auto"/>
        </w:rPr>
        <w:t>HARMACEUTICALS</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RELAND</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16"/>
          <w:szCs w:val="16"/>
          <w:color w:val="auto"/>
        </w:rPr>
        <w:t>, a company incorporated under the laws of Ireland (registered number 408912) having its registered office at 88</w:t>
      </w:r>
      <w:r>
        <w:rPr>
          <w:rFonts w:ascii="Arial" w:cs="Arial" w:eastAsia="Arial" w:hAnsi="Arial"/>
          <w:sz w:val="16"/>
          <w:szCs w:val="16"/>
          <w:b w:val="1"/>
          <w:bCs w:val="1"/>
          <w:color w:val="auto"/>
        </w:rPr>
        <w:t xml:space="preserve"> </w:t>
      </w:r>
      <w:r>
        <w:rPr>
          <w:rFonts w:ascii="Arial" w:cs="Arial" w:eastAsia="Arial" w:hAnsi="Arial"/>
          <w:sz w:val="16"/>
          <w:szCs w:val="16"/>
          <w:color w:val="auto"/>
        </w:rPr>
        <w:t>Harcourt Street, Dublin 2, and its permitted successors and assigns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3"/>
          <w:szCs w:val="13"/>
          <w:b w:val="1"/>
          <w:bCs w:val="1"/>
          <w:color w:val="auto"/>
        </w:rPr>
        <w:t>IO</w:t>
      </w:r>
      <w:r>
        <w:rPr>
          <w:rFonts w:ascii="Arial" w:cs="Arial" w:eastAsia="Arial" w:hAnsi="Arial"/>
          <w:sz w:val="16"/>
          <w:szCs w:val="16"/>
          <w:b w:val="1"/>
          <w:bCs w:val="1"/>
          <w:color w:val="auto"/>
        </w:rPr>
        <w:t>P</w:t>
      </w:r>
      <w:r>
        <w:rPr>
          <w:rFonts w:ascii="Arial" w:cs="Arial" w:eastAsia="Arial" w:hAnsi="Arial"/>
          <w:sz w:val="13"/>
          <w:szCs w:val="13"/>
          <w:b w:val="1"/>
          <w:bCs w:val="1"/>
          <w:color w:val="auto"/>
        </w:rPr>
        <w:t>HARMA</w:t>
      </w:r>
      <w:r>
        <w:rPr>
          <w:rFonts w:ascii="Arial" w:cs="Arial" w:eastAsia="Arial" w:hAnsi="Arial"/>
          <w:sz w:val="16"/>
          <w:szCs w:val="16"/>
          <w:color w:val="auto"/>
        </w:rPr>
        <w:t xml:space="preserve"> </w:t>
      </w:r>
      <w:r>
        <w:rPr>
          <w:rFonts w:ascii="Arial" w:cs="Arial" w:eastAsia="Arial" w:hAnsi="Arial"/>
          <w:sz w:val="16"/>
          <w:szCs w:val="16"/>
          <w:b w:val="1"/>
          <w:bCs w:val="1"/>
          <w:color w:val="auto"/>
        </w:rPr>
        <w:t>S</w:t>
      </w:r>
      <w:r>
        <w:rPr>
          <w:rFonts w:ascii="Arial" w:cs="Arial" w:eastAsia="Arial" w:hAnsi="Arial"/>
          <w:sz w:val="13"/>
          <w:szCs w:val="13"/>
          <w:b w:val="1"/>
          <w:bCs w:val="1"/>
          <w:color w:val="auto"/>
        </w:rPr>
        <w:t>ECURED</w:t>
      </w:r>
      <w:r>
        <w:rPr>
          <w:rFonts w:ascii="Arial" w:cs="Arial" w:eastAsia="Arial" w:hAnsi="Arial"/>
          <w:sz w:val="16"/>
          <w:szCs w:val="16"/>
          <w:color w:val="auto"/>
        </w:rPr>
        <w:t xml:space="preserve"> </w:t>
      </w:r>
      <w:r>
        <w:rPr>
          <w:rFonts w:ascii="Arial" w:cs="Arial" w:eastAsia="Arial" w:hAnsi="Arial"/>
          <w:sz w:val="16"/>
          <w:szCs w:val="16"/>
          <w:b w:val="1"/>
          <w:bCs w:val="1"/>
          <w:color w:val="auto"/>
        </w:rPr>
        <w:t>D</w:t>
      </w:r>
      <w:r>
        <w:rPr>
          <w:rFonts w:ascii="Arial" w:cs="Arial" w:eastAsia="Arial" w:hAnsi="Arial"/>
          <w:sz w:val="13"/>
          <w:szCs w:val="13"/>
          <w:b w:val="1"/>
          <w:bCs w:val="1"/>
          <w:color w:val="auto"/>
        </w:rPr>
        <w:t>EBT</w:t>
      </w:r>
      <w:r>
        <w:rPr>
          <w:rFonts w:ascii="Arial" w:cs="Arial" w:eastAsia="Arial" w:hAnsi="Arial"/>
          <w:sz w:val="16"/>
          <w:szCs w:val="16"/>
          <w:color w:val="auto"/>
        </w:rPr>
        <w:t xml:space="preserve"> </w:t>
      </w:r>
      <w:r>
        <w:rPr>
          <w:rFonts w:ascii="Arial" w:cs="Arial" w:eastAsia="Arial" w:hAnsi="Arial"/>
          <w:sz w:val="16"/>
          <w:szCs w:val="16"/>
          <w:b w:val="1"/>
          <w:bCs w:val="1"/>
          <w:color w:val="auto"/>
        </w:rPr>
        <w:t>F</w:t>
      </w:r>
      <w:r>
        <w:rPr>
          <w:rFonts w:ascii="Arial" w:cs="Arial" w:eastAsia="Arial" w:hAnsi="Arial"/>
          <w:sz w:val="13"/>
          <w:szCs w:val="13"/>
          <w:b w:val="1"/>
          <w:bCs w:val="1"/>
          <w:color w:val="auto"/>
        </w:rPr>
        <w:t>UND</w:t>
      </w:r>
      <w:r>
        <w:rPr>
          <w:rFonts w:ascii="Arial" w:cs="Arial" w:eastAsia="Arial" w:hAnsi="Arial"/>
          <w:sz w:val="16"/>
          <w:szCs w:val="16"/>
          <w:color w:val="auto"/>
        </w:rPr>
        <w:t xml:space="preserve"> </w:t>
      </w:r>
      <w:r>
        <w:rPr>
          <w:rFonts w:ascii="Arial" w:cs="Arial" w:eastAsia="Arial" w:hAnsi="Arial"/>
          <w:sz w:val="16"/>
          <w:szCs w:val="16"/>
          <w:b w:val="1"/>
          <w:bCs w:val="1"/>
          <w:color w:val="auto"/>
        </w:rPr>
        <w:t>II H</w:t>
      </w:r>
      <w:r>
        <w:rPr>
          <w:rFonts w:ascii="Arial" w:cs="Arial" w:eastAsia="Arial" w:hAnsi="Arial"/>
          <w:sz w:val="13"/>
          <w:szCs w:val="13"/>
          <w:b w:val="1"/>
          <w:bCs w:val="1"/>
          <w:color w:val="auto"/>
        </w:rPr>
        <w:t>OLDINGS</w:t>
      </w:r>
      <w:r>
        <w:rPr>
          <w:rFonts w:ascii="Arial" w:cs="Arial" w:eastAsia="Arial" w:hAnsi="Arial"/>
          <w:sz w:val="16"/>
          <w:szCs w:val="16"/>
          <w:color w:val="auto"/>
        </w:rPr>
        <w:t xml:space="preserve"> </w:t>
      </w:r>
      <w:r>
        <w:rPr>
          <w:rFonts w:ascii="Arial" w:cs="Arial" w:eastAsia="Arial" w:hAnsi="Arial"/>
          <w:sz w:val="16"/>
          <w:szCs w:val="16"/>
          <w:b w:val="1"/>
          <w:bCs w:val="1"/>
          <w:color w:val="auto"/>
        </w:rPr>
        <w:t>C</w:t>
      </w:r>
      <w:r>
        <w:rPr>
          <w:rFonts w:ascii="Arial" w:cs="Arial" w:eastAsia="Arial" w:hAnsi="Arial"/>
          <w:sz w:val="13"/>
          <w:szCs w:val="13"/>
          <w:b w:val="1"/>
          <w:bCs w:val="1"/>
          <w:color w:val="auto"/>
        </w:rPr>
        <w:t>AYMAN</w:t>
      </w:r>
      <w:r>
        <w:rPr>
          <w:rFonts w:ascii="Arial" w:cs="Arial" w:eastAsia="Arial" w:hAnsi="Arial"/>
          <w:sz w:val="16"/>
          <w:szCs w:val="16"/>
          <w:color w:val="auto"/>
        </w:rPr>
        <w:t xml:space="preserve"> </w:t>
      </w:r>
      <w:r>
        <w:rPr>
          <w:rFonts w:ascii="Arial" w:cs="Arial" w:eastAsia="Arial" w:hAnsi="Arial"/>
          <w:sz w:val="16"/>
          <w:szCs w:val="16"/>
          <w:b w:val="1"/>
          <w:bCs w:val="1"/>
          <w:color w:val="auto"/>
        </w:rPr>
        <w:t>LP</w:t>
      </w:r>
      <w:r>
        <w:rPr>
          <w:rFonts w:ascii="Arial" w:cs="Arial" w:eastAsia="Arial" w:hAnsi="Arial"/>
          <w:sz w:val="16"/>
          <w:szCs w:val="16"/>
          <w:color w:val="auto"/>
        </w:rPr>
        <w:t>, a Cayman Islands exempted limited partnership, and its permitted successors and assigns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xml:space="preserve">). Capitalized terms used but not defined herein will have the meanings ascribed to such terms in that certain Purchase and Sale Agreement, dated as of December [__], 2012, by and between Seller, Purchaser and Amarin Corporation PLC, a public limited company incorporated under the laws of England and Wales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17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Seller desires to sell, transfer, convey and assign to Purchaser, and Purchaser desires to purchase and accept from Seller, all of Seller’s right,</w:t>
      </w:r>
      <w:r>
        <w:rPr>
          <w:rFonts w:ascii="Arial" w:cs="Arial" w:eastAsia="Arial" w:hAnsi="Arial"/>
          <w:sz w:val="16"/>
          <w:szCs w:val="16"/>
          <w:b w:val="1"/>
          <w:bCs w:val="1"/>
          <w:color w:val="auto"/>
        </w:rPr>
        <w:t xml:space="preserve"> </w:t>
      </w:r>
      <w:r>
        <w:rPr>
          <w:rFonts w:ascii="Arial" w:cs="Arial" w:eastAsia="Arial" w:hAnsi="Arial"/>
          <w:sz w:val="16"/>
          <w:szCs w:val="16"/>
          <w:color w:val="auto"/>
        </w:rPr>
        <w:t>title and interest in, to and under the Purchased Receivables, on the terms and conditions set forth in the Purchase Agreement.</w:t>
      </w:r>
    </w:p>
    <w:p>
      <w:pPr>
        <w:spacing w:after="0" w:line="7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the mutual agreements contained herein and other good and valuable considerations,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adequacy of which are hereby acknowledged, the Parties hereto agree as follows:</w:t>
      </w:r>
    </w:p>
    <w:p>
      <w:pPr>
        <w:spacing w:after="0" w:line="126" w:lineRule="exact"/>
        <w:rPr>
          <w:sz w:val="20"/>
          <w:szCs w:val="20"/>
          <w:color w:val="auto"/>
        </w:rPr>
      </w:pPr>
    </w:p>
    <w:p>
      <w:pPr>
        <w:ind w:right="80" w:firstLine="8"/>
        <w:spacing w:after="0" w:line="268" w:lineRule="auto"/>
        <w:tabs>
          <w:tab w:leader="none" w:pos="176"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Seller, by this Purchaser Bill of Sale, does hereby sell, transfer, convey, assign and deliver to Purchaser, and Purchaser does hereby purchase and accept, all of Seller’s right, title and interest in, to and under the Purchased Receivables.</w:t>
      </w:r>
    </w:p>
    <w:p>
      <w:pPr>
        <w:spacing w:after="0" w:line="131" w:lineRule="exact"/>
        <w:rPr>
          <w:rFonts w:ascii="Arial" w:cs="Arial" w:eastAsia="Arial" w:hAnsi="Arial"/>
          <w:sz w:val="18"/>
          <w:szCs w:val="18"/>
          <w:b w:val="1"/>
          <w:bCs w:val="1"/>
          <w:color w:val="auto"/>
        </w:rPr>
      </w:pPr>
    </w:p>
    <w:p>
      <w:pPr>
        <w:ind w:firstLine="8"/>
        <w:spacing w:after="0" w:line="256" w:lineRule="auto"/>
        <w:tabs>
          <w:tab w:leader="none" w:pos="176"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Seller hereby covenants that, at any time or from time to time after the date hereof, at Purchaser’s reasonable request and without further consideration but at Purchaser’s expense, Seller will execute and deliver to Purchaser such other instruments of sale, transfer, conveyance and assignment as Purchaser may reasonably deem necessary to sell, transfer, convey, assign and deliver to Purchaser, and to confirm Purchaser’s title to, all of Seller’s right, title and interest in, to and under the Purchased Receivables.</w:t>
      </w:r>
    </w:p>
    <w:p>
      <w:pPr>
        <w:spacing w:after="0" w:line="143" w:lineRule="exact"/>
        <w:rPr>
          <w:rFonts w:ascii="Arial" w:cs="Arial" w:eastAsia="Arial" w:hAnsi="Arial"/>
          <w:sz w:val="18"/>
          <w:szCs w:val="18"/>
          <w:b w:val="1"/>
          <w:bCs w:val="1"/>
          <w:color w:val="auto"/>
        </w:rPr>
      </w:pPr>
    </w:p>
    <w:p>
      <w:pPr>
        <w:ind w:right="40" w:firstLine="8"/>
        <w:spacing w:after="0" w:line="255" w:lineRule="auto"/>
        <w:tabs>
          <w:tab w:leader="none" w:pos="176"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Seller represents, warrants and covenants that (a) it has absolute title to the Purchased Receivables free and clear of all Encumbrances (other than Permitted Encumbrances), (b) it has not made any prior sale, transfer, conveyance, assignment, grant or delivery of any Purchased Receivables, (c) it has the present lawful right, power and authority to sell, transfer, convey, assign and deliver the Purchased Receivables to Purchaser free and clear of all Encumbrances (other than Permitted Encumbrances), and (d) all action has been taken which is required for Seller to make this Purchaser Bill of Sale, and this Purchaser Bill of Sale is, a legal, valid and binding obligation of Seller.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280" w:right="299" w:bottom="1440" w:gutter="0" w:footer="0" w:header="0"/>
        </w:sectPr>
      </w:pPr>
    </w:p>
    <w:bookmarkStart w:id="164" w:name="page165"/>
    <w:bookmarkEnd w:id="164"/>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right="260" w:firstLine="8"/>
        <w:spacing w:after="0" w:line="332" w:lineRule="auto"/>
        <w:tabs>
          <w:tab w:leader="none" w:pos="176" w:val="left"/>
        </w:tabs>
        <w:numPr>
          <w:ilvl w:val="0"/>
          <w:numId w:val="136"/>
        </w:numPr>
        <w:rPr>
          <w:rFonts w:ascii="Arial" w:cs="Arial" w:eastAsia="Arial" w:hAnsi="Arial"/>
          <w:sz w:val="16"/>
          <w:szCs w:val="16"/>
          <w:b w:val="1"/>
          <w:bCs w:val="1"/>
          <w:color w:val="auto"/>
        </w:rPr>
      </w:pPr>
      <w:r>
        <w:rPr>
          <w:rFonts w:ascii="Arial" w:cs="Arial" w:eastAsia="Arial" w:hAnsi="Arial"/>
          <w:sz w:val="16"/>
          <w:szCs w:val="16"/>
          <w:color w:val="auto"/>
        </w:rPr>
        <w:t>This Purchaser Bill of Sale will be binding upon and inure to the benefit of Seller, Purchaser and their respective permitted successors and assigns under the Purchase Agreement, for the uses and purposes set forth and referred to above, effective immediately upon its delivery to Purchaser.</w:t>
      </w:r>
    </w:p>
    <w:p>
      <w:pPr>
        <w:spacing w:after="0" w:line="85" w:lineRule="exact"/>
        <w:rPr>
          <w:rFonts w:ascii="Arial" w:cs="Arial" w:eastAsia="Arial" w:hAnsi="Arial"/>
          <w:sz w:val="16"/>
          <w:szCs w:val="16"/>
          <w:b w:val="1"/>
          <w:bCs w:val="1"/>
          <w:color w:val="auto"/>
        </w:rPr>
      </w:pPr>
    </w:p>
    <w:p>
      <w:pPr>
        <w:ind w:firstLine="8"/>
        <w:spacing w:after="0" w:line="254" w:lineRule="auto"/>
        <w:tabs>
          <w:tab w:leader="none" w:pos="176"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(a) THIS PURCHASER BILL OF SALE AND ANY PROCEEDING ARISING OUT OF OR RELATING TO THIS PURCHASER BILL OF SALE OR THE TRANSACTIONS CONTEMPLATED HEREBY (WHETHER IN CONTRACT, TORT OR OTHERWISE) WILL BE GOVERNED BY, AND CONSTRUED, INTERPRETED AND ENFORCED IN ACCORDANCE WITH THE INTERNAL SUBSTANTIVE LAWS OF THE STATE OF NEW YORK, WITHOUT GIVING EFFECT TO THE PRINCIPLES OF CONFLICTS OF LAW THEREOF OTHER THAN SECTION 5-1401 OF THE GENERAL OBLIGATIONS LAW OF THE STATE OF NEW YORK, AND THE OBLIGATIONS, RIGHTS AND REMEDIES OF THE PARTIES HEREUNDER WILL BE DETERMINED IN ACCORDANCE WITH SUCH LAWS.</w:t>
      </w:r>
    </w:p>
    <w:p>
      <w:pPr>
        <w:spacing w:after="0" w:line="144" w:lineRule="exact"/>
        <w:rPr>
          <w:rFonts w:ascii="Arial" w:cs="Arial" w:eastAsia="Arial" w:hAnsi="Arial"/>
          <w:sz w:val="18"/>
          <w:szCs w:val="18"/>
          <w:b w:val="1"/>
          <w:bCs w:val="1"/>
          <w:color w:val="auto"/>
        </w:rPr>
      </w:pPr>
    </w:p>
    <w:p>
      <w:pPr>
        <w:ind w:right="160" w:firstLine="464"/>
        <w:spacing w:after="0" w:line="298" w:lineRule="auto"/>
        <w:tabs>
          <w:tab w:leader="none" w:pos="70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ANY PROCEEDING WITH RESPECT TO THIS PURCHASER BILL OF SALE WILL BE BROUGHT IN THE COURTS OF THE STATE OF NEW YORK LOCATED IN THE BOROUGH OF MANHATTAN, THE CITY OF NEW YORK OR OF THE UNITED STATES OF AMERICA FOR THE SOUTHERN DISTRICT OF NEW YORK, AND EACH PARTY HEREBY ACCEPTS FOR ITSELF AND IN RESPECT OF ITS RESPECTIVE PROPERTY, GENERALLY AND UNCONDITIONALLY, THE EXCLUSIVE JURISDICTION OF THE AFORESAID COURTS.</w:t>
      </w:r>
    </w:p>
    <w:p>
      <w:pPr>
        <w:spacing w:after="0" w:line="112" w:lineRule="exact"/>
        <w:rPr>
          <w:rFonts w:ascii="Arial" w:cs="Arial" w:eastAsia="Arial" w:hAnsi="Arial"/>
          <w:sz w:val="16"/>
          <w:szCs w:val="16"/>
          <w:color w:val="auto"/>
        </w:rPr>
      </w:pPr>
    </w:p>
    <w:p>
      <w:pPr>
        <w:ind w:right="160" w:firstLine="464"/>
        <w:spacing w:after="0" w:line="259" w:lineRule="auto"/>
        <w:tabs>
          <w:tab w:leader="none" w:pos="69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EACH PARTY HEREBY IRREVOCABLY WAIVES, TO THE FULLEST EXTENT PERMITTED BY APPLICABLE LAW, TRIAL BY JURY IN ANY ACTION OR DISPUTE ARISING OUT OF OR RELATING TO THIS PURCHASER BILL OF SALE OR THE TRANSACTIONS CONTEMPLATED HEREBY (WHETHER IN CONTRACT, TORT OR OTHERWISE).</w:t>
      </w:r>
    </w:p>
    <w:p>
      <w:pPr>
        <w:spacing w:after="0" w:line="140" w:lineRule="exact"/>
        <w:rPr>
          <w:rFonts w:ascii="Arial" w:cs="Arial" w:eastAsia="Arial" w:hAnsi="Arial"/>
          <w:sz w:val="18"/>
          <w:szCs w:val="18"/>
          <w:color w:val="auto"/>
        </w:rPr>
      </w:pPr>
    </w:p>
    <w:p>
      <w:pPr>
        <w:ind w:right="300" w:firstLine="464"/>
        <w:spacing w:after="0" w:line="259" w:lineRule="auto"/>
        <w:tabs>
          <w:tab w:leader="none" w:pos="70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EACH PARTY HEREBY IRREVOCABLY WAIVES ANY OBJECTION, INCLUDING ANY OBJECTION TO THE LAYING OF VENUE OR BASED ON THE GROUNDS OF FORUM NON CONVENIENS, WHICH IT MAY NOW OR HEREAFTER HAVE TO THE BRINGING OF ANY SUCH ACTION OR PROCEEDING IN SUCH RESPECTIVE JURISDICTIONS.</w:t>
      </w:r>
    </w:p>
    <w:p>
      <w:pPr>
        <w:spacing w:after="0" w:line="140" w:lineRule="exact"/>
        <w:rPr>
          <w:rFonts w:ascii="Arial" w:cs="Arial" w:eastAsia="Arial" w:hAnsi="Arial"/>
          <w:sz w:val="18"/>
          <w:szCs w:val="18"/>
          <w:color w:val="auto"/>
        </w:rPr>
      </w:pPr>
    </w:p>
    <w:p>
      <w:pPr>
        <w:ind w:firstLine="464"/>
        <w:spacing w:after="0" w:line="256" w:lineRule="auto"/>
        <w:tabs>
          <w:tab w:leader="none" w:pos="69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EACH PARTY IRREVOCABLY CONSENTS TO THE SERVICE OF PROCESS OF ANY OF THE AFOREMENTIONED COURTS IN ANY SUCH ACTION OR PROCEEDING BY THE SENDING OF COPIES THEREOF BY FEDERAL EXPRESS OR OTHER OVERNIGHT COURIER COMPANY, TO SUCH PARTY AT ITS ADDRESS SPECIFIED BY SECTION 9.9 OF THE PURCHASE AGREEMENT, SUCH SERVICE TO BECOME EFFECTIVE FOUR DAYS AFTER DELIVERY TO SUCH COURIER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165" w:name="page166"/>
    <w:bookmarkEnd w:id="16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ind w:left="680" w:hanging="216"/>
        <w:spacing w:after="0"/>
        <w:tabs>
          <w:tab w:leader="none" w:pos="6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NOTHING HEREIN WILL AFFECT THE RIGHT OF ANY PARTY TO SERVE PROCESS IN ANY OTHER MANNER PERMITTED BY LAW.</w:t>
      </w:r>
    </w:p>
    <w:p>
      <w:pPr>
        <w:spacing w:after="0" w:line="194"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This Purchaser Bill of Sale may be executed in any number of counterparts, each of which so executed will be deemed to be an original, but all of such counterparts will together constitute but one and the same instrument.</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240" w:top="280" w:right="539" w:bottom="1440" w:gutter="0" w:footer="0" w:header="0"/>
        </w:sectPr>
      </w:pPr>
    </w:p>
    <w:bookmarkStart w:id="166" w:name="page167"/>
    <w:bookmarkEnd w:id="16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 Purchaser Bill of Sale as of the day and year first written above.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SELLER:</w:t>
            </w:r>
          </w:p>
        </w:tc>
        <w:tc>
          <w:tcPr>
            <w:tcW w:w="5200" w:type="dxa"/>
            <w:vAlign w:val="bottom"/>
            <w:gridSpan w:val="2"/>
          </w:tcPr>
          <w:p>
            <w:pPr>
              <w:ind w:left="1020"/>
              <w:spacing w:after="0"/>
              <w:rPr>
                <w:sz w:val="20"/>
                <w:szCs w:val="20"/>
                <w:color w:val="auto"/>
              </w:rPr>
            </w:pPr>
            <w:r>
              <w:rPr>
                <w:rFonts w:ascii="Arial" w:cs="Arial" w:eastAsia="Arial" w:hAnsi="Arial"/>
                <w:sz w:val="18"/>
                <w:szCs w:val="18"/>
                <w:b w:val="1"/>
                <w:bCs w:val="1"/>
                <w:color w:val="auto"/>
              </w:rPr>
              <w:t>PURCHASER:</w:t>
            </w:r>
          </w:p>
        </w:tc>
      </w:tr>
      <w:tr>
        <w:trPr>
          <w:trHeight w:val="42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RELAND</w:t>
            </w:r>
          </w:p>
        </w:tc>
        <w:tc>
          <w:tcPr>
            <w:tcW w:w="5200" w:type="dxa"/>
            <w:vAlign w:val="bottom"/>
            <w:gridSpan w:val="2"/>
          </w:tcPr>
          <w:p>
            <w:pPr>
              <w:ind w:left="10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w:t>
            </w:r>
            <w:r>
              <w:rPr>
                <w:rFonts w:ascii="Arial" w:cs="Arial" w:eastAsia="Arial" w:hAnsi="Arial"/>
                <w:sz w:val="18"/>
                <w:szCs w:val="18"/>
                <w:b w:val="1"/>
                <w:bCs w:val="1"/>
                <w:color w:val="auto"/>
              </w:rPr>
              <w:t>P</w:t>
            </w:r>
            <w:r>
              <w:rPr>
                <w:rFonts w:ascii="Arial" w:cs="Arial" w:eastAsia="Arial" w:hAnsi="Arial"/>
                <w:sz w:val="14"/>
                <w:szCs w:val="14"/>
                <w:b w:val="1"/>
                <w:bCs w:val="1"/>
                <w:color w:val="auto"/>
              </w:rPr>
              <w:t>HARMA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w:t>
            </w:r>
          </w:p>
        </w:tc>
      </w:tr>
      <w:tr>
        <w:trPr>
          <w:trHeight w:val="242"/>
        </w:trPr>
        <w:tc>
          <w:tcPr>
            <w:tcW w:w="4920" w:type="dxa"/>
            <w:vAlign w:val="bottom"/>
            <w:gridSpan w:val="2"/>
          </w:tcPr>
          <w:p>
            <w:pPr>
              <w:ind w:left="3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IMITED</w:t>
            </w:r>
          </w:p>
        </w:tc>
        <w:tc>
          <w:tcPr>
            <w:tcW w:w="132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AYMAN</w:t>
            </w:r>
            <w:r>
              <w:rPr>
                <w:rFonts w:ascii="Arial" w:cs="Arial" w:eastAsia="Arial" w:hAnsi="Arial"/>
                <w:sz w:val="18"/>
                <w:szCs w:val="18"/>
                <w:b w:val="1"/>
                <w:bCs w:val="1"/>
                <w:color w:val="auto"/>
              </w:rPr>
              <w:t xml:space="preserve"> LP</w:t>
            </w:r>
          </w:p>
        </w:tc>
      </w:tr>
      <w:tr>
        <w:trPr>
          <w:trHeight w:val="43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4"/>
                <w:szCs w:val="24"/>
                <w:color w:val="auto"/>
              </w:rPr>
            </w:pPr>
          </w:p>
        </w:tc>
        <w:tc>
          <w:tcPr>
            <w:tcW w:w="1320" w:type="dxa"/>
            <w:vAlign w:val="bottom"/>
          </w:tcPr>
          <w:p>
            <w:pPr>
              <w:ind w:left="1020"/>
              <w:spacing w:after="0"/>
              <w:rPr>
                <w:sz w:val="20"/>
                <w:szCs w:val="20"/>
                <w:color w:val="auto"/>
              </w:rPr>
            </w:pPr>
            <w:r>
              <w:rPr>
                <w:rFonts w:ascii="Arial" w:cs="Arial" w:eastAsia="Arial" w:hAnsi="Arial"/>
                <w:sz w:val="18"/>
                <w:szCs w:val="18"/>
                <w:color w:val="auto"/>
              </w:rPr>
              <w:t>By:</w:t>
            </w:r>
          </w:p>
        </w:tc>
        <w:tc>
          <w:tcPr>
            <w:tcW w:w="3880" w:type="dxa"/>
            <w:vAlign w:val="bottom"/>
          </w:tcPr>
          <w:p>
            <w:pPr>
              <w:ind w:left="280"/>
              <w:spacing w:after="0"/>
              <w:rPr>
                <w:sz w:val="20"/>
                <w:szCs w:val="20"/>
                <w:color w:val="auto"/>
              </w:rPr>
            </w:pPr>
            <w:r>
              <w:rPr>
                <w:rFonts w:ascii="Arial" w:cs="Arial" w:eastAsia="Arial" w:hAnsi="Arial"/>
                <w:sz w:val="18"/>
                <w:szCs w:val="18"/>
                <w:color w:val="auto"/>
                <w:w w:val="90"/>
              </w:rPr>
              <w:t>Pharmakon Advisors, LP, its investment manager</w:t>
            </w:r>
          </w:p>
        </w:tc>
      </w:tr>
      <w:tr>
        <w:trPr>
          <w:trHeight w:val="437"/>
        </w:trPr>
        <w:tc>
          <w:tcPr>
            <w:tcW w:w="4920" w:type="dxa"/>
            <w:vAlign w:val="bottom"/>
            <w:gridSpan w:val="2"/>
          </w:tcPr>
          <w:p>
            <w:pPr>
              <w:spacing w:after="0"/>
              <w:rPr>
                <w:sz w:val="20"/>
                <w:szCs w:val="20"/>
                <w:color w:val="auto"/>
              </w:rPr>
            </w:pPr>
            <w:r>
              <w:rPr>
                <w:rFonts w:ascii="Arial" w:cs="Arial" w:eastAsia="Arial" w:hAnsi="Arial"/>
                <w:sz w:val="18"/>
                <w:szCs w:val="18"/>
                <w:color w:val="auto"/>
              </w:rPr>
              <w:t>Name:</w:t>
            </w:r>
          </w:p>
        </w:tc>
        <w:tc>
          <w:tcPr>
            <w:tcW w:w="1320" w:type="dxa"/>
            <w:vAlign w:val="bottom"/>
          </w:tcPr>
          <w:p>
            <w:pPr>
              <w:ind w:left="1020"/>
              <w:spacing w:after="0"/>
              <w:rPr>
                <w:sz w:val="20"/>
                <w:szCs w:val="20"/>
                <w:color w:val="auto"/>
              </w:rPr>
            </w:pPr>
            <w:r>
              <w:rPr>
                <w:rFonts w:ascii="Arial" w:cs="Arial" w:eastAsia="Arial" w:hAnsi="Arial"/>
                <w:sz w:val="18"/>
                <w:szCs w:val="18"/>
                <w:color w:val="auto"/>
              </w:rPr>
              <w:t>By:</w:t>
            </w:r>
          </w:p>
        </w:tc>
        <w:tc>
          <w:tcPr>
            <w:tcW w:w="3880" w:type="dxa"/>
            <w:vAlign w:val="bottom"/>
          </w:tcPr>
          <w:p>
            <w:pPr>
              <w:ind w:left="280"/>
              <w:spacing w:after="0"/>
              <w:rPr>
                <w:sz w:val="20"/>
                <w:szCs w:val="20"/>
                <w:color w:val="auto"/>
              </w:rPr>
            </w:pPr>
            <w:r>
              <w:rPr>
                <w:rFonts w:ascii="Arial" w:cs="Arial" w:eastAsia="Arial" w:hAnsi="Arial"/>
                <w:sz w:val="18"/>
                <w:szCs w:val="18"/>
                <w:color w:val="auto"/>
                <w:w w:val="88"/>
              </w:rPr>
              <w:t>Pharmakon Management I, LLC its general partner</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32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pacing w:after="0" w:line="2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2752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2752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2752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i w:val="1"/>
          <w:iCs w:val="1"/>
          <w:color w:val="auto"/>
        </w:rPr>
        <w:t>Signature Page to Purchaser Bill of Sale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240" w:top="280" w:right="639" w:bottom="1440" w:gutter="0" w:footer="0" w:header="0"/>
        </w:sectPr>
      </w:pPr>
    </w:p>
    <w:bookmarkStart w:id="167" w:name="page168"/>
    <w:bookmarkEnd w:id="16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 LAW PATENT SECURITY AGREEMENT</w:t>
      </w:r>
    </w:p>
    <w:p>
      <w:pPr>
        <w:sectPr>
          <w:pgSz w:w="11900" w:h="16838" w:orient="portrait"/>
          <w:cols w:equalWidth="0" w:num="1">
            <w:col w:w="11020"/>
          </w:cols>
          <w:pgMar w:left="240" w:top="280" w:right="639" w:bottom="1440" w:gutter="0" w:footer="0" w:header="0"/>
        </w:sectPr>
      </w:pPr>
    </w:p>
    <w:bookmarkStart w:id="168" w:name="page169"/>
    <w:bookmarkEnd w:id="16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3.1(i)</w:t>
      </w:r>
      <w:r>
        <w:rPr>
          <w:sz w:val="20"/>
          <w:szCs w:val="20"/>
          <w:color w:val="auto"/>
        </w:rPr>
        <w:tab/>
      </w:r>
      <w:r>
        <w:rPr>
          <w:rFonts w:ascii="Arial" w:cs="Arial" w:eastAsia="Arial" w:hAnsi="Arial"/>
          <w:sz w:val="16"/>
          <w:szCs w:val="16"/>
          <w:color w:val="auto"/>
        </w:rPr>
        <w:t>Existing In-Licenses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3.1(k)  Manufacturing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3.1(m) Vascepa Patent Rights</w:t>
      </w:r>
    </w:p>
    <w:p>
      <w:pPr>
        <w:sectPr>
          <w:pgSz w:w="11900" w:h="16838" w:orient="portrait"/>
          <w:cols w:equalWidth="0" w:num="1">
            <w:col w:w="11020"/>
          </w:cols>
          <w:pgMar w:left="240" w:top="280" w:right="639" w:bottom="1440" w:gutter="0" w:footer="0" w:header="0"/>
        </w:sectPr>
      </w:pPr>
    </w:p>
    <w:bookmarkStart w:id="169" w:name="page170"/>
    <w:bookmarkEnd w:id="16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3.1(i)</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Existing In-Licenses</w:t>
      </w:r>
    </w:p>
    <w:p>
      <w:pPr>
        <w:spacing w:after="0" w:line="1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240" w:top="280" w:right="639" w:bottom="1440" w:gutter="0" w:footer="0" w:header="0"/>
        </w:sectPr>
      </w:pPr>
    </w:p>
    <w:bookmarkStart w:id="170" w:name="page171"/>
    <w:bookmarkEnd w:id="17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3.1(k)</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Manufacturing Agreements</w:t>
      </w:r>
    </w:p>
    <w:p>
      <w:pPr>
        <w:spacing w:after="0" w:line="326" w:lineRule="exact"/>
        <w:rPr>
          <w:sz w:val="20"/>
          <w:szCs w:val="20"/>
          <w:color w:val="auto"/>
        </w:rPr>
      </w:pPr>
    </w:p>
    <w:p>
      <w:pPr>
        <w:ind w:left="900" w:hanging="548"/>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Supply Agreement between Nisshin Pharma Inc. and Amarin Pharmaceuticals Ireland Limited, dated November 1, 2010.</w:t>
      </w:r>
    </w:p>
    <w:p>
      <w:pPr>
        <w:spacing w:after="0" w:line="117" w:lineRule="exact"/>
        <w:rPr>
          <w:rFonts w:ascii="Arial" w:cs="Arial" w:eastAsia="Arial" w:hAnsi="Arial"/>
          <w:sz w:val="18"/>
          <w:szCs w:val="18"/>
          <w:color w:val="auto"/>
        </w:rPr>
      </w:pPr>
    </w:p>
    <w:p>
      <w:pPr>
        <w:ind w:left="900" w:right="420" w:hanging="548"/>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API Commercial Supply Agreement by and between Chemport Inc. and Amarin Pharmaceuticals Ireland Limited, dated May 25, 2011 (as amended as of April 4, 2012 and July 19, 2012).</w:t>
      </w:r>
    </w:p>
    <w:p>
      <w:pPr>
        <w:spacing w:after="0" w:line="77" w:lineRule="exact"/>
        <w:rPr>
          <w:rFonts w:ascii="Arial" w:cs="Arial" w:eastAsia="Arial" w:hAnsi="Arial"/>
          <w:sz w:val="18"/>
          <w:szCs w:val="18"/>
          <w:color w:val="auto"/>
        </w:rPr>
      </w:pPr>
    </w:p>
    <w:p>
      <w:pPr>
        <w:ind w:left="900" w:right="500" w:hanging="548"/>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API Supply Agreement by and between Equateq Limited and Amarin Pharmaceuticals Ireland Limited, dated May 25, 2011 (as amended October 19, 2011, January 9, 2012 and May 2012).</w:t>
      </w:r>
    </w:p>
    <w:p>
      <w:pPr>
        <w:spacing w:after="0" w:line="77" w:lineRule="exact"/>
        <w:rPr>
          <w:rFonts w:ascii="Arial" w:cs="Arial" w:eastAsia="Arial" w:hAnsi="Arial"/>
          <w:sz w:val="18"/>
          <w:szCs w:val="18"/>
          <w:color w:val="auto"/>
        </w:rPr>
      </w:pPr>
    </w:p>
    <w:p>
      <w:pPr>
        <w:ind w:left="900" w:right="320" w:hanging="548"/>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Second Amended and Restated API Supply Agreement by and between Slanmhor Pharmaceutical Inc. and Amarin Pharmaceuticals Ireland Limited, dated July 26, 2012.</w:t>
      </w:r>
    </w:p>
    <w:p>
      <w:pPr>
        <w:spacing w:after="0" w:line="77" w:lineRule="exact"/>
        <w:rPr>
          <w:rFonts w:ascii="Arial" w:cs="Arial" w:eastAsia="Arial" w:hAnsi="Arial"/>
          <w:sz w:val="18"/>
          <w:szCs w:val="18"/>
          <w:color w:val="auto"/>
        </w:rPr>
      </w:pPr>
    </w:p>
    <w:p>
      <w:pPr>
        <w:ind w:left="900" w:right="60" w:hanging="548"/>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Softgel Commercial Manufacturing Agreement by and between Catalent Pharma Solutions, LLC and Amarin Pharmaceuticals Ireland Limited, dated August 16, 2011.</w:t>
      </w:r>
    </w:p>
    <w:p>
      <w:pPr>
        <w:spacing w:after="0" w:line="77" w:lineRule="exact"/>
        <w:rPr>
          <w:rFonts w:ascii="Arial" w:cs="Arial" w:eastAsia="Arial" w:hAnsi="Arial"/>
          <w:sz w:val="18"/>
          <w:szCs w:val="18"/>
          <w:color w:val="auto"/>
        </w:rPr>
      </w:pPr>
    </w:p>
    <w:p>
      <w:pPr>
        <w:ind w:left="900" w:right="140" w:hanging="548"/>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Commercial Product Supply Agreement by and between Banner Pharmacaps Europe B.V. and Amarin Pharmaceuticals Ireland Limited, dated July 2, 2012.</w:t>
      </w:r>
    </w:p>
    <w:p>
      <w:pPr>
        <w:sectPr>
          <w:pgSz w:w="11900" w:h="16838" w:orient="portrait"/>
          <w:cols w:equalWidth="0" w:num="1">
            <w:col w:w="11020"/>
          </w:cols>
          <w:pgMar w:left="240" w:top="280" w:right="639" w:bottom="1440" w:gutter="0" w:footer="0" w:header="0"/>
        </w:sectPr>
      </w:pPr>
    </w:p>
    <w:bookmarkStart w:id="171" w:name="page172"/>
    <w:bookmarkEnd w:id="17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SCHEDULE 3.1(m)</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LIST OF PATENTS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240" w:top="280" w:right="639" w:bottom="1440" w:gutter="0" w:footer="0" w:header="0"/>
        </w:sectPr>
      </w:pPr>
    </w:p>
    <w:bookmarkStart w:id="172" w:name="page173"/>
    <w:bookmarkEnd w:id="17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Schedule 3.1(m) (cont.)</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INFRINGEMENT OF VASCEPA PATENT RIGHTS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240" w:top="280" w:right="6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140" w:type="dxa"/>
            <w:vAlign w:val="bottom"/>
            <w:gridSpan w:val="3"/>
          </w:tcPr>
          <w:p>
            <w:pPr>
              <w:ind w:left="400"/>
              <w:spacing w:after="0"/>
              <w:rPr>
                <w:sz w:val="20"/>
                <w:szCs w:val="20"/>
                <w:color w:val="auto"/>
              </w:rPr>
            </w:pPr>
            <w:r>
              <w:rPr>
                <w:rFonts w:ascii="Arial" w:cs="Arial" w:eastAsia="Arial" w:hAnsi="Arial"/>
                <w:sz w:val="18"/>
                <w:szCs w:val="18"/>
                <w:b w:val="1"/>
                <w:bCs w:val="1"/>
                <w:color w:val="auto"/>
              </w:rPr>
              <w:t>Subsidiaries of the Registrant as of December 31, 2012</w:t>
            </w:r>
          </w:p>
        </w:tc>
        <w:tc>
          <w:tcPr>
            <w:tcW w:w="0" w:type="dxa"/>
            <w:vAlign w:val="bottom"/>
          </w:tcPr>
          <w:p>
            <w:pPr>
              <w:spacing w:after="0"/>
              <w:rPr>
                <w:sz w:val="1"/>
                <w:szCs w:val="1"/>
                <w:color w:val="auto"/>
              </w:rPr>
            </w:pPr>
          </w:p>
        </w:tc>
      </w:tr>
      <w:tr>
        <w:trPr>
          <w:trHeight w:val="353"/>
        </w:trPr>
        <w:tc>
          <w:tcPr>
            <w:tcW w:w="3280" w:type="dxa"/>
            <w:vAlign w:val="bottom"/>
            <w:gridSpan w:val="3"/>
          </w:tcPr>
          <w:p>
            <w:pPr>
              <w:spacing w:after="0"/>
              <w:rPr>
                <w:sz w:val="20"/>
                <w:szCs w:val="20"/>
                <w:color w:val="auto"/>
              </w:rPr>
            </w:pPr>
            <w:r>
              <w:rPr>
                <w:rFonts w:ascii="Arial" w:cs="Arial" w:eastAsia="Arial" w:hAnsi="Arial"/>
                <w:sz w:val="14"/>
                <w:szCs w:val="14"/>
                <w:color w:val="auto"/>
              </w:rPr>
              <w:t>Name</w:t>
            </w:r>
          </w:p>
        </w:tc>
        <w:tc>
          <w:tcPr>
            <w:tcW w:w="27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Jurisdiction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2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7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2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27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Ester Neurosciences Limited</w:t>
            </w:r>
          </w:p>
        </w:tc>
        <w:tc>
          <w:tcPr>
            <w:tcW w:w="2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333-163704 and 333-170505 on Form F-3, Registration Statement No. 333-173132 on Form S-3, and Registration Statement Nos. 333-146839, 333-143358, 333-132520, 333-110704, 333-101775, 333-84152, 333-168054, 333-176877, 333-168055, 333-180180 and 333-183160 on Form S-8 of our reports dated February 28, 2013, relating to the consolidated financial statements of Amarin Corporation plc and subsidiaries and the effectiveness of Amarin Corporation plc’s internal control over financial reporting, appearing in this Annual Report on Form 10-K of Amarin Corporation plc for the year ended December 31, 2012.</w:t>
      </w:r>
    </w:p>
    <w:p>
      <w:pPr>
        <w:spacing w:after="0" w:line="11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ectPr>
          <w:pgSz w:w="11900" w:h="16838" w:orient="portrait"/>
          <w:cols w:equalWidth="0" w:num="1">
            <w:col w:w="11420"/>
          </w:cols>
          <w:pgMar w:left="240" w:top="12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Date: February 28, 2013</w:t>
      </w:r>
      <w:r>
        <w:rPr>
          <w:sz w:val="20"/>
          <w:szCs w:val="20"/>
          <w:color w:val="auto"/>
        </w:rPr>
        <w:tab/>
      </w:r>
      <w:r>
        <w:rPr>
          <w:rFonts w:ascii="Arial" w:cs="Arial" w:eastAsia="Arial" w:hAnsi="Arial"/>
          <w:sz w:val="15"/>
          <w:szCs w:val="15"/>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1740"/>
        <w:spacing w:after="0"/>
        <w:tabs>
          <w:tab w:leader="none" w:pos="7800" w:val="left"/>
        </w:tabs>
        <w:rPr>
          <w:sz w:val="20"/>
          <w:szCs w:val="20"/>
          <w:color w:val="auto"/>
        </w:rPr>
      </w:pPr>
      <w:r>
        <w:rPr>
          <w:rFonts w:ascii="Arial" w:cs="Arial" w:eastAsia="Arial" w:hAnsi="Arial"/>
          <w:sz w:val="18"/>
          <w:szCs w:val="18"/>
          <w:color w:val="auto"/>
        </w:rPr>
        <w:t>Date: February 28, 2013</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6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2012, to which this Certification is attached as Exhibit 32.1 (the “Annual Report”) fully complies with the requirements of Section 13(a) or 15(d) of the Securities Exchange Act; and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28, 2013</w:t>
            </w:r>
          </w:p>
        </w:tc>
        <w:tc>
          <w:tcPr>
            <w:tcW w:w="560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28, 2013</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1)"/>
      <w:numFmt w:val="lowerRoman"/>
      <w:start w:val="4"/>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1)"/>
      <w:numFmt w:val="decimal"/>
      <w:start w:val="1"/>
    </w:lvl>
  </w:abstractNum>
  <w:abstractNum w:abstractNumId="21">
    <w:nsid w:val="14330624"/>
    <w:multiLevelType w:val="hybridMultilevel"/>
    <w:lvl w:ilvl="0">
      <w:lvlJc w:val="left"/>
      <w:lvlText w:val="(%1)"/>
      <w:numFmt w:val="decimal"/>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1)"/>
      <w:numFmt w:val="decimal"/>
      <w:start w:val="4"/>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1"/>
      <w:numFmt w:val="decimal"/>
      <w:start w:val="10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1)"/>
      <w:numFmt w:val="decimal"/>
      <w:start w:val="1"/>
    </w:lvl>
  </w:abstractNum>
  <w:abstractNum w:abstractNumId="33">
    <w:nsid w:val="1716703B"/>
    <w:multiLevelType w:val="hybridMultilevel"/>
    <w:lvl w:ilvl="0">
      <w:lvlJc w:val="left"/>
      <w:lvlText w:val="(%1)"/>
      <w:numFmt w:val="decimal"/>
      <w:start w:val="2"/>
    </w:lvl>
  </w:abstractNum>
  <w:abstractNum w:abstractNumId="34">
    <w:nsid w:val="14E17E33"/>
    <w:multiLevelType w:val="hybridMultilevel"/>
    <w:lvl w:ilvl="0">
      <w:lvlJc w:val="left"/>
      <w:lvlText w:val="(%1)"/>
      <w:numFmt w:val="lowerRoman"/>
      <w:start w:val="2"/>
    </w:lvl>
  </w:abstractNum>
  <w:abstractNum w:abstractNumId="35">
    <w:nsid w:val="3222E7CD"/>
    <w:multiLevelType w:val="hybridMultilevel"/>
    <w:lvl w:ilvl="0">
      <w:lvlJc w:val="left"/>
      <w:lvlText w:val="(%1)"/>
      <w:numFmt w:val="lowerRoman"/>
      <w:start w:val="4"/>
    </w:lvl>
  </w:abstractNum>
  <w:abstractNum w:abstractNumId="36">
    <w:nsid w:val="74DE0EE3"/>
    <w:multiLevelType w:val="hybridMultilevel"/>
    <w:lvl w:ilvl="0">
      <w:lvlJc w:val="left"/>
      <w:lvlText w:val="(%1)"/>
      <w:numFmt w:val="decimal"/>
      <w:start w:val="3"/>
    </w:lvl>
  </w:abstractNum>
  <w:abstractNum w:abstractNumId="37">
    <w:nsid w:val="68EBC550"/>
    <w:multiLevelType w:val="hybridMultilevel"/>
    <w:lvl w:ilvl="0">
      <w:lvlJc w:val="left"/>
      <w:lvlText w:val="(%1)"/>
      <w:numFmt w:val="decimal"/>
      <w:start w:val="4"/>
    </w:lvl>
  </w:abstractNum>
  <w:abstractNum w:abstractNumId="38">
    <w:nsid w:val="2DF6D648"/>
    <w:multiLevelType w:val="hybridMultilevel"/>
    <w:lvl w:ilvl="0">
      <w:lvlJc w:val="left"/>
      <w:lvlText w:val="(%1)"/>
      <w:numFmt w:val="decimal"/>
      <w:start w:val="5"/>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1)"/>
      <w:numFmt w:val="decimal"/>
      <w:start w:val="8"/>
    </w:lvl>
  </w:abstractNum>
  <w:abstractNum w:abstractNumId="41">
    <w:nsid w:val="39EE015C"/>
    <w:multiLevelType w:val="hybridMultilevel"/>
    <w:lvl w:ilvl="0">
      <w:lvlJc w:val="left"/>
      <w:lvlText w:val="(%1)"/>
      <w:numFmt w:val="decimal"/>
      <w:start w:val="9"/>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1)"/>
      <w:numFmt w:val="decimal"/>
      <w:start w:val="10"/>
    </w:lvl>
  </w:abstractNum>
  <w:abstractNum w:abstractNumId="44">
    <w:nsid w:val="43F18422"/>
    <w:multiLevelType w:val="hybridMultilevel"/>
    <w:lvl w:ilvl="0">
      <w:lvlJc w:val="left"/>
      <w:lvlText w:val="(%1)"/>
      <w:numFmt w:val="decimal"/>
      <w:start w:val="11"/>
    </w:lvl>
  </w:abstractNum>
  <w:abstractNum w:abstractNumId="45">
    <w:nsid w:val="60EF0119"/>
    <w:multiLevelType w:val="hybridMultilevel"/>
    <w:lvl w:ilvl="0">
      <w:lvlJc w:val="left"/>
      <w:lvlText w:val="(%1)"/>
      <w:numFmt w:val="decimal"/>
      <w:start w:val="12"/>
    </w:lvl>
  </w:abstractNum>
  <w:abstractNum w:abstractNumId="46">
    <w:nsid w:val="26F324BA"/>
    <w:multiLevelType w:val="hybridMultilevel"/>
    <w:lvl w:ilvl="0">
      <w:lvlJc w:val="left"/>
      <w:lvlText w:val="(%1)"/>
      <w:numFmt w:val="decimal"/>
      <w:start w:val="13"/>
    </w:lvl>
  </w:abstractNum>
  <w:abstractNum w:abstractNumId="47">
    <w:nsid w:val="7F01579B"/>
    <w:multiLevelType w:val="hybridMultilevel"/>
    <w:lvl w:ilvl="0">
      <w:lvlJc w:val="left"/>
      <w:lvlText w:val="(%1)"/>
      <w:numFmt w:val="decimal"/>
      <w:start w:val="14"/>
    </w:lvl>
  </w:abstractNum>
  <w:abstractNum w:abstractNumId="48">
    <w:nsid w:val="49DA307D"/>
    <w:multiLevelType w:val="hybridMultilevel"/>
    <w:lvl w:ilvl="0">
      <w:lvlJc w:val="left"/>
      <w:lvlText w:val="(%1)"/>
      <w:numFmt w:val="lowerRoman"/>
      <w:start w:val="3"/>
    </w:lvl>
  </w:abstractNum>
  <w:abstractNum w:abstractNumId="49">
    <w:nsid w:val="7055A5F5"/>
    <w:multiLevelType w:val="hybridMultilevel"/>
    <w:lvl w:ilvl="0">
      <w:lvlJc w:val="left"/>
      <w:lvlText w:val="(%1)"/>
      <w:numFmt w:val="decimal"/>
      <w:start w:val="15"/>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1"/>
      <w:numFmt w:val="decimal"/>
      <w:start w:val="1"/>
    </w:lvl>
    <w:lvl w:ilvl="1">
      <w:lvlJc w:val="left"/>
      <w:lvlText w:val="%2."/>
      <w:numFmt w:val="decimal"/>
      <w:start w:val="1"/>
    </w:lvl>
  </w:abstractNum>
  <w:abstractNum w:abstractNumId="52">
    <w:nsid w:val="488AC1A"/>
    <w:multiLevelType w:val="hybridMultilevel"/>
    <w:lvl w:ilvl="0">
      <w:lvlJc w:val="left"/>
      <w:lvlText w:val="%1."/>
      <w:numFmt w:val="decimal"/>
      <w:start w:val="1"/>
    </w:lvl>
    <w:lvl w:ilvl="1">
      <w:lvlJc w:val="left"/>
      <w:lvlText w:val="%2"/>
      <w:numFmt w:val="decimal"/>
      <w:start w:val="1"/>
    </w:lvl>
  </w:abstractNum>
  <w:abstractNum w:abstractNumId="53">
    <w:nsid w:val="5FB8011C"/>
    <w:multiLevelType w:val="hybridMultilevel"/>
    <w:lvl w:ilvl="0">
      <w:lvlJc w:val="left"/>
      <w:lvlText w:val="%1."/>
      <w:numFmt w:val="decimal"/>
      <w:start w:val="2"/>
    </w:lvl>
  </w:abstractNum>
  <w:abstractNum w:abstractNumId="54">
    <w:nsid w:val="6AA78F7F"/>
    <w:multiLevelType w:val="hybridMultilevel"/>
    <w:lvl w:ilvl="0">
      <w:lvlJc w:val="left"/>
      <w:lvlText w:val="%1."/>
      <w:numFmt w:val="decimal"/>
      <w:start w:val="1"/>
    </w:lvl>
  </w:abstractNum>
  <w:abstractNum w:abstractNumId="55">
    <w:nsid w:val="7672BD23"/>
    <w:multiLevelType w:val="hybridMultilevel"/>
    <w:lvl w:ilvl="0">
      <w:lvlJc w:val="left"/>
      <w:lvlText w:val="%1."/>
      <w:numFmt w:val="decimal"/>
      <w:start w:val="5"/>
    </w:lvl>
  </w:abstractNum>
  <w:abstractNum w:abstractNumId="56">
    <w:nsid w:val="6FC75AF8"/>
    <w:multiLevelType w:val="hybridMultilevel"/>
    <w:lvl w:ilvl="0">
      <w:lvlJc w:val="left"/>
      <w:lvlText w:val="%1."/>
      <w:numFmt w:val="decimal"/>
      <w:start w:val="7"/>
    </w:lvl>
  </w:abstractNum>
  <w:abstractNum w:abstractNumId="57">
    <w:nsid w:val="6A5F7029"/>
    <w:multiLevelType w:val="hybridMultilevel"/>
    <w:lvl w:ilvl="0">
      <w:lvlJc w:val="left"/>
      <w:lvlText w:val="%1."/>
      <w:numFmt w:val="decimal"/>
      <w:start w:val="8"/>
    </w:lvl>
  </w:abstractNum>
  <w:abstractNum w:abstractNumId="58">
    <w:nsid w:val="7D5E18F8"/>
    <w:multiLevelType w:val="hybridMultilevel"/>
    <w:lvl w:ilvl="0">
      <w:lvlJc w:val="left"/>
      <w:lvlText w:val="(%1)"/>
      <w:numFmt w:val="lowerLetter"/>
      <w:start w:val="1"/>
    </w:lvl>
  </w:abstractNum>
  <w:abstractNum w:abstractNumId="59">
    <w:nsid w:val="5F3534A4"/>
    <w:multiLevelType w:val="hybridMultilevel"/>
    <w:lvl w:ilvl="0">
      <w:lvlJc w:val="left"/>
      <w:lvlText w:val="(%1)"/>
      <w:numFmt w:val="lowerLetter"/>
      <w:start w:val="2"/>
    </w:lvl>
  </w:abstractNum>
  <w:abstractNum w:abstractNumId="60">
    <w:nsid w:val="73A1821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61">
    <w:nsid w:val="7DE67713"/>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62">
    <w:nsid w:val="555C55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3">
    <w:nsid w:val="3FA62AC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64">
    <w:nsid w:val="14FCE74E"/>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1"/>
    </w:lvl>
  </w:abstractNum>
  <w:abstractNum w:abstractNumId="65">
    <w:nsid w:val="6A3DD3E8"/>
    <w:multiLevelType w:val="hybridMultilevel"/>
    <w:lvl w:ilvl="0">
      <w:lvlJc w:val="left"/>
      <w:lvlText w:val="(%1)"/>
      <w:numFmt w:val="lowerLetter"/>
      <w:start w:val="11"/>
    </w:lvl>
  </w:abstractNum>
  <w:abstractNum w:abstractNumId="66">
    <w:nsid w:val="71C9129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7">
    <w:nsid w:val="9DAF632"/>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lowerLetter"/>
      <w:start w:val="1"/>
    </w:lvl>
  </w:abstractNum>
  <w:abstractNum w:abstractNumId="70">
    <w:nsid w:val="5092CA79"/>
    <w:multiLevelType w:val="hybridMultilevel"/>
    <w:lvl w:ilvl="0">
      <w:lvlJc w:val="left"/>
      <w:lvlText w:val="(%1)"/>
      <w:numFmt w:val="lowerRoman"/>
      <w:start w:val="2"/>
    </w:lvl>
  </w:abstractNum>
  <w:abstractNum w:abstractNumId="71">
    <w:nsid w:val="1D545C4D"/>
    <w:multiLevelType w:val="hybridMultilevel"/>
    <w:lvl w:ilvl="0">
      <w:lvlJc w:val="left"/>
      <w:lvlText w:val="(%1)"/>
      <w:numFmt w:val="lowerLetter"/>
      <w:start w:val="2"/>
    </w:lvl>
  </w:abstractNum>
  <w:abstractNum w:abstractNumId="72">
    <w:nsid w:val="59ADEA3D"/>
    <w:multiLevelType w:val="hybridMultilevel"/>
    <w:lvl w:ilvl="0">
      <w:lvlJc w:val="left"/>
      <w:lvlText w:val="(%1)"/>
      <w:numFmt w:val="lowerLetter"/>
      <w:start w:val="3"/>
    </w:lvl>
  </w:abstractNum>
  <w:abstractNum w:abstractNumId="73">
    <w:nsid w:val="288F1A34"/>
    <w:multiLevelType w:val="hybridMultilevel"/>
    <w:lvl w:ilvl="0">
      <w:lvlJc w:val="left"/>
      <w:lvlText w:val="(%1)"/>
      <w:numFmt w:val="lowerLetter"/>
      <w:start w:val="5"/>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Letter"/>
      <w:start w:val="2"/>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3"/>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Letter"/>
      <w:start w:val="4"/>
    </w:lvl>
  </w:abstractNum>
  <w:abstractNum w:abstractNumId="80">
    <w:nsid w:val="415E286C"/>
    <w:multiLevelType w:val="hybridMultilevel"/>
    <w:lvl w:ilvl="0">
      <w:lvlJc w:val="left"/>
      <w:lvlText w:val="(%1)"/>
      <w:numFmt w:val="lowerLetter"/>
      <w:start w:val="22"/>
    </w:lvl>
    <w:lvl w:ilvl="1">
      <w:lvlJc w:val="left"/>
      <w:lvlText w:val="(%2)"/>
      <w:numFmt w:val="lowerLetter"/>
      <w:start w:val="7"/>
    </w:lvl>
    <w:lvl w:ilvl="2">
      <w:lvlJc w:val="left"/>
      <w:lvlText w:val="(%3)"/>
      <w:numFmt w:val="lowerRoman"/>
      <w:start w:val="1"/>
    </w:lvl>
  </w:abstractNum>
  <w:abstractNum w:abstractNumId="81">
    <w:nsid w:val="7C58FD05"/>
    <w:multiLevelType w:val="hybridMultilevel"/>
    <w:lvl w:ilvl="0">
      <w:lvlJc w:val="left"/>
      <w:lvlText w:val="(%1)"/>
      <w:numFmt w:val="lowerRoman"/>
      <w:start w:val="3"/>
    </w:lvl>
  </w:abstractNum>
  <w:abstractNum w:abstractNumId="82">
    <w:nsid w:val="23D86AAC"/>
    <w:multiLevelType w:val="hybridMultilevel"/>
    <w:lvl w:ilvl="0">
      <w:lvlJc w:val="left"/>
      <w:lvlText w:val="(%1)"/>
      <w:numFmt w:val="lowerLetter"/>
      <w:start w:val="10"/>
    </w:lvl>
  </w:abstractNum>
  <w:abstractNum w:abstractNumId="83">
    <w:nsid w:val="45E6D486"/>
    <w:multiLevelType w:val="hybridMultilevel"/>
    <w:lvl w:ilvl="0">
      <w:lvlJc w:val="left"/>
      <w:lvlText w:val="%1"/>
      <w:numFmt w:val="lowerLetter"/>
      <w:start w:val="1"/>
    </w:lvl>
    <w:lvl w:ilvl="1">
      <w:lvlJc w:val="left"/>
      <w:lvlText w:val="(%2)"/>
      <w:numFmt w:val="lowerRoman"/>
      <w:start w:val="1"/>
    </w:lvl>
  </w:abstractNum>
  <w:abstractNum w:abstractNumId="84">
    <w:nsid w:val="5C10FE21"/>
    <w:multiLevelType w:val="hybridMultilevel"/>
    <w:lvl w:ilvl="0">
      <w:lvlJc w:val="left"/>
      <w:lvlText w:val="(%1)"/>
      <w:numFmt w:val="lowerLetter"/>
      <w:start w:val="12"/>
    </w:lvl>
    <w:lvl w:ilvl="1">
      <w:lvlJc w:val="left"/>
      <w:lvlText w:val="(%2)"/>
      <w:numFmt w:val="lowerRoman"/>
      <w:start w:val="1"/>
    </w:lvl>
  </w:abstractNum>
  <w:abstractNum w:abstractNumId="85">
    <w:nsid w:val="E7FFA2B"/>
    <w:multiLevelType w:val="hybridMultilevel"/>
    <w:lvl w:ilvl="0">
      <w:lvlJc w:val="left"/>
      <w:lvlText w:val="%1"/>
      <w:numFmt w:val="lowerLetter"/>
      <w:start w:val="1"/>
    </w:lvl>
    <w:lvl w:ilvl="1">
      <w:lvlJc w:val="left"/>
      <w:lvlText w:val="(%2)"/>
      <w:numFmt w:val="lowerRoman"/>
      <w:start w:val="2"/>
    </w:lvl>
  </w:abstractNum>
  <w:abstractNum w:abstractNumId="86">
    <w:nsid w:val="3C5991AA"/>
    <w:multiLevelType w:val="hybridMultilevel"/>
    <w:lvl w:ilvl="0">
      <w:lvlJc w:val="left"/>
      <w:lvlText w:val="(%1)"/>
      <w:numFmt w:val="lowerLetter"/>
      <w:start w:val="13"/>
    </w:lvl>
    <w:lvl w:ilvl="1">
      <w:lvlJc w:val="left"/>
      <w:lvlText w:val="(%2)"/>
      <w:numFmt w:val="lowerRoman"/>
      <w:start w:val="1"/>
    </w:lvl>
  </w:abstractNum>
  <w:abstractNum w:abstractNumId="87">
    <w:nsid w:val="4BD8591A"/>
    <w:multiLevelType w:val="hybridMultilevel"/>
    <w:lvl w:ilvl="0">
      <w:lvlJc w:val="left"/>
      <w:lvlText w:val="%1"/>
      <w:numFmt w:val="lowerLetter"/>
      <w:start w:val="1"/>
    </w:lvl>
    <w:lvl w:ilvl="1">
      <w:lvlJc w:val="left"/>
      <w:lvlText w:val="(%2)"/>
      <w:numFmt w:val="lowerRoman"/>
      <w:start w:val="5"/>
    </w:lvl>
  </w:abstractNum>
  <w:abstractNum w:abstractNumId="88">
    <w:nsid w:val="78DF6A55"/>
    <w:multiLevelType w:val="hybridMultilevel"/>
    <w:lvl w:ilvl="0">
      <w:lvlJc w:val="left"/>
      <w:lvlText w:val="(%1)"/>
      <w:numFmt w:val="lowerLetter"/>
      <w:start w:val="14"/>
    </w:lvl>
    <w:lvl w:ilvl="1">
      <w:lvlJc w:val="left"/>
      <w:lvlText w:val="%2"/>
      <w:numFmt w:val="lowerRoman"/>
      <w:start w:val="1"/>
    </w:lvl>
  </w:abstractNum>
  <w:abstractNum w:abstractNumId="89">
    <w:nsid w:val="39B7AAA2"/>
    <w:multiLevelType w:val="hybridMultilevel"/>
    <w:lvl w:ilvl="0">
      <w:lvlJc w:val="left"/>
      <w:lvlText w:val="(%1)"/>
      <w:numFmt w:val="lowerLetter"/>
      <w:start w:val="1"/>
    </w:lvl>
  </w:abstractNum>
  <w:abstractNum w:abstractNumId="90">
    <w:nsid w:val="2B0D8DBE"/>
    <w:multiLevelType w:val="hybridMultilevel"/>
    <w:lvl w:ilvl="0">
      <w:lvlJc w:val="left"/>
      <w:lvlText w:val="(%1)"/>
      <w:numFmt w:val="lowerLetter"/>
      <w:start w:val="2"/>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7"/>
    </w:lvl>
  </w:abstractNum>
  <w:abstractNum w:abstractNumId="93">
    <w:nsid w:val="69E373"/>
    <w:multiLevelType w:val="hybridMultilevel"/>
    <w:lvl w:ilvl="0">
      <w:lvlJc w:val="left"/>
      <w:lvlText w:val="(%1)"/>
      <w:numFmt w:val="lowerLetter"/>
      <w:start w:val="1"/>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Letter"/>
      <w:start w:val="2"/>
    </w:lvl>
  </w:abstractNum>
  <w:abstractNum w:abstractNumId="97">
    <w:nsid w:val="1DF029D3"/>
    <w:multiLevelType w:val="hybridMultilevel"/>
    <w:lvl w:ilvl="0">
      <w:lvlJc w:val="left"/>
      <w:lvlText w:val="(%1)"/>
      <w:numFmt w:val="lowerLetter"/>
      <w:start w:val="3"/>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Roman"/>
      <w:start w:val="1"/>
    </w:lvl>
  </w:abstractNum>
  <w:abstractNum w:abstractNumId="100">
    <w:nsid w:val="3DB012B3"/>
    <w:multiLevelType w:val="hybridMultilevel"/>
    <w:lvl w:ilvl="0">
      <w:lvlJc w:val="left"/>
      <w:lvlText w:val="(%1)"/>
      <w:numFmt w:val="lowerRoman"/>
      <w:start w:val="2"/>
    </w:lvl>
  </w:abstractNum>
  <w:abstractNum w:abstractNumId="101">
    <w:nsid w:val="2708C9AF"/>
    <w:multiLevelType w:val="hybridMultilevel"/>
    <w:lvl w:ilvl="0">
      <w:lvlJc w:val="left"/>
      <w:lvlText w:val="(%1)"/>
      <w:numFmt w:val="lowerLetter"/>
      <w:start w:val="2"/>
    </w:lvl>
  </w:abstractNum>
  <w:abstractNum w:abstractNumId="102">
    <w:nsid w:val="5B25ACE2"/>
    <w:multiLevelType w:val="hybridMultilevel"/>
    <w:lvl w:ilvl="0">
      <w:lvlJc w:val="left"/>
      <w:lvlText w:val="(%1)"/>
      <w:numFmt w:val="lowerLetter"/>
      <w:start w:val="6"/>
    </w:lvl>
  </w:abstractNum>
  <w:abstractNum w:abstractNumId="103">
    <w:nsid w:val="175DFCF0"/>
    <w:multiLevelType w:val="hybridMultilevel"/>
    <w:lvl w:ilvl="0">
      <w:lvlJc w:val="left"/>
      <w:lvlText w:val="(%1)"/>
      <w:numFmt w:val="lowerLetter"/>
      <w:start w:val="1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lvl w:ilvl="1">
      <w:lvlJc w:val="left"/>
      <w:lvlText w:val="(%2)"/>
      <w:numFmt w:val="lowerLetter"/>
      <w:start w:val="2"/>
    </w:lvl>
  </w:abstractNum>
  <w:abstractNum w:abstractNumId="106">
    <w:nsid w:val="34FD6B4F"/>
    <w:multiLevelType w:val="hybridMultilevel"/>
    <w:lvl w:ilvl="0">
      <w:lvlJc w:val="left"/>
      <w:lvlText w:val="(%1)"/>
      <w:numFmt w:val="lowerLetter"/>
      <w:start w:val="35"/>
    </w:lvl>
    <w:lvl w:ilvl="1">
      <w:lvlJc w:val="left"/>
      <w:lvlText w:val="(%2)"/>
      <w:numFmt w:val="lowerLetter"/>
      <w:start w:val="3"/>
    </w:lvl>
  </w:abstractNum>
  <w:abstractNum w:abstractNumId="107">
    <w:nsid w:val="5915FF32"/>
    <w:multiLevelType w:val="hybridMultilevel"/>
    <w:lvl w:ilvl="0">
      <w:lvlJc w:val="left"/>
      <w:lvlText w:val="%1"/>
      <w:numFmt w:val="lowerLetter"/>
      <w:start w:val="1"/>
    </w:lvl>
    <w:lvl w:ilvl="1">
      <w:lvlJc w:val="left"/>
      <w:lvlText w:val="(%2)"/>
      <w:numFmt w:val="lowerLetter"/>
      <w:start w:val="1"/>
    </w:lvl>
  </w:abstractNum>
  <w:abstractNum w:abstractNumId="108">
    <w:nsid w:val="56438D15"/>
    <w:multiLevelType w:val="hybridMultilevel"/>
    <w:lvl w:ilvl="0">
      <w:lvlJc w:val="left"/>
      <w:lvlText w:val="(%1)"/>
      <w:numFmt w:val="lowerLetter"/>
      <w:start w:val="35"/>
    </w:lvl>
    <w:lvl w:ilvl="1">
      <w:lvlJc w:val="left"/>
      <w:lvlText w:val="(%2)"/>
      <w:numFmt w:val="lowerLetter"/>
      <w:start w:val="4"/>
    </w:lvl>
  </w:abstractNum>
  <w:abstractNum w:abstractNumId="109">
    <w:nsid w:val="519E3149"/>
    <w:multiLevelType w:val="hybridMultilevel"/>
    <w:lvl w:ilvl="0">
      <w:lvlJc w:val="left"/>
      <w:lvlText w:val="%1"/>
      <w:numFmt w:val="lowerLetter"/>
      <w:start w:val="1"/>
    </w:lvl>
    <w:lvl w:ilvl="1">
      <w:lvlJc w:val="left"/>
      <w:lvlText w:val="(%2)"/>
      <w:numFmt w:val="lowerLetter"/>
      <w:start w:val="1"/>
    </w:lvl>
  </w:abstractNum>
  <w:abstractNum w:abstractNumId="110">
    <w:nsid w:val="2C6E4AFD"/>
    <w:multiLevelType w:val="hybridMultilevel"/>
    <w:lvl w:ilvl="0">
      <w:lvlJc w:val="left"/>
      <w:lvlText w:val="(%1)"/>
      <w:numFmt w:val="lowerLetter"/>
      <w:start w:val="35"/>
    </w:lvl>
    <w:lvl w:ilvl="1">
      <w:lvlJc w:val="left"/>
      <w:lvlText w:val="(%2)"/>
      <w:numFmt w:val="lowerLetter"/>
      <w:start w:val="3"/>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1"/>
    </w:lvl>
  </w:abstractNum>
  <w:abstractNum w:abstractNumId="113">
    <w:nsid w:val="5046B5A9"/>
    <w:multiLevelType w:val="hybridMultilevel"/>
    <w:lvl w:ilvl="0">
      <w:lvlJc w:val="left"/>
      <w:lvlText w:val="(%1)"/>
      <w:numFmt w:val="lowerLetter"/>
      <w:start w:val="2"/>
    </w:lvl>
  </w:abstractNum>
  <w:abstractNum w:abstractNumId="114">
    <w:nsid w:val="5D888A08"/>
    <w:multiLevelType w:val="hybridMultilevel"/>
    <w:lvl w:ilvl="0">
      <w:lvlJc w:val="left"/>
      <w:lvlText w:val="(%1)"/>
      <w:numFmt w:val="lowerLetter"/>
      <w:start w:val="2"/>
    </w:lvl>
  </w:abstractNum>
  <w:abstractNum w:abstractNumId="115">
    <w:nsid w:val="2A082C70"/>
    <w:multiLevelType w:val="hybridMultilevel"/>
    <w:lvl w:ilvl="0">
      <w:lvlJc w:val="left"/>
      <w:lvlText w:val="(%1)"/>
      <w:numFmt w:val="lowerLetter"/>
      <w:start w:val="1"/>
    </w:lvl>
    <w:lvl w:ilvl="1">
      <w:lvlJc w:val="left"/>
      <w:lvlText w:val="(%2)"/>
      <w:numFmt w:val="lowerRoman"/>
      <w:start w:val="1"/>
    </w:lvl>
  </w:abstractNum>
  <w:abstractNum w:abstractNumId="116">
    <w:nsid w:val="5EC6AFD4"/>
    <w:multiLevelType w:val="hybridMultilevel"/>
    <w:lvl w:ilvl="0">
      <w:lvlJc w:val="left"/>
      <w:lvlText w:val="(%1)"/>
      <w:numFmt w:val="lowerLetter"/>
      <w:start w:val="1"/>
    </w:lvl>
  </w:abstractNum>
  <w:abstractNum w:abstractNumId="117">
    <w:nsid w:val="19E21BB2"/>
    <w:multiLevelType w:val="hybridMultilevel"/>
    <w:lvl w:ilvl="0">
      <w:lvlJc w:val="left"/>
      <w:lvlText w:val="(%1)"/>
      <w:numFmt w:val="lowerLetter"/>
      <w:start w:val="3"/>
    </w:lvl>
  </w:abstractNum>
  <w:abstractNum w:abstractNumId="118">
    <w:nsid w:val="75E0858A"/>
    <w:multiLevelType w:val="hybridMultilevel"/>
    <w:lvl w:ilvl="0">
      <w:lvlJc w:val="left"/>
      <w:lvlText w:val="(%1)"/>
      <w:numFmt w:val="lowerLetter"/>
      <w:start w:val="1"/>
    </w:lvl>
  </w:abstractNum>
  <w:abstractNum w:abstractNumId="119">
    <w:nsid w:val="57A61A29"/>
    <w:multiLevelType w:val="hybridMultilevel"/>
    <w:lvl w:ilvl="0">
      <w:lvlJc w:val="left"/>
      <w:lvlText w:val="(%1)"/>
      <w:numFmt w:val="lowerLetter"/>
      <w:start w:val="2"/>
    </w:lvl>
  </w:abstractNum>
  <w:abstractNum w:abstractNumId="120">
    <w:nsid w:val="5399C654"/>
    <w:multiLevelType w:val="hybridMultilevel"/>
    <w:lvl w:ilvl="0">
      <w:lvlJc w:val="left"/>
      <w:lvlText w:val="(%1)"/>
      <w:numFmt w:val="lowerLetter"/>
      <w:start w:val="1"/>
    </w:lvl>
  </w:abstractNum>
  <w:abstractNum w:abstractNumId="121">
    <w:nsid w:val="20EE1348"/>
    <w:multiLevelType w:val="hybridMultilevel"/>
    <w:lvl w:ilvl="0">
      <w:lvlJc w:val="left"/>
      <w:lvlText w:val="(%1)"/>
      <w:numFmt w:val="lowerLetter"/>
      <w:start w:val="1"/>
    </w:lvl>
  </w:abstractNum>
  <w:abstractNum w:abstractNumId="122">
    <w:nsid w:val="4427069A"/>
    <w:multiLevelType w:val="hybridMultilevel"/>
    <w:lvl w:ilvl="0">
      <w:lvlJc w:val="left"/>
      <w:lvlText w:val="(%1)"/>
      <w:numFmt w:val="lowerLetter"/>
      <w:start w:val="1"/>
    </w:lvl>
  </w:abstractNum>
  <w:abstractNum w:abstractNumId="123">
    <w:nsid w:val="B37E80A"/>
    <w:multiLevelType w:val="hybridMultilevel"/>
    <w:lvl w:ilvl="0">
      <w:lvlJc w:val="left"/>
      <w:lvlText w:val="(%1)"/>
      <w:numFmt w:val="lowerLetter"/>
      <w:start w:val="1"/>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1"/>
    </w:lvl>
  </w:abstractNum>
  <w:abstractNum w:abstractNumId="127">
    <w:nsid w:val="BFFAE18"/>
    <w:multiLevelType w:val="hybridMultilevel"/>
    <w:lvl w:ilvl="0">
      <w:lvlJc w:val="left"/>
      <w:lvlText w:val="(%1)"/>
      <w:numFmt w:val="lowerLetter"/>
      <w:start w:val="4"/>
    </w:lvl>
  </w:abstractNum>
  <w:abstractNum w:abstractNumId="128">
    <w:nsid w:val="E3E47A8"/>
    <w:multiLevelType w:val="hybridMultilevel"/>
    <w:lvl w:ilvl="0">
      <w:lvlJc w:val="left"/>
      <w:lvlText w:val="(%1)"/>
      <w:numFmt w:val="lowerLetter"/>
      <w:start w:val="5"/>
    </w:lvl>
  </w:abstractNum>
  <w:abstractNum w:abstractNumId="129">
    <w:nsid w:val="2E48F044"/>
    <w:multiLevelType w:val="hybridMultilevel"/>
    <w:lvl w:ilvl="0">
      <w:lvlJc w:val="left"/>
      <w:lvlText w:val="%1"/>
      <w:numFmt w:val="lowerLetter"/>
      <w:start w:val="1"/>
    </w:lvl>
    <w:lvl w:ilvl="1">
      <w:lvlJc w:val="left"/>
      <w:lvlText w:val="(%2)"/>
      <w:numFmt w:val="lowerLetter"/>
      <w:start w:val="1"/>
    </w:lvl>
  </w:abstractNum>
  <w:abstractNum w:abstractNumId="130">
    <w:nsid w:val="49D0FEAC"/>
    <w:multiLevelType w:val="hybridMultilevel"/>
    <w:lvl w:ilvl="0">
      <w:lvlJc w:val="left"/>
      <w:lvlText w:val="(%1)"/>
      <w:numFmt w:val="lowerLetter"/>
      <w:start w:val="61"/>
    </w:lvl>
    <w:lvl w:ilvl="1">
      <w:lvlJc w:val="left"/>
      <w:lvlText w:val="(%2)"/>
      <w:numFmt w:val="lowerLetter"/>
      <w:start w:val="5"/>
    </w:lvl>
  </w:abstractNum>
  <w:abstractNum w:abstractNumId="131">
    <w:nsid w:val="4BEE5A5B"/>
    <w:multiLevelType w:val="hybridMultilevel"/>
    <w:lvl w:ilvl="0">
      <w:lvlJc w:val="left"/>
      <w:lvlText w:val="(%1)"/>
      <w:numFmt w:val="lowerLetter"/>
      <w:start w:val="7"/>
    </w:lvl>
  </w:abstractNum>
  <w:abstractNum w:abstractNumId="132">
    <w:nsid w:val="5551B9F3"/>
    <w:multiLevelType w:val="hybridMultilevel"/>
    <w:lvl w:ilvl="0">
      <w:lvlJc w:val="left"/>
      <w:lvlText w:val="(%1)"/>
      <w:numFmt w:val="lowerLetter"/>
      <w:start w:val="1"/>
    </w:lvl>
  </w:abstractNum>
  <w:abstractNum w:abstractNumId="133">
    <w:nsid w:val="24F6AB8E"/>
    <w:multiLevelType w:val="hybridMultilevel"/>
    <w:lvl w:ilvl="0">
      <w:lvlJc w:val="left"/>
      <w:lvlText w:val="(%1)"/>
      <w:numFmt w:val="lowerLetter"/>
      <w:start w:val="9"/>
    </w:lvl>
    <w:lvl w:ilvl="1">
      <w:lvlJc w:val="left"/>
      <w:lvlText w:val="(%2)"/>
      <w:numFmt w:val="lowerLetter"/>
      <w:start w:val="35"/>
    </w:lvl>
  </w:abstractNum>
  <w:abstractNum w:abstractNumId="134">
    <w:nsid w:val="634C574C"/>
    <w:multiLevelType w:val="hybridMultilevel"/>
    <w:lvl w:ilvl="0">
      <w:lvlJc w:val="left"/>
      <w:lvlText w:val="%1."/>
      <w:numFmt w:val="decimal"/>
      <w:start w:val="1"/>
    </w:lvl>
  </w:abstractNum>
  <w:abstractNum w:abstractNumId="135">
    <w:nsid w:val="24E99DD7"/>
    <w:multiLevelType w:val="hybridMultilevel"/>
    <w:lvl w:ilvl="0">
      <w:lvlJc w:val="left"/>
      <w:lvlText w:val="%1."/>
      <w:numFmt w:val="decimal"/>
      <w:start w:val="4"/>
    </w:lvl>
    <w:lvl w:ilvl="1">
      <w:lvlJc w:val="left"/>
      <w:lvlText w:val="(%2)"/>
      <w:numFmt w:val="lowerLetter"/>
      <w:start w:val="2"/>
    </w:lvl>
  </w:abstractNum>
  <w:abstractNum w:abstractNumId="136">
    <w:nsid w:val="2A31B62D"/>
    <w:multiLevelType w:val="hybridMultilevel"/>
    <w:lvl w:ilvl="0">
      <w:lvlJc w:val="left"/>
      <w:lvlText w:val="%1"/>
      <w:numFmt w:val="decimal"/>
      <w:start w:val="1"/>
    </w:lvl>
    <w:lvl w:ilvl="1">
      <w:lvlJc w:val="left"/>
      <w:lvlText w:val="(%2)"/>
      <w:numFmt w:val="lowerLetter"/>
      <w:start w:val="6"/>
    </w:lvl>
  </w:abstractNum>
  <w:abstractNum w:abstractNumId="137">
    <w:nsid w:val="1849C29B"/>
    <w:multiLevelType w:val="hybridMultilevel"/>
    <w:lvl w:ilvl="0">
      <w:lvlJc w:val="left"/>
      <w:lvlText w:val="%1."/>
      <w:numFmt w:val="decimal"/>
      <w:start w:val="6"/>
    </w:lvl>
    <w:lvl w:ilvl="1">
      <w:lvlJc w:val="left"/>
      <w:lvlText w:val="%2"/>
      <w:numFmt w:val="lowerLetter"/>
      <w:start w:val="1"/>
    </w:lvl>
  </w:abstractNum>
  <w:abstractNum w:abstractNumId="138">
    <w:nsid w:val="7DFF9D09"/>
    <w:multiLevelType w:val="hybridMultilevel"/>
    <w:lvl w:ilvl="0">
      <w:lvlJc w:val="left"/>
      <w:lvlText w:val="%1."/>
      <w:numFmt w:val="decimal"/>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2019-12-06T08:09:37Z</dcterms:created>
  <dcterms:modified xsi:type="dcterms:W3CDTF">2019-12-06T08:09:37Z</dcterms:modified>
</cp:coreProperties>
</file>