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-210820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 w:lineRule="exact"/>
        <w:rPr>
          <w:sz w:val="24"/>
          <w:szCs w:val="24"/>
          <w:color w:val="auto"/>
        </w:rPr>
      </w:pPr>
    </w:p>
    <w:p>
      <w:pPr>
        <w:ind w:left="520" w:right="2540" w:hanging="512"/>
        <w:spacing w:after="0" w:line="297" w:lineRule="auto"/>
        <w:tabs>
          <w:tab w:leader="none" w:pos="515"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ind w:left="520" w:hanging="512"/>
        <w:spacing w:after="0"/>
        <w:tabs>
          <w:tab w:leader="none" w:pos="52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223" w:lineRule="exact"/>
        <w:rPr>
          <w:sz w:val="24"/>
          <w:szCs w:val="24"/>
          <w:color w:val="auto"/>
        </w:rPr>
      </w:pPr>
    </w:p>
    <w:p>
      <w:pPr>
        <w:ind w:left="520"/>
        <w:spacing w:after="0"/>
        <w:tabs>
          <w:tab w:leader="none" w:pos="3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No. 0-21392</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-282575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3" w:lineRule="exact"/>
        <w:rPr>
          <w:sz w:val="24"/>
          <w:szCs w:val="24"/>
          <w:color w:val="auto"/>
        </w:rPr>
      </w:pPr>
    </w:p>
    <w:tbl>
      <w:tblPr>
        <w:tblLayout w:type="fixed"/>
        <w:tblInd w:w="50" w:type="dxa"/>
        <w:tblCellMar>
          <w:top w:w="0" w:type="dxa"/>
          <w:left w:w="0" w:type="dxa"/>
          <w:bottom w:w="0" w:type="dxa"/>
          <w:right w:w="0" w:type="dxa"/>
        </w:tblCellMar>
      </w:tblPr>
      <w:tr>
        <w:trPr>
          <w:trHeight w:val="210"/>
        </w:trPr>
        <w:tc>
          <w:tcPr>
            <w:tcW w:w="7500" w:type="dxa"/>
            <w:vAlign w:val="bottom"/>
            <w:gridSpan w:val="4"/>
          </w:tcPr>
          <w:p>
            <w:pPr>
              <w:jc w:val="center"/>
              <w:ind w:left="3760"/>
              <w:spacing w:after="0"/>
              <w:rPr>
                <w:sz w:val="20"/>
                <w:szCs w:val="20"/>
                <w:color w:val="auto"/>
              </w:rPr>
            </w:pPr>
            <w:r>
              <w:rPr>
                <w:rFonts w:ascii="Arial" w:cs="Arial" w:eastAsia="Arial" w:hAnsi="Arial"/>
                <w:sz w:val="17"/>
                <w:szCs w:val="17"/>
                <w:color w:val="auto"/>
                <w:w w:val="91"/>
              </w:rPr>
              <w:t>(Exact name of registrant as specified in its charter)</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jc w:val="center"/>
              <w:ind w:left="2220"/>
              <w:spacing w:after="0"/>
              <w:rPr>
                <w:sz w:val="20"/>
                <w:szCs w:val="20"/>
                <w:color w:val="auto"/>
              </w:rPr>
            </w:pPr>
            <w:r>
              <w:rPr>
                <w:rFonts w:ascii="Arial" w:cs="Arial" w:eastAsia="Arial" w:hAnsi="Arial"/>
                <w:sz w:val="17"/>
                <w:szCs w:val="17"/>
                <w:b w:val="1"/>
                <w:bCs w:val="1"/>
                <w:color w:val="auto"/>
                <w:w w:val="91"/>
              </w:rPr>
              <w:t>England and Wales</w:t>
            </w:r>
          </w:p>
        </w:tc>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b w:val="1"/>
                <w:bCs w:val="1"/>
                <w:color w:val="auto"/>
              </w:rPr>
              <w:t>Not applicable</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200" w:type="dxa"/>
            <w:vAlign w:val="bottom"/>
          </w:tcPr>
          <w:p>
            <w:pPr>
              <w:jc w:val="center"/>
              <w:ind w:left="22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(I.R.S. Employer</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00" w:type="dxa"/>
            <w:vAlign w:val="bottom"/>
          </w:tcPr>
          <w:p>
            <w:pPr>
              <w:jc w:val="center"/>
              <w:ind w:left="2200"/>
              <w:spacing w:after="0"/>
              <w:rPr>
                <w:sz w:val="20"/>
                <w:szCs w:val="20"/>
                <w:color w:val="auto"/>
              </w:rPr>
            </w:pPr>
            <w:r>
              <w:rPr>
                <w:rFonts w:ascii="Arial" w:cs="Arial" w:eastAsia="Arial" w:hAnsi="Arial"/>
                <w:sz w:val="14"/>
                <w:szCs w:val="14"/>
                <w:b w:val="1"/>
                <w:bCs w:val="1"/>
                <w:color w:val="auto"/>
                <w:w w:val="88"/>
              </w:rPr>
              <w:t>incorporation or organization)</w:t>
            </w:r>
          </w:p>
        </w:tc>
        <w:tc>
          <w:tcPr>
            <w:tcW w:w="3300" w:type="dxa"/>
            <w:vAlign w:val="bottom"/>
            <w:gridSpan w:val="3"/>
            <w:vMerge w:val="restart"/>
          </w:tcPr>
          <w:p>
            <w:pPr>
              <w:jc w:val="center"/>
              <w:ind w:right="340"/>
              <w:spacing w:after="0"/>
              <w:rPr>
                <w:sz w:val="20"/>
                <w:szCs w:val="20"/>
                <w:color w:val="auto"/>
              </w:rPr>
            </w:pPr>
            <w:r>
              <w:rPr>
                <w:rFonts w:ascii="Arial" w:cs="Arial" w:eastAsia="Arial" w:hAnsi="Arial"/>
                <w:sz w:val="17"/>
                <w:szCs w:val="17"/>
                <w:b w:val="1"/>
                <w:bCs w:val="1"/>
                <w:color w:val="auto"/>
                <w:w w:val="90"/>
              </w:rPr>
              <w:t>77 Sir John Rogerson’s Quay, Block C,</w:t>
            </w: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Identification No.)</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33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00" w:type="dxa"/>
            <w:vAlign w:val="bottom"/>
            <w:gridSpan w:val="4"/>
          </w:tcPr>
          <w:p>
            <w:pPr>
              <w:jc w:val="center"/>
              <w:ind w:left="3780"/>
              <w:spacing w:after="0"/>
              <w:rPr>
                <w:sz w:val="20"/>
                <w:szCs w:val="20"/>
                <w:color w:val="auto"/>
              </w:rPr>
            </w:pPr>
            <w:r>
              <w:rPr>
                <w:rFonts w:ascii="Arial" w:cs="Arial" w:eastAsia="Arial" w:hAnsi="Arial"/>
                <w:sz w:val="17"/>
                <w:szCs w:val="17"/>
                <w:b w:val="1"/>
                <w:bCs w:val="1"/>
                <w:color w:val="auto"/>
                <w:w w:val="93"/>
              </w:rPr>
              <w:t>Grand Canal Docklands, Dublin 2, Ireland</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2"/>
          </w:tcPr>
          <w:p>
            <w:pPr>
              <w:jc w:val="center"/>
              <w:ind w:right="740"/>
              <w:spacing w:after="0"/>
              <w:rPr>
                <w:sz w:val="20"/>
                <w:szCs w:val="20"/>
                <w:color w:val="auto"/>
              </w:rPr>
            </w:pPr>
            <w:r>
              <w:rPr>
                <w:rFonts w:ascii="Arial" w:cs="Arial" w:eastAsia="Arial" w:hAnsi="Arial"/>
                <w:sz w:val="14"/>
                <w:szCs w:val="14"/>
                <w:color w:val="auto"/>
                <w:w w:val="89"/>
              </w:rPr>
              <w:t>(Address of principal executive offices)</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640" w:type="dxa"/>
            <w:vAlign w:val="bottom"/>
            <w:gridSpan w:val="2"/>
          </w:tcPr>
          <w:p>
            <w:pPr>
              <w:jc w:val="center"/>
              <w:ind w:left="240"/>
              <w:spacing w:after="0"/>
              <w:rPr>
                <w:sz w:val="20"/>
                <w:szCs w:val="20"/>
                <w:color w:val="auto"/>
              </w:rPr>
            </w:pPr>
            <w:r>
              <w:rPr>
                <w:rFonts w:ascii="Arial" w:cs="Arial" w:eastAsia="Arial" w:hAnsi="Arial"/>
                <w:sz w:val="17"/>
                <w:szCs w:val="17"/>
                <w:b w:val="1"/>
                <w:bCs w:val="1"/>
                <w:color w:val="auto"/>
                <w:w w:val="91"/>
              </w:rPr>
              <w:t>+353 (0) 1 6699 020</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3300" w:type="dxa"/>
            <w:vAlign w:val="bottom"/>
            <w:gridSpan w:val="3"/>
          </w:tcPr>
          <w:p>
            <w:pPr>
              <w:jc w:val="center"/>
              <w:ind w:right="360"/>
              <w:spacing w:after="0"/>
              <w:rPr>
                <w:sz w:val="20"/>
                <w:szCs w:val="20"/>
                <w:color w:val="auto"/>
              </w:rPr>
            </w:pPr>
            <w:r>
              <w:rPr>
                <w:rFonts w:ascii="Arial" w:cs="Arial" w:eastAsia="Arial" w:hAnsi="Arial"/>
                <w:sz w:val="14"/>
                <w:szCs w:val="14"/>
                <w:color w:val="auto"/>
                <w:w w:val="86"/>
              </w:rPr>
              <w:t>(Registrant’s telephone number, including area code)</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8100" w:type="dxa"/>
            <w:vAlign w:val="bottom"/>
            <w:gridSpan w:val="5"/>
          </w:tcPr>
          <w:p>
            <w:pPr>
              <w:jc w:val="center"/>
              <w:ind w:left="3160"/>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88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200" w:type="dxa"/>
            <w:vAlign w:val="bottom"/>
            <w:tcBorders>
              <w:left w:val="single" w:sz="8" w:color="auto"/>
            </w:tcBorders>
          </w:tcPr>
          <w:p>
            <w:pPr>
              <w:jc w:val="center"/>
              <w:ind w:left="260"/>
              <w:spacing w:after="0"/>
              <w:rPr>
                <w:sz w:val="20"/>
                <w:szCs w:val="20"/>
                <w:color w:val="auto"/>
              </w:rPr>
            </w:pPr>
            <w:r>
              <w:rPr>
                <w:rFonts w:ascii="Arial" w:cs="Arial" w:eastAsia="Arial" w:hAnsi="Arial"/>
                <w:sz w:val="16"/>
                <w:szCs w:val="16"/>
                <w:b w:val="1"/>
                <w:bCs w:val="1"/>
                <w:color w:val="auto"/>
                <w:w w:val="88"/>
              </w:rPr>
              <w:t>Title of each class</w:t>
            </w:r>
          </w:p>
        </w:tc>
        <w:tc>
          <w:tcPr>
            <w:tcW w:w="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660" w:type="dxa"/>
            <w:vAlign w:val="bottom"/>
          </w:tcPr>
          <w:p>
            <w:pPr>
              <w:spacing w:after="0"/>
              <w:rPr>
                <w:sz w:val="18"/>
                <w:szCs w:val="18"/>
                <w:color w:val="auto"/>
              </w:rPr>
            </w:pPr>
          </w:p>
        </w:tc>
        <w:tc>
          <w:tcPr>
            <w:tcW w:w="388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33"/>
        </w:trPr>
        <w:tc>
          <w:tcPr>
            <w:tcW w:w="420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200" w:type="dxa"/>
            <w:vAlign w:val="bottom"/>
            <w:tcBorders>
              <w:left w:val="single" w:sz="8" w:color="auto"/>
            </w:tcBorders>
          </w:tcPr>
          <w:p>
            <w:pPr>
              <w:jc w:val="center"/>
              <w:ind w:left="280"/>
              <w:spacing w:after="0"/>
              <w:rPr>
                <w:sz w:val="20"/>
                <w:szCs w:val="20"/>
                <w:color w:val="auto"/>
              </w:rPr>
            </w:pPr>
            <w:r>
              <w:rPr>
                <w:rFonts w:ascii="Arial" w:cs="Arial" w:eastAsia="Arial" w:hAnsi="Arial"/>
                <w:sz w:val="16"/>
                <w:szCs w:val="16"/>
                <w:color w:val="auto"/>
                <w:w w:val="92"/>
              </w:rPr>
              <w:t>American Depositary Shares (ADS(s)), each ADS</w:t>
            </w:r>
          </w:p>
        </w:tc>
        <w:tc>
          <w:tcPr>
            <w:tcW w:w="3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Borders>
              <w:left w:val="single" w:sz="8" w:color="auto"/>
            </w:tcBorders>
          </w:tcPr>
          <w:p>
            <w:pPr>
              <w:jc w:val="center"/>
              <w:ind w:left="260"/>
              <w:spacing w:after="0"/>
              <w:rPr>
                <w:sz w:val="20"/>
                <w:szCs w:val="20"/>
                <w:color w:val="auto"/>
              </w:rPr>
            </w:pPr>
            <w:r>
              <w:rPr>
                <w:rFonts w:ascii="Arial" w:cs="Arial" w:eastAsia="Arial" w:hAnsi="Arial"/>
                <w:sz w:val="16"/>
                <w:szCs w:val="16"/>
                <w:color w:val="auto"/>
                <w:w w:val="91"/>
              </w:rPr>
              <w:t>representing the right to receive one (1) Ordinary Share of</w:t>
            </w:r>
          </w:p>
        </w:tc>
        <w:tc>
          <w:tcPr>
            <w:tcW w:w="38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Borders>
              <w:left w:val="single" w:sz="8" w:color="auto"/>
            </w:tcBorders>
          </w:tcPr>
          <w:p>
            <w:pPr>
              <w:jc w:val="center"/>
              <w:ind w:left="280"/>
              <w:spacing w:after="0"/>
              <w:rPr>
                <w:sz w:val="20"/>
                <w:szCs w:val="20"/>
                <w:color w:val="auto"/>
              </w:rPr>
            </w:pPr>
            <w:r>
              <w:rPr>
                <w:rFonts w:ascii="Arial" w:cs="Arial" w:eastAsia="Arial" w:hAnsi="Arial"/>
                <w:sz w:val="16"/>
                <w:szCs w:val="16"/>
                <w:color w:val="auto"/>
                <w:w w:val="95"/>
              </w:rPr>
              <w:t>Amarin Corporation plc</w:t>
            </w:r>
          </w:p>
        </w:tc>
        <w:tc>
          <w:tcPr>
            <w:tcW w:w="38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AMRN</w:t>
            </w: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NASDAQ Stock Market LLC</w:t>
            </w:r>
          </w:p>
        </w:tc>
        <w:tc>
          <w:tcPr>
            <w:tcW w:w="0" w:type="dxa"/>
            <w:vAlign w:val="bottom"/>
          </w:tcPr>
          <w:p>
            <w:pPr>
              <w:spacing w:after="0"/>
              <w:rPr>
                <w:sz w:val="1"/>
                <w:szCs w:val="1"/>
                <w:color w:val="auto"/>
              </w:rPr>
            </w:pPr>
          </w:p>
        </w:tc>
      </w:tr>
      <w:tr>
        <w:trPr>
          <w:trHeight w:val="33"/>
        </w:trPr>
        <w:tc>
          <w:tcPr>
            <w:tcW w:w="458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8100" w:type="dxa"/>
            <w:vAlign w:val="bottom"/>
            <w:gridSpan w:val="5"/>
          </w:tcPr>
          <w:p>
            <w:pPr>
              <w:ind w:left="34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70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58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7"/>
        </w:trPr>
        <w:tc>
          <w:tcPr>
            <w:tcW w:w="8100" w:type="dxa"/>
            <w:vAlign w:val="bottom"/>
            <w:gridSpan w:val="5"/>
          </w:tcPr>
          <w:p>
            <w:pPr>
              <w:ind w:left="34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700" w:type="dxa"/>
            <w:vAlign w:val="bottom"/>
          </w:tcPr>
          <w:p>
            <w:pPr>
              <w:ind w:left="160"/>
              <w:spacing w:after="0" w:line="184" w:lineRule="exact"/>
              <w:rPr>
                <w:sz w:val="20"/>
                <w:szCs w:val="20"/>
                <w:color w:val="auto"/>
              </w:rPr>
            </w:pPr>
            <w:r>
              <w:rPr>
                <w:rFonts w:ascii="Arial" w:cs="Arial" w:eastAsia="Arial" w:hAnsi="Arial"/>
                <w:sz w:val="16"/>
                <w:szCs w:val="16"/>
                <w:color w:val="auto"/>
                <w:w w:val="99"/>
              </w:rPr>
              <w:t xml:space="preserve">YES </w:t>
            </w:r>
            <w:r>
              <w:rPr>
                <w:rFonts w:ascii="MS PGothic" w:cs="MS PGothic" w:eastAsia="MS PGothic" w:hAnsi="MS PGothic"/>
                <w:sz w:val="16"/>
                <w:szCs w:val="16"/>
                <w:color w:val="auto"/>
                <w:w w:val="99"/>
              </w:rPr>
              <w:t>☐</w:t>
            </w:r>
          </w:p>
        </w:tc>
        <w:tc>
          <w:tcPr>
            <w:tcW w:w="258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2" w:lineRule="exact"/>
        <w:rPr>
          <w:sz w:val="24"/>
          <w:szCs w:val="24"/>
          <w:color w:val="auto"/>
        </w:rPr>
      </w:pPr>
    </w:p>
    <w:p>
      <w:pPr>
        <w:jc w:val="both"/>
        <w:ind w:right="460" w:firstLine="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firstLine="38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ind w:right="20" w:firstLine="380"/>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6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5720" w:type="dxa"/>
            <w:vAlign w:val="bottom"/>
          </w:tcPr>
          <w:p>
            <w:pPr>
              <w:ind w:left="18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w:t>
            </w:r>
          </w:p>
        </w:tc>
        <w:tc>
          <w:tcPr>
            <w:tcW w:w="1940" w:type="dxa"/>
            <w:vAlign w:val="bottom"/>
          </w:tcPr>
          <w:p>
            <w:pPr>
              <w:ind w:left="18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7"/>
        </w:trPr>
        <w:tc>
          <w:tcPr>
            <w:tcW w:w="3680" w:type="dxa"/>
            <w:vAlign w:val="bottom"/>
          </w:tcPr>
          <w:p>
            <w:pPr>
              <w:spacing w:after="0"/>
              <w:rPr>
                <w:sz w:val="20"/>
                <w:szCs w:val="20"/>
                <w:color w:val="auto"/>
              </w:rPr>
            </w:pPr>
            <w:r>
              <w:rPr>
                <w:rFonts w:ascii="Arial" w:cs="Arial" w:eastAsia="Arial" w:hAnsi="Arial"/>
                <w:sz w:val="17"/>
                <w:szCs w:val="17"/>
                <w:color w:val="auto"/>
              </w:rPr>
              <w:t>Non-accelerated filer</w:t>
            </w:r>
          </w:p>
        </w:tc>
        <w:tc>
          <w:tcPr>
            <w:tcW w:w="5720" w:type="dxa"/>
            <w:vAlign w:val="bottom"/>
          </w:tcPr>
          <w:p>
            <w:pPr>
              <w:ind w:left="18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w:t>
            </w:r>
          </w:p>
        </w:tc>
        <w:tc>
          <w:tcPr>
            <w:tcW w:w="1940" w:type="dxa"/>
            <w:vAlign w:val="bottom"/>
          </w:tcPr>
          <w:p>
            <w:pPr>
              <w:ind w:left="18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36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5720" w:type="dxa"/>
            <w:vAlign w:val="bottom"/>
          </w:tcPr>
          <w:p>
            <w:pPr>
              <w:ind w:left="1820"/>
              <w:spacing w:after="0" w:line="171" w:lineRule="exact"/>
              <w:rPr>
                <w:sz w:val="20"/>
                <w:szCs w:val="20"/>
                <w:color w:val="auto"/>
              </w:rPr>
            </w:pPr>
            <w:r>
              <w:rPr>
                <w:rFonts w:ascii="MS PGothic" w:cs="MS PGothic" w:eastAsia="MS PGothic" w:hAnsi="MS PGothic"/>
                <w:sz w:val="17"/>
                <w:szCs w:val="17"/>
                <w:color w:val="auto"/>
              </w:rPr>
              <w:t>☐</w:t>
            </w:r>
          </w:p>
        </w:tc>
        <w:tc>
          <w:tcPr>
            <w:tcW w:w="1940" w:type="dxa"/>
            <w:vAlign w:val="bottom"/>
          </w:tcPr>
          <w:p>
            <w:pPr>
              <w:spacing w:after="0"/>
              <w:rPr>
                <w:sz w:val="23"/>
                <w:szCs w:val="23"/>
                <w:color w:val="auto"/>
              </w:rPr>
            </w:pPr>
          </w:p>
        </w:tc>
      </w:tr>
    </w:tbl>
    <w:p>
      <w:pPr>
        <w:spacing w:after="0" w:line="28" w:lineRule="exact"/>
        <w:rPr>
          <w:sz w:val="24"/>
          <w:szCs w:val="24"/>
          <w:color w:val="auto"/>
        </w:rPr>
      </w:pPr>
    </w:p>
    <w:p>
      <w:pPr>
        <w:ind w:right="360" w:firstLine="3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80"/>
        <w:spacing w:after="0" w:line="184" w:lineRule="exact"/>
        <w:tabs>
          <w:tab w:leader="none" w:pos="7880" w:val="left"/>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40" w:firstLine="380"/>
        <w:spacing w:after="0" w:line="293"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2019 was approximately $6,371.7 million, based upon the closing price on the NASDAQ Capital Market reported for such date.</w:t>
      </w:r>
    </w:p>
    <w:p>
      <w:pPr>
        <w:spacing w:after="0" w:line="10" w:lineRule="exact"/>
        <w:rPr>
          <w:sz w:val="24"/>
          <w:szCs w:val="24"/>
          <w:color w:val="auto"/>
        </w:rPr>
      </w:pPr>
    </w:p>
    <w:p>
      <w:pPr>
        <w:ind w:right="420" w:firstLine="380"/>
        <w:spacing w:after="0" w:line="305" w:lineRule="auto"/>
        <w:rPr>
          <w:sz w:val="20"/>
          <w:szCs w:val="20"/>
          <w:color w:val="auto"/>
        </w:rPr>
      </w:pPr>
      <w:r>
        <w:rPr>
          <w:rFonts w:ascii="Arial" w:cs="Arial" w:eastAsia="Arial" w:hAnsi="Arial"/>
          <w:sz w:val="15"/>
          <w:szCs w:val="15"/>
          <w:color w:val="auto"/>
        </w:rPr>
        <w:t>361,201,553 shares were outstanding as of February 21, 2020, including 360,999,820 shares held as American Depositary Shares (ADSs), each representing one Ordinary Share, 50 pence par value per share and 201,733 Ordinary Shares. In addition, 28,931,746 ordinary share equivalents were issuable in exchange for outstanding preferred shares as of February 21, 2020, for a total of 390,133,299 ordinary shares and ordinary share equivalents outstanding as of February 21, 2020.</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50" w:lineRule="exact"/>
        <w:rPr>
          <w:sz w:val="24"/>
          <w:szCs w:val="24"/>
          <w:color w:val="auto"/>
        </w:rPr>
      </w:pPr>
    </w:p>
    <w:p>
      <w:pPr>
        <w:ind w:right="60" w:firstLine="380"/>
        <w:spacing w:after="0" w:line="293" w:lineRule="auto"/>
        <w:rPr>
          <w:sz w:val="20"/>
          <w:szCs w:val="20"/>
          <w:color w:val="auto"/>
        </w:rPr>
      </w:pPr>
      <w:r>
        <w:rPr>
          <w:rFonts w:ascii="Arial" w:cs="Arial" w:eastAsia="Arial" w:hAnsi="Arial"/>
          <w:sz w:val="16"/>
          <w:szCs w:val="16"/>
          <w:color w:val="auto"/>
        </w:rPr>
        <w:t>Certain information required to be disclosed in Part III of this report is incorporated by reference from the registrant’s definitive proxy statement to be filed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497205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16"/>
          </w:tcPr>
          <w:p>
            <w:pPr>
              <w:ind w:left="4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351"/>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2"/>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38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600" w:type="dxa"/>
            <w:vAlign w:val="bottom"/>
            <w:gridSpan w:val="2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40" w:type="dxa"/>
            <w:vAlign w:val="bottom"/>
            <w:gridSpan w:val="2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240" w:type="dxa"/>
            <w:vAlign w:val="bottom"/>
            <w:gridSpan w:val="2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Unresolved Staff Comments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Properties</w:t>
              </w:r>
            </w:hyperlink>
          </w:p>
        </w:tc>
        <w:tc>
          <w:tcPr>
            <w:tcW w:w="7200" w:type="dxa"/>
            <w:vAlign w:val="bottom"/>
            <w:gridSpan w:val="1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Legal Proceedings</w:t>
              </w:r>
            </w:hyperlink>
          </w:p>
        </w:tc>
        <w:tc>
          <w:tcPr>
            <w:tcW w:w="7900" w:type="dxa"/>
            <w:vAlign w:val="bottom"/>
            <w:gridSpan w:val="2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2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w:t>
              </w:r>
            </w:hyperlink>
          </w:p>
        </w:tc>
        <w:tc>
          <w:tcPr>
            <w:tcW w:w="434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1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Market For Registrant’s Common Equity, Related Stockholder Matters and Issuer Purchases of Equity Securities</w:t>
              </w:r>
            </w:hyperlink>
          </w:p>
        </w:tc>
        <w:tc>
          <w:tcPr>
            <w:tcW w:w="1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240" w:type="dxa"/>
            <w:vAlign w:val="bottom"/>
            <w:gridSpan w:val="2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Selected Financial Data</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Management’s Discussion and Analysis of Financial Condition and Results of Operations</w:t>
              </w:r>
            </w:hyperlink>
          </w:p>
        </w:tc>
        <w:tc>
          <w:tcPr>
            <w:tcW w:w="278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240" w:type="dxa"/>
            <w:vAlign w:val="bottom"/>
            <w:gridSpan w:val="2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Quantitative and Qualitative Disclosures about Market Risk</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Financial Statements and Supplementary Data</w:t>
              </w:r>
            </w:hyperlink>
          </w:p>
        </w:tc>
        <w:tc>
          <w:tcPr>
            <w:tcW w:w="494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Changes in and Disagreements with Accountants on Accounting and Financial Disclosure</w:t>
              </w:r>
            </w:hyperlink>
          </w:p>
        </w:tc>
        <w:tc>
          <w:tcPr>
            <w:tcW w:w="276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240" w:type="dxa"/>
            <w:vAlign w:val="bottom"/>
            <w:gridSpan w:val="2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Controls and Procedures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Other Information</w:t>
              </w:r>
            </w:hyperlink>
          </w:p>
        </w:tc>
        <w:tc>
          <w:tcPr>
            <w:tcW w:w="7480" w:type="dxa"/>
            <w:vAlign w:val="bottom"/>
            <w:gridSpan w:val="2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PART III</w:t>
              </w:r>
            </w:hyperlink>
          </w:p>
        </w:tc>
        <w:tc>
          <w:tcPr>
            <w:tcW w:w="430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Directors, Executive Officers and Corporate Governance</w:t>
              </w:r>
            </w:hyperlink>
          </w:p>
        </w:tc>
        <w:tc>
          <w:tcPr>
            <w:tcW w:w="514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240" w:type="dxa"/>
            <w:vAlign w:val="bottom"/>
            <w:gridSpan w:val="2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Executive Compensation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Security Ownership of Certain Beneficial Owners and Management and Related Stockholder Matters</w:t>
              </w:r>
            </w:hyperlink>
          </w:p>
        </w:tc>
        <w:tc>
          <w:tcPr>
            <w:tcW w:w="194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9240" w:type="dxa"/>
            <w:vAlign w:val="bottom"/>
            <w:gridSpan w:val="2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Certain Relationships and Related Transactions, and Director Independence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Principal Accountant Fees and Services</w:t>
              </w:r>
            </w:hyperlink>
          </w:p>
        </w:tc>
        <w:tc>
          <w:tcPr>
            <w:tcW w:w="380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4"/>
          </w:tcPr>
          <w:p>
            <w:pPr>
              <w:jc w:val="center"/>
              <w:ind w:right="4320"/>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PART IV</w:t>
              </w:r>
            </w:hyperlink>
          </w:p>
        </w:tc>
        <w:tc>
          <w:tcPr>
            <w:tcW w:w="900" w:type="dxa"/>
            <w:vAlign w:val="bottom"/>
          </w:tcPr>
          <w:p>
            <w:pPr>
              <w:spacing w:after="0"/>
              <w:rPr>
                <w:sz w:val="24"/>
                <w:szCs w:val="24"/>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Exhibits and Financial Statement Schedules</w:t>
              </w:r>
            </w:hyperlink>
          </w:p>
        </w:tc>
        <w:tc>
          <w:tcPr>
            <w:tcW w:w="1060" w:type="dxa"/>
            <w:vAlign w:val="bottom"/>
            <w:gridSpan w:val="4"/>
          </w:tcPr>
          <w:p>
            <w:pPr>
              <w:spacing w:after="0"/>
              <w:rPr>
                <w:sz w:val="17"/>
                <w:szCs w:val="17"/>
                <w:color w:val="auto"/>
              </w:rPr>
            </w:pPr>
          </w:p>
        </w:tc>
        <w:tc>
          <w:tcPr>
            <w:tcW w:w="700" w:type="dxa"/>
            <w:vAlign w:val="bottom"/>
            <w:tcBorders>
              <w:top w:val="single" w:sz="8" w:color="0000EE"/>
            </w:tcBorders>
            <w:gridSpan w:val="6"/>
          </w:tcPr>
          <w:p>
            <w:pPr>
              <w:spacing w:after="0"/>
              <w:rPr>
                <w:sz w:val="17"/>
                <w:szCs w:val="17"/>
                <w:color w:val="auto"/>
              </w:rPr>
            </w:pPr>
          </w:p>
        </w:tc>
        <w:tc>
          <w:tcPr>
            <w:tcW w:w="432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9240" w:type="dxa"/>
            <w:vAlign w:val="bottom"/>
            <w:gridSpan w:val="2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Form 10-K Summary</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318"/>
        </w:trPr>
        <w:tc>
          <w:tcPr>
            <w:tcW w:w="1280" w:type="dxa"/>
            <w:vAlign w:val="bottom"/>
            <w:gridSpan w:val="2"/>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1365"/>
        </w:trPr>
        <w:tc>
          <w:tcPr>
            <w:tcW w:w="110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color w:val="auto"/>
        </w:rPr>
        <w:t>PART I</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SPECIAL NOTE REGARDING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INDUSTRY DATA</w:t>
      </w:r>
    </w:p>
    <w:p>
      <w:pPr>
        <w:spacing w:after="0" w:line="15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Vascepa and factors that can affect such success; plans to expand promotion of Vascepa; interpretation of court decisions; expectation on determinations and policy positions of the United States Food and Drug Administration, or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34"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00"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9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81"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i w:val="1"/>
          <w:iCs w:val="1"/>
          <w:color w:val="auto"/>
        </w:rPr>
        <w:t>References in this report to “Amarin,” the “Company,” “we,” “our” and “us” refer to Amarin Corporation plc and its subsidiaries, on a consolidated basis, unless otherwise indicated.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Annual Report on Form 10-K includes the registered and unregistered trademarks and service marks of other parties.</w:t>
      </w:r>
    </w:p>
    <w:p>
      <w:pPr>
        <w:spacing w:after="0" w:line="17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Amarin Corporation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2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principal offices are located at 77 Sir John Rogerson’s Quay, Block C, Grand Canal Docklands, Dublin 2 Ireland. Our registered office is located at One New Change, London EC4M 9AF, England. Our primary office in the United States is located at 440 Route 22, Bridgewater, NJ 08807, USA. Our telephone number at that location is (908) 719-1315.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ind w:left="520"/>
        <w:spacing w:after="0"/>
        <w:rPr>
          <w:sz w:val="20"/>
          <w:szCs w:val="20"/>
          <w:color w:val="auto"/>
        </w:rPr>
      </w:pPr>
      <w:r>
        <w:rPr>
          <w:rFonts w:ascii="Arial" w:cs="Arial" w:eastAsia="Arial" w:hAnsi="Arial"/>
          <w:sz w:val="18"/>
          <w:szCs w:val="18"/>
          <w:color w:val="auto"/>
        </w:rPr>
        <w:t>For purposes of this Annual Report on Form 10-K, our ordinary shares may also be referred to as “common shares” or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We are a pharmaceutical company with expertise in omega-3 fatty acids and lipid science focused on the commercialization and development of therapeutics to improve cardiovascular, or CV, health and reduce CV risk. Our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was first approved by the U.S. Food and Drug Administration, or FDA, in July 2012 for use as an adjunct to diet to reduce triglyceride, or TG, levels in adult patients with severe (≥500 mg/dL) hypertriglyceridemia. On December 13, 2019, the FDA approved a new indication and label expansion for Vascepa based on the landmark results of our cardiovascular outcomes trial of Vascepa, REDUCE-IT</w:t>
      </w:r>
      <w:r>
        <w:rPr>
          <w:rFonts w:ascii="Arial" w:cs="Arial" w:eastAsia="Arial" w:hAnsi="Arial"/>
          <w:sz w:val="13"/>
          <w:szCs w:val="13"/>
          <w:color w:val="auto"/>
        </w:rPr>
        <w:t>®</w:t>
      </w:r>
      <w:r>
        <w:rPr>
          <w:rFonts w:ascii="Arial" w:cs="Arial" w:eastAsia="Arial" w:hAnsi="Arial"/>
          <w:sz w:val="16"/>
          <w:szCs w:val="16"/>
          <w:color w:val="auto"/>
        </w:rPr>
        <w:t xml:space="preserve"> (Reduction of Cardiovascular Events with EPA – Intervention Trial). Vascepa is the first and only drug approved by the FDA as an adjunct to maximally tolerated statin therapy for reducing persistent cardiovascular risk in select high risk patients.</w:t>
      </w:r>
    </w:p>
    <w:p>
      <w:pPr>
        <w:spacing w:after="0" w:line="43" w:lineRule="exact"/>
        <w:rPr>
          <w:sz w:val="20"/>
          <w:szCs w:val="20"/>
          <w:color w:val="auto"/>
        </w:rPr>
      </w:pPr>
    </w:p>
    <w:p>
      <w:pPr>
        <w:ind w:firstLine="626"/>
        <w:spacing w:after="0" w:line="269" w:lineRule="auto"/>
        <w:rPr>
          <w:sz w:val="20"/>
          <w:szCs w:val="20"/>
          <w:color w:val="auto"/>
        </w:rPr>
      </w:pPr>
      <w:r>
        <w:rPr>
          <w:rFonts w:ascii="Arial" w:cs="Arial" w:eastAsia="Arial" w:hAnsi="Arial"/>
          <w:sz w:val="17"/>
          <w:szCs w:val="17"/>
          <w:color w:val="auto"/>
        </w:rPr>
        <w:t xml:space="preserve">Since our inception, we have devoted substantial resources to our research and development efforts, most significantly, the development and conduct of our long-term cardiovascular outcomes study of Vascepa, REDUCE-IT. We announced topline results from REDUCE-IT on September 24, 2018. On November 10, 2018, we presented primary results of REDUCE-IT at the 2018 Scientific Sessions of the American Heart Association, or AHA, and the results were concurrently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we publicly presented the total cardiovascular events results, and the method of calculating such events, of the REDUCE-IT study at the American College of Cardiology’s 68th Annual Scientific Session and such results and methods were concurrently published in the </w:t>
      </w:r>
      <w:r>
        <w:rPr>
          <w:rFonts w:ascii="Arial" w:cs="Arial" w:eastAsia="Arial" w:hAnsi="Arial"/>
          <w:sz w:val="17"/>
          <w:szCs w:val="17"/>
          <w:i w:val="1"/>
          <w:iCs w:val="1"/>
          <w:color w:val="auto"/>
        </w:rPr>
        <w:t>Journal of the American College of Cardiology</w:t>
      </w:r>
      <w:r>
        <w:rPr>
          <w:rFonts w:ascii="Arial" w:cs="Arial" w:eastAsia="Arial" w:hAnsi="Arial"/>
          <w:sz w:val="17"/>
          <w:szCs w:val="17"/>
          <w:color w:val="auto"/>
        </w:rPr>
        <w:t>. Vascepa reduced total events (first and subsequent events) by 30% compared to placebo, reflecting that for every 1,000 patients treated for five years with Vascepa versus placebo in this trial, approximately 159 MACE could be prevented with Vascepa.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on REDUCE-IT results, several clinical treatment guidelines and position statements have been updated as follows:</w:t>
      </w:r>
    </w:p>
    <w:p>
      <w:pPr>
        <w:spacing w:after="0" w:line="77" w:lineRule="exact"/>
        <w:rPr>
          <w:sz w:val="20"/>
          <w:szCs w:val="20"/>
          <w:color w:val="auto"/>
        </w:rPr>
      </w:pPr>
    </w:p>
    <w:p>
      <w:pPr>
        <w:ind w:left="1280" w:right="400" w:hanging="381"/>
        <w:spacing w:after="0" w:line="264"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2019, the American Diabetes Association, or ADA, issued important updates to the Standard of Medical Care in Diabetes for 2019, including a recommendation for the use of icosapent ethyl in treating at-risk patients based on the results of the REDUCE-IT cardiovascular outcomes study.</w:t>
      </w:r>
    </w:p>
    <w:p>
      <w:pPr>
        <w:spacing w:after="0" w:line="32" w:lineRule="exact"/>
        <w:rPr>
          <w:rFonts w:ascii="Arial" w:cs="Arial" w:eastAsia="Arial" w:hAnsi="Arial"/>
          <w:sz w:val="18"/>
          <w:szCs w:val="18"/>
          <w:color w:val="auto"/>
        </w:rPr>
      </w:pPr>
    </w:p>
    <w:p>
      <w:pPr>
        <w:ind w:left="1280" w:right="340" w:hanging="381"/>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August 2019, the AHA recognized the results of REDUCE-IT and recommended directing medical care away from unproven fish oil dietary supplements and to prescription drug therapy in patients with elevated TG levels.</w:t>
      </w:r>
    </w:p>
    <w:p>
      <w:pPr>
        <w:spacing w:after="0" w:line="21" w:lineRule="exact"/>
        <w:rPr>
          <w:rFonts w:ascii="Arial" w:cs="Arial" w:eastAsia="Arial" w:hAnsi="Arial"/>
          <w:sz w:val="18"/>
          <w:szCs w:val="18"/>
          <w:color w:val="auto"/>
        </w:rPr>
      </w:pPr>
    </w:p>
    <w:p>
      <w:pPr>
        <w:ind w:left="1280" w:right="480" w:hanging="381"/>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2019, the National Lipid Association issued a position statement recognizing the cardiovascular risk-lowering effects of icosapent ethyl based on the REDUCE-IT results.</w:t>
      </w:r>
    </w:p>
    <w:p>
      <w:pPr>
        <w:spacing w:after="0" w:line="21" w:lineRule="exact"/>
        <w:rPr>
          <w:rFonts w:ascii="Arial" w:cs="Arial" w:eastAsia="Arial" w:hAnsi="Arial"/>
          <w:sz w:val="18"/>
          <w:szCs w:val="18"/>
          <w:color w:val="auto"/>
        </w:rPr>
      </w:pPr>
    </w:p>
    <w:p>
      <w:pPr>
        <w:ind w:left="1280" w:right="800" w:hanging="381"/>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2019, the European Society of Cardiology and the European Atherosclerosis Society updated their Clinical Practice Guidelines for the Management of Dyslipidemias to incorporate findings from the REDUCE-IT study.</w:t>
      </w:r>
    </w:p>
    <w:p>
      <w:pPr>
        <w:spacing w:after="0" w:line="21" w:lineRule="exact"/>
        <w:rPr>
          <w:rFonts w:ascii="Arial" w:cs="Arial" w:eastAsia="Arial" w:hAnsi="Arial"/>
          <w:sz w:val="18"/>
          <w:szCs w:val="18"/>
          <w:color w:val="auto"/>
        </w:rPr>
      </w:pPr>
    </w:p>
    <w:p>
      <w:pPr>
        <w:ind w:left="1280" w:right="60" w:hanging="381"/>
        <w:spacing w:after="0" w:line="259"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February 2020, the American Association of Clinical Endocrinologists and the American College of Endocrinology released a consensus statement on the comprehensive management of type 2 diabetes. The statement included new guidance for managing patients with established or high risk for cardiovascular disease who have triglyceride levels between 135 – 499 mg/dL with icosapent ethyl which has proven benefits to prevent the next adverse cardiovascular event.</w:t>
      </w:r>
    </w:p>
    <w:p>
      <w:pPr>
        <w:spacing w:after="0" w:line="13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October 2019, the Institute for Clinical and Economic Review, or ICER, released its final evidence report regarding clinical effectiveness and economic impacts on Vascepa. ICER’s report indicated that Vascepa was cost effective across all of the non-profit organization’s analyses, including its quality-adjusted life year metrics of &lt;$50,000. The conclusion from the report is that Vascepa easily meets “commonly cited thresholds for cost-effectiveness and therefore represents a high long-term value for money” based on the organization’s value assessment framework. In addition, an independent academic, patient-level, cost-effectiveness analysis of icosapent ethyl led by Dr. William S. Weintraub, M.D., director of Outcomes Research with MedStar Cardiovascular Research Network, indicated that Vascepa was projected to not only be cost-effective but also to reduce long-term health care costs in a majority of the scenarios analyzed.</w:t>
      </w:r>
    </w:p>
    <w:p>
      <w:pPr>
        <w:spacing w:after="0" w:line="13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FDA granted Priority Review designation to our March 2019, supplemental new drug application, or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when compared to standard applications. In November 2019, FDA held an Endocrinologic and Metabolic Drugs Advisory Committee, or EMDAC, meeting to review the REDUCE-IT sNDA. The EMDAC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4" w:name="page5"/>
    <w:bookmarkEnd w:id="4"/>
    <w:p>
      <w:pPr>
        <w:spacing w:after="0" w:line="276" w:lineRule="auto"/>
        <w:rPr>
          <w:sz w:val="20"/>
          <w:szCs w:val="20"/>
          <w:color w:val="auto"/>
        </w:rPr>
      </w:pPr>
      <w:r>
        <w:rPr>
          <w:rFonts w:ascii="Arial" w:cs="Arial" w:eastAsia="Arial" w:hAnsi="Arial"/>
          <w:sz w:val="17"/>
          <w:szCs w:val="17"/>
          <w:color w:val="auto"/>
        </w:rPr>
        <w:t>voted unanimously (16-0) to recommend approval of an indication and label expansion for Vascepa to reduce cardiovascular events in high-risk patients based on the REDUCE-IT results. On December 13, 2019, the FDA approved a new indication and related label expansion based on REDUCE-IT. Vascepa is the first and only drug approved by the FDA as an adjunct to maximally tolerated statin therapy to reduce the risk of myocardial infarction, stroke, coronary revascularization, and unstable angina requiring hospitalization in adult patients with elevated triglyceride, or TG, levels (≥150 mg/dL) and either established cardiovascular disease or diabetes mellitus and two or more additional risk factors for cardiovascular disease.</w:t>
      </w:r>
    </w:p>
    <w:p>
      <w:pPr>
        <w:spacing w:after="0" w:line="119" w:lineRule="exact"/>
        <w:rPr>
          <w:sz w:val="20"/>
          <w:szCs w:val="20"/>
          <w:color w:val="auto"/>
        </w:rPr>
      </w:pPr>
    </w:p>
    <w:p>
      <w:pPr>
        <w:jc w:val="both"/>
        <w:ind w:right="40" w:firstLine="518"/>
        <w:spacing w:after="0" w:line="288" w:lineRule="auto"/>
        <w:rPr>
          <w:sz w:val="20"/>
          <w:szCs w:val="20"/>
          <w:color w:val="auto"/>
        </w:rPr>
      </w:pPr>
      <w:r>
        <w:rPr>
          <w:rFonts w:ascii="Arial" w:cs="Arial" w:eastAsia="Arial" w:hAnsi="Arial"/>
          <w:sz w:val="16"/>
          <w:szCs w:val="16"/>
          <w:color w:val="auto"/>
        </w:rPr>
        <w:t>It is estimated that over 50 million adults in the United States have elevated triglyceride levels ≥150 mg/dL. Approximately 2 to 3 million adults in the United States have very high triglyceride levels (≥500 mg/dL), the condition for which Vascepa received its initial drug approval from FDA in 2012 based on the MARINE clinical trial. There are approximately 5 to 15 million people in the United States that meet the specific REDUCE-IT inclusion criteria.</w:t>
      </w:r>
    </w:p>
    <w:p>
      <w:pPr>
        <w:ind w:right="80"/>
        <w:spacing w:after="0" w:line="269" w:lineRule="auto"/>
        <w:rPr>
          <w:sz w:val="20"/>
          <w:szCs w:val="20"/>
          <w:color w:val="auto"/>
        </w:rPr>
      </w:pPr>
      <w:r>
        <w:rPr>
          <w:rFonts w:ascii="Arial" w:cs="Arial" w:eastAsia="Arial" w:hAnsi="Arial"/>
          <w:sz w:val="17"/>
          <w:szCs w:val="17"/>
          <w:color w:val="auto"/>
        </w:rPr>
        <w:t>Additionally, the FDA-approved label for Vascepa mentions maximally tolerated statin therapy in the indication statement. This may mean that patients on prior statin therapy who are thought to be intolerant to statins, approximately 10% - 20% of patients with prior statin use, may be eligible for Vascepa. Since 1976, mean triglyceride levels have increased along with the growing epidemic of obesity, insulin resistance and type 2 diabetes mellitus. In contrast, mean low-density lipoprotein, or LDL-C, levels have decreased. Multiple primary and secondary prevention trials have shown a significant RRR of 25% to 35% in the risk of cardiovascular events with statin therapy, leaving significant persistent residual CV risk despite the achievement of target LDL-C levels. Worldwide, cardiovascular disease, or CVD, remains the number one killer of men and women. In the United States, CVD leads to one in every three deaths —one death approximately every 38 seconds—with annual treatment cost in excess of $500.0 billion.</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w:t>
      </w:r>
    </w:p>
    <w:p>
      <w:pPr>
        <w:spacing w:after="0" w:line="90" w:lineRule="exact"/>
        <w:rPr>
          <w:sz w:val="20"/>
          <w:szCs w:val="20"/>
          <w:color w:val="auto"/>
        </w:rPr>
      </w:pPr>
    </w:p>
    <w:p>
      <w:pPr>
        <w:ind w:right="580" w:firstLine="518"/>
        <w:spacing w:after="0" w:line="329" w:lineRule="auto"/>
        <w:rPr>
          <w:sz w:val="20"/>
          <w:szCs w:val="20"/>
          <w:color w:val="auto"/>
        </w:rPr>
      </w:pPr>
      <w:r>
        <w:rPr>
          <w:rFonts w:ascii="Arial" w:cs="Arial" w:eastAsia="Arial" w:hAnsi="Arial"/>
          <w:sz w:val="16"/>
          <w:szCs w:val="16"/>
          <w:color w:val="auto"/>
        </w:rPr>
        <w:t>We commenced the commercial launch of Vascepa in the United States in January 2013. We sell 1-gram and 0.5-gram capsule sizes of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81" w:lineRule="exact"/>
        <w:rPr>
          <w:sz w:val="20"/>
          <w:szCs w:val="20"/>
          <w:color w:val="auto"/>
        </w:rPr>
      </w:pPr>
    </w:p>
    <w:p>
      <w:pPr>
        <w:ind w:right="360" w:firstLine="518"/>
        <w:spacing w:after="0" w:line="286" w:lineRule="auto"/>
        <w:rPr>
          <w:sz w:val="20"/>
          <w:szCs w:val="20"/>
          <w:color w:val="auto"/>
        </w:rPr>
      </w:pPr>
      <w:r>
        <w:rPr>
          <w:rFonts w:ascii="Arial" w:cs="Arial" w:eastAsia="Arial" w:hAnsi="Arial"/>
          <w:sz w:val="17"/>
          <w:szCs w:val="17"/>
          <w:color w:val="auto"/>
        </w:rPr>
        <w:t>Prior to results of the REDUCE-IT study, we did not have cardiovascular outcomes data regarding the clinical effect of Vascepa and a substantial portion of our resources were being spent on the REDUCE-IT study. As a result, our commercialization of Vascepa was somewhat limited. Subsequent to learning the positive cardiovascular outcomes results of the REDUCE-IT study, we have increased our promotional efforts.</w:t>
      </w:r>
    </w:p>
    <w:p>
      <w:pPr>
        <w:spacing w:after="0" w:line="111"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Prior to the REDUCE-IT results topline announcement in September 2018, our direct sales force consisted of approximately 170 sales professionals, including sales representatives and their managers. Based on the positive REDUCE-IT results, in early 2019, we increased the size of our sales team to approximately 440 sales professionals, including approximately 400 sales representatives. As a result of the FDA’s newly approved indication and label expansion, we are close to completing the expansion of our direct sales force to approximately 900 sales professionals, including approximately 800 sales representatives. Hiring, training and deploying approximately 400 new sales representatives is a multi-stage process which commenced in July 2019 and is expected to be completed in early 2020. Most of the expanded sales management team needed to support this sales force expansion was hired, or internally promoted, and trained prior to December 31, 2019.</w:t>
      </w:r>
    </w:p>
    <w:p>
      <w:pPr>
        <w:spacing w:after="0" w:line="12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We also employ various medical affairs and marketing personnel to support our commercialization of Vascepa. We expanded certain medical education and market awareness initiatives following the reporting of positive REDUCE-IT results in 2018. We intend to further expand promotion of Vascepa, including direct to consumer advertising, as a result of the new indication and label expansion of Vascepa approved by the FDA on December 13, 2019. Our field sales efforts are further complemented by investments in digital and non-personal channels as well as peer-to-peer (e.g., promotional medical education programs and product theaters) initiatives to further increase Vascepa brand awareness and clarify Vascepa’s unique clinical profile. In January 2020, we launched an educational campaign, </w:t>
      </w:r>
      <w:r>
        <w:rPr>
          <w:rFonts w:ascii="Arial" w:cs="Arial" w:eastAsia="Arial" w:hAnsi="Arial"/>
          <w:sz w:val="18"/>
          <w:szCs w:val="18"/>
          <w:i w:val="1"/>
          <w:iCs w:val="1"/>
          <w:color w:val="auto"/>
        </w:rPr>
        <w:t>True To Your Heart</w:t>
      </w:r>
      <w:r>
        <w:rPr>
          <w:rFonts w:ascii="Arial" w:cs="Arial" w:eastAsia="Arial" w:hAnsi="Arial"/>
          <w:sz w:val="18"/>
          <w:szCs w:val="18"/>
          <w:color w:val="auto"/>
        </w:rPr>
        <w:t>, to help people learn more about cardiovascular disease and how to better protect against persistent cardiovascular risk.</w:t>
      </w:r>
    </w:p>
    <w:p>
      <w:pPr>
        <w:spacing w:after="0" w:line="13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addition to promotion of Vascepa in the United States, based on REDUCE-IT, we have increased focus on expansion of our development efforts for Vascepa to major markets outside the United States. We currently have strategic collaborations to develop and commercialize Vascepa in select territories outside the United States. In February 2015, we announced an exclusive agreement with Eddingpharm (Asia) Macao Commercial Offshore Limited, or Eddingpharm, to develop and commercialize Vascepa capsules in what we refer to as the China Territory, consisting of the territories of Mainland China, Hong Kong, Macau and Taiwan, for uses that are currently commercialized and under development by us in the United States. In March 2016, we entered into an agreement with Biologix FZCo, or Biologix, to register and commercialize Vascepa in several Middle Eastern and North African countries. In September 2017, we entered into an agreement with HLS Therapeutics, Inc., or HLS, to register, commercialize and distribute Vascepa in Canada. In March 2019, HLS received formal confirmation from Health Canada that the Canadian regulatory authority granted priority review status for the New Drug Submission, which was filed in April 2019, for Vascepa.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 w:name="page6"/>
    <w:bookmarkEnd w:id="5"/>
    <w:p>
      <w:pPr>
        <w:ind w:right="60"/>
        <w:spacing w:after="0" w:line="257" w:lineRule="auto"/>
        <w:rPr>
          <w:sz w:val="20"/>
          <w:szCs w:val="20"/>
          <w:color w:val="auto"/>
        </w:rPr>
      </w:pPr>
      <w:r>
        <w:rPr>
          <w:rFonts w:ascii="Arial" w:cs="Arial" w:eastAsia="Arial" w:hAnsi="Arial"/>
          <w:sz w:val="18"/>
          <w:szCs w:val="18"/>
          <w:color w:val="auto"/>
        </w:rPr>
        <w:t>due to: established cardiovascular disease, or diabetes, and at least one other cardiovascular risk factor. In January 2020, HLS obtained a regulatory exclusivity designation. In 2020, we intend to explore potential development and commercial paths for Vascepa in other markets such as the European Union. In December 2019, the European Medicines Agency, or EMA, validated our marketing authorization application, or MAA, seeking approval for Vascepa in the European Union. This validation confirms the submission is sufficiently complete for the EMA to begin its review, which review is currently expected to be completed before the end of 2020.</w:t>
      </w:r>
    </w:p>
    <w:p>
      <w:pPr>
        <w:spacing w:after="0" w:line="134"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We plan to assess other potential partnership opportunities for licensing Vascepa to partners outside of the United States as we seek to maximize the value of the Vascepa franchise globally.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Since our inception, we have devoted substantial resources to the research and development of Vascepa capsules. Vascepa is a single-molecule prescription product consisting of the omega-3 acid commonly known as EPA in ethyl-ester form. Vascepa is derived from fish through a stringent and complex FDA-regulated manufacturing process designed to effectively eliminate impurities and isolate and protect the single molecule active ingredient from degradation. Vascepa was designated as a new chemical entity by the FDA. Vascepa is known in scientific literature as AMR101.</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most important clinical trials of Vascepa are summarized here and discussed in further detail below:</w:t>
      </w:r>
    </w:p>
    <w:p>
      <w:pPr>
        <w:spacing w:after="0" w:line="77" w:lineRule="exact"/>
        <w:rPr>
          <w:sz w:val="20"/>
          <w:szCs w:val="20"/>
          <w:color w:val="auto"/>
        </w:rPr>
      </w:pPr>
    </w:p>
    <w:p>
      <w:pPr>
        <w:ind w:left="1280" w:hanging="381"/>
        <w:spacing w:after="0" w:line="25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REDUCE-IT trial, a Phase 3 global study of 8,179 statin-treated adults with elevated cardiovascular risk with a primary endpoint being the first occurrence of MACE in the intent-to-treat patient population, patients with LDL-C between 41-100 mg/dL (median baseline LDL-C 75 mg/dL) controlled by statin therapy and various cardiovascular risk factors including persistent elevated TG between 135-499 mg/dL and either established cardiovascular disease (secondary prevention cohort) or age 50 or more with diabetes mellitus and at least one other CV risk factor (primary prevention cohort);</w:t>
      </w:r>
    </w:p>
    <w:p>
      <w:pPr>
        <w:spacing w:after="0" w:line="39" w:lineRule="exact"/>
        <w:rPr>
          <w:rFonts w:ascii="Arial" w:cs="Arial" w:eastAsia="Arial" w:hAnsi="Arial"/>
          <w:sz w:val="18"/>
          <w:szCs w:val="18"/>
          <w:color w:val="auto"/>
        </w:rPr>
      </w:pPr>
    </w:p>
    <w:p>
      <w:pPr>
        <w:ind w:left="1280" w:right="140" w:hanging="381"/>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MARINE trial, a Phase 3, multi-center, placebo-controlled, randomized, double-blind, 12-week study in patients with very high (≥500 mg/dL) TGs with the primary endpoint being the lowering of TG levels; and</w:t>
      </w:r>
    </w:p>
    <w:p>
      <w:pPr>
        <w:spacing w:after="0" w:line="21" w:lineRule="exact"/>
        <w:rPr>
          <w:rFonts w:ascii="Arial" w:cs="Arial" w:eastAsia="Arial" w:hAnsi="Arial"/>
          <w:sz w:val="18"/>
          <w:szCs w:val="18"/>
          <w:color w:val="auto"/>
        </w:rPr>
      </w:pPr>
    </w:p>
    <w:p>
      <w:pPr>
        <w:ind w:left="1280" w:right="160" w:hanging="381"/>
        <w:spacing w:after="0" w:line="342"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ANCHOR trial, a Phase 3 multi-center, placebo-controlled, randomized, double-blind, 12-week pivotal study in patients with high (≥200 and &lt;500 mg/dL) TGs who were also receiving optimized statin therapy with the primary endpoint being the lowering of TG levels.</w:t>
      </w:r>
    </w:p>
    <w:p>
      <w:pPr>
        <w:spacing w:after="0" w:line="9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REDUCE-IT cardiovascular outcomes study of Vascepa has been the centerpiece of our research and development efforts. Prior research on Vascepa, such as the MARINE and ANCHOR trials, had been focused on the effects of the drug on biomarkers associated with increased risk of pancreatitis and increased risk of cardiovascular events. Other prior and ongoing research and development efforts include the study of potential mechanisms of action of Vascepa.</w:t>
      </w:r>
    </w:p>
    <w:p>
      <w:pPr>
        <w:spacing w:after="0" w:line="133"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 xml:space="preserve">The REDUCE-IT study was conducted based on a special protocol assessment, or SPA, agreement with the FDA. Based on the final positive results of REDUCE-IT, we sought additional indicated uses for Vascepa in the United States. Based on REDUCE-IT, we are also pursuing additional approvals for Vascepa around the world. We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AHA on November 10, 2018 with such results concurrently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The total (first and subsequent) cardiovascular events results of the REDUCE-IT study were presented at the American College of Cardiology’s 68th Annual Scientific Session in March 2019 and concurrently published in the </w:t>
      </w:r>
      <w:r>
        <w:rPr>
          <w:rFonts w:ascii="Arial" w:cs="Arial" w:eastAsia="Arial" w:hAnsi="Arial"/>
          <w:sz w:val="16"/>
          <w:szCs w:val="16"/>
          <w:i w:val="1"/>
          <w:iCs w:val="1"/>
          <w:color w:val="auto"/>
        </w:rPr>
        <w:t>Journal of the American College of Cardiology</w:t>
      </w:r>
      <w:r>
        <w:rPr>
          <w:rFonts w:ascii="Arial" w:cs="Arial" w:eastAsia="Arial" w:hAnsi="Arial"/>
          <w:sz w:val="16"/>
          <w:szCs w:val="16"/>
          <w:color w:val="auto"/>
        </w:rPr>
        <w:t>. Potential additional research and development opportunities beyond REDUCE-IT will be prioritized after giving priority to securing regulatory approval for Vascepa based on the REDUCE-IT results in various geographies internationally, including pursuit of approval for Vascepa in Europe and in countries where we have commercialization partners for Vascepa.</w:t>
      </w:r>
    </w:p>
    <w:p>
      <w:pPr>
        <w:spacing w:after="0" w:line="11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are also developing other products based on the active pharmaceutical ingredient in Vascepa, the ethyl ester form of the omega-3 acid, eicosapentaenoic acid, or EPA. In June 2018, we entered into a multi-faceted collaboration with Mochida Pharmaceutical Co., Ltd., or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In January 2020, we achieved certain milestones under the agreement, resulting in payment of $1.0 million to Mochida.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color w:val="auto"/>
        </w:rPr>
        <w:t>Additional research and development opportunities beyond REDUCE-IT will continue to be assessed.</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9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manage the manufacturing and supply of Vascepa internally and have done so since we began clinical development of Vascepa prior to the drug’s marketing approval by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the Vascepa commercial franchise.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Lipid Disorders and Cardiovascular Disease</w:t>
      </w:r>
    </w:p>
    <w:p>
      <w:pPr>
        <w:spacing w:after="0" w:line="8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 xml:space="preserve">Heart attacks, strokes and other cardiovascular events represent the leading cause of death and disability among men and women in western societies. According to the </w:t>
      </w:r>
      <w:r>
        <w:rPr>
          <w:rFonts w:ascii="Arial" w:cs="Arial" w:eastAsia="Arial" w:hAnsi="Arial"/>
          <w:sz w:val="17"/>
          <w:szCs w:val="17"/>
          <w:i w:val="1"/>
          <w:iCs w:val="1"/>
          <w:color w:val="auto"/>
        </w:rPr>
        <w:t>Heart Disease and Stroke Statistics—2019 Update</w:t>
      </w:r>
      <w:r>
        <w:rPr>
          <w:rFonts w:ascii="Arial" w:cs="Arial" w:eastAsia="Arial" w:hAnsi="Arial"/>
          <w:sz w:val="17"/>
          <w:szCs w:val="17"/>
          <w:color w:val="auto"/>
        </w:rPr>
        <w:t xml:space="preserve"> from the American Heart Association, CVD is the underlying cause of death in approximately 1 out of every 3 deaths. Approximately 121 million adults in the United States live with one or more types of cardiovascular disease with an estimated 1 million new or recurrent coronary events and 795,000 new or recurrent strokes occur each year. An estimated 29 million adults ≥20 years of age have high total serum cholesterol levels (≥240 mg/dL), and an estimated 71 million adults ≥20 years of age have borderline high or high low-density lipoprotein (“bad”) cholesterol, or LDL-C, levels (≥130 mg/dL). According to the 2020 Heart and Stroke Statistics from the AHA, 45.1% of the United States population is projected to have some form of CVD by 2035 and total costs of CVD are expected to reach $1.1 trillion in 2035, with direct medical costs projected to reach $748.7 billion and indirect costs estimated to reach $368.0 billion.</w:t>
      </w:r>
    </w:p>
    <w:p>
      <w:pPr>
        <w:spacing w:after="0" w:line="125"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In addition to cholesterol, lipoproteins such as LDL also carry fats in the form of triglycerides. Hypertriglyceridemia refers to a condition in which patients have high levels of triglycerides in the bloodstream and has been reported to be both an independent risk factor for, and potential cause of, cardiovascular disease. Triglyceride levels provide important information as a marker associated with the risk for heart disease and stroke.</w:t>
      </w:r>
    </w:p>
    <w:p>
      <w:pPr>
        <w:spacing w:after="0" w:line="93"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Guidelines for the management of very high triglyceride levels (≥500 mg/dL) suggest that reducing triglyceride levels is the primary treatment goal in these patients to reduce the risk of acute pancreatitis. Treating LDL-C remains an important secondary goal. Other important parameters to consider in patients with very high triglycerides include levels of apolipoprotein B, or apo B, non-HDL-C, and very low-density lipoprotein cholesterol, or VLDL-C. The effect of Vascepa on the risk for pancreatitis in patients with hypertriglyceridemia has not been determined.</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Vascepa is the first and only drug approved by the FDA as an adjunct to maximally tolerated statin therapy to reduce the risk of myocardial infarction, stroke,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 is estimated that more than 50 million adults in the United States have elevated triglyceride levels ≥150 mg/dL. Additionally, approximately 2 to</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3 million adults in the United States have very high triglyceride levels (≥500 mg/dL), the condition for which Vascepa received its annual drug approval from FDA in 2012 based on the MARINE clinical trial. There are approximately 5 to 15 million people in the United States that meet the specific REDUCE-IT inclusion criteria. Additionally, the FDA-approved label for Vascepa mentions maximally tolerated statin therapy in the indication statement. This may mean that patients on prior statin therapy who are thought to be intolerant to statins, approximately 10% - 20% of patients with prior statin use, may be eligible for Vascepa. Since 1976, mean triglyceride levels have increased, along with the growing epidemic of obesity, insulin resistance, and type 2 diabetes mellitus. In contrast, mean LDL-C levels have decreased.</w:t>
      </w:r>
    </w:p>
    <w:p>
      <w:pPr>
        <w:spacing w:after="0" w:line="140"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Mixed dyslipidemia refers to a condition in which patients have a combination of two or more lipid abnormalities including elevated triglycerides, low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Therapies</w:t>
      </w:r>
    </w:p>
    <w:p>
      <w:pPr>
        <w:spacing w:after="0" w:line="8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Hypertriglyceridema, or HTG, is a prevalent lipid disorder in approximately 25% of the U.S. adult population. Both epidemiological and genetic data have shown associations between HTG and coronary heart disease. Many of those patients are taking statin therapy directed at lowering the risk of CVD by lowering their LDL-C levels, primarily. Recently, real world administrative database analyses have reported an increased CVD risk as well as direct healthcare costs associated with HTG despite statin therapy and controlled LDL-C compared to those with TG&lt;150 mg/dL.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 w:name="page8"/>
    <w:bookmarkEnd w:id="7"/>
    <w:p>
      <w:pPr>
        <w:ind w:right="20" w:firstLine="518"/>
        <w:spacing w:after="0" w:line="271" w:lineRule="auto"/>
        <w:rPr>
          <w:sz w:val="20"/>
          <w:szCs w:val="20"/>
          <w:color w:val="auto"/>
        </w:rPr>
      </w:pPr>
      <w:r>
        <w:rPr>
          <w:rFonts w:ascii="Arial" w:cs="Arial" w:eastAsia="Arial" w:hAnsi="Arial"/>
          <w:sz w:val="17"/>
          <w:szCs w:val="17"/>
          <w:color w:val="auto"/>
        </w:rPr>
        <w:t>In CV outcomes trials, therapies that reduce TG levels and had other favorable effects on classically studied lipid and lipoprotein parameters, such as extended-release niacin and fibrates, did not met their primary CV endpoints to reduce risk when taken with contemporary medical therapy, including statins. Specifically, cardiovascular outcomes trials, ACCORD Lipid, AIM-HIGH, and HPS2-THRIVE, while not designed to test the effect of lowering TG levels in patients with high TG levels after statin therapy, each failed to demonstrate incremental cardiovascular benefit of adding a second lipid-altering drug (fenofibrate or formulations of niacin), despite raising HDL-C and reducing TG levels, among statin-treated patients with well-controlled LDL-C. As a result, in 2015, the FDA updated both the Trilipix</w:t>
      </w:r>
      <w:r>
        <w:rPr>
          <w:rFonts w:ascii="Arial" w:cs="Arial" w:eastAsia="Arial" w:hAnsi="Arial"/>
          <w:sz w:val="14"/>
          <w:szCs w:val="14"/>
          <w:color w:val="auto"/>
        </w:rPr>
        <w:t>®</w:t>
      </w:r>
      <w:r>
        <w:rPr>
          <w:rFonts w:ascii="Arial" w:cs="Arial" w:eastAsia="Arial" w:hAnsi="Arial"/>
          <w:sz w:val="17"/>
          <w:szCs w:val="17"/>
          <w:color w:val="auto"/>
        </w:rPr>
        <w:t xml:space="preserve"> (a fenofibrate) and extended-release niacin product labeling and removed combination use with statin therapy in mixed dyslipidemia patients as an indication due to a failed outcomes trial. No head-to head, randomized, well-controlled studies have been conducted to compare the clinical effects of Vascepa with other FDA-approved TG-lowering therapies.</w:t>
      </w:r>
    </w:p>
    <w:p>
      <w:pPr>
        <w:spacing w:after="0" w:line="1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Arial" w:cs="Arial" w:eastAsia="Arial" w:hAnsi="Arial"/>
          <w:sz w:val="15"/>
          <w:szCs w:val="15"/>
          <w:color w:val="auto"/>
        </w:rPr>
        <w:t>®</w:t>
      </w:r>
      <w:r>
        <w:rPr>
          <w:rFonts w:ascii="Arial" w:cs="Arial" w:eastAsia="Arial" w:hAnsi="Arial"/>
          <w:sz w:val="18"/>
          <w:szCs w:val="18"/>
          <w:color w:val="auto"/>
        </w:rPr>
        <w:t>/Omacor</w:t>
      </w:r>
      <w:r>
        <w:rPr>
          <w:rFonts w:ascii="Arial" w:cs="Arial" w:eastAsia="Arial" w:hAnsi="Arial"/>
          <w:sz w:val="15"/>
          <w:szCs w:val="15"/>
          <w:color w:val="auto"/>
        </w:rPr>
        <w:t>®</w:t>
      </w:r>
      <w:r>
        <w:rPr>
          <w:rFonts w:ascii="Arial" w:cs="Arial" w:eastAsia="Arial" w:hAnsi="Arial"/>
          <w:sz w:val="18"/>
          <w:szCs w:val="18"/>
          <w:color w:val="auto"/>
        </w:rPr>
        <w:t>) at a dose of 1-gram per day are not effective in preventing further events for patients who have had a heart attack.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Benefits and Market Opportunity for Vascepa</w:t>
      </w:r>
    </w:p>
    <w:p>
      <w:pPr>
        <w:spacing w:after="0" w:line="94"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Vascepa is 1-gram of icosapent ethyl, or ethyl-EPA, and contains no DHA. We believe that the removal of DHA mitigates against the LDL-C raising effect observed in omega-3 compositions that include DHA. Based on the results of the REDUCE-IT trial, Vascepa was the first omega-3 based product, or any type of product, to demonstrate a statistically significant reduction in cardiovascular risk beyond cholesterol lowering therapy in high risk patients approved for treatment. Prior to REDUCE-IT, based on the MARINE trial, Vascepa was the first omega-3 based product to demonstrate statistically significant triglyceride reduction without a statistically significant increase in LDL-C in this very high triglyceride population.</w:t>
      </w:r>
    </w:p>
    <w:p>
      <w:pPr>
        <w:spacing w:after="0" w:line="119" w:lineRule="exact"/>
        <w:rPr>
          <w:sz w:val="20"/>
          <w:szCs w:val="20"/>
          <w:color w:val="auto"/>
        </w:rPr>
      </w:pPr>
    </w:p>
    <w:p>
      <w:pPr>
        <w:ind w:right="40" w:firstLine="518"/>
        <w:spacing w:after="0" w:line="260" w:lineRule="auto"/>
        <w:rPr>
          <w:sz w:val="20"/>
          <w:szCs w:val="20"/>
          <w:color w:val="auto"/>
        </w:rPr>
      </w:pPr>
      <w:r>
        <w:rPr>
          <w:rFonts w:ascii="Arial" w:cs="Arial" w:eastAsia="Arial" w:hAnsi="Arial"/>
          <w:sz w:val="18"/>
          <w:szCs w:val="18"/>
          <w:color w:val="auto"/>
        </w:rPr>
        <w:t xml:space="preserve">We believe that the results of the REDUCE-IT, ANCHOR and MARINE clinical trials of Vascepa and Vascepa’s EPA only/DHA-free composition position Vascepa to achieve a global “best-in-class” prescription therapy in studied patient populations. Potential mechanisms of action at work in the reduction of cardiovascular events seen in REDUCE-IT as discussed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publication of REDUCE-IT primary results include TG reduction, anti-thrombotic effects, antiplatelet or anticoagulant effects, membrane-stabilizing effects, effects on stabilization and/or regression of coronary plaque and inflammation reduction. Mechanisms responsible for the benefit shown in REDUCE-IT were not studied in REDUCE-IT as that was not the purpose of an outcomes study. More study is needed to determine to what extent, if any, each of these effects or others may be responsible for the CV risk reduction benefit demonstrated in REDUCE-IT.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REDUCE-IT Study (basis for new FDA approved indication and label expansion)</w:t>
      </w:r>
    </w:p>
    <w:p>
      <w:pPr>
        <w:spacing w:after="0" w:line="9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REDUCE-IT study was designed to evaluate the efficacy of Vascepa in reducing major cardiovascular events in an at-risk patient population also receiving statin therapy. REDUCE-IT was a multinational,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was comprised of patients on optimized statin therapy plus placebo. The active arm of the study was comprised of patients on optimized statin therapy plus Vascepa. All subjects enrolled in the study had elevated triglyceride levels and either established coronary heart disease or risk factors for coronary heart disease.</w:t>
      </w:r>
    </w:p>
    <w:p>
      <w:pPr>
        <w:spacing w:after="0" w:line="139"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In August 2011, we reached agreement with the FDA on a SPA for the design of the REDUCE-IT cardiovascular outcomes study. A SPA is an evaluation by the FDA of a protocol with the goal of reaching an agreement that the Phase 3 trial protocol design, clinical endpoints, and statistical analyses are acceptable to support regulatory approval. The FDA agreed that, based on the information we submitted to the agency, the design and planned analysis of the REDUCE-IT study adequately addressed the objectives necessary to support a regulatory submission. A SPA is generally binding upon the FDA unless a substantial scientific issue essential to determining safety or efficacy of the drug is identified after the testing begins.</w:t>
      </w:r>
    </w:p>
    <w:p>
      <w:pPr>
        <w:spacing w:after="0" w:line="119" w:lineRule="exact"/>
        <w:rPr>
          <w:sz w:val="20"/>
          <w:szCs w:val="20"/>
          <w:color w:val="auto"/>
        </w:rPr>
      </w:pPr>
    </w:p>
    <w:p>
      <w:pPr>
        <w:jc w:val="both"/>
        <w:ind w:right="80" w:firstLine="518"/>
        <w:spacing w:after="0" w:line="288" w:lineRule="auto"/>
        <w:rPr>
          <w:sz w:val="20"/>
          <w:szCs w:val="20"/>
          <w:color w:val="auto"/>
        </w:rPr>
      </w:pPr>
      <w:r>
        <w:rPr>
          <w:rFonts w:ascii="Arial" w:cs="Arial" w:eastAsia="Arial" w:hAnsi="Arial"/>
          <w:sz w:val="16"/>
          <w:szCs w:val="16"/>
          <w:color w:val="auto"/>
        </w:rPr>
        <w:t>It is believed that the effects of EPA are not due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w:t>
      </w:r>
    </w:p>
    <w:p>
      <w:pPr>
        <w:ind w:right="120"/>
        <w:spacing w:after="0" w:line="271" w:lineRule="auto"/>
        <w:rPr>
          <w:sz w:val="20"/>
          <w:szCs w:val="20"/>
          <w:color w:val="auto"/>
        </w:rPr>
      </w:pPr>
      <w:r>
        <w:rPr>
          <w:rFonts w:ascii="Arial" w:cs="Arial" w:eastAsia="Arial" w:hAnsi="Arial"/>
          <w:sz w:val="17"/>
          <w:szCs w:val="17"/>
          <w:color w:val="auto"/>
        </w:rPr>
        <w:t>With respect to triglyceride levels, our scientific rationale for the REDUCE-IT study was supported by (i) epidemiological data that suggests elevated triglyceride levels correlate with increased cardiovascular disease risk, (ii) genetic data that suggest triglyceride and/or triglyceride-rich lipoproteins (as well as LDL-C, known as bad cholesterol) are independently in the causal pathway for cardiovascular disease and (iii) clinical data that suggest substantial triglyceride reduction in patients with elevated baseline triglyceride levels correlates with reduced cardiovascular risk. The REDUCE-IT study was designed to determine the clinical benefit, if any, of stable EPA therapy in statin-treated patients with elevated triglyceride levels.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8" w:name="page9"/>
    <w:bookmarkEnd w:id="8"/>
    <w:p>
      <w:pPr>
        <w:ind w:right="80" w:firstLine="518"/>
        <w:spacing w:after="0" w:line="259" w:lineRule="auto"/>
        <w:rPr>
          <w:sz w:val="20"/>
          <w:szCs w:val="20"/>
          <w:color w:val="auto"/>
        </w:rPr>
      </w:pPr>
      <w:r>
        <w:rPr>
          <w:rFonts w:ascii="Arial" w:cs="Arial" w:eastAsia="Arial" w:hAnsi="Arial"/>
          <w:sz w:val="18"/>
          <w:szCs w:val="18"/>
          <w:color w:val="auto"/>
        </w:rPr>
        <w:t>In September 2011, we engaged a clinical research organization, or CRO, and began initial trial and clinical site preparation for REDUCE-IT. In December 2011, we announced that the first patient was dosed in the study. In 2016, we completed patient enrollment and randomization of 8,179 individual patients into the REDUCE-IT study. Amarin personnel remained blinded to the efficacy and safety data from the REDUCE-IT study until after the study was completed and the database was locked in 2018.</w:t>
      </w:r>
    </w:p>
    <w:p>
      <w:pPr>
        <w:spacing w:after="0" w:line="133" w:lineRule="exact"/>
        <w:rPr>
          <w:sz w:val="20"/>
          <w:szCs w:val="20"/>
          <w:color w:val="auto"/>
        </w:rPr>
      </w:pPr>
    </w:p>
    <w:p>
      <w:pPr>
        <w:jc w:val="both"/>
        <w:ind w:right="100" w:firstLine="518"/>
        <w:spacing w:after="0" w:line="291" w:lineRule="auto"/>
        <w:rPr>
          <w:sz w:val="20"/>
          <w:szCs w:val="20"/>
          <w:color w:val="auto"/>
        </w:rPr>
      </w:pPr>
      <w:r>
        <w:rPr>
          <w:rFonts w:ascii="Arial" w:cs="Arial" w:eastAsia="Arial" w:hAnsi="Arial"/>
          <w:sz w:val="16"/>
          <w:szCs w:val="16"/>
          <w:color w:val="auto"/>
        </w:rPr>
        <w:t xml:space="preserve">On November 10, 2018, we announced primary results from our REDUCE-IT study as late-breaking clinical results at the 2018 Scientific Sessions of the AHA and the results were concurrently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REDUCE-IT met its primary endpoint demonstrating a 25%</w:t>
      </w:r>
    </w:p>
    <w:p>
      <w:pPr>
        <w:ind w:right="320" w:firstLine="8"/>
        <w:spacing w:after="0" w:line="268" w:lineRule="auto"/>
        <w:tabs>
          <w:tab w:leader="none" w:pos="405"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 high degree of statistical significance (p&lt;0.001), in first occurrence of MACE in the intent-to-treat patient population with use of Vascepa 4 grams/day as compared to placebo. Patients qualified to enroll in REDUCE-IT had LDL-C between 41-100 mg/dL (median baseline LDL-C75 mg/dL) controlled by statin therapy and various cardiovascular risk factors including persistent elevated triglycerides, or TG, between 135-499 mg/dL (median baseline 216 mg/dL) and either established cardiovascular disease (secondary prevention cohort) or age 50 or more with diabetes mellitus and at least one other CV risk factor (primary prevention cohort). Approximately 59% of the patients had diabetes at baseline, approximately 71% of the patients had established cardiovascular disease at time of enrollment and approximately 29% were primary prevention subjects at high risk for cardiovascular disease. REDUCE-IT also showed a 26% RRR in its key secondary composite endpoint of cardiovascular death, heart attacks and stroke (p&lt;0.001). We expended more than $300.0 million to fund completion of the REDUCE-IT study.</w:t>
      </w:r>
    </w:p>
    <w:p>
      <w:pPr>
        <w:spacing w:after="0" w:line="130"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Vascepa in the REDUCE-IT study demonstrated a number needed to treat, or NNT, of 21 for the first occurrence of MACE in the 5-point primary composite endpoint. NNT is a statistical concept intended to provide a measurement of the impact of a medicine or therapy by estimating the number of patients that need to be treated in order to have an impact on one person.</w:t>
      </w:r>
    </w:p>
    <w:p>
      <w:pPr>
        <w:spacing w:after="0" w:line="127"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An additional seven secondary endpoints were achieved below the key secondary endpoint, in order of sequential statistical testing within the prespecified hierarchy:</w:t>
      </w:r>
    </w:p>
    <w:p>
      <w:pPr>
        <w:spacing w:after="0" w:line="22" w:lineRule="exact"/>
        <w:rPr>
          <w:sz w:val="20"/>
          <w:szCs w:val="20"/>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Cardiovascular death or nonfatal heart attack: 25% RRR (p&lt;0.001)</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Fatal or nonfatal heart attack: 31% RRR (p&lt;0.001)</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Urgent or emergent revascularization: 35% RRR (p&lt;0.001)</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Cardiovascular death: 20% RRR (p=0.03)</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Hospitalization for unstable angina: 32% RRR (p=0.002)</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Fatal or nonfatal stroke: 28% RRR (p=0.01)</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mortality, nonfatal heart attack or nonfatal stroke: 23% RRR (p&lt;0.001)</w:t>
      </w:r>
    </w:p>
    <w:p>
      <w:pPr>
        <w:spacing w:after="0" w:line="17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next prespecified secondary endpoint in the hierarchy was the only such endpoint that did not achieve statistical significance although it trended positively:</w:t>
      </w:r>
    </w:p>
    <w:p>
      <w:pPr>
        <w:spacing w:after="0" w:line="22" w:lineRule="exact"/>
        <w:rPr>
          <w:sz w:val="20"/>
          <w:szCs w:val="20"/>
          <w:color w:val="auto"/>
        </w:rPr>
      </w:pPr>
    </w:p>
    <w:p>
      <w:pPr>
        <w:ind w:left="1280" w:hanging="381"/>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mortality, which includes mortality from non-cardiovascular and cardiovascular events: 13% RRR (p=0.09)</w:t>
      </w:r>
    </w:p>
    <w:p>
      <w:pPr>
        <w:spacing w:after="0" w:line="17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Positive REDUCE-IT results were consistent across various patient subgroups, including female/male, diabetic/non-diabetic and secondary/primary prevention.</w:t>
      </w:r>
    </w:p>
    <w:p>
      <w:pPr>
        <w:spacing w:after="0" w:line="11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Overall adverse event rates in REDUCE-IT were similar across treatment groups and Vascepa was well tolerated. Vascepa was associated with an increase (3% vs 2%) in the reported rate of atrial fibrillation or atrial flutter requiring hospitalization in a double-blind, placebo-controlled trial. The incidence of atrial fibrillation was greater in patients with a previous history of atrial fibrillation or atrial flutter. It is not known whether patients with allergies to fish and/or shellfish are at an increased risk of an allergic reaction to Vascepa. Vascepa was associated with an increase (12% vs 10%) in the reported rate of bleeding in a double-blind, placebo-controlled trial. The reported incidence of bleeding was greater in patients receiving concomitant antithrombotic medications, such as aspirin, clopidogrel or warfarin.</w:t>
      </w:r>
    </w:p>
    <w:p>
      <w:pPr>
        <w:spacing w:after="0" w:line="139"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Common adverse reactions in the cardiovascular outcomes trial (incidence ≥3% and ≥1% more frequent than placebo) were: musculoskeletal pain (4% vs 3%), peripheral edema (7% vs 5%), constipation (5% vs 4%), gout (4% vs 3%), and atrial fibrillation (5% vs 4%). Common adverse reactions in the hypertriglyceridemia trials (incidence &gt;1% more frequent than placebo) were: arthralgia (2% vs 1%) and oropharyngeal pain (1% vs 0.3%). Patients receiving Vascepa and concomitant anticoagulants and/or anti-platelet agents for bleeding are to be monitored. 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Determining the mechanisms responsible for the benefit shown in REDUCE-IT was not the focus of REDUCE-IT. As summarized from the primary results of REDUCE-</w:t>
      </w:r>
    </w:p>
    <w:p>
      <w:pPr>
        <w:spacing w:after="0" w:line="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IT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potential Vascepa mechanisms of action at work in REDUCE-IT may include TG reduction, anti-thrombotic effects, antiplatelet or anticoagulant effects, membrane-stabilizing effects,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effects on stabilization and/or regression of coronary plaque and inflammation reduction, each as supported by earlier stage mechanistic studies.</w:t>
      </w:r>
    </w:p>
    <w:p>
      <w:pPr>
        <w:spacing w:after="0" w:line="183"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The FDA granted Priority Review designation to our March 2019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when compared to standard applications. In November 2019, the FDA held an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label expansion for Vascepa capsules. 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MARINE Trial (first FDA-approved label for Vascepa)</w:t>
      </w:r>
    </w:p>
    <w:p>
      <w:pPr>
        <w:spacing w:after="0" w:line="90"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MARINE trial, the largest study ever conducted with the omega-3 fatty acid ethyl EPA in treating patients with very high triglycerides (≥500 mg/dL), was a Phase 3, multi-center, placebo-controlled, randomized, double-blind, 12-week study. Patients were randomized into three treatment arms for treatment with Vascepa 4 gram/day, 2 gram/day or placebo. Patient enrollment in this trial began in December 2009, and enrollment and randomization was completed in August 2010 at 229 patients. The primary endpoint in the trial was the percentage change in triglyceride level from baseline compared to placebo after 12 weeks of treatment. The MARINE study primary endpoint was required to meet a stringent level of statistical significance of 1% (p &lt; 0.01) in our SPA agreement with the FDA.</w:t>
      </w:r>
    </w:p>
    <w:p>
      <w:pPr>
        <w:spacing w:after="0" w:line="13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w:t>
      </w:r>
    </w:p>
    <w:p>
      <w:pPr>
        <w:spacing w:after="0" w:line="133"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In a pre-specified secondary analysis in the subgroup of patients with baseline triglyceride &gt; 750 mg/dL, representing 39% of all patients, the effect of Vascepa in reducing triglyceride levels compared to placebo was 45% for 4 grams and 33% for 2 grams, both statistically significant (p = 0.0001 for 4 grams and p= 0.0016 for 2 grams, respectively). The median baseline triglyceride levels in this subgroup were 1052 mg/dL, 902 mg/dL and 948 mg/dL for placebo, 4-gram and 2-gram groups, respectively. Twenty-five percent of patients in this trial were also on background statin therapy. These patients had greater median reduction in triglyceride levels, which was also statistically significant.</w:t>
      </w:r>
    </w:p>
    <w:p>
      <w:pPr>
        <w:spacing w:after="0" w:line="119"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Importantly, the significant reduction in triglycerides was not associated with a statistically significant increase in median LDL-C compared to placebo at either dose (-2.3% for the 4-gram group and +5.2% for the 2-gram group [both p=NS]). In addition, there was a statistically significant decrease in median non-HDL-C (total cholesterol less so-called “good cholesterol”) compared to placebo with both of the Vascepa-treated groups (-18% for the 4-gram group [p &lt; 0.001] and -8% for the 2-gram group [p &lt; 0.05]).</w:t>
      </w:r>
    </w:p>
    <w:p>
      <w:pPr>
        <w:spacing w:after="0" w:line="13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MARINE trial results also included statistically significant reductions compared to placebo in several important lipid and inflammatory biomarkers, including apo B (apolipoprotein B) (8.5%), Lp-PLA2 (lipoprotein-phospholipase A2) (13.6%), VLDL-C (very low-density lipoprotein cholesterol) (28.6%), Total Cholesterol (16.3%), and hsCRP (high-sensitivity C-reactive protein) (36.0%) at the 4-gram dose. For these achieved endpoints, p-values were &lt;0.01 for most and &lt;0.05 for all. Apo B (apolipoprotein B) is believed to be a sensitive biomarker of cardiovascular risk and may be a better predictor of cardiovascular risk than LDL-C. Lp-PLA2 is an enzyme found in blood and atherosclerotic plaque; high levels have been implicated in the development and progression of atherosclerosis. In a post-hoc analysis of MARINE study data, Vascepa 4 g/day and 2 g/day statistically significantly reduced ApoC-III levels by 25.1% (p &lt; 0.0001) and 14.3% (p=0.0154) versus placebo, respectively. In the MARINE trial, patients treated with 4 grams per day of Vascepa experienced a significant reduction in median placebo-adjusted lipoprotein particle concentrations of total LDL and small LDL. When looking at lipoprotein particle concentrations and sizes as measured with nuclear magnetic resonance spectroscopy, Vascepa 4 grams per day, compared with placebo, significantly reduced median total LDL particle count by 16.3% (p=0.0006), which is an important factor in atherogenesis. LDL particle count and apo B are important risk markers for the prediction of cardiovascular events. Small LDL particle count, which is a common risk factor for cardiovascular events in patients with diabetes, was reduced by 25.6% (p&lt;0.0001) compared with placebo. Vascepa 2 grams per day, compared with placebo, significantly reduced median small LDL particle count by 12.8% (p &lt;0.05) and reduced median total LDL particle count by 1.1% (NS). LDL particle size did not change significantly for the 2 or 4 gram per day doses.</w:t>
      </w:r>
    </w:p>
    <w:p>
      <w:pPr>
        <w:spacing w:after="0" w:line="13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Vascepa was well tolerated in the MARINE trial, with a safety profile comparable to placebo and there were no treatment-related serious adverse events observed. No patient discontinued treatment of Vascepa during this study due to Vascepa-related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 w:name="page11"/>
    <w:bookmarkEnd w:id="10"/>
    <w:p>
      <w:pPr>
        <w:ind w:right="120"/>
        <w:spacing w:after="0" w:line="277" w:lineRule="auto"/>
        <w:rPr>
          <w:sz w:val="20"/>
          <w:szCs w:val="20"/>
          <w:color w:val="auto"/>
        </w:rPr>
      </w:pPr>
      <w:r>
        <w:rPr>
          <w:rFonts w:ascii="Arial" w:cs="Arial" w:eastAsia="Arial" w:hAnsi="Arial"/>
          <w:sz w:val="18"/>
          <w:szCs w:val="18"/>
          <w:color w:val="auto"/>
        </w:rPr>
        <w:t>adverse events. No significant changes in fasting blood glucose, hemoglobin A1C, vital signs, electrocardiograms, or liver or kidney function were observed with either Vascepa dose.</w:t>
      </w:r>
    </w:p>
    <w:p>
      <w:pPr>
        <w:spacing w:after="0" w:line="116"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Patients enrolled in the MARINE trial were given the option to be treated with Vascepa for a period of up to 40 weeks after their last dose in the double-blind portion of the trial. Once participants completed the randomized, double blind, placebo-controlled 12-week MARINE registration trial, patients in all three randomized groups (4 grams, 2 grams and placebo) were offered the opportunity to participate in the open label extension, or OLE, phase. Patients in the OLE phase received 4 grams per day of Vascepa for a period of up to an additional 40 weeks. As is typical of such extension phases, the OLE phase was not a controlled trial, as differentiated from the randomized, double blind, placebo-controlled 12-week MARINE registration trial. In the OLE phase, participants were not randomized at entry, Vascepa administration was open-label (and thus not blinded), and no placebo group was maintained. Also, once patients entered in the OLE phase, investigators were free to add or modify other lipid-altering nutritional, lifestyle and drug treatment regimens. Given the lack of randomization, the open-label design, the addition of various other lipid-altering drugs and changes to doses of existing lipid-altering drugs, as well as the lack of placebo control, neither we nor our independent advisors were able to draw efficacy conclusions from the data. However, we have concluded that the MARINE OLE phase revealed no new safety signals after an additional 40 weeks of exposure to Vascepa, whether used alone or in combination with other lipid-altering regimens.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ANCHOR Trial (promoted in the United States under court declaration)</w:t>
      </w:r>
    </w:p>
    <w:p>
      <w:pPr>
        <w:spacing w:after="0" w:line="90"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The ANCHOR trial was a multi-center, placebo-controlled, randomized, double-blind, 12-week pivotal study in patients with high triglycerides (≥200 and &lt;500 mg/dL) who were also receiving optimized statin therapy. Patients were randomized into three arms for treatment with Vascepa 4 gram/day, 2 gram/day or placebo. Patient enrollment in this trial began in January 2010, and enrollment and randomization was completed in February 2011 at 702 patients. The primary endpoint in the trial was the percentage change in triglyceride level from baseline compared to placebo after 12 weeks of treatment.</w:t>
      </w:r>
    </w:p>
    <w:p>
      <w:pPr>
        <w:spacing w:after="0" w:line="100"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April 2011, we reported topline results from the ANCHOR trial. The ANCHOR trial met its primary endpoint at doses of 4 grams and 2 grams per day with median placebo-adjusted reductions in triglyceride levels of 21.5% (p&lt;0.0001 value) for 4 grams and 10.1% (p=0.0005) for 2 grams. The median baseline triglyceride levels were 259 mg/dL, 265 mg/dL and 254 mg/dL for the patient groups treated with placebo, 4 grams and 2 grams of Vascepa per day, respectively. The analysis of subgroups by baseline triglyceride tertiles showed that higher baseline triglycerides resulted in greater triglyceride reductions.</w:t>
      </w:r>
    </w:p>
    <w:p>
      <w:pPr>
        <w:spacing w:after="0" w:line="10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One of the trial’s secondary endpoints was to demonstrate a lack of elevation in LDL-C, the primary target of cholesterol lowering therapy. The trial’s non-inferiority criterion for LDL-C was met at both Vascepa doses. The upper confidence boundaries for both doses were below the pre-specified +6% LDL-C threshold limit. At the 4-gram dose the upper confidence boundary was below zero (-1.7%) and at the 2-gram dose the upper confidence boundary was close to zero (0.5%). For the 4 grams per day group, LDL-C decreased significantly by 6.2% from baseline versus placebo, demonstrating superiority over placebo (p=0.0067). For the 2-gram group, LDL-C decreased by 3.6% from baseline versus placebo (p=0.0867), which is not a statistically significant decrease.</w:t>
      </w:r>
    </w:p>
    <w:p>
      <w:pPr>
        <w:spacing w:after="0" w:line="13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Other secondary efficacy endpoints included the median placebo-adjusted percent change in non-high-density lipoprotein cholesterol, or non-HDL-C, apolipoprotein B, or apo B, and lipoprotein-associated phospholipase A2 (Lp-PLA2). The 4-gram dose was associated with statistically significant reductions in non-HDL-C (13.6%, p&lt;0.0001), apo B (9.3%, p&lt;0.0001), Lp-PLA2 (19%, p&lt;0.0001) and high-sensitivity C-reactive protein, or hsCRP, (22%, p&lt;0.001), at week 12 compared to placebo. One published analysis showed that the Vascepa 4-gram daily dose in the ANCHOR study also significantly decreased levels of the inflammatory marker oxidized low-density lipoprotein relative to placebo by 13% (p &lt; 0.0001). In a separate, post-hoc analysis of study data, Vascepa 4 g/day statistically significantly reduced ApoC-III levels by 25.1% in MARINE (p &lt; 0.0001) and by 19.2% in ANCHOR (p &lt; 0.0001) versus placebo.</w:t>
      </w:r>
    </w:p>
    <w:p>
      <w:pPr>
        <w:spacing w:after="0" w:line="111"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Vascepa was well tolerated in the ANCHOR trial with a safety profile comparable to placebo and there were no treatment-related serious adverse events observed. No significant changes in fasting blood glucose, hemoglobin A1C, vital signs, electrocardiograms, or liver or kidney function were observed with either Vascepa dose. The safety results from the ANCHOR trial are included in the first FDA-approved label for Vascepa.</w:t>
      </w:r>
    </w:p>
    <w:p>
      <w:pPr>
        <w:spacing w:after="0" w:line="11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1" w:name="page12"/>
    <w:bookmarkEnd w:id="11"/>
    <w:p>
      <w:pPr>
        <w:ind w:right="100" w:firstLine="518"/>
        <w:spacing w:after="0" w:line="286" w:lineRule="auto"/>
        <w:rPr>
          <w:sz w:val="20"/>
          <w:szCs w:val="20"/>
          <w:color w:val="auto"/>
        </w:rPr>
      </w:pPr>
      <w:r>
        <w:rPr>
          <w:rFonts w:ascii="Arial" w:cs="Arial" w:eastAsia="Arial" w:hAnsi="Arial"/>
          <w:sz w:val="16"/>
          <w:szCs w:val="16"/>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reflected recognized medical practice but was not covered by the then-current, FDA-approved labeling for the drug. Historically, FDA has considered promotion of drug uses not covered by FDA-approved labeling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(and now demonstrated effect)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Observed Efficacy of Ethyl-EPA</w:t>
      </w:r>
    </w:p>
    <w:p>
      <w:pPr>
        <w:spacing w:after="0" w:line="9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Japan, ethyl-EPA is marketed under the product name of Epadel by Mochida and is indicated for hyperlipidemia and peripheral vascular disease.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primary prevention patients with triglyceride levels of ≥150 mg/dL (median of 272 mg/dL at entry) and HDL-C &lt;40 mg/dL. Epadel has been approved and available by prescription in Japan for over a decade. In 2013, the Japan Ministry of Health approved Epadel for over-the-counter sales. JELIS provided supportive but not conclusive data that EPA drug therapy may reduce major coronary events. JELIS results cannot be generalized to populations outside of Japan due to limitations in the study’s design. Due to the limitation of JELIS, further study was needed through the REDUCE-IT study to determine the clinical benefit, if any, of EPA therapy in statin-treated patients with elevated triglyceride levels in a patient population beyond that studied in JELIS.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Observed Clinical Safety of Vascepa in MARINE, ANCHOR and Early Development</w:t>
      </w:r>
    </w:p>
    <w:p>
      <w:pPr>
        <w:spacing w:after="0" w:line="7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 There was no reported adverse reaction &gt; 3% and greater than placebo.</w:t>
      </w:r>
    </w:p>
    <w:p>
      <w:pPr>
        <w:spacing w:after="0" w:line="133"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Prior to commencing the REDUCE-IT, MARINE and ANCHOR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 have been dosed with Vascepa in these studies, with over 100 receiving continuous treatment for a year or more. In all studies performed to date, Vascepa has shown a favorable safety and tolerability profile.</w:t>
      </w:r>
    </w:p>
    <w:p>
      <w:pPr>
        <w:spacing w:after="0" w:line="10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to the REDUCE-IT, MARINE and ANCHOR trials, we completed a 28-day pharmacokinetic study in healthy volunteers, a 26-week study to evaluate the toxicity of Vascepa in transgenic mice and multiple pharmacokinetic drug-drug 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133"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Since Vascepa was made commercially available in 2013, more than eight million estimated normalized total prescriptions of Vascepa have been reported by Symphony Health.</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Lipid Compounds and Other Preclinical Programs</w:t>
      </w:r>
    </w:p>
    <w:p>
      <w:pPr>
        <w:spacing w:after="0" w:line="77" w:lineRule="exact"/>
        <w:rPr>
          <w:sz w:val="20"/>
          <w:szCs w:val="20"/>
          <w:color w:val="auto"/>
        </w:rPr>
      </w:pPr>
    </w:p>
    <w:p>
      <w:pPr>
        <w:ind w:right="880" w:firstLine="518"/>
        <w:spacing w:after="0" w:line="277" w:lineRule="auto"/>
        <w:rPr>
          <w:sz w:val="20"/>
          <w:szCs w:val="20"/>
          <w:color w:val="auto"/>
        </w:rPr>
      </w:pPr>
      <w:r>
        <w:rPr>
          <w:rFonts w:ascii="Arial" w:cs="Arial" w:eastAsia="Arial" w:hAnsi="Arial"/>
          <w:sz w:val="18"/>
          <w:szCs w:val="18"/>
          <w:color w:val="auto"/>
        </w:rPr>
        <w:t>We are also considering development of other next generation compounds based on our internal lipid science expertise, including potential combination and derivative therapies.</w:t>
      </w:r>
    </w:p>
    <w:p>
      <w:pPr>
        <w:spacing w:after="0" w:line="116"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In August 2013, we completed dosing of AMR102, a fixed dose combination of Vascepa and a leading statin product. The study is a randomized, open-label, single-dose, 4-way cross-over study to continue testing of the relative bioavailability of AMR102 capsules, Vascepa capsules with the selected statin taken concomitantly, Vascepa taken alone and the selected statin taken alone. The results of this study support the feasibility of AMR102. We have suspended additional development of AMR102 while we focus on commercializing the expanded indication of Vascepa; however, we will continue to evaluate these types of opportunities over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2" w:name="page13"/>
    <w:bookmarkEnd w:id="12"/>
    <w:p>
      <w:pPr>
        <w:jc w:val="both"/>
        <w:ind w:right="840" w:firstLine="518"/>
        <w:spacing w:after="0" w:line="264" w:lineRule="auto"/>
        <w:rPr>
          <w:sz w:val="20"/>
          <w:szCs w:val="20"/>
          <w:color w:val="auto"/>
        </w:rPr>
      </w:pPr>
      <w:r>
        <w:rPr>
          <w:rFonts w:ascii="Arial" w:cs="Arial" w:eastAsia="Arial" w:hAnsi="Arial"/>
          <w:sz w:val="18"/>
          <w:szCs w:val="18"/>
          <w:color w:val="auto"/>
        </w:rPr>
        <w:t>We believe that Vascepa and other lipid-based compositions may have an impact on a number of biological factors in the body such as anti-inflammatory mechanisms, cell membrane composition and plasticity, triglyceride levels and regulation of glucose metabolism. Currently all other development activities are at formulation or pre-clinical stages.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for Vascepa</w:t>
      </w:r>
    </w:p>
    <w:p>
      <w:pPr>
        <w:spacing w:after="0" w:line="9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manage the manufacturing and supply of Vascepa and have done so since we began clinical development of Vascepa prior to the drug’s marketing approval by the FDA in 2012. We rely on contract manufacturers in each step of our commercial and clinical product supply chain. These steps include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w:t>
      </w:r>
    </w:p>
    <w:p>
      <w:pPr>
        <w:spacing w:after="0" w:line="13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FDA has approved several international large-scale API manufacturers, global encapsulation leaders and two U.S.-based packagers for use in the manufacturing of Vascepa. All of our manufacturing facilities were approved by the FDA following successful preapproval inspections and they remain active manufacturers of Vascepa under FDA authority.</w:t>
      </w:r>
    </w:p>
    <w:p>
      <w:pPr>
        <w:spacing w:after="0" w:line="12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API material that constitutes ethyl-EPA is a chemical modification of a naturally occurring substance that is derived from specific fish sourced from qualified producers. The fishing from which the raw material for Vascepa is derived is regulated by local government agencies under policies designed to ensure sustainability of the marine life supply. A limited number of other manufacturers have the ability, scale, know-how, sufficient supply chain capability and suitable, industrial-scale facilities to produce ethyl-EPA to the required level of purity. Among the conditions for FDA approval of a pharmaceutical product is the requirement that the manufacturer’s quality control and manufacturing procedures are validated and conform to pharmaceutical current Good Manufacturing Practice, or cGMP, which, under applicable regulations, must be followed at all times. The FDA typically inspects manufacturing facilities before regulatory approval of a product candidate, such as Vascepa, and on a periodic basis after the initial approval. Consistent with cGMP regulations, pharmaceutical manufacturers must expend resources and time to ensure compliance with product specifications as well as production, record keeping, quality control, reporting, and other regulatory requirements.</w:t>
      </w:r>
    </w:p>
    <w:p>
      <w:pPr>
        <w:spacing w:after="0" w:line="12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Some of our agreements with our API suppliers are exclusive and include minimum purchase commitments. During 2019, we fully met the aggregate minimum purchase requirements in our supply agreements. Under the supply agreements, we can purchase more than the minimum requirements. Certain of these agreements contemplate phased capacity expansion aimed at creating sufficient volumes to meet anticipated demand for Vascepa. Certain of these agreements contain provisions for reduced payments (fractional API cost) for unmet annual volume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Commercialization Plans</w:t>
      </w:r>
    </w:p>
    <w:p>
      <w:pPr>
        <w:spacing w:after="0" w:line="8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commenced the commercial launch of Vascepa in the United States in January 2013. 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is 4 grams per day, and, as expected, the majority of new and existing patients taking Vascepa continue to be prescribed the 1-gram size Vascepa capsule. We sell the 1-gram and 0.5-gram capsule sizes of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11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currently market Vascepa in the United States through our direct sales force. We currently target clinicians who are top prescribers of lipid-regulating therapies, including statins. Prior to the REDUCE-IT results topline announcement in September 2018, our direct sales force consisted of approximately 170 sales professionals, including sales representatives and their managers. Based on the positive REDUCE-IT results, in early 2019, we increased the size of our sales team to approximately 440 sales professionals, including approximately 400 sales representatives. As a result of the FDA’s newly approved indication and label expansion, we are close to completing the expansion of our direct sales force to approximately 900 sales professionals, including approximately 800 sales representatives. Hiring, training and deploying approximately 400 new sales representatives is a multi-stage process which commenced in July 2019 and is expected to be completed in early 2020. Most of the expanded sales management team needed to support this sales force expansion was hired, or internally promoted, and trained prior to December 31, 2019.</w:t>
      </w:r>
    </w:p>
    <w:p>
      <w:pPr>
        <w:spacing w:after="0" w:line="12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From May 2014 through December 2018, in addition to Vascepa promotion by our sales representatives, Kowa Pharmaceuticals America, Inc. co-promoted Vascepa in the United States in conjunction with its promotion of its primary product, a branded statin for patients with high cholesterol. This co-promotion reached its mutually agreed upon termination date in December 2018. During 2018, as a result of not renewing the agreement, we incurred expense for the accrual of co-promotion tail payments, which were calculated as a percentage of the 2018 co-promotion fee. Kowa Pharmaceuticals America, Inc. will receive $17.8 million in co-promotion tail payments, the present value of which, $16.6 million, was fully accrued as of December 31, 2018 and will be paid over three years with declining amounts each year. We made $7.3 million in tail payments as of December 31,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 w:name="page14"/>
    <w:bookmarkEnd w:id="13"/>
    <w:p>
      <w:pPr>
        <w:ind w:firstLine="518"/>
        <w:spacing w:after="0" w:line="293" w:lineRule="auto"/>
        <w:rPr>
          <w:sz w:val="20"/>
          <w:szCs w:val="20"/>
          <w:color w:val="auto"/>
        </w:rPr>
      </w:pPr>
      <w:r>
        <w:rPr>
          <w:rFonts w:ascii="Arial" w:cs="Arial" w:eastAsia="Arial" w:hAnsi="Arial"/>
          <w:sz w:val="16"/>
          <w:szCs w:val="16"/>
          <w:color w:val="auto"/>
        </w:rPr>
        <w:t xml:space="preserve">We also employ various medical affairs and marketing personnel to support our commercialization of Vascepa. We expanded certain medical education and market awareness initiatives, including, pilot testing of new promotional initiatives following the reporting of positive REDUCE-IT results in 2018 and we intend to further expand such initiatives based on the newly approved indication and label expansion of Vascepa. Our field sales efforts are further complemented by investments in digital and non-personal channels as well as peer-to-peer (e.g., promotional medical education programs and product theaters) initiatives to further increase Vascepa brand awareness and clarify Vascepa’s unique clinical profile. In January 2020, we launched an educational campaign, </w:t>
      </w:r>
      <w:r>
        <w:rPr>
          <w:rFonts w:ascii="Arial" w:cs="Arial" w:eastAsia="Arial" w:hAnsi="Arial"/>
          <w:sz w:val="16"/>
          <w:szCs w:val="16"/>
          <w:i w:val="1"/>
          <w:iCs w:val="1"/>
          <w:color w:val="auto"/>
        </w:rPr>
        <w:t>True To Your Heart,</w:t>
      </w:r>
      <w:r>
        <w:rPr>
          <w:rFonts w:ascii="Arial" w:cs="Arial" w:eastAsia="Arial" w:hAnsi="Arial"/>
          <w:sz w:val="16"/>
          <w:szCs w:val="16"/>
          <w:color w:val="auto"/>
        </w:rPr>
        <w:t xml:space="preserve"> to help people learn more about cardiovascular disease and how to better protect against persistent cardiovascular risk.</w:t>
      </w:r>
    </w:p>
    <w:p>
      <w:pPr>
        <w:spacing w:after="0" w:line="111"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Since commercial launch of Vascepa in January 2013, we have promoted Vascepa based on the MARINE clinical trial data as reflected in the first FDA-approved label for Vascepa. In August 2015, we and our co-promotion partner began communicating promotional information beyond MARINE clinical trial data to targeted healthcare professionals. Such qualified communications were made pursuant to the August 7, 2015 federal district court declaration and related March 2016 settlement allowing truthful and non-misleading promotion of the FDA-reviewed and agreed effects of Vascepa demonstrated in the ANCHOR clinical trial. This promotion also included information related to the then current state of scientific research about the potential of Vascepa to reduce the risk of cardiovascular disease, including REDUCE-IT data and previously other peer-reviewed scientific publications of available data. The ANCHOR clinical trial of Vascepa demonstrated the favorable effects of Vascepa on TGs and related lipid, lipoprotein and inflammation parameters in patients on statin therapy and persistent high TGs.</w:t>
      </w:r>
    </w:p>
    <w:p>
      <w:pPr>
        <w:spacing w:after="0" w:line="1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 xml:space="preserve">After results of REDUCE-IT were available in September 2018 and demonstrated that Vascepa is effective in lowering the rate of major adverse cardiovascular events in statin-treated patients with CV risk factors, we expanded the size of our U.S. direct sales force and continued to expand promotion of Vascepa. After publication of the primary results of the REDUCE-IT study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and scientific presentation of REDUCE-IT results at the 2018 Scientific Sessions of the AHA on November 10, 2018, we updated and expanded our communication of REDUCE-IT results to include the publication and the peer-reviewed information presented in an effort to further ensure that our communications remained truthful and non-misleading. Starting December 13, 2019, we began promoting based on the new indication and label expansion.</w:t>
      </w:r>
    </w:p>
    <w:p>
      <w:pPr>
        <w:spacing w:after="0" w:line="124"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datasets from the clinical development of Vascepa are large, representing greater than 35,000 patient years of study. Additionally, the list of prespecified endpoints evaluated in support of the REDUCE-IT sNDA was extensive. We submitted an sNDA to the FDA in the United States in March 2019 seeking approval to expand the label for Vascepa based on the effects of Vascepa demonstrated in the REDUCE-IT study. On December 13, 2019, the FDA approved a new indication and label expansion for Vascepa capsules. Vascepa is the first and only drug approved by the FDA as an adjunct to maximally tolerated statins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3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Throughout 2019, we continued an efficient expansion of our commercial activities and capabilities directed primarily toward targeted providers and payor decision-makers. We brought the results of REDUCE-IT to healthcare providers and payors, in a manner we believed was both truthful and non-misleading and consistent with an August 2015 federal district court declaration and related March 2016 settlement with the FDA. Thus, we directly connected Vascepa with the REDUCE-IT data for these target audiences, in advance of having a new label. Further, now that a new FDA- approved cardiovascular risk reduction indication has been granted in the United States, we expect to deploy a direct to consumer campaign in 2020 consistent with the expanded U.S. label.</w:t>
      </w:r>
    </w:p>
    <w:p>
      <w:pPr>
        <w:spacing w:after="0" w:line="13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Based on monthly compilations of data provided by a third party, Symphony Health, the estimated number of normalized total Vascepa prescriptions for the three months ended December 31, 2019 was approximately 992,000 compared to 865,000, 756,000, 618,000, and 539,000 in the three months ended September 30, 2019, June 30, 2019, March 31, 2019, and December 31, 2018, respectively. According to data from another third party, IQVIA, the estimated number of normalized total Vascepa prescriptions for the three months ended December 31, 2019 was approximately 909,000 compared to 787,000, 683,000, 553,000, and 492,000 in the three months ended September 30, 2019, June 30, 2019, March 31, 2019, and December 31, 2018,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We are not responsible for the accuracy of these companies’ information and we do not receive prescription data directly from retail pharmacies.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4" w:name="page15"/>
    <w:bookmarkEnd w:id="14"/>
    <w:p>
      <w:pPr>
        <w:ind w:right="20" w:firstLine="518"/>
        <w:spacing w:after="0" w:line="269" w:lineRule="auto"/>
        <w:rPr>
          <w:sz w:val="20"/>
          <w:szCs w:val="20"/>
          <w:color w:val="auto"/>
        </w:rPr>
      </w:pPr>
      <w:r>
        <w:rPr>
          <w:rFonts w:ascii="Arial" w:cs="Arial" w:eastAsia="Arial" w:hAnsi="Arial"/>
          <w:sz w:val="17"/>
          <w:szCs w:val="17"/>
          <w:color w:val="auto"/>
        </w:rPr>
        <w:t>We sell Vascepa principally to a limited number of major wholesalers, as well as selected regional wholesalers and specialty pharmacy providers in the United States, that in turn resell Vascepa to retail pharmacies for subsequent resale to patients and healthcare providers. We recognize revenue from product sales when the distributor obtains control of our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2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r>
        <w:rPr>
          <w:rFonts w:ascii="Arial" w:cs="Arial" w:eastAsia="Arial" w:hAnsi="Arial"/>
          <w:sz w:val="18"/>
          <w:szCs w:val="18"/>
          <w:color w:val="auto"/>
        </w:rPr>
        <w:t>.”</w:t>
      </w:r>
    </w:p>
    <w:p>
      <w:pPr>
        <w:spacing w:after="0" w:line="133"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Outside of the United States, we have expanded our commercialization activities through partnering arrangements in certain territories. In February 2015, we entered into a Development, Commercialization and Supply Agreement, or the DCS Agreement, with Eddingpharm related to the development and commercialization of Vascepa in the China Territory. Under the DCS Agreement, Eddingpharm will be solely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are necessary in certain segments of this market. If Eddingpharm is not able to effectively develop and commercialize Vascepa in the China Territory, we may not be able to generate revenue from the DCS Agreement resulting from the sale of Vascepa in the China Territory.</w:t>
      </w:r>
    </w:p>
    <w:p>
      <w:pPr>
        <w:spacing w:after="0" w:line="11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March 2016, we entered into an agreement with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in Lebanon in March 2018, in United Arab Emirates in July 2018 and in Qatar in January 2020. Vascepa was launched in Lebanon and the United Arab Emirates in June 2018 and February 2019, respectively. Vascepa is under registration in additional countries in the MENA region. Commercialization across the Middle East and North Africa is subject to similar risks as in the China Territory.</w:t>
      </w:r>
    </w:p>
    <w:p>
      <w:pPr>
        <w:spacing w:after="0" w:line="166"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September 2017, we entered into an agreement with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and maintaining intellectual property. In December 2019, following priority review designation, HLS received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Commercial launch in Canada began in February 2020 on a limited scale with subsequent expansion intended. If HLS Therapeutics is not able to effectively commercialize Vascepa in Canada, we may not be able to generate revenue from the agreement as a result of the sale of Vascepa in Canada.</w:t>
      </w:r>
    </w:p>
    <w:p>
      <w:pPr>
        <w:spacing w:after="0" w:line="12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December 2019, the EMA validated the marketing authorization application seeking approval for Vascepa. The validation confirms the submission is sufficiently complete for the EMA to begin its review, which is currently expected to be completed before the end of 2020. Commercialization across Europe is several years away, if at all.</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plan to assess other potential partnership opportunities for licensing Vascepa to partners outside of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24"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uses, even though such products do not have FDA approval to reduce CV risk on top of statin therapy.</w:t>
      </w:r>
    </w:p>
    <w:p>
      <w:pPr>
        <w:spacing w:after="0" w:line="125"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addition, in May 2014, Epanova</w:t>
      </w:r>
      <w:r>
        <w:rPr>
          <w:rFonts w:ascii="Arial" w:cs="Arial" w:eastAsia="Arial" w:hAnsi="Arial"/>
          <w:sz w:val="13"/>
          <w:szCs w:val="13"/>
          <w:color w:val="auto"/>
        </w:rPr>
        <w:t>®</w:t>
      </w:r>
      <w:r>
        <w:rPr>
          <w:rFonts w:ascii="Arial" w:cs="Arial" w:eastAsia="Arial" w:hAnsi="Arial"/>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AstraZeneca has greater resources than we do, including financial, product development, marketing, personnel and other resources.</w:t>
      </w:r>
    </w:p>
    <w:p>
      <w:pPr>
        <w:spacing w:after="0" w:line="104" w:lineRule="exact"/>
        <w:rPr>
          <w:sz w:val="20"/>
          <w:szCs w:val="20"/>
          <w:color w:val="auto"/>
        </w:rPr>
      </w:pPr>
    </w:p>
    <w:p>
      <w:pPr>
        <w:ind w:right="80" w:firstLine="518"/>
        <w:spacing w:after="0" w:line="284" w:lineRule="auto"/>
        <w:rPr>
          <w:sz w:val="20"/>
          <w:szCs w:val="20"/>
          <w:color w:val="auto"/>
        </w:rPr>
      </w:pPr>
      <w:r>
        <w:rPr>
          <w:rFonts w:ascii="Arial" w:cs="Arial" w:eastAsia="Arial" w:hAnsi="Arial"/>
          <w:sz w:val="16"/>
          <w:szCs w:val="16"/>
          <w:color w:val="auto"/>
        </w:rPr>
        <w:t>AstraZeneca had been conducting a long-term outcomes study to assess Statin Residual Risk Reduction With EpaNova in HiGh Cardiovascular Risk PatienTs With Hypertriglyceridemia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end the STRENGTH trial due to its low likelihood of demonstrating benefit to studied patients, i.e., patients with mixed dyslipidemia who were at increased risk of cardiovascular disease. AstraZeneca also stated that full data from the STRENGTH trial will be presented at a future medical meeting. In addition, in March 2017, Kowa Research Institute (a subsidiary of the Japanese company Kowa Co., Ltd) initiated a Phase 3 cardiovascular outcomes trial titled PROMINENT examining the effect of pemafibrate (experimental name K-877) in reducing cardiovascular events in Type</w:t>
      </w:r>
    </w:p>
    <w:p>
      <w:pPr>
        <w:spacing w:after="0" w:line="1" w:lineRule="exact"/>
        <w:rPr>
          <w:sz w:val="20"/>
          <w:szCs w:val="20"/>
          <w:color w:val="auto"/>
        </w:rPr>
      </w:pPr>
    </w:p>
    <w:p>
      <w:pPr>
        <w:ind w:right="680" w:firstLine="8"/>
        <w:spacing w:after="0" w:line="261" w:lineRule="auto"/>
        <w:tabs>
          <w:tab w:leader="none" w:pos="16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diabetic patients with hypertriglyceridemia. Kowa Research Institute has publicly estimated study completion in May 2022, and if successful, U.S. regulatory approval is estimated in mid-2023.</w:t>
      </w:r>
    </w:p>
    <w:p>
      <w:pPr>
        <w:spacing w:after="0" w:line="13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11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Likewise, in 2018, results from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UK cohort of over 15,000 individuals with diabetes who do not have atherosclerotic cardiovascular disease.</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In a meta-analysis, presented in 2018 by the Cochran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6" w:name="page17"/>
    <w:bookmarkEnd w:id="16"/>
    <w:p>
      <w:pPr>
        <w:ind w:right="20" w:firstLine="518"/>
        <w:spacing w:after="0" w:line="268" w:lineRule="auto"/>
        <w:rPr>
          <w:sz w:val="20"/>
          <w:szCs w:val="20"/>
          <w:color w:val="auto"/>
        </w:rPr>
      </w:pPr>
      <w:r>
        <w:rPr>
          <w:rFonts w:ascii="Arial" w:cs="Arial" w:eastAsia="Arial" w:hAnsi="Arial"/>
          <w:sz w:val="17"/>
          <w:szCs w:val="17"/>
          <w:color w:val="auto"/>
        </w:rPr>
        <w:t>We are also aware of other pharmaceutical companies that are developing products that, if successfully developed, approved and marketed, would compete with Vascepa.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4"/>
          <w:szCs w:val="14"/>
          <w:color w:val="auto"/>
        </w:rPr>
        <w:t>®</w:t>
      </w:r>
      <w:r>
        <w:rPr>
          <w:rFonts w:ascii="Arial" w:cs="Arial" w:eastAsia="Arial" w:hAnsi="Arial"/>
          <w:sz w:val="17"/>
          <w:szCs w:val="17"/>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In the first quarter of 2018, Acasti initiated a Phase 3 clinical program (TRILOGY 1 &amp; 2) to assess the safety and efficacy of CaPre in patients with very high (≥500 mg/dL) triglycerides. In January 2020, Acasti announced topline results of the TRILOGY 1 trial of CaPre. The study did not reach statistical significance and further analysis is underway. In February 2020, Acasti announced their intention to request a meeting with the FDA to discuss the TRILOGY 1 data and will seek guidance about how to conduct the analysis of the TRILOGY 2 data. As a result, Acasti also stated that they expect to announce topline results of TRILOGY 2 in the third quarter of 2020. NDA submission (if any) and resultant review/approval timelines will be announced following completion of TRILOGY 1 and 2 data analysis. 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29"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Matinas BioPharma, Inc., or Matinas, is developing an omega-3-based therapeutic, or MAT9001, for the treatment of severe hypertriglyceridemia and mixed dyslipidemia. In the fourth quarter of 2014, Matinas filed an IND with the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September 2019, Matinas announced that it will begin a comparative clinical bridging bioavailability study in the fourth calendar quarter of 2019, with expected completion in the first half of 2020, and has planned an additional Phase 2 head-to-head pharmacokinetic and pharmacodynamic study, or ENHANCE-IT, against Vascepa in patients with elevated triglycerides (150-499 mg/dL). Patient enrollment is expected to commence in early 2020, with topline data expected in the fourth quarter of 2020. Matinas anticipates initiating a Phase 3 placebo-controlled study of MAT9001 in statin-treated patients with high risk hypertriglyceridemia by the end of 2020. We are not aware if or when Matinas intends to conduct a cardiovascular outcomes study of MAT9001.</w:t>
      </w:r>
    </w:p>
    <w:p>
      <w:pPr>
        <w:spacing w:after="0" w:line="126"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In June 2018, Gemphire Therapeutics (renamed NeuroBo Pharmaceuticals, Inc. following completion of a merger on December 31, 2019) announced positive topline results from a Phase 2b trial, or INDIGO-1, of its drug candidate, gemcabene, in patients with severe hypertriglyceridemia. Gemcabene is an oral, once-daily pill for a number of hypercholesterolemic populations and severe hypertriglyceridemia. In August 2018, the FDA requested that Gemphire conduct an additional long-term toxicity study before commencing any further clinical testing, thereby effectively placing gemcabene on clinical hold. Gemphire expects to submit a request to the FDA to lift the clinical hold in the first quarter of 2020. In June 2019, Gemphire announced top-line clinical results from a Phase 2 trial in Familial Partial Lipodystrophy (FPL)/NASH in which Gemcabene safely met the primary endpoint in a sub-set of patients. Phase 3 studies for homozygous familial hypercholesterolemia, or HoFH, heterozygous familial hypercholesterolemia, or HeFH, and non-familial hypercholesterolemia in ASCVD patients are planned.</w:t>
      </w:r>
    </w:p>
    <w:p>
      <w:pPr>
        <w:spacing w:after="0" w:line="125"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Afimmune Ltd. has an oral, small molecule drug candidate, epeleuton, or DS-102, in development for a number of conditions of the liver and lung, including severe hypertriglyceridemia, Phase 2 clinical trials are currently ongoing for non-alcoholic fatty liver disease, or NAFLD, and chronic obstructive pulmonary disease, or COPD, in the United States. In November 2019, Afimmune Ltd. announced positive results from an exploratory Phase 2 study of epeleuton in patients with NAFLD in which the molecule decreased triglycerides, improved glycemic control, and decreased markers of inflammation.</w:t>
      </w:r>
    </w:p>
    <w:p>
      <w:pPr>
        <w:spacing w:after="0" w:line="10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outcomes study data, with the potential exception of therapies which lower LDL-cholesterol. In particular, it is our understanding that the FDA is not prepared to approve any therapy based primarily on data demonstrating lowering of triglyceride levels. In our view, this position from the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us by making it easier for other products to achieve a cardiovascular risk reduction indication without the need in advance to conduct a long and expensive cardiovascular outcomes study.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7" w:name="page18"/>
    <w:bookmarkEnd w:id="17"/>
    <w:p>
      <w:pPr>
        <w:ind w:right="100" w:firstLine="518"/>
        <w:spacing w:after="0" w:line="291" w:lineRule="auto"/>
        <w:rPr>
          <w:sz w:val="20"/>
          <w:szCs w:val="20"/>
          <w:color w:val="auto"/>
        </w:rPr>
      </w:pPr>
      <w:r>
        <w:rPr>
          <w:rFonts w:ascii="Arial" w:cs="Arial" w:eastAsia="Arial" w:hAnsi="Arial"/>
          <w:sz w:val="16"/>
          <w:szCs w:val="16"/>
          <w:color w:val="auto"/>
        </w:rPr>
        <w:t>Vascepa also faces competition from dietary supplement manufacturers marketing omega-3 products as nutritional supplements. Such products are classified as food, not as prescription drugs or as over-the-counter drugs, by the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We have taken successful legal action against supplement manufacturers attempting to use the REDUCE-IT results to promote their products. Still, we cannot be sure physicians and pharmacists will view the FDA-approved, prescription-only status, and EPA-only purity and stability of Vascepa or FDA’s stringent regulatory oversight, as significant advantages versus omega-3 dietary supplements regardless of clinical study results and other scientific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Government Regulation and Regulatory Matters</w:t>
      </w:r>
    </w:p>
    <w:p>
      <w:pPr>
        <w:spacing w:after="0" w:line="77" w:lineRule="exact"/>
        <w:rPr>
          <w:sz w:val="20"/>
          <w:szCs w:val="20"/>
          <w:color w:val="auto"/>
        </w:rPr>
      </w:pPr>
    </w:p>
    <w:p>
      <w:pPr>
        <w:jc w:val="both"/>
        <w:ind w:right="80" w:firstLine="518"/>
        <w:spacing w:after="0" w:line="288" w:lineRule="auto"/>
        <w:rPr>
          <w:sz w:val="20"/>
          <w:szCs w:val="20"/>
          <w:color w:val="auto"/>
        </w:rPr>
      </w:pPr>
      <w:r>
        <w:rPr>
          <w:rFonts w:ascii="Arial" w:cs="Arial" w:eastAsia="Arial" w:hAnsi="Arial"/>
          <w:sz w:val="16"/>
          <w:szCs w:val="16"/>
          <w:color w:val="auto"/>
        </w:rPr>
        <w:t>Any product development activities related to Vascepa or products that we may develop or acquire in the future will be subject to extensive regulation by various government authorities, including the FDA and comparable regulatory authorities in other countries, which regulate the design, research, clinical and nonclinical development, testing, manufacturing, storage, distribution, import, export, labeling, advertising and marketing of pharmaceutical products.</w:t>
      </w:r>
    </w:p>
    <w:p>
      <w:pPr>
        <w:spacing w:after="0" w:line="292" w:lineRule="auto"/>
        <w:rPr>
          <w:sz w:val="20"/>
          <w:szCs w:val="20"/>
          <w:color w:val="auto"/>
        </w:rPr>
      </w:pPr>
      <w:r>
        <w:rPr>
          <w:rFonts w:ascii="Arial" w:cs="Arial" w:eastAsia="Arial" w:hAnsi="Arial"/>
          <w:sz w:val="16"/>
          <w:szCs w:val="16"/>
          <w:color w:val="auto"/>
        </w:rPr>
        <w:t>Generally, before a new drug can be sold, considerable data demonstrating its quality, safety and efficacy must be obtained, organized into a format specific to each regulatory authority, submitted for review and approved by the regulatory authority. The data are generated in two distinct development stages: preclinical and clinical. Drugs must be approved by the FDA through the NDA process before they are first marketed in the United States. For new chemical entities, the preclinical development stage generally involves synthesizing the active component, developing the formulation, determining the manufacturing process and controls, as well as carrying out non-human toxicology, pharmacology and drug metabolism studies which support subsequent clinical testing.</w:t>
      </w:r>
    </w:p>
    <w:p>
      <w:pPr>
        <w:spacing w:after="0" w:line="10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and its safety in use, provide an adequate basis for physician labeling and may include comparisons with placebo and/or other comparator treatments. The duration of treatment is often extended to mimic the actual use of a product during marketing.</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United States Drug Development</w:t>
      </w:r>
    </w:p>
    <w:p>
      <w:pPr>
        <w:spacing w:after="0" w:line="90"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1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Prior to the start of human clinical studies for a new drug in the United States, preclinical laboratory and animal tests are often performed under the FDA’s Good Laboratory Practices regulations, or GLP, and an investigational new drug application, or IND, is filed with the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FDA prior to commencement of a clinical trial. If the FDA has concerns about the clinical plan or the safety of the proposed studies, it may suspend or terminate the study at any time. Studies must be conducted in accordance with Good Clinical Practice, or GCP, including the requirement that subjects provide their informed consent,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FDA Review Process</w:t>
      </w:r>
    </w:p>
    <w:p>
      <w:pPr>
        <w:spacing w:after="0" w:line="9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results of nonclinical studies and clinical trials, together with other information, including manufacturing information and information on the composition of the drug and proposed labeling, are submitted to the FDA in an NDA requesting approval to market the drug for one or more specified indications. Each NDA is typically accompanied by a user fee and there is also an annual prescription drug product program fee for human drugs. The FDA reviews an NDA to determine, among other things, whether a drug is safe and effective for its intended use and whether the product is being manufactured in accordance with cGMP requirements to assure and preserve the product’s identity, strength, quality and purity. The FDA will conduct a pre-approval inspection of the manufacturing facilities for the new drug and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4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After the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and usually describes all the specific deficiencies in the NDA identified by the FDA. The complete response letter may require additional clinical data and/or additional clinical trial(s), and/or other information. If a complete response letter is issued, the applicant may either resubmit the NDA, addressing all of the deficiencies identified in the letter, withdraw the application, or request a hearing. Even if such data and information is submitted, the FDA may ultimately decide that the NDA does not satisfy the criteria for approval.</w:t>
      </w:r>
    </w:p>
    <w:p>
      <w:pPr>
        <w:spacing w:after="0" w:line="111" w:lineRule="exact"/>
        <w:rPr>
          <w:sz w:val="20"/>
          <w:szCs w:val="20"/>
          <w:color w:val="auto"/>
        </w:rPr>
      </w:pPr>
    </w:p>
    <w:p>
      <w:pPr>
        <w:ind w:right="140" w:firstLine="518"/>
        <w:spacing w:after="0" w:line="270" w:lineRule="auto"/>
        <w:rPr>
          <w:sz w:val="20"/>
          <w:szCs w:val="20"/>
          <w:color w:val="auto"/>
        </w:rPr>
      </w:pPr>
      <w:r>
        <w:rPr>
          <w:rFonts w:ascii="Arial" w:cs="Arial" w:eastAsia="Arial" w:hAnsi="Arial"/>
          <w:sz w:val="18"/>
          <w:szCs w:val="18"/>
          <w:color w:val="auto"/>
        </w:rPr>
        <w:t>Following the approval process of any drug product, the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requirements or if problems occur following initial marketing.</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Off-label Promotion in the United States</w:t>
      </w:r>
    </w:p>
    <w:p>
      <w:pPr>
        <w:spacing w:after="0" w:line="7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recent case law has called into question the extent to which government in the United States, including FDA, can, and is willing to seek to, prevent truthful and non-misleading speech related to off-label uses of FDA-approved products such as Vascepa.</w:t>
      </w:r>
    </w:p>
    <w:p>
      <w:pPr>
        <w:spacing w:after="0" w:line="134"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FDA and is thus not covered by the then current FDA-approved labeling for the drug. Promotion of an off-label use has generally been considered by the FDA to be illegal under the FDCA. The lawsuit, captioned </w:t>
      </w:r>
      <w:r>
        <w:rPr>
          <w:rFonts w:ascii="Arial" w:cs="Arial" w:eastAsia="Arial" w:hAnsi="Arial"/>
          <w:sz w:val="16"/>
          <w:szCs w:val="16"/>
          <w:i w:val="1"/>
          <w:iCs w:val="1"/>
          <w:color w:val="auto"/>
        </w:rPr>
        <w:t>Amarin Pharma, Inc., et al. v. Food &amp; Drug Administration, et al.</w:t>
      </w:r>
      <w:r>
        <w:rPr>
          <w:rFonts w:ascii="Arial" w:cs="Arial" w:eastAsia="Arial" w:hAnsi="Arial"/>
          <w:sz w:val="16"/>
          <w:szCs w:val="16"/>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us. The suit was based on the principle that better informed physicians make better treatment decisions for their patients. The FDA opposed this lawsuit but did not dispute the veracity of the subject ANCHOR clinical trial data (the safety data from which data was already and currently is in FDA-approved labeling of Vascepa) or the peer-reviewed research related to Vascepa and the potential for cardiovascular risk reduction.</w:t>
      </w:r>
    </w:p>
    <w:p>
      <w:pPr>
        <w:spacing w:after="0" w:line="11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w:t>
      </w:r>
    </w:p>
    <w:p>
      <w:pPr>
        <w:spacing w:after="0" w:line="127"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9" w:name="page20"/>
    <w:bookmarkEnd w:id="19"/>
    <w:p>
      <w:pPr>
        <w:ind w:right="20" w:firstLine="518"/>
        <w:spacing w:after="0" w:line="257" w:lineRule="auto"/>
        <w:rPr>
          <w:sz w:val="20"/>
          <w:szCs w:val="20"/>
          <w:color w:val="auto"/>
        </w:rPr>
      </w:pPr>
      <w:r>
        <w:rPr>
          <w:rFonts w:ascii="Arial" w:cs="Arial" w:eastAsia="Arial" w:hAnsi="Arial"/>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Regulation of New Drug Compounds</w:t>
      </w:r>
    </w:p>
    <w:p>
      <w:pPr>
        <w:spacing w:after="0" w:line="9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In addition to regulations in the United States, we may be subject to a variety of regulations in other jurisdictions governing, among other things, clinical trials and any commercial sales and distribution of our products.</w:t>
      </w:r>
    </w:p>
    <w:p>
      <w:pPr>
        <w:spacing w:after="0" w:line="116"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all or most foreign countries prior to the commencement of clinical trials or marketing of the product in those countries. Certain countries outside of the United States have a similar process that requires the submission of a clinical trial application, or CTA, much like the IND prior to the commencement of human clinical trials. In Europe, for example, a CTA must be submitted to each country’s national health authority and an independent ethics committee, much like the FDA and IRB, respectively. Once the CTA is approved in accordance with a country’s requirements, clinical trial development may proceed. Similarly, clinical trials conducted in countries such as Australia, Canada, and New Zealand, require review and approval of clinical trial proposals by an ethics committee, which provides a combined ethical and scientific review process. Most countries in which clinical studies are conducted require the approval of the clinical trial proposals by both the regulatory body and ethics committee.</w:t>
      </w:r>
    </w:p>
    <w:p>
      <w:pPr>
        <w:spacing w:after="0" w:line="12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must be conducted in accordance with GCP, which have their origin in the World Medical Association’s Declaration of Helsinki, the applicable regulatory requirements, and guidelines developed by the International Conference on Harmonization, or ICH, for GCP practices in clinical trials.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7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Following approval of a new product, a pharmaceutical company generally must engage in numerous specific monitoring and recordkeeping activities, such as routine safety surveillance, and must continue to submit periodic and other reports to the applicable regulatory agencies, including any cases of adverse events and appropriate quality control records. Such reports submitted to the FDA may result in changes to the label and/or other post-marketing requirements or actions, including product withdrawal. These are viable risks once a product is on the market. Additionally, modifications or enhancements to the products or labeling or changes of site of manufacture are often subject to the approval of the FDA and other regulators, which may or may not be received or may result in a lengthy review process.</w:t>
      </w:r>
    </w:p>
    <w:p>
      <w:pPr>
        <w:spacing w:after="0" w:line="13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FDCA.</w:t>
      </w:r>
    </w:p>
    <w:p>
      <w:pPr>
        <w:spacing w:after="0" w:line="133"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In the United States, once a product is approved, its manufacture is subject to comprehensive and continuing regulation by the FDA. The FDA regulations require that products be manufactured in specific approved facilities and in accordance with pharmaceutical cGMPs, and NDA holders must list their products and register their manufacturing establishments with the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cGMPs, could result in enforcement actions that interrupt the operation of any such facilities or the ability to distribute products manufactured, processed or tested by them.</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Federal and State Fraud and Abuse Laws and Data Regulation</w:t>
      </w:r>
    </w:p>
    <w:p>
      <w:pPr>
        <w:spacing w:after="0" w:line="7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16"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federal anti-kickback statute prohibits, among other things, any person or entity knowingly and willfully offering, paying, soliciting, or receiving remuneration, directly or indirectly, in cash or in kind,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0" w:name="page21"/>
    <w:bookmarkEnd w:id="20"/>
    <w:p>
      <w:pPr>
        <w:spacing w:after="0" w:line="272" w:lineRule="auto"/>
        <w:rPr>
          <w:sz w:val="20"/>
          <w:szCs w:val="20"/>
          <w:color w:val="auto"/>
        </w:rPr>
      </w:pPr>
      <w:r>
        <w:rPr>
          <w:rFonts w:ascii="Arial" w:cs="Arial" w:eastAsia="Arial" w:hAnsi="Arial"/>
          <w:sz w:val="17"/>
          <w:szCs w:val="17"/>
          <w:color w:val="auto"/>
        </w:rPr>
        <w:t>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w:t>
      </w:r>
    </w:p>
    <w:p>
      <w:pPr>
        <w:spacing w:after="0" w:line="124"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The federal civil and criminal false claim laws, including the civil monetary penalty laws and the civil False Claims Act prohibits, among other things, any person or entity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or transmit properly to the federal government. Manufacturers can be held liable under the FCA even when they do not submit claims directly to government payors if they are deemed to “cause” the submission of false or fraudulent claims. The False Claims Act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federal civil False Claims Act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12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Health Insurance Portability and Accountability Act of 1996, as amended by the Health Information Technology for Economic and Clinical Health Act of 2009, or HITECH, including the Final Omnibus Rule published in January 2013, collectively referred to herein as HIPAA,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 In addition, HITECH imposes certain requirements relating to the privacy, security and transmission of individually identifiable health information. It requires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2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federal Physician Payment Sunshine Act, implemented as the Open Payments Program,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Beginning on January 1,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1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Many foreign countries and the majority of states also have statutes or regulations similar to the federal anti-kickback law and false claims laws, which may apply to sales or marketing arrangements and claims involving healthcare items or services reimbursed by non-governmental third-party payors, including private insurers. Other states or localities may have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relate to insurance fraud in the case of claims involving private insurers; and/or require identification or licensing of sales representatives.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1" w:name="page22"/>
    <w:bookmarkEnd w:id="21"/>
    <w:p>
      <w:pPr>
        <w:ind w:right="100" w:firstLine="518"/>
        <w:spacing w:after="0" w:line="273"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healthcare providers, marketing expenditures, and drug pricing information. Certain state and local laws require the registration of pharmaceutical sales representatives. State and foreign laws, including for example the California Consumer Privacy Act, or CCPA, and the European Union General Data Protection Regulation, or GDPR, also govern the privacy and security of health information in some circumstances, many of which differ from each other in significant ways and often are not preempted by HIPAA, thus complicating compliance efforts.</w:t>
      </w:r>
    </w:p>
    <w:p>
      <w:pPr>
        <w:spacing w:after="0" w:line="12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CCPA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the California Attorney General will commence enforcement actions against violators beginning July 1, 2020. While there is currently an exception for protected health information that is subject to HIPAA and clinical trial regulations, as currently written, the CCPA may impact our business activities.</w:t>
      </w:r>
    </w:p>
    <w:p>
      <w:pPr>
        <w:spacing w:after="0" w:line="139"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Economic Area, or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exit of the EU, often referred to as Brexit, has created uncertainty with regard to data protection regulation in the United Kingdom. Pursuant to Article 50 of the Lisbon Treaty, the United Kingdom ceased being a Member State of the EU on January 31, 2020. However, the terms of the withdrawal have yet to be fully negotiated. The implementation period began February 1, 2020 and will continue until December 31, 2020. In particular, it is unclear how data transfers to and from the United Kingdom will be regulated following the completion of the withdrawal.</w:t>
      </w:r>
    </w:p>
    <w:p>
      <w:pPr>
        <w:spacing w:after="0" w:line="139"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Because of the breadth of these laws and the narrowness of the exceptions or safe harbors, it is possible that some of our business activities could be subject to challenge under one or more of such laws. Such a challenge could have a material adverse effect on our business, financial condition and results of operations. These laws may impact, among other things, our proposed sales, marketing and education programs. In addition, we may be subject to patient privacy regulation by both the federal government and the states in which we conduct our business.</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If our promotional activities or other operations are found to be in violation of any of the laws described above or any other governmental regulations or guidance that apply to us through existing or new interpretations, we may be subject to prolonged litigation, penalties, including administrative, civil and criminal penalties, damages, fines, disorgnment,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Healthcare Reform and Legislation</w:t>
      </w:r>
    </w:p>
    <w:p>
      <w:pPr>
        <w:spacing w:after="0" w:line="9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The Medicare Prescription Drug, Improvement, and Modernization Act of 2003, or the MMA,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 plans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22" w:name="page23"/>
    <w:bookmarkEnd w:id="22"/>
    <w:p>
      <w:pPr>
        <w:spacing w:after="0" w:line="269" w:lineRule="auto"/>
        <w:rPr>
          <w:sz w:val="20"/>
          <w:szCs w:val="20"/>
          <w:color w:val="auto"/>
        </w:rPr>
      </w:pPr>
      <w:r>
        <w:rPr>
          <w:rFonts w:ascii="Arial" w:cs="Arial" w:eastAsia="Arial" w:hAnsi="Arial"/>
          <w:sz w:val="17"/>
          <w:szCs w:val="17"/>
          <w:color w:val="auto"/>
        </w:rPr>
        <w:t>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 In addition, there has been renewed interest in amending the Social Security Act to allow Medicare to negotiate prices for prescription drugs covered under Medicare Part B. If this were to be enacted by Congress and signed by the President, the prices we obtain for our products covered under Part B could be lower than the prices we might otherwise obtain, and it could exert a similar lowering pressure on payments from non-governmental payers.</w:t>
      </w:r>
    </w:p>
    <w:p>
      <w:pPr>
        <w:spacing w:after="0" w:line="126"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Agency for Healthcare Research and Quality, or AHRQ, established by the MMA and provided additional funding by the American Recovery and Reinvestment Act of 2009, conducts comparative effectiveness research on different treatments for the same illness. Although the results of the comparative effectiveness studies are not intended to mandate coverage policies for public or private payers, it is possible that comparative effectiveness research demonstrating benefits in a competitor’s product could adversely affect the sales of our product candidates. If third-party payers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24" w:lineRule="exact"/>
        <w:rPr>
          <w:sz w:val="20"/>
          <w:szCs w:val="20"/>
          <w:color w:val="auto"/>
        </w:rPr>
      </w:pPr>
    </w:p>
    <w:p>
      <w:pPr>
        <w:ind w:right="580" w:firstLine="518"/>
        <w:spacing w:after="0" w:line="259"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the ACA, was enacted, which has substantially changed the way healthcare is financed by both governmental and private insurers and has significantly impacted the pharmaceutical industry. Among the provisions of the ACA of greatest importance to the pharmaceutical and biotechnology industry are the following:</w:t>
      </w:r>
    </w:p>
    <w:p>
      <w:pPr>
        <w:spacing w:after="0" w:line="52" w:lineRule="exact"/>
        <w:rPr>
          <w:sz w:val="20"/>
          <w:szCs w:val="20"/>
          <w:color w:val="auto"/>
        </w:rPr>
      </w:pPr>
    </w:p>
    <w:p>
      <w:pPr>
        <w:ind w:left="1280" w:right="820" w:hanging="381"/>
        <w:spacing w:after="0" w:line="325" w:lineRule="auto"/>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products, apportioned among these entities according to their market share in certain government healthcare programs, that began in 2011;</w:t>
      </w:r>
    </w:p>
    <w:p>
      <w:pPr>
        <w:spacing w:after="0" w:line="1" w:lineRule="exact"/>
        <w:rPr>
          <w:rFonts w:ascii="Arial" w:cs="Arial" w:eastAsia="Arial" w:hAnsi="Arial"/>
          <w:sz w:val="16"/>
          <w:szCs w:val="16"/>
          <w:color w:val="auto"/>
        </w:rPr>
      </w:pPr>
    </w:p>
    <w:p>
      <w:pPr>
        <w:ind w:left="1280" w:right="40" w:hanging="381"/>
        <w:spacing w:after="0" w:line="325" w:lineRule="auto"/>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 w:lineRule="exact"/>
        <w:rPr>
          <w:rFonts w:ascii="Arial" w:cs="Arial" w:eastAsia="Arial" w:hAnsi="Arial"/>
          <w:sz w:val="16"/>
          <w:szCs w:val="16"/>
          <w:color w:val="auto"/>
        </w:rPr>
      </w:pPr>
    </w:p>
    <w:p>
      <w:pPr>
        <w:ind w:left="1280" w:right="100" w:hanging="381"/>
        <w:spacing w:after="0" w:line="264"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32" w:lineRule="exact"/>
        <w:rPr>
          <w:rFonts w:ascii="Arial" w:cs="Arial" w:eastAsia="Arial" w:hAnsi="Arial"/>
          <w:sz w:val="18"/>
          <w:szCs w:val="18"/>
          <w:color w:val="auto"/>
        </w:rPr>
      </w:pPr>
    </w:p>
    <w:p>
      <w:pPr>
        <w:ind w:left="1280" w:right="160" w:hanging="381"/>
        <w:spacing w:after="0" w:line="277"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21" w:lineRule="exact"/>
        <w:rPr>
          <w:rFonts w:ascii="Arial" w:cs="Arial" w:eastAsia="Arial" w:hAnsi="Arial"/>
          <w:sz w:val="18"/>
          <w:szCs w:val="18"/>
          <w:color w:val="auto"/>
        </w:rPr>
      </w:pPr>
    </w:p>
    <w:p>
      <w:pPr>
        <w:ind w:left="1280" w:hanging="381"/>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76" w:lineRule="exact"/>
        <w:rPr>
          <w:rFonts w:ascii="Arial" w:cs="Arial" w:eastAsia="Arial" w:hAnsi="Arial"/>
          <w:sz w:val="18"/>
          <w:szCs w:val="18"/>
          <w:color w:val="auto"/>
        </w:rPr>
      </w:pPr>
    </w:p>
    <w:p>
      <w:pPr>
        <w:ind w:left="1280" w:right="80" w:hanging="381"/>
        <w:spacing w:after="0" w:line="259"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point-of-sale-discount, which was increased to 70% by the Bipartisan Budget Act of 2018 (as of January 1, 2019), off the negotiated price of applicable brand drugs to eligible beneficiaries during their coverage gap period as a condition for the manufacturers’ outpatient drugs to be covered under Medicare Part D;</w:t>
      </w:r>
    </w:p>
    <w:p>
      <w:pPr>
        <w:spacing w:after="0" w:line="38" w:lineRule="exact"/>
        <w:rPr>
          <w:rFonts w:ascii="Arial" w:cs="Arial" w:eastAsia="Arial" w:hAnsi="Arial"/>
          <w:sz w:val="18"/>
          <w:szCs w:val="18"/>
          <w:color w:val="auto"/>
        </w:rPr>
      </w:pPr>
    </w:p>
    <w:p>
      <w:pPr>
        <w:ind w:left="1280" w:right="80" w:hanging="381"/>
        <w:spacing w:after="0" w:line="277"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the minimum Medicaid rebates owed by manufacturers under the Medicaid Drug Rebate Program and extends the rebate program to individuals enrolled in Medicaid managed care organization;</w:t>
      </w:r>
    </w:p>
    <w:p>
      <w:pPr>
        <w:spacing w:after="0" w:line="21" w:lineRule="exact"/>
        <w:rPr>
          <w:rFonts w:ascii="Arial" w:cs="Arial" w:eastAsia="Arial" w:hAnsi="Arial"/>
          <w:sz w:val="18"/>
          <w:szCs w:val="18"/>
          <w:color w:val="auto"/>
        </w:rPr>
      </w:pPr>
    </w:p>
    <w:p>
      <w:pPr>
        <w:ind w:left="1280" w:hanging="381"/>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establishes annual fees and taxes on manufacturers of certain branded prescription drugs;</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76" w:lineRule="exact"/>
        <w:rPr>
          <w:rFonts w:ascii="Arial" w:cs="Arial" w:eastAsia="Arial" w:hAnsi="Arial"/>
          <w:sz w:val="18"/>
          <w:szCs w:val="18"/>
          <w:color w:val="auto"/>
        </w:rPr>
      </w:pPr>
    </w:p>
    <w:p>
      <w:pPr>
        <w:ind w:left="1280" w:right="580" w:hanging="381"/>
        <w:spacing w:after="0" w:line="277"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21" w:lineRule="exact"/>
        <w:rPr>
          <w:rFonts w:ascii="Arial" w:cs="Arial" w:eastAsia="Arial" w:hAnsi="Arial"/>
          <w:sz w:val="18"/>
          <w:szCs w:val="18"/>
          <w:color w:val="auto"/>
        </w:rPr>
      </w:pPr>
    </w:p>
    <w:p>
      <w:pPr>
        <w:ind w:left="1280" w:right="20" w:hanging="381"/>
        <w:spacing w:after="0" w:line="264"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the Centers for Medicare &amp; Medicaid Services to test innovative payment and service delivery models to lower Medicare and Medicaid spending, potentially including prescription drug spending that began on January 1, 2011.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 w:name="page24"/>
    <w:bookmarkEnd w:id="23"/>
    <w:p>
      <w:pPr>
        <w:ind w:right="80" w:firstLine="518"/>
        <w:spacing w:after="0" w:line="286" w:lineRule="auto"/>
        <w:rPr>
          <w:sz w:val="20"/>
          <w:szCs w:val="20"/>
          <w:color w:val="auto"/>
        </w:rPr>
      </w:pPr>
      <w:r>
        <w:rPr>
          <w:rFonts w:ascii="Arial" w:cs="Arial" w:eastAsia="Arial" w:hAnsi="Arial"/>
          <w:sz w:val="16"/>
          <w:szCs w:val="16"/>
          <w:color w:val="auto"/>
        </w:rPr>
        <w:t>Certain provisions of the ACA have yet to be implemented and others have been subject to judicial challenges, as well as efforts to repeal or replace them or to alter their interpretation or implementation. For example, since January 2017, President Trump has signed two Executive Orders and other directives designed to delay the implementation of certain provisions of the Affordable Care Act.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effects of this gap in reimbursement on third-party payors, the viability of the ACA marketplace, providers, and potentially our business, are not yet known. In December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CMS also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1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Concurrently, Congress has considered legislation that would repeal or repeal and replace all or part of the Affordable Care Act. While Congress has not passed comprehensive repeal legislation, it has enacted laws that modify certain provisions of the Affordable Care Act such as the Tax Cuts and Jobs Act enacted on December 22, 2017, or the Tax Act, which included a provision that decreased the tax-based shared responsibility payment for individuals who fail to maintain minimum essential coverage under section 5000A of the Internal Revenue Code of 1986,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Pending review, the ACA remains in effect, but it is unclear at this time what effect the latest ruling will have on the status of the ACA.</w:t>
      </w:r>
    </w:p>
    <w:p>
      <w:pPr>
        <w:spacing w:after="0" w:line="14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Further, other legislative changes have been proposed and adopted in the United States since the Affordable Care Act was enacted. The Bipartisan Budget Act of 2018 among other things, amended the Medicare statute, effective January 1, 2019, to close the coverage gap in most Medicare drug plans, commonly referred to as the “donut hole.”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repeals the Cadillac tax, the health insurance provider tax, and the medical device excise tax. It is impossible to determine whether similar taxes could be instated in the future.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24"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It is unclear how the ACA and its implementation, as well as efforts to repeal, replace, or invalidate, the ACA or its implementing regulations, or portions thereof, and other legislative changes adopted since, will affect our business. It is possible that the ACA will continue to exert pressure on pharmaceutical pricing, especially under the Medicare and Medicaid programs, and may also increase our regulatory burdens and operating costs. Additional legislative changes, regulatory changes, and judicial challenges related to the ACA remain possible. We will continue to evaluate the effect that the ACA as well as its possible repeal, replacement, or invalidation, in whole or in part, has on our business.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Pharmaceutical Pricing and Reimbursement</w:t>
      </w:r>
    </w:p>
    <w:p>
      <w:pPr>
        <w:spacing w:after="0" w:line="90"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Our ability to successfully commercialize our product therefore depends significantly on the availability of adequate financial coverage and reimbursement from third-party payors, including, in the United States, governmental payors such as Medicare and Medicaid, as well as managed care organizations, private health insurers and other organizations. Third-party payors decide which drugs they will pay for and establish reimbursement and copayment levels. Third-party payors are increasingly challenging the prices charged for medicines and examining their cost effectiveness, in addition to their safety and efficacy. We may need to conduct expensive pharmacoeconomic studies in order to demonstrate the cost effectiveness of our products. Even with studies, our products may be considered less safe, less effective or less cost effective than other products, and third-party payors may not provide coverage and reimbursement for our product candidates, in whole or in part. Reimbursement of newly approved products and coverage may be more limited than the purposes for which the medicine is approved by the FDA or comparable foreign regulatory authorities. Product candidates may not be considered medically necessary or cost effective.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4" w:name="page25"/>
    <w:bookmarkEnd w:id="24"/>
    <w:p>
      <w:pPr>
        <w:jc w:val="both"/>
        <w:ind w:right="100" w:firstLine="518"/>
        <w:spacing w:after="0" w:line="259" w:lineRule="auto"/>
        <w:rPr>
          <w:sz w:val="20"/>
          <w:szCs w:val="20"/>
          <w:color w:val="auto"/>
        </w:rPr>
      </w:pPr>
      <w:r>
        <w:rPr>
          <w:rFonts w:ascii="Arial" w:cs="Arial" w:eastAsia="Arial" w:hAnsi="Arial"/>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3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tend to be significantly lower.</w:t>
      </w:r>
    </w:p>
    <w:p>
      <w:pPr>
        <w:spacing w:after="0" w:line="143"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A decision by a third-party payor not to cover a product could reduce physician utilization once the product is approved and have a material adverse effect on sales, results of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In the United States, no uniform policy of coverage and reimbursement for drug products exists among third-party payors.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w:t>
      </w:r>
    </w:p>
    <w:p>
      <w:pPr>
        <w:spacing w:after="0" w:line="11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3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impact our ability to sell our products profitably. We anticipate that the United States Congress, state legislatures and the private sector will continue to consider and may adopt healthcare policies intended to curb rising healthcare costs. These cost containment measures include: controls on government funded reimbursement for drugs; new or increased requirements to pay prescription drug rebates to government healthcare programs;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third-party payors to make coverage and payment decisions. Further, federal budgetary concerns could result in the implementation of significant federal spending cuts, including cuts in Medicare and other health related spending in the near term.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2029 unless Congress takes additional action. These cuts reduce reimbursement payments related to our products, which could potentially negatively impact our revenue.</w:t>
      </w:r>
    </w:p>
    <w:p>
      <w:pPr>
        <w:spacing w:after="0" w:line="11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Payors also are increasingly considering new metrics as the basis for reimbursement rates, such as average sales price, average manufacturer price and actual acquisition cost. CMS surveys and publishes retail community pharmacy acquisition cost information in the form of National Average Drug Acquisition Cost files to provide state Medicaid agencies with a basis of comparison for their own reimbursement and pricing methodologies and rates. It is difficult to project the impact of these evolving reimbursement mechanics on the willingness of payors to cover our products. 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5" w:name="page26"/>
    <w:bookmarkEnd w:id="25"/>
    <w:p>
      <w:pPr>
        <w:ind w:right="120" w:firstLine="518"/>
        <w:spacing w:after="0" w:line="255"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Medicaid rebate amount for the covered outpatient drug as calculated under the Medicaid Drug Rebate program.</w:t>
      </w:r>
    </w:p>
    <w:p>
      <w:pPr>
        <w:spacing w:after="0" w:line="135"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and purchased by certain federal agencies and grantees, we participate in the VA/FSS pricing program. Under this program, we are obligated to make our products available for procurement on an FSS contract and charge a price to four federal agencies - the VA, U.S. Department of Defense, Public Health Service and U.S. Coast Guard -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w:t>
      </w:r>
    </w:p>
    <w:p>
      <w:pPr>
        <w:spacing w:after="0" w:line="12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Medicaid Drug Rebate program, 340B program, and VA/FSS pricing program, and the risks relating to price reporting and other obligations under these programs, are further discussed under the heading “</w:t>
      </w:r>
      <w:r>
        <w:rPr>
          <w:rFonts w:ascii="Arial" w:cs="Arial" w:eastAsia="Arial" w:hAnsi="Arial"/>
          <w:sz w:val="18"/>
          <w:szCs w:val="18"/>
          <w:i w:val="1"/>
          <w:iCs w:val="1"/>
          <w:color w:val="auto"/>
        </w:rPr>
        <w:t>If we fail to comply with our reporting and payment obligations under the Medicaid Drug Rebate</w:t>
      </w:r>
      <w:r>
        <w:rPr>
          <w:rFonts w:ascii="Arial" w:cs="Arial" w:eastAsia="Arial" w:hAnsi="Arial"/>
          <w:sz w:val="18"/>
          <w:szCs w:val="18"/>
          <w:color w:val="auto"/>
        </w:rPr>
        <w:t xml:space="preserve"> </w:t>
      </w:r>
      <w:r>
        <w:rPr>
          <w:rFonts w:ascii="Arial" w:cs="Arial" w:eastAsia="Arial" w:hAnsi="Arial"/>
          <w:sz w:val="18"/>
          <w:szCs w:val="18"/>
          <w:i w:val="1"/>
          <w:iCs w:val="1"/>
          <w:color w:val="auto"/>
        </w:rPr>
        <w:t>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Arial" w:cs="Arial" w:eastAsia="Arial" w:hAnsi="Arial"/>
          <w:sz w:val="18"/>
          <w:szCs w:val="18"/>
          <w:color w:val="auto"/>
        </w:rPr>
        <w:t>” in Part I, Item 1A of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p>
    <w:p>
      <w:pPr>
        <w:spacing w:after="0" w:line="13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Recently, there have been several U.S. Congressional inquiries and proposed and adopted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at the federal level,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Trump administration’s budget for fiscal years 2020 and 2021 contain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 income patients.</w:t>
      </w:r>
    </w:p>
    <w:p>
      <w:pPr>
        <w:spacing w:after="0" w:line="12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While some proposed measures may require additional authorization to become effective, Congress and the Trump administration have each indicated that it will continue to seek new legislative and/or administrative measures to control drug costs. For example, on September 25, 2019, the Senate Finance Committee introduced the Prescription Drug Pricing Reduction Action of 2019, a bill intended to reduce Medicare and Medicaid prescription drug prices. The proposed legislation would restructure the Part D benefit, modify payment methodologies for certain drugs, and impose an inflation cap on drug price increases. An even more restrictive bill, the Lower Drug Costs Now Act of 2019, was introduced in the House of Representatives on September 19, 2019, and would require the Department of Health and Human Services, or HHS, to directly negotiate drug prices with manufacturers. The Lower Drugs Costs Now Act of 2019 has passed out of the House and was delivered to the Senate on December 16, 2019. However, it is unclear whether either of these bills will make it through both chambers and be signed into law, and if either is enacted, what effect it would have on our business.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FDA Marketing Exclusivity and Generic Competition</w:t>
      </w:r>
    </w:p>
    <w:p>
      <w:pPr>
        <w:spacing w:after="0" w:line="9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NCE marketing exclusivity precludes approval during the five-year exclusivity period of certain 505(b)(2) applications and abbreviated new drug applications, or ANDAs, submitted by another company for another version of the drug. The timelines and conditions under the ANDA process that permit the start of patent litigation and allow the FDA to approve generic versions of brand name drugs like Vascepa differ based on whether a drug receives three-year, or five-year, NCE marketing exclusivity.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6" w:name="page27"/>
    <w:bookmarkEnd w:id="26"/>
    <w:p>
      <w:pPr>
        <w:ind w:firstLine="518"/>
        <w:spacing w:after="0" w:line="255" w:lineRule="auto"/>
        <w:rPr>
          <w:sz w:val="20"/>
          <w:szCs w:val="20"/>
          <w:color w:val="auto"/>
        </w:rPr>
      </w:pPr>
      <w:r>
        <w:rPr>
          <w:rFonts w:ascii="Arial" w:cs="Arial" w:eastAsia="Arial" w:hAnsi="Arial"/>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In May 2016, after litigation, FDA determined that Vascepa was entitled to NCE marketing exclusivity. The related 30-month stay expired on January 26, 2020, seven-and-a-half years from FDA approval of Vascepa.</w:t>
      </w:r>
    </w:p>
    <w:p>
      <w:pPr>
        <w:spacing w:after="0" w:line="135"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A three-year period of exclusivity under the Hatch-Waxman Amendments is generally granted for a drug product that contains an active moiety that has been previously approved. For example, three-year exclusivity may be granted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For example, we received such three-year regulatory exclusivity in connection with the recent approval based on the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Regulatory exclusivity is in addition to exclusivity afforded by issued patents related to Vascepa.</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90"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Manufacturing, sales, promotion, importation, and other activities related to approved products are also subject to regulation by numerous regulatory authorities, including, in the United States, the FDA,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comply with the Food, Drug, and Cosmetic Act, the Anti-Kickback Statute, and the False Claims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Products must meet applicable child-resistant packaging requirements under the U.S. Poison Prevention Packaging Act. 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24"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a product approval. Prohibitions or restrictions on sales or withdrawal of future products marketed by us could materially affect our business in an adverse way.</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Changes in regulations or statutes or the interpretation of existing regulations could impact our business in the future by requiring, for example:</w:t>
      </w:r>
    </w:p>
    <w:p>
      <w:pPr>
        <w:spacing w:after="0" w:line="23"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to our manufacturing arrangements; (ii) additions or modifications to product labeling; (iii) the recall or discontinuation of our products;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Proprietary Technology, Trade Secrets</w:t>
      </w:r>
    </w:p>
    <w:p>
      <w:pPr>
        <w:spacing w:after="0" w:line="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46" w:lineRule="exact"/>
        <w:rPr>
          <w:sz w:val="20"/>
          <w:szCs w:val="20"/>
          <w:color w:val="auto"/>
        </w:rPr>
      </w:pPr>
    </w:p>
    <w:p>
      <w:pPr>
        <w:ind w:left="1280" w:hanging="381"/>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ind w:left="1280" w:hanging="381"/>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140" w:firstLine="518"/>
        <w:spacing w:after="0" w:line="311"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92 patent applications in the United States that have been either issued or allowed and more than 30 additional patent applications are pending in the United States. Such 92 allowed and issued applications include the following:</w:t>
      </w:r>
    </w:p>
    <w:p>
      <w:pPr>
        <w:spacing w:after="0" w:line="1" w:lineRule="exact"/>
        <w:rPr>
          <w:sz w:val="20"/>
          <w:szCs w:val="20"/>
          <w:color w:val="auto"/>
        </w:rPr>
      </w:pPr>
    </w:p>
    <w:p>
      <w:pPr>
        <w:ind w:left="1280" w:right="580" w:hanging="381"/>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21" w:lineRule="exact"/>
        <w:rPr>
          <w:rFonts w:ascii="Arial" w:cs="Arial" w:eastAsia="Arial" w:hAnsi="Arial"/>
          <w:sz w:val="18"/>
          <w:szCs w:val="18"/>
          <w:color w:val="auto"/>
        </w:rPr>
      </w:pPr>
    </w:p>
    <w:p>
      <w:pPr>
        <w:ind w:left="1280" w:hanging="381"/>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76" w:lineRule="exact"/>
        <w:rPr>
          <w:rFonts w:ascii="Arial" w:cs="Arial" w:eastAsia="Arial" w:hAnsi="Arial"/>
          <w:sz w:val="18"/>
          <w:szCs w:val="18"/>
          <w:color w:val="auto"/>
        </w:rPr>
      </w:pPr>
    </w:p>
    <w:p>
      <w:pPr>
        <w:ind w:left="1280" w:right="360" w:hanging="381"/>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49 U.S. patents covering or related to the use of Vascepa in either the MARINE or ANCHOR populations that have terms that expire in 2030 or later;</w:t>
      </w:r>
    </w:p>
    <w:p>
      <w:pPr>
        <w:spacing w:after="0" w:line="21" w:lineRule="exact"/>
        <w:rPr>
          <w:rFonts w:ascii="Arial" w:cs="Arial" w:eastAsia="Arial" w:hAnsi="Arial"/>
          <w:sz w:val="18"/>
          <w:szCs w:val="18"/>
          <w:color w:val="auto"/>
        </w:rPr>
      </w:pPr>
    </w:p>
    <w:p>
      <w:pPr>
        <w:ind w:left="1280" w:hanging="381"/>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14 U.S. patents covering or related to the use of Vascepa in the REDUCE-IT population with terms expiring in 2033 or later;</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additional US patent directed to a pharmaceutical composition comprised of free fatty acids with a term that expires in 2030;</w:t>
      </w:r>
    </w:p>
    <w:p>
      <w:pPr>
        <w:spacing w:after="0" w:line="76" w:lineRule="exact"/>
        <w:rPr>
          <w:rFonts w:ascii="Arial" w:cs="Arial" w:eastAsia="Arial" w:hAnsi="Arial"/>
          <w:sz w:val="18"/>
          <w:szCs w:val="18"/>
          <w:color w:val="auto"/>
        </w:rPr>
      </w:pPr>
    </w:p>
    <w:p>
      <w:pPr>
        <w:ind w:left="1280" w:right="780" w:hanging="381"/>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 additional patents related to the use of a pharmaceutical composition comprised of free fatty acids to treat the ANCHOR patient population with a term that expires in 2030 or later;</w:t>
      </w:r>
    </w:p>
    <w:p>
      <w:pPr>
        <w:spacing w:after="0" w:line="21" w:lineRule="exact"/>
        <w:rPr>
          <w:rFonts w:ascii="Arial" w:cs="Arial" w:eastAsia="Arial" w:hAnsi="Arial"/>
          <w:sz w:val="18"/>
          <w:szCs w:val="18"/>
          <w:color w:val="auto"/>
        </w:rPr>
      </w:pPr>
    </w:p>
    <w:p>
      <w:pPr>
        <w:ind w:left="1280" w:right="20" w:hanging="381"/>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21" w:lineRule="exact"/>
        <w:rPr>
          <w:rFonts w:ascii="Arial" w:cs="Arial" w:eastAsia="Arial" w:hAnsi="Arial"/>
          <w:sz w:val="18"/>
          <w:szCs w:val="18"/>
          <w:color w:val="auto"/>
        </w:rPr>
      </w:pPr>
    </w:p>
    <w:p>
      <w:pPr>
        <w:ind w:left="1280" w:right="320" w:hanging="381"/>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REDUCE-IT population expiring 2033;</w:t>
      </w:r>
    </w:p>
    <w:p>
      <w:pPr>
        <w:spacing w:after="0" w:line="21" w:lineRule="exact"/>
        <w:rPr>
          <w:rFonts w:ascii="Arial" w:cs="Arial" w:eastAsia="Arial" w:hAnsi="Arial"/>
          <w:sz w:val="18"/>
          <w:szCs w:val="18"/>
          <w:color w:val="auto"/>
        </w:rPr>
      </w:pPr>
    </w:p>
    <w:p>
      <w:pPr>
        <w:ind w:left="1280" w:right="300" w:hanging="381"/>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 additional patent related to a pharmaceutical composition comprised of free fatty acids and uses thereof to treat both the MARINE and ANCHOR patient populations with a term that expires in 2030;</w:t>
      </w:r>
    </w:p>
    <w:p>
      <w:pPr>
        <w:spacing w:after="0" w:line="21" w:lineRule="exact"/>
        <w:rPr>
          <w:rFonts w:ascii="Arial" w:cs="Arial" w:eastAsia="Arial" w:hAnsi="Arial"/>
          <w:sz w:val="18"/>
          <w:szCs w:val="18"/>
          <w:color w:val="auto"/>
        </w:rPr>
      </w:pPr>
    </w:p>
    <w:p>
      <w:pPr>
        <w:ind w:left="1280" w:right="160" w:hanging="381"/>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re-esterified EPA triglyceride to treat the REDUCE-IT population expiring 2033;</w:t>
      </w:r>
    </w:p>
    <w:p>
      <w:pPr>
        <w:spacing w:after="0" w:line="21" w:lineRule="exact"/>
        <w:rPr>
          <w:rFonts w:ascii="Arial" w:cs="Arial" w:eastAsia="Arial" w:hAnsi="Arial"/>
          <w:sz w:val="18"/>
          <w:szCs w:val="18"/>
          <w:color w:val="auto"/>
        </w:rPr>
      </w:pPr>
    </w:p>
    <w:p>
      <w:pPr>
        <w:ind w:left="1280" w:hanging="381"/>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 additional patents related to a formulation of EPA/DHA and uses thereof with a term that expires in 2030;</w:t>
      </w:r>
    </w:p>
    <w:p>
      <w:pPr>
        <w:spacing w:after="0" w:line="76" w:lineRule="exact"/>
        <w:rPr>
          <w:rFonts w:ascii="Arial" w:cs="Arial" w:eastAsia="Arial" w:hAnsi="Arial"/>
          <w:sz w:val="18"/>
          <w:szCs w:val="18"/>
          <w:color w:val="auto"/>
        </w:rPr>
      </w:pPr>
    </w:p>
    <w:p>
      <w:pPr>
        <w:ind w:left="1280" w:hanging="381"/>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 additional patents related to the use of Vascepa to treat obesity with a term that expires in 2034;</w:t>
      </w:r>
    </w:p>
    <w:p>
      <w:pPr>
        <w:spacing w:after="0" w:line="76" w:lineRule="exact"/>
        <w:rPr>
          <w:rFonts w:ascii="Arial" w:cs="Arial" w:eastAsia="Arial" w:hAnsi="Arial"/>
          <w:sz w:val="18"/>
          <w:szCs w:val="18"/>
          <w:color w:val="auto"/>
        </w:rPr>
      </w:pPr>
    </w:p>
    <w:p>
      <w:pPr>
        <w:ind w:left="1280" w:right="160" w:hanging="381"/>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 additional patents covering a pharmaceutical composition comprised of EPA and a hydroxyl compound with a term that expires in 2034; and</w:t>
      </w:r>
    </w:p>
    <w:p>
      <w:pPr>
        <w:spacing w:after="0" w:line="21" w:lineRule="exact"/>
        <w:rPr>
          <w:rFonts w:ascii="Arial" w:cs="Arial" w:eastAsia="Arial" w:hAnsi="Arial"/>
          <w:sz w:val="18"/>
          <w:szCs w:val="18"/>
          <w:color w:val="auto"/>
        </w:rPr>
      </w:pPr>
    </w:p>
    <w:p>
      <w:pPr>
        <w:ind w:left="1280" w:hanging="381"/>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 additional patents covering a new combination therapy comprised of EPA and another drug.</w:t>
      </w:r>
    </w:p>
    <w:p>
      <w:pPr>
        <w:spacing w:after="0" w:line="17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34"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are the owner of the above-listed patents. We are also the exclusive licensee of certain patents owned by others covering products in development. To secure our debt under our outstanding royalty-like instrument, we have granted the holders of such instrument a security interest in our Vascepa-related patents.</w:t>
      </w:r>
    </w:p>
    <w:p>
      <w:pPr>
        <w:spacing w:after="0" w:line="12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8" w:name="page29"/>
    <w:bookmarkEnd w:id="28"/>
    <w:p>
      <w:pPr>
        <w:ind w:right="20" w:firstLine="518"/>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on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3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At February 21, 2020, we had 965 full-time employees employed in sales, marketing, general and administrative and research and development functions. We believe our relations with our employees are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February 21, 2020, we had the following subsidiaries:</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Country of</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Proportion of</w:t>
            </w:r>
          </w:p>
        </w:tc>
        <w:tc>
          <w:tcPr>
            <w:tcW w:w="0" w:type="dxa"/>
            <w:vAlign w:val="bottom"/>
          </w:tcPr>
          <w:p>
            <w:pPr>
              <w:spacing w:after="0"/>
              <w:rPr>
                <w:sz w:val="1"/>
                <w:szCs w:val="1"/>
                <w:color w:val="auto"/>
              </w:rPr>
            </w:pPr>
          </w:p>
        </w:tc>
      </w:tr>
      <w:tr>
        <w:trPr>
          <w:trHeight w:val="149"/>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Subsidiary Name</w:t>
            </w:r>
          </w:p>
        </w:tc>
        <w:tc>
          <w:tcPr>
            <w:tcW w:w="200" w:type="dxa"/>
            <w:vAlign w:val="bottom"/>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Incorporation</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Ownership Interest and</w:t>
            </w:r>
          </w:p>
        </w:tc>
        <w:tc>
          <w:tcPr>
            <w:tcW w:w="0" w:type="dxa"/>
            <w:vAlign w:val="bottom"/>
          </w:tcPr>
          <w:p>
            <w:pPr>
              <w:spacing w:after="0"/>
              <w:rPr>
                <w:sz w:val="1"/>
                <w:szCs w:val="1"/>
                <w:color w:val="auto"/>
              </w:rPr>
            </w:pPr>
          </w:p>
        </w:tc>
      </w:tr>
      <w:tr>
        <w:trPr>
          <w:trHeight w:val="171"/>
        </w:trPr>
        <w:tc>
          <w:tcPr>
            <w:tcW w:w="7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or Registration</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Voting Power Held</w:t>
            </w:r>
          </w:p>
        </w:tc>
        <w:tc>
          <w:tcPr>
            <w:tcW w:w="0" w:type="dxa"/>
            <w:vAlign w:val="bottom"/>
          </w:tcPr>
          <w:p>
            <w:pPr>
              <w:spacing w:after="0"/>
              <w:rPr>
                <w:sz w:val="1"/>
                <w:szCs w:val="1"/>
                <w:color w:val="auto"/>
              </w:rPr>
            </w:pPr>
          </w:p>
        </w:tc>
      </w:tr>
      <w:tr>
        <w:trPr>
          <w:trHeight w:val="237"/>
        </w:trPr>
        <w:tc>
          <w:tcPr>
            <w:tcW w:w="7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Amarin Pharmaceuticals Ireland Limited</w:t>
            </w:r>
          </w:p>
        </w:tc>
        <w:tc>
          <w:tcPr>
            <w:tcW w:w="200" w:type="dxa"/>
            <w:vAlign w:val="bottom"/>
            <w:tcBorders>
              <w:top w:val="single" w:sz="8" w:color="CFF0FC"/>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Ireland</w:t>
            </w:r>
          </w:p>
        </w:tc>
        <w:tc>
          <w:tcPr>
            <w:tcW w:w="200" w:type="dxa"/>
            <w:vAlign w:val="bottom"/>
            <w:tcBorders>
              <w:top w:val="single" w:sz="8" w:color="CFF0FC"/>
            </w:tcBorders>
            <w:shd w:val="clear" w:color="auto" w:fill="CFF0FC"/>
          </w:tcPr>
          <w:p>
            <w:pPr>
              <w:spacing w:after="0"/>
              <w:rPr>
                <w:sz w:val="20"/>
                <w:szCs w:val="20"/>
                <w:color w:val="auto"/>
              </w:rPr>
            </w:pP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r>
              <w:rPr>
                <w:rFonts w:ascii="Arial" w:cs="Arial" w:eastAsia="Arial" w:hAnsi="Arial"/>
                <w:sz w:val="18"/>
                <w:szCs w:val="18"/>
                <w:color w:val="auto"/>
              </w:rPr>
              <w:t>Amarin Pharma, Inc.</w:t>
            </w:r>
          </w:p>
        </w:tc>
        <w:tc>
          <w:tcPr>
            <w:tcW w:w="1820" w:type="dxa"/>
            <w:vAlign w:val="bottom"/>
            <w:gridSpan w:val="3"/>
          </w:tcPr>
          <w:p>
            <w:pPr>
              <w:ind w:left="200"/>
              <w:spacing w:after="0"/>
              <w:rPr>
                <w:sz w:val="20"/>
                <w:szCs w:val="20"/>
                <w:color w:val="auto"/>
              </w:rPr>
            </w:pPr>
            <w:r>
              <w:rPr>
                <w:rFonts w:ascii="Arial" w:cs="Arial" w:eastAsia="Arial" w:hAnsi="Arial"/>
                <w:sz w:val="18"/>
                <w:szCs w:val="18"/>
                <w:color w:val="auto"/>
              </w:rPr>
              <w:t>United States</w:t>
            </w:r>
          </w:p>
        </w:tc>
        <w:tc>
          <w:tcPr>
            <w:tcW w:w="20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Amarin Neuroscience Limited</w:t>
            </w:r>
          </w:p>
        </w:tc>
        <w:tc>
          <w:tcPr>
            <w:tcW w:w="18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Scotland</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r>
              <w:rPr>
                <w:rFonts w:ascii="Arial" w:cs="Arial" w:eastAsia="Arial" w:hAnsi="Arial"/>
                <w:sz w:val="18"/>
                <w:szCs w:val="18"/>
                <w:color w:val="auto"/>
              </w:rPr>
              <w:t>Corsicanto II DAC</w:t>
            </w:r>
          </w:p>
        </w:tc>
        <w:tc>
          <w:tcPr>
            <w:tcW w:w="1820" w:type="dxa"/>
            <w:vAlign w:val="bottom"/>
            <w:gridSpan w:val="3"/>
          </w:tcPr>
          <w:p>
            <w:pPr>
              <w:ind w:left="200"/>
              <w:spacing w:after="0"/>
              <w:rPr>
                <w:sz w:val="20"/>
                <w:szCs w:val="20"/>
                <w:color w:val="auto"/>
              </w:rPr>
            </w:pPr>
            <w:r>
              <w:rPr>
                <w:rFonts w:ascii="Arial" w:cs="Arial" w:eastAsia="Arial" w:hAnsi="Arial"/>
                <w:sz w:val="18"/>
                <w:szCs w:val="18"/>
                <w:color w:val="auto"/>
              </w:rPr>
              <w:t>Ireland</w:t>
            </w:r>
          </w:p>
        </w:tc>
        <w:tc>
          <w:tcPr>
            <w:tcW w:w="20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Ester Neurosciences Limited</w:t>
            </w:r>
          </w:p>
        </w:tc>
        <w:tc>
          <w:tcPr>
            <w:tcW w:w="18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Israel</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As of the date of this Annual Report on Form 10-K, our principal operating activities were being conducted by Amarin Corporation plc, together with Amarin Pharmaceuticals Ireland Limited and Amarin Pharma, Inc., with little to no operating activity being conducted by Amarin Neuroscience Limited or Ester Neurosciences Limited. Corsicanto DAC (formerly Corsicanto Limited) was liquidated in January 2019 pursuant to a resolution of Amarin Corporation plc as a sole shareholder. Corsicanto II DAC was placed into liquidation in September 2019 pursuant to a resolution of Amarin Corporation plc as a sole shareholder.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 xml:space="preserve">Our Annual Report on Form 10-K, Quarterly Reports on Form 10-Q, Current Reports on Form 8-K, and amendments to reports filed pursuant to Sections 13(a) and 15(d) of the Securities Exchange Act of 1934, as amended, are made available free of charge on or through our website at </w:t>
      </w:r>
      <w:r>
        <w:rPr>
          <w:rFonts w:ascii="Arial" w:cs="Arial" w:eastAsia="Arial" w:hAnsi="Arial"/>
          <w:sz w:val="18"/>
          <w:szCs w:val="18"/>
          <w:i w:val="1"/>
          <w:iCs w:val="1"/>
          <w:u w:val="single" w:color="auto"/>
          <w:color w:val="auto"/>
        </w:rPr>
        <w:t>www.amarincorp.com</w:t>
      </w:r>
      <w:r>
        <w:rPr>
          <w:rFonts w:ascii="Arial" w:cs="Arial" w:eastAsia="Arial" w:hAnsi="Arial"/>
          <w:sz w:val="18"/>
          <w:szCs w:val="18"/>
          <w:i w:val="1"/>
          <w:iCs w:val="1"/>
          <w:color w:val="auto"/>
        </w:rPr>
        <w:t xml:space="preserve"> </w:t>
      </w:r>
      <w:r>
        <w:rPr>
          <w:rFonts w:ascii="Arial" w:cs="Arial" w:eastAsia="Arial" w:hAnsi="Arial"/>
          <w:sz w:val="18"/>
          <w:szCs w:val="18"/>
          <w:color w:val="auto"/>
        </w:rPr>
        <w:t>as soon as reasonably practicable after such reports are filed with, or furnished to, the Securities and Exchange Commission, or SEC.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SEC also maintains a website, </w:t>
      </w:r>
      <w:r>
        <w:rPr>
          <w:rFonts w:ascii="Arial" w:cs="Arial" w:eastAsia="Arial" w:hAnsi="Arial"/>
          <w:sz w:val="18"/>
          <w:szCs w:val="18"/>
          <w:i w:val="1"/>
          <w:iCs w:val="1"/>
          <w:color w:val="auto"/>
        </w:rPr>
        <w:t>www.sec.gov</w:t>
      </w:r>
      <w:r>
        <w:rPr>
          <w:rFonts w:ascii="Arial" w:cs="Arial" w:eastAsia="Arial" w:hAnsi="Arial"/>
          <w:sz w:val="18"/>
          <w:szCs w:val="18"/>
          <w:color w:val="auto"/>
        </w:rPr>
        <w:t>, that contains reports and other information regarding issuers that file electronically with the SEC. We are not, however, including the information contained on our website, or information that may be accessed through links on our website, as part of, or incorporating such information by reference into, this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information required under this Item 1 is incorporated herein by reference to Item 8 of this Annual Report on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81"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81" w:lineRule="exact"/>
        <w:rPr>
          <w:sz w:val="20"/>
          <w:szCs w:val="20"/>
          <w:color w:val="auto"/>
        </w:rPr>
      </w:pPr>
    </w:p>
    <w:p>
      <w:pPr>
        <w:ind w:left="260" w:right="680"/>
        <w:spacing w:after="0" w:line="277" w:lineRule="auto"/>
        <w:rPr>
          <w:sz w:val="20"/>
          <w:szCs w:val="20"/>
          <w:color w:val="auto"/>
        </w:rPr>
      </w:pPr>
      <w:r>
        <w:rPr>
          <w:rFonts w:ascii="Arial" w:cs="Arial" w:eastAsia="Arial" w:hAnsi="Arial"/>
          <w:sz w:val="18"/>
          <w:szCs w:val="18"/>
          <w:b w:val="1"/>
          <w:bCs w:val="1"/>
          <w:i w:val="1"/>
          <w:iCs w:val="1"/>
          <w:color w:val="auto"/>
        </w:rPr>
        <w:t>We are substantially dependent upon Vascepa, its commercialization in the United States and its development and commercialization in major markets.</w:t>
      </w:r>
    </w:p>
    <w:p>
      <w:pPr>
        <w:spacing w:after="0" w:line="2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success of our company depends on our ability to successfully commercialize our single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capsules, in major markets. Our primary focus has been on the U.S. market as much of our near-term results and value as a company has depended on our ability to execute our development commercial strategy for Vascepa in the United States. Recently, with substantial achievements in the United States such as the FDA approval of an indication for Vascepa for the reduction of cardiovascular risk in certain patients (our second indication approval for Vascepa in the United States), we have increased focus on expansion of our development efforts for Vascepa to major markets outside the United States. We currently have multiple partners for the development and commercialization of Vascepa in select geographies and intend to consider potential additional partners to commercialize Vascepa in other parts of the world. For example, we have strategic collaborations for the development and commercialization of Vascepa in Canada, the Middle East and Greater China and are currently developing Vascepa on our own and exploring possible strategic collaborations in major markets such as Europe. If commercialization efforts for Vascepa do not meet expectations in major markets such as the United States and Europe, our business and prospects could be materially and adversely affected.</w:t>
      </w:r>
    </w:p>
    <w:p>
      <w:pPr>
        <w:spacing w:after="0" w:line="12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development and commercial time cycle for Vascepa or other products that we may develop from our research and development efforts could result in delays in our ability to achieve commercial success. For example, only after years of preceding product development, in December 2019, the EMA validated our MAA seeking approval for icosapent ethyl (brand name Vascepa in the United States) as a treatment to reduce the risk of cardiovascular events in select high-risk patients.</w:t>
      </w:r>
    </w:p>
    <w:p>
      <w:pPr>
        <w:spacing w:after="0" w:line="133"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Likewise, if we seek to diversify our development programs or product offerings through licensing or acquisitions, such transactions are also time-consuming, dilutive to existing shareholdings, and can be disruptive to operations.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85"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22"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In January 2013, we launched Vascepa based on the U.S. Food and Drug Administration, or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cardiovascular mortality and morbidity, or the risk for pancreatitis, in patients with severe hypertriglyceridemia has not been determined and our FDA-approved labeling and promotional efforts state these facts. In September 2018, we announced topline results from the REDUCE-IT®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FDA-approved labeling.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p>
      <w:pPr>
        <w:jc w:val="both"/>
        <w:ind w:right="220" w:firstLine="518"/>
        <w:spacing w:after="0" w:line="264" w:lineRule="auto"/>
        <w:rPr>
          <w:sz w:val="20"/>
          <w:szCs w:val="20"/>
          <w:color w:val="auto"/>
        </w:rPr>
      </w:pPr>
      <w:r>
        <w:rPr>
          <w:rFonts w:ascii="Arial" w:cs="Arial" w:eastAsia="Arial" w:hAnsi="Arial"/>
          <w:sz w:val="18"/>
          <w:szCs w:val="18"/>
          <w:color w:val="auto"/>
        </w:rPr>
        <w:t>In December 2019, the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12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Even though we have recently received approval for a new indication and expanded label for Vascepa, we may not meet expectations for market acceptance by physicians, patients, healthcare payors and others in the medical community for this new approved use.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23" w:lineRule="exact"/>
        <w:rPr>
          <w:sz w:val="20"/>
          <w:szCs w:val="20"/>
          <w:color w:val="auto"/>
        </w:rPr>
      </w:pPr>
    </w:p>
    <w:p>
      <w:pPr>
        <w:ind w:left="900" w:right="4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efficacy and safety of Vascepa by prescribing healthcare professionals, as compared to no treatment and as compared to alternative treatments in various at-risk patient populations;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peer review of different elements of REDUCE-IT results over time;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review and analysis of the results of REDUCE-IT by regulatory authorities internationally;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54"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convenience and ease of administration compared to alternative treatments;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69" w:lineRule="exact"/>
        <w:rPr>
          <w:rFonts w:ascii="Arial" w:cs="Arial" w:eastAsia="Arial" w:hAnsi="Arial"/>
          <w:sz w:val="22"/>
          <w:szCs w:val="22"/>
          <w:color w:val="auto"/>
        </w:rPr>
      </w:pPr>
    </w:p>
    <w:p>
      <w:pPr>
        <w:ind w:left="900" w:hanging="379"/>
        <w:spacing w:after="0"/>
        <w:tabs>
          <w:tab w:leader="none" w:pos="900" w:val="left"/>
        </w:tabs>
        <w:numPr>
          <w:ilvl w:val="0"/>
          <w:numId w:val="15"/>
        </w:numPr>
        <w:rPr>
          <w:rFonts w:ascii="Arial" w:cs="Arial" w:eastAsia="Arial" w:hAnsi="Arial"/>
          <w:sz w:val="21"/>
          <w:szCs w:val="21"/>
          <w:color w:val="auto"/>
        </w:rPr>
      </w:pPr>
      <w:r>
        <w:rPr>
          <w:rFonts w:ascii="Arial" w:cs="Arial" w:eastAsia="Arial" w:hAnsi="Arial"/>
          <w:sz w:val="17"/>
          <w:szCs w:val="17"/>
          <w:color w:val="auto"/>
        </w:rPr>
        <w:t>the scope, effectiveness and strength of product education, marketing and distribution support, including our sales and marketing team;</w:t>
      </w:r>
    </w:p>
    <w:p>
      <w:pPr>
        <w:spacing w:after="0" w:line="57" w:lineRule="exact"/>
        <w:rPr>
          <w:rFonts w:ascii="Arial" w:cs="Arial" w:eastAsia="Arial" w:hAnsi="Arial"/>
          <w:sz w:val="21"/>
          <w:szCs w:val="21"/>
          <w:color w:val="auto"/>
        </w:rPr>
      </w:pPr>
    </w:p>
    <w:p>
      <w:pPr>
        <w:ind w:left="900" w:hanging="379"/>
        <w:spacing w:after="0"/>
        <w:tabs>
          <w:tab w:leader="none" w:pos="9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publicity concerning Vascepa or competing products;</w:t>
      </w:r>
    </w:p>
    <w:p>
      <w:pPr>
        <w:spacing w:after="0" w:line="80" w:lineRule="exact"/>
        <w:rPr>
          <w:rFonts w:ascii="Arial" w:cs="Arial" w:eastAsia="Arial" w:hAnsi="Arial"/>
          <w:sz w:val="22"/>
          <w:szCs w:val="22"/>
          <w:color w:val="auto"/>
        </w:rPr>
      </w:pPr>
    </w:p>
    <w:p>
      <w:pPr>
        <w:ind w:left="900" w:right="80" w:hanging="379"/>
        <w:spacing w:after="0" w:line="232" w:lineRule="auto"/>
        <w:tabs>
          <w:tab w:leader="none" w:pos="9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ability to continually promote Vascepa in the United States consistent with and outside of FDA-approved labeling and the related perception thereof;</w:t>
      </w:r>
    </w:p>
    <w:p>
      <w:pPr>
        <w:spacing w:after="0" w:line="55" w:lineRule="exact"/>
        <w:rPr>
          <w:rFonts w:ascii="Arial" w:cs="Arial" w:eastAsia="Arial" w:hAnsi="Arial"/>
          <w:sz w:val="22"/>
          <w:szCs w:val="22"/>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Vascepa and its prescribe uses, on-label and off-label;</w:t>
      </w:r>
    </w:p>
    <w:p>
      <w:pPr>
        <w:spacing w:after="0" w:line="76" w:lineRule="exact"/>
        <w:rPr>
          <w:rFonts w:ascii="Arial" w:cs="Arial" w:eastAsia="Arial" w:hAnsi="Arial"/>
          <w:sz w:val="18"/>
          <w:szCs w:val="18"/>
          <w:color w:val="auto"/>
        </w:rPr>
      </w:pPr>
    </w:p>
    <w:p>
      <w:pPr>
        <w:ind w:left="900" w:right="260" w:hanging="379"/>
        <w:spacing w:after="0" w:line="325"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natural disasters, including pandemics such as the recent outbreak of coronavirus, and political unrest that could inhibit our ability to promote Vascepa regionally and can negatively affect product demand by creating obstacles for patients to seek treatment and fill prescriptions;</w:t>
      </w:r>
    </w:p>
    <w:p>
      <w:pPr>
        <w:spacing w:after="0" w:line="1" w:lineRule="exact"/>
        <w:rPr>
          <w:rFonts w:ascii="Arial" w:cs="Arial" w:eastAsia="Arial" w:hAnsi="Arial"/>
          <w:sz w:val="16"/>
          <w:szCs w:val="16"/>
          <w:color w:val="auto"/>
        </w:rPr>
      </w:pPr>
    </w:p>
    <w:p>
      <w:pPr>
        <w:ind w:left="900" w:right="20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21"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actual and perceived efficacy of the product and the prevalence and severity of any side effects and warnings in Vascepa’s approved labeling internationally.</w:t>
      </w:r>
    </w:p>
    <w:p>
      <w:pPr>
        <w:spacing w:after="0" w:line="11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For example, two major factors that affect market use of prescription drugs are their perceived cost-effectiveness and their breadth of their use among different patient populations, on label and off-label. In October 2019, the Institute for Clinical and Economic Review, or ICER, released its final evidence report regarding clinical effectiveness and economic impacts on Vascepa. The conclusion from the report is that Vascepa easily met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FDA-approved labeling. By contrast,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FDA labeling, FDA-approved labeling that is more closely tied to the patient population studied in a clinical trial could limit use generally and by making reimbursement more difficult.</w:t>
      </w:r>
    </w:p>
    <w:p>
      <w:pPr>
        <w:spacing w:after="0" w:line="201" w:lineRule="exact"/>
        <w:rPr>
          <w:sz w:val="20"/>
          <w:szCs w:val="20"/>
          <w:color w:val="auto"/>
        </w:rPr>
      </w:pPr>
    </w:p>
    <w:p>
      <w:pPr>
        <w:ind w:left="260"/>
        <w:spacing w:after="0" w:line="338" w:lineRule="auto"/>
        <w:rPr>
          <w:sz w:val="20"/>
          <w:szCs w:val="20"/>
          <w:color w:val="auto"/>
        </w:rPr>
      </w:pPr>
      <w:r>
        <w:rPr>
          <w:rFonts w:ascii="Arial" w:cs="Arial" w:eastAsia="Arial" w:hAnsi="Arial"/>
          <w:sz w:val="15"/>
          <w:szCs w:val="15"/>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 December 2019, the FDA approved a new indication and label expansion for Vascepa as an adjunct to statin therapy to reduce the risk of MACE events in adult patients with elevated TG levels (≥150 mg/dL) and established cardiovascular disease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03" w:right="299" w:bottom="1440" w:gutter="0" w:footer="0" w:header="0"/>
        </w:sectPr>
      </w:pPr>
    </w:p>
    <w:bookmarkStart w:id="31" w:name="page32"/>
    <w:bookmarkEnd w:id="31"/>
    <w:p>
      <w:pPr>
        <w:ind w:right="120"/>
        <w:spacing w:after="0" w:line="297" w:lineRule="auto"/>
        <w:rPr>
          <w:sz w:val="20"/>
          <w:szCs w:val="20"/>
          <w:color w:val="auto"/>
        </w:rPr>
      </w:pPr>
      <w:r>
        <w:rPr>
          <w:rFonts w:ascii="Arial" w:cs="Arial" w:eastAsia="Arial" w:hAnsi="Arial"/>
          <w:sz w:val="16"/>
          <w:szCs w:val="16"/>
          <w:color w:val="auto"/>
        </w:rPr>
        <w:t>diabetes mellitus and two or more additional risk factors for cardiovascular disease. Even though FDA has approved Vascepa for an expanded label and new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it could exceed, match or may not meet investor expectations. This type of updates and any future presentation and additional data may exceed, match or may not meet investors’ expectations.</w:t>
      </w:r>
    </w:p>
    <w:p>
      <w:pPr>
        <w:spacing w:after="0" w:line="104" w:lineRule="exact"/>
        <w:rPr>
          <w:sz w:val="20"/>
          <w:szCs w:val="20"/>
          <w:color w:val="auto"/>
        </w:rPr>
      </w:pPr>
    </w:p>
    <w:p>
      <w:pPr>
        <w:jc w:val="both"/>
        <w:ind w:right="600" w:firstLine="518"/>
        <w:spacing w:after="0" w:line="288" w:lineRule="auto"/>
        <w:rPr>
          <w:sz w:val="20"/>
          <w:szCs w:val="20"/>
          <w:color w:val="auto"/>
        </w:rPr>
      </w:pPr>
      <w:r>
        <w:rPr>
          <w:rFonts w:ascii="Arial" w:cs="Arial" w:eastAsia="Arial" w:hAnsi="Arial"/>
          <w:sz w:val="16"/>
          <w:szCs w:val="16"/>
          <w:color w:val="auto"/>
        </w:rPr>
        <w:t>In addition, the same set of data can sometimes be interpreted to reach different conclusions, as was the case when Health Canada approved an indication based on REDUCE-IT data that was different in certain respects than that approved by FDA in the United States. It is possible the scope of subsequent regulatory approvals, if any, could likewise differ based on the same data, such as in the case of our pending European Union application.</w:t>
      </w:r>
    </w:p>
    <w:p>
      <w:pPr>
        <w:ind w:right="300"/>
        <w:spacing w:after="0" w:line="261" w:lineRule="auto"/>
        <w:rPr>
          <w:sz w:val="20"/>
          <w:szCs w:val="20"/>
          <w:color w:val="auto"/>
        </w:rPr>
      </w:pPr>
      <w:r>
        <w:rPr>
          <w:rFonts w:ascii="Arial" w:cs="Arial" w:eastAsia="Arial" w:hAnsi="Arial"/>
          <w:sz w:val="18"/>
          <w:szCs w:val="18"/>
          <w:color w:val="auto"/>
        </w:rPr>
        <w:t>Conflicting interpretations of data, or new data, could impact public and medical community perception of the totality of the efficacy and safety data from REDUCE-IT.</w:t>
      </w:r>
    </w:p>
    <w:p>
      <w:pPr>
        <w:spacing w:after="0" w:line="13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Aspects that from time to time in the future could be considered by regulatory authorities and medical guideline committees internationally and change and impact the final evaluation of the totality of the efficacy and safety data from REDUCE-IT, in addition to those noted above, may include some or all of the following:</w:t>
      </w:r>
    </w:p>
    <w:p>
      <w:pPr>
        <w:spacing w:after="0" w:line="46" w:lineRule="exact"/>
        <w:rPr>
          <w:sz w:val="20"/>
          <w:szCs w:val="20"/>
          <w:color w:val="auto"/>
        </w:rPr>
      </w:pPr>
    </w:p>
    <w:p>
      <w:pPr>
        <w:ind w:left="900" w:right="4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magnitude of the treatment benefit and related risks on the primary composite endpoint, its components, secondary endpoints and the primary and secondary risk prevention cohorts;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consideration of which components of the composite or secondary endpoints have the most clinical significance;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consistency of the primary and secondary outcomes;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consistency of findings across cohorts and important subgroups;</w:t>
      </w:r>
    </w:p>
    <w:p>
      <w:pPr>
        <w:spacing w:after="0" w:line="76" w:lineRule="exact"/>
        <w:rPr>
          <w:rFonts w:ascii="Arial" w:cs="Arial" w:eastAsia="Arial" w:hAnsi="Arial"/>
          <w:sz w:val="18"/>
          <w:szCs w:val="18"/>
          <w:color w:val="auto"/>
        </w:rPr>
      </w:pPr>
    </w:p>
    <w:p>
      <w:pPr>
        <w:ind w:left="900" w:right="38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considerations and risk/benefit considerations (such as related to adverse events such as bleeding and trial fibrillation generally and in different sub-populations);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consideration of REDUCE-IT results in the context of other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consideration of the cumulative effect of Vascepa in studied patients; and</w:t>
      </w:r>
    </w:p>
    <w:p>
      <w:pPr>
        <w:spacing w:after="0" w:line="76" w:lineRule="exact"/>
        <w:rPr>
          <w:rFonts w:ascii="Arial" w:cs="Arial" w:eastAsia="Arial" w:hAnsi="Arial"/>
          <w:sz w:val="18"/>
          <w:szCs w:val="18"/>
          <w:color w:val="auto"/>
        </w:rPr>
      </w:pPr>
    </w:p>
    <w:p>
      <w:pPr>
        <w:ind w:left="900" w:right="36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study conduct and data quality, integrity and consistency (including analyses regarding the placebo used in REDUCE-IT and other studies of Vascepa).</w:t>
      </w:r>
    </w:p>
    <w:p>
      <w:pPr>
        <w:spacing w:after="0" w:line="103"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If additional data or analyses released from time to time does not meet expectations, the perception of REDUCE-IT results and the perceived and actual value of Vascepa may suffer. If this occurs, our revenue and business could suffer and our stock price could significantly decline.</w:t>
      </w:r>
    </w:p>
    <w:p>
      <w:pPr>
        <w:spacing w:after="0" w:line="137"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b w:val="1"/>
          <w:bCs w:val="1"/>
          <w:i w:val="1"/>
          <w:iCs w:val="1"/>
          <w:color w:val="auto"/>
        </w:rPr>
        <w:t>Ongoing clinical trials involving Vascepa and similar moderate-to-high doses of eicosapentaenoic acid or icosapent ethyl could influence public perception of Vascepa’s clinical profile and the commercial and regulatory prospects of Vascepa.</w:t>
      </w:r>
    </w:p>
    <w:p>
      <w:pPr>
        <w:spacing w:after="0" w:line="22"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Ongoing trials of moderate-to-high doses of Vascepa and icosapent ethyl or a similar, eicosapentaenoic acid, could provide further information on the effects of Vascepa and its commercial and regulatory prospects. The Effect of Vascepa on Improving Coronary Atherosclerosis in People with High Triglycerides Taking Statin Therapy (EVAPORATE; ClinicalTrials.gov number, NCT02926027), is examining changes in patients’ coronary plaque over 9 to 18 months. The goal of this study is to evaluate whether treatment with Vascepa (4 grams/day) results in a greater change from baseline in low attenuation plaque than placebo in subjects with elevated triglycerides (200-499 mg/dL). Entry criteria for EVAPORATE include: elevated triglycerides (fasting value between 200-499 mg/dL) at qualifying or baseline visit; LDL-C &gt;40 mg/dL and LDL-C ≤115 mg/dL on appropriate statin therapy; stable diet and exercise, as defined as the same pattern for the previous 4 weeks; and stable treatment with a statin with or without ezetimibe for at least 4 weeks. In November 2019, interim data from the EVAPORATE study were presented showing a reduction in total plaque volume when compared with placebo, with no shown reduction of low attenuation plaque volume compared with placebo. This study is continuing as designed and final results are expected to be announced in the second half of 2020. In addition,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2021, but could be announced sooner. If the outcomes of one or both of these studies does not meet expectations, the perception of REDUCE-IT results and the perceived commercial value of Vascepa and its regulatory status may suffer. If this occurs our revenue and business could suffer and our stock price could significantly decline.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32" w:name="page33"/>
    <w:bookmarkEnd w:id="32"/>
    <w:p>
      <w:pPr>
        <w:ind w:left="260" w:right="360"/>
        <w:spacing w:after="0" w:line="277" w:lineRule="auto"/>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 in the United States and developing sales internationally.</w:t>
      </w:r>
    </w:p>
    <w:p>
      <w:pPr>
        <w:spacing w:after="0" w:line="3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It is estimated that over 25 million adults in the United States have elevated triglyceride levels ≥200 mg/dL and that more than 50 million adults in the United States have elevated triglyceride levels ≥150 mg/dL. Approximately 2 to 3 million adults in the United States have very high triglyceride levels (≥500 mg/dL), the MARINE patient population. There are approximately 5 to 15 million people in the United States that meet the specific REDUCE-IT inclusion criteria. Since 1976, mean triglyceride levels have increase in concert with the growing epidemic of obesity, insulin resistance, and type 2 diabetes mellitus. In contrast, mean LDL-C levels have decreased.</w:t>
      </w:r>
    </w:p>
    <w:p>
      <w:pPr>
        <w:spacing w:after="0" w:line="134" w:lineRule="exact"/>
        <w:rPr>
          <w:sz w:val="20"/>
          <w:szCs w:val="20"/>
          <w:color w:val="auto"/>
        </w:rPr>
      </w:pPr>
    </w:p>
    <w:p>
      <w:pPr>
        <w:ind w:right="200" w:firstLine="518"/>
        <w:spacing w:after="0" w:line="290" w:lineRule="auto"/>
        <w:rPr>
          <w:sz w:val="20"/>
          <w:szCs w:val="20"/>
          <w:color w:val="auto"/>
        </w:rPr>
      </w:pPr>
      <w:r>
        <w:rPr>
          <w:rFonts w:ascii="Arial" w:cs="Arial" w:eastAsia="Arial" w:hAnsi="Arial"/>
          <w:sz w:val="16"/>
          <w:szCs w:val="16"/>
          <w:color w:val="auto"/>
        </w:rPr>
        <w:t>Prior to the REDUCE-IT results topline announcement in September 2018, our direct sales force consisted of approximately 170 sales professionals, including sales representatives and their managers. Based on the positive REDUCE-IT results, in early 2019, we increased the size of our sales team to approximately 440 sales professionals, including approximately 400 sales representatives. As a result of the FDA’s newly approved indication and label expansion, we are close to completing the expansion of our direct sales force to approximately 900 sales professionals, including approximately 800 sales representatives. Hiring, training and deploying approximately 400 new sales representatives is a multi-stage process which commenced in July 2019 and is expected to be completed in early 2020. Most of the expanded sales management team needed to support this sales force expansion was hired, or internally promoted, and trained prior to December 31, 2019. This sales team promotes Vascepa to a limited group of physicians and other healthcare professionals in select geographies in the United States. Even after planned expansion, this sales team is not large enough to call upon all physicians.</w:t>
      </w:r>
    </w:p>
    <w:p>
      <w:pPr>
        <w:spacing w:after="0" w:line="112"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In addition to the sales force expansion in the United States, we plan to work ourselves and with partners to support regulatory efforts toward approvals outside the United States based primarily on REDUCE-IT results. We will again need to overcome challenges associated with rapidly hiring and training personnel and managing larger teams of people, directly or through our partners.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77" w:lineRule="exact"/>
        <w:rPr>
          <w:sz w:val="20"/>
          <w:szCs w:val="20"/>
          <w:color w:val="auto"/>
        </w:rPr>
      </w:pPr>
    </w:p>
    <w:p>
      <w:pPr>
        <w:ind w:left="900" w:hanging="379"/>
        <w:spacing w:after="0"/>
        <w:tabs>
          <w:tab w:leader="none" w:pos="9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inability to attract and retain adequate numbers of effective sales and marketing personnel;</w:t>
      </w:r>
    </w:p>
    <w:p>
      <w:pPr>
        <w:spacing w:after="0" w:line="80" w:lineRule="exact"/>
        <w:rPr>
          <w:rFonts w:ascii="Arial" w:cs="Arial" w:eastAsia="Arial" w:hAnsi="Arial"/>
          <w:sz w:val="22"/>
          <w:szCs w:val="22"/>
          <w:color w:val="auto"/>
        </w:rPr>
      </w:pPr>
    </w:p>
    <w:p>
      <w:pPr>
        <w:ind w:left="900" w:hanging="379"/>
        <w:spacing w:after="0"/>
        <w:tabs>
          <w:tab w:leader="none" w:pos="900" w:val="left"/>
        </w:tabs>
        <w:numPr>
          <w:ilvl w:val="0"/>
          <w:numId w:val="17"/>
        </w:numPr>
        <w:rPr>
          <w:rFonts w:ascii="Arial" w:cs="Arial" w:eastAsia="Arial" w:hAnsi="Arial"/>
          <w:sz w:val="19"/>
          <w:szCs w:val="19"/>
          <w:color w:val="auto"/>
        </w:rPr>
      </w:pPr>
      <w:r>
        <w:rPr>
          <w:rFonts w:ascii="Arial" w:cs="Arial" w:eastAsia="Arial" w:hAnsi="Arial"/>
          <w:sz w:val="16"/>
          <w:szCs w:val="16"/>
          <w:color w:val="auto"/>
        </w:rPr>
        <w:t>our inability to adequately train our sales and marketing personnel and our inability to adequately monitor compliance with these requirements;</w:t>
      </w:r>
    </w:p>
    <w:p>
      <w:pPr>
        <w:spacing w:after="0" w:line="69" w:lineRule="exact"/>
        <w:rPr>
          <w:rFonts w:ascii="Arial" w:cs="Arial" w:eastAsia="Arial" w:hAnsi="Arial"/>
          <w:sz w:val="19"/>
          <w:szCs w:val="19"/>
          <w:color w:val="auto"/>
        </w:rPr>
      </w:pPr>
    </w:p>
    <w:p>
      <w:pPr>
        <w:ind w:left="900" w:hanging="379"/>
        <w:spacing w:after="0"/>
        <w:tabs>
          <w:tab w:leader="none" w:pos="9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inability of our new sales personnel, to obtain access to or persuade adequate numbers of physicians to prescribe Vascepa;</w:t>
      </w:r>
    </w:p>
    <w:p>
      <w:pPr>
        <w:spacing w:after="0" w:line="80" w:lineRule="exact"/>
        <w:rPr>
          <w:rFonts w:ascii="Arial" w:cs="Arial" w:eastAsia="Arial" w:hAnsi="Arial"/>
          <w:sz w:val="22"/>
          <w:szCs w:val="22"/>
          <w:color w:val="auto"/>
        </w:rPr>
      </w:pPr>
    </w:p>
    <w:p>
      <w:pPr>
        <w:ind w:left="900" w:right="120" w:hanging="379"/>
        <w:spacing w:after="0" w:line="232" w:lineRule="auto"/>
        <w:tabs>
          <w:tab w:leader="none" w:pos="9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43" w:lineRule="exact"/>
        <w:rPr>
          <w:rFonts w:ascii="Arial" w:cs="Arial" w:eastAsia="Arial" w:hAnsi="Arial"/>
          <w:sz w:val="22"/>
          <w:szCs w:val="22"/>
          <w:color w:val="auto"/>
        </w:rPr>
      </w:pPr>
    </w:p>
    <w:p>
      <w:pPr>
        <w:ind w:left="900" w:hanging="379"/>
        <w:spacing w:after="0"/>
        <w:tabs>
          <w:tab w:leader="none" w:pos="900" w:val="left"/>
        </w:tabs>
        <w:numPr>
          <w:ilvl w:val="0"/>
          <w:numId w:val="17"/>
        </w:numPr>
        <w:rPr>
          <w:rFonts w:ascii="Arial" w:cs="Arial" w:eastAsia="Arial" w:hAnsi="Arial"/>
          <w:sz w:val="21"/>
          <w:szCs w:val="21"/>
          <w:color w:val="auto"/>
        </w:rPr>
      </w:pPr>
      <w:r>
        <w:rPr>
          <w:rFonts w:ascii="Arial" w:cs="Arial" w:eastAsia="Arial" w:hAnsi="Arial"/>
          <w:sz w:val="17"/>
          <w:szCs w:val="17"/>
          <w:color w:val="auto"/>
        </w:rPr>
        <w:t>an inability by us or our partners to obtain regulatory and marketing approval or establish marketing channels in foreign jurisdictions; and</w:t>
      </w:r>
    </w:p>
    <w:p>
      <w:pPr>
        <w:spacing w:after="0" w:line="57" w:lineRule="exact"/>
        <w:rPr>
          <w:rFonts w:ascii="Arial" w:cs="Arial" w:eastAsia="Arial" w:hAnsi="Arial"/>
          <w:sz w:val="21"/>
          <w:szCs w:val="21"/>
          <w:color w:val="auto"/>
        </w:rPr>
      </w:pPr>
    </w:p>
    <w:p>
      <w:pPr>
        <w:ind w:left="900" w:hanging="379"/>
        <w:spacing w:after="0"/>
        <w:tabs>
          <w:tab w:leader="none" w:pos="9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175"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past and future off-label promotion of Vascepa could subject us to additional regulatory scrutiny and present unforeseen risks.</w:t>
      </w:r>
    </w:p>
    <w:p>
      <w:pPr>
        <w:spacing w:after="0" w:line="8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 Federal Food, Drug, and Cosmetic Act, or FDCA, has been interpreted by the FDA and the U.S. government to make it illegal for pharmaceutical companies to promote their FDA approved products for uses that have not been approved by the FDA. Companies that market drugs for off-label uses or indications have been subject to related costly litigation, criminal penalties and civil liability under the FDCA and the False Claims Act. However, case law over the last several years has called into question the extent to which government in the United States, including FDA, can, and is willing to seek to, prevent truthful and non-misleading speech related to off-label uses of FDA-approved products such as Vascepa.</w:t>
      </w:r>
    </w:p>
    <w:p>
      <w:pPr>
        <w:spacing w:after="0" w:line="11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FDA and is thus not covered by current FDA-approved labeling for the drug. Promotion of an off-label use has generally been considered by the FDA to be illegal under the FDCA.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3" w:name="page34"/>
    <w:bookmarkEnd w:id="33"/>
    <w:p>
      <w:pPr>
        <w:ind w:right="20"/>
        <w:spacing w:after="0" w:line="271" w:lineRule="auto"/>
        <w:rPr>
          <w:sz w:val="20"/>
          <w:szCs w:val="20"/>
          <w:color w:val="auto"/>
        </w:rPr>
      </w:pPr>
      <w:r>
        <w:rPr>
          <w:rFonts w:ascii="Arial" w:cs="Arial" w:eastAsia="Arial" w:hAnsi="Arial"/>
          <w:sz w:val="17"/>
          <w:szCs w:val="17"/>
          <w:color w:val="auto"/>
        </w:rPr>
        <w:t xml:space="preserve">The lawsuit, captioned </w:t>
      </w:r>
      <w:r>
        <w:rPr>
          <w:rFonts w:ascii="Arial" w:cs="Arial" w:eastAsia="Arial" w:hAnsi="Arial"/>
          <w:sz w:val="17"/>
          <w:szCs w:val="17"/>
          <w:i w:val="1"/>
          <w:iCs w:val="1"/>
          <w:color w:val="auto"/>
        </w:rPr>
        <w:t>Amarin Pharma, Inc., et al. v. Food &amp; Drug Administration, et al.</w:t>
      </w:r>
      <w:r>
        <w:rPr>
          <w:rFonts w:ascii="Arial" w:cs="Arial" w:eastAsia="Arial" w:hAnsi="Arial"/>
          <w:sz w:val="17"/>
          <w:szCs w:val="17"/>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w:t>
      </w:r>
    </w:p>
    <w:p>
      <w:pPr>
        <w:spacing w:after="0" w:line="134"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11"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and from the REDUCE-IT trial in a manner that we believe is truthful and non-misleading and thus protected under the freedom of speech clause of the First Amendment to the United States Constitution.</w:t>
      </w:r>
    </w:p>
    <w:p>
      <w:pPr>
        <w:spacing w:after="0" w:line="10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We, the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9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24"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uses, even though such products do not have FDA approval to reduce CV risk on top of statin therapy.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34" w:name="page35"/>
    <w:bookmarkEnd w:id="34"/>
    <w:p>
      <w:pPr>
        <w:ind w:right="80" w:firstLine="518"/>
        <w:spacing w:after="0" w:line="297" w:lineRule="auto"/>
        <w:rPr>
          <w:sz w:val="20"/>
          <w:szCs w:val="20"/>
          <w:color w:val="auto"/>
        </w:rPr>
      </w:pPr>
      <w:r>
        <w:rPr>
          <w:rFonts w:ascii="Arial" w:cs="Arial" w:eastAsia="Arial" w:hAnsi="Arial"/>
          <w:sz w:val="16"/>
          <w:szCs w:val="16"/>
          <w:color w:val="auto"/>
        </w:rPr>
        <w:t>In addition, in May 2014, Epanova</w:t>
      </w:r>
      <w:r>
        <w:rPr>
          <w:rFonts w:ascii="Arial" w:cs="Arial" w:eastAsia="Arial" w:hAnsi="Arial"/>
          <w:sz w:val="13"/>
          <w:szCs w:val="13"/>
          <w:color w:val="auto"/>
        </w:rPr>
        <w:t>®</w:t>
      </w:r>
      <w:r>
        <w:rPr>
          <w:rFonts w:ascii="Arial" w:cs="Arial" w:eastAsia="Arial" w:hAnsi="Arial"/>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or AstraZeneca. Also, in April 2014, Omtryg, another omega-3-acid fatty acid composition developed by Trygg Pharma AS, received FDA approval for severe hypertriglyceridemia. Neither Epanova nor Omtryg have been commercially launched, but could launch at any time. AstraZeneca has greater resources than we do, including financial, product development, marketing, personnel and other resources.</w:t>
      </w:r>
    </w:p>
    <w:p>
      <w:pPr>
        <w:spacing w:after="0" w:line="104"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AstraZeneca had been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AstraZeneca also stated that full data from the STRENGTH trial will be presented at a future medical meeting. In addition, in March 2017, Kowa Research Institute (a subsidiary of the Japanese company Kowa Co., Ltd) initiated a phase III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4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11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Likewise, in 2018, results from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UK cohort of over 15,000 individuals with diabetes who do not have atherosclerotic cardiovascular disease.</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In a meta-analysis, presented in 2018 by the Cochran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35"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are also aware of other pharmaceutical companies that are developing products that, if successfully developed, approved and marketed, would compete with Vascepa.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4"/>
          <w:szCs w:val="14"/>
          <w:color w:val="auto"/>
        </w:rPr>
        <w:t>®</w:t>
      </w:r>
      <w:r>
        <w:rPr>
          <w:rFonts w:ascii="Arial" w:cs="Arial" w:eastAsia="Arial" w:hAnsi="Arial"/>
          <w:sz w:val="17"/>
          <w:szCs w:val="17"/>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In the first quarter of 2018, Acasti initiated a Phase 3 clinical program (TRILOGY 1 &amp; 2) to assess the safety and efficacy of CaPre in patients with very high (≥500 mg/dL) triglycerides. In January 2020, Acasti announced topline results of the Trilogy 1 trial of CaPre. The study did not reach statistical significance and further analysis in underway. In February 2020, Acasti announced their intention to request a meeting with the FDA to discuss the TRILOGY 1 data and will seek guidance about how to conduct the analysis of the TRILOGY 2 data. As a result, Acasti also stated that they expect to announce topline results of TRILOGY 2 in the third quarter of 2020. NDA submission (if any) and resultant review/approval timelines will be announced following completion of Trilogy 1 and 2 data analysis. 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5" w:name="page36"/>
    <w:bookmarkEnd w:id="35"/>
    <w:p>
      <w:pPr>
        <w:ind w:right="100" w:firstLine="518"/>
        <w:spacing w:after="0" w:line="272" w:lineRule="auto"/>
        <w:rPr>
          <w:sz w:val="20"/>
          <w:szCs w:val="20"/>
          <w:color w:val="auto"/>
        </w:rPr>
      </w:pPr>
      <w:r>
        <w:rPr>
          <w:rFonts w:ascii="Arial" w:cs="Arial" w:eastAsia="Arial" w:hAnsi="Arial"/>
          <w:sz w:val="17"/>
          <w:szCs w:val="17"/>
          <w:color w:val="auto"/>
        </w:rPr>
        <w:t>Matinas BioPharma, Inc., or Matinas, is developing an omega-3-based therapeutic (MAT9001) for the treatment of severe hypertriglyceridemia and mixed dyslipidemia. In the fourth quarter of 2014, Matinas filed an IND with the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September 2019, Matinas announced that it will begin a comparative clinical bridging bioavailability study in the fourth calendar quarter of 2019, with expected completion in the first half of 2020, and has planned an additional Phase 2 head-to-head pharmacokinetic and pharmacodynamic study (ENHANCE-IT) against Vascepa in patients with elevated triglycerides (150-499 mg/dL). Patient enrollment is expected to commence in early 2020, with topline data expected in the fourth quarter of 2020. Matinas anticipates initiating a Phase 3 placebo-controlled study of MAT9001 in statin-treated patients with high risk hypertriglyceridemia by the end of 2020.</w:t>
      </w:r>
    </w:p>
    <w:p>
      <w:pPr>
        <w:spacing w:after="0" w:line="129"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In June 2018, Gemphire Therapeutics (renamed NeuroBo Pharmaceuticals, Inc. following completion of a merger on December 31, 2019) announced positive topline results from a Phase 2b trial (INDIGO-1) of its drug candidate, gemcabene, in patients with severe hypertriglyceridemia. Gemcabene is an oral, once-daily pill for a number of hypercholesterolemic populations and severe hypertriglyceridemia. In August 2018, the FDA requested that Gemphire conduct an additional long-term toxicity study before commencing any further clinical testing, thereby effectively placing gemcabene on clinical hold. Gemphire expects to submit a request to the FDA to lift the clinical hold in the fourth quarter of 2019. In June 2019, Gemphire announced top-line clinical results from a Phase II trial in Familial Partial Lipodystrophy (FPL)/NASH in which Gemcabene safely met the primary endpoint in a sub-set of patients. Phase III studies for homozygous familial hypercholesterolemia (HoFH), heterozygous familial hypercholesterolemia (HeFH) and non-familial hypercholesterolemia in ASCVD patients are planned. Afimmune Ltd. has an oral, small molecule drug candidate, epeleuton (DS-102), in development for a number of conditions of the liver and lung, including severe hypertriglyceridemia, Phase 2 clinical trials are currently ongoing for non-alcoholic fatty liver disease, or NAFLD, and chronic obstructive pulmonary disease, or COPD, in the United States. In November 2019, Afimmune Ltd. announced positive results from an exploratory Phase 2 study of epeleuton in patients with NAFLD in which the molecule decreased triglycerides, improved glycemic control, and decreased markers of inflammation.</w:t>
      </w:r>
    </w:p>
    <w:p>
      <w:pPr>
        <w:spacing w:after="0" w:line="126"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outcomes study data, with the potential exception of therapies which lower LDL-cholesterol. In particular, it is our understanding that the FDA is not prepared to approve any therapy based primarily on data demonstrating lowering of triglyceride levels. In our view, this position from the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180" w:lineRule="exact"/>
        <w:rPr>
          <w:sz w:val="20"/>
          <w:szCs w:val="20"/>
          <w:color w:val="auto"/>
        </w:rPr>
      </w:pPr>
    </w:p>
    <w:p>
      <w:pPr>
        <w:ind w:left="260" w:right="20"/>
        <w:spacing w:after="0" w:line="264" w:lineRule="auto"/>
        <w:rPr>
          <w:sz w:val="20"/>
          <w:szCs w:val="20"/>
          <w:color w:val="auto"/>
        </w:rPr>
      </w:pPr>
      <w:r>
        <w:rPr>
          <w:rFonts w:ascii="Arial" w:cs="Arial" w:eastAsia="Arial" w:hAnsi="Arial"/>
          <w:sz w:val="18"/>
          <w:szCs w:val="18"/>
          <w:b w:val="1"/>
          <w:bCs w:val="1"/>
          <w:i w:val="1"/>
          <w:iCs w:val="1"/>
          <w:color w:val="auto"/>
        </w:rPr>
        <w:t>Generic company competitors are seeking FDA approval of generic versions of Vascepa in the United States. We are now engaged in related patent litigation based on our MARINE trial-based indication, expect appeals of any judgment, and expect additional patent litigation given FDA approval of a REDUCE-IT-based indication.</w:t>
      </w:r>
    </w:p>
    <w:p>
      <w:pPr>
        <w:spacing w:after="0" w:line="46"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2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6" w:name="page37"/>
    <w:bookmarkEnd w:id="36"/>
    <w:p>
      <w:pPr>
        <w:ind w:right="40" w:firstLine="518"/>
        <w:spacing w:after="0" w:line="259"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38" w:lineRule="exact"/>
        <w:rPr>
          <w:sz w:val="20"/>
          <w:szCs w:val="20"/>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no patent information listed for the reference drug;</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listed patent for the reference drug has not expired, but will expire on a particular date and approval is sought after patent expiration; or</w:t>
      </w:r>
    </w:p>
    <w:p>
      <w:pPr>
        <w:spacing w:after="0" w:line="88" w:lineRule="exact"/>
        <w:rPr>
          <w:sz w:val="20"/>
          <w:szCs w:val="20"/>
          <w:color w:val="auto"/>
        </w:rPr>
      </w:pPr>
    </w:p>
    <w:p>
      <w:pPr>
        <w:ind w:left="900" w:right="120" w:hanging="377"/>
        <w:spacing w:after="0" w:line="277" w:lineRule="auto"/>
        <w:rPr>
          <w:sz w:val="20"/>
          <w:szCs w:val="20"/>
          <w:color w:val="auto"/>
        </w:rPr>
      </w:pPr>
      <w:r>
        <w:rPr>
          <w:rFonts w:ascii="Arial" w:cs="Arial" w:eastAsia="Arial" w:hAnsi="Arial"/>
          <w:sz w:val="18"/>
          <w:szCs w:val="18"/>
          <w:color w:val="auto"/>
        </w:rPr>
        <w:t>(IV) the listed patent for the reference drug is invalid, unenforceable, or will not be infringed by the manufacture, use or sale of the product for which the ANDA or 505(b)(2) NDA is submitted.</w:t>
      </w:r>
    </w:p>
    <w:p>
      <w:pPr>
        <w:spacing w:after="0" w:line="116"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00"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1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first half of 2014, we received six paragraph IV notices notifying us of accepted ANDAs to the Vascepa 1-gram dose strength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3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new chemical entity, or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2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in July 2015, we moved to dismiss the pending patent infringement lawsuits against each of the Vascepa ANDA applicants in the U.S. District Court for the District of New Jersey.</w:t>
      </w:r>
    </w:p>
    <w:p>
      <w:pPr>
        <w:spacing w:after="0" w:line="134"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On May 31, 2016, in a reversal that FDA and we view as consistent with the court’s May 28, 2015 summary judgment motion, FDA determined that Vascepa was eligible for five-year, NCE marketing exclusivity. This determination provided Vascepa with the benefits of NCE exclusivity afforded by statute. NCE exclusivity for Vascepa ran from its date of FDA approval on July 26, 2012 and extended until July 26, 2017. The statutory NCE-related 30-month stay triggered by the 1-gram dose patent litigation following generic application submissions permitted on July 26, 2016 expired on January 26, 2020, seven-and-a-half years from FDA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7" w:name="page38"/>
    <w:bookmarkEnd w:id="37"/>
    <w:p>
      <w:pPr>
        <w:ind w:right="60" w:firstLine="518"/>
        <w:spacing w:after="0" w:line="259" w:lineRule="auto"/>
        <w:rPr>
          <w:sz w:val="20"/>
          <w:szCs w:val="20"/>
          <w:color w:val="auto"/>
        </w:rPr>
      </w:pPr>
      <w:r>
        <w:rPr>
          <w:rFonts w:ascii="Arial" w:cs="Arial" w:eastAsia="Arial" w:hAnsi="Arial"/>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 expected given the eligibility for submission of ANDAs under the NCE regulatory structure, after the expiration of four years from the July 2012 approval of Vascepa.</w:t>
      </w:r>
    </w:p>
    <w:p>
      <w:pPr>
        <w:spacing w:after="0" w:line="133"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Roxane Laboratories, Inc. et al.</w:t>
      </w:r>
      <w:r>
        <w:rPr>
          <w:rFonts w:ascii="Arial" w:cs="Arial" w:eastAsia="Arial" w:hAnsi="Arial"/>
          <w:sz w:val="16"/>
          <w:szCs w:val="16"/>
          <w:color w:val="auto"/>
        </w:rPr>
        <w:t>, Civ. A. No. 2:16-cv-02525 (D. Nev.). According to a stipulation filed with the Nevada court,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Arial" w:cs="Arial" w:eastAsia="Arial" w:hAnsi="Arial"/>
          <w:sz w:val="16"/>
          <w:szCs w:val="16"/>
          <w:i w:val="1"/>
          <w:iCs w:val="1"/>
          <w:color w:val="auto"/>
        </w:rPr>
        <w:t>Amarin Pharma, Inc. et al. v. West-Ward Pharmaceuticals Corp. et al.</w:t>
      </w:r>
      <w:r>
        <w:rPr>
          <w:rFonts w:ascii="Arial" w:cs="Arial" w:eastAsia="Arial" w:hAnsi="Arial"/>
          <w:sz w:val="16"/>
          <w:szCs w:val="16"/>
          <w:color w:val="auto"/>
        </w:rPr>
        <w:t>, Civ. A. No. 2:16-cv-02525 (D. Nev.). In November 2016, Amarin filed a lawsuit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against Dr. Reddy’s Laboratories, Inc. and Dr. Reddy’s Laboratories, Ltd., collectively, DRL, in the U.S. District Court for the District of Nevada. The case against DRL is captioned </w:t>
      </w:r>
      <w:r>
        <w:rPr>
          <w:rFonts w:ascii="Arial" w:cs="Arial" w:eastAsia="Arial" w:hAnsi="Arial"/>
          <w:sz w:val="16"/>
          <w:szCs w:val="16"/>
          <w:i w:val="1"/>
          <w:iCs w:val="1"/>
          <w:color w:val="auto"/>
        </w:rPr>
        <w:t>Amarin Pharma, Inc. et al. v. Dr. Reddy’s Laboratories, Inc. et al.</w:t>
      </w:r>
      <w:r>
        <w:rPr>
          <w:rFonts w:ascii="Arial" w:cs="Arial" w:eastAsia="Arial" w:hAnsi="Arial"/>
          <w:sz w:val="16"/>
          <w:szCs w:val="16"/>
          <w:color w:val="auto"/>
        </w:rPr>
        <w:t xml:space="preserve">, Civ. A. No. 2:16-cv-02562 (D. Nev.). In November 2016, Amarin filed a lawsuit against Teva Pharmaceuticals USA, Inc. and Teva Pharmaceuticals Industries Limited, or collectively, Teva, in the U.S. District Court for the District of Nevada. The case against Teva was captioned </w:t>
      </w:r>
      <w:r>
        <w:rPr>
          <w:rFonts w:ascii="Arial" w:cs="Arial" w:eastAsia="Arial" w:hAnsi="Arial"/>
          <w:sz w:val="16"/>
          <w:szCs w:val="16"/>
          <w:i w:val="1"/>
          <w:iCs w:val="1"/>
          <w:color w:val="auto"/>
        </w:rPr>
        <w:t>Amarin Pharma, Inc. et al. v. Teva Pharmaceuticals USA, Inc. et al.</w:t>
      </w:r>
      <w:r>
        <w:rPr>
          <w:rFonts w:ascii="Arial" w:cs="Arial" w:eastAsia="Arial" w:hAnsi="Arial"/>
          <w:sz w:val="16"/>
          <w:szCs w:val="16"/>
          <w:color w:val="auto"/>
        </w:rPr>
        <w:t>, Civ. A. No. 2:16-cv-02658. In all three lawsuits, we are seeking, among other remedies, an order enjoining each defendant from marketing generic versions of the 1-gram dose strength of Vascepa before the last to expire of the asserted patents in 2030. The three lawsuits have been consolidated for pretrial proceedings.</w:t>
      </w:r>
    </w:p>
    <w:p>
      <w:pPr>
        <w:spacing w:after="0" w:line="12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fourth ANDA applicant referenced above is Apotex Inc., or Apotex, which sent us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Amendments.</w:t>
      </w:r>
    </w:p>
    <w:p>
      <w:pPr>
        <w:spacing w:after="0" w:line="11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U.S. District Court for the District of Nevada. The case was captioned </w:t>
      </w:r>
      <w:r>
        <w:rPr>
          <w:rFonts w:ascii="Arial" w:cs="Arial" w:eastAsia="Arial" w:hAnsi="Arial"/>
          <w:sz w:val="17"/>
          <w:szCs w:val="17"/>
          <w:i w:val="1"/>
          <w:iCs w:val="1"/>
          <w:color w:val="auto"/>
        </w:rPr>
        <w:t>Amarin Pharma, Inc. et al. v. Teva Pharmaceuticals USA, Inc. et al.,</w:t>
      </w:r>
      <w:r>
        <w:rPr>
          <w:rFonts w:ascii="Arial" w:cs="Arial" w:eastAsia="Arial" w:hAnsi="Arial"/>
          <w:sz w:val="17"/>
          <w:szCs w:val="17"/>
          <w:color w:val="auto"/>
        </w:rPr>
        <w:t xml:space="preserve"> Civ. A. No. 2:17-cv-2641 (D. Nev.). In this lawsuit, we sought, among other remedies, an order enjoining Teva from marketing generic versions of the 0.5-gram dose strength of Vascepa before the last to expire of the asserted patents in 2030.</w:t>
      </w:r>
    </w:p>
    <w:p>
      <w:pPr>
        <w:spacing w:after="0" w:line="124"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us certain royalties on its generic Vascepa products. The ANDA patent litigation continued in the United States District Court for the District of Nevada with parties West-Ward and DRL. The trial for this litigation took place from mid to late January 2020 and a decision, based on statements by the Court, is expected by the end of March 2020.</w:t>
      </w:r>
    </w:p>
    <w:p>
      <w:pPr>
        <w:spacing w:after="0" w:line="124"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 xml:space="preserve">In July 2018, as anticipated,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August 2018, we filed a patent infringement lawsuit against DRL in the U.S. District Court for the District of Nevada. The case was captioned </w:t>
      </w:r>
      <w:r>
        <w:rPr>
          <w:rFonts w:ascii="Arial" w:cs="Arial" w:eastAsia="Arial" w:hAnsi="Arial"/>
          <w:sz w:val="18"/>
          <w:szCs w:val="18"/>
          <w:i w:val="1"/>
          <w:iCs w:val="1"/>
          <w:color w:val="auto"/>
        </w:rPr>
        <w:t>Amarin Pharma, Inc. et al. v. Dr. Reddy’s</w:t>
      </w:r>
      <w:r>
        <w:rPr>
          <w:rFonts w:ascii="Arial" w:cs="Arial" w:eastAsia="Arial" w:hAnsi="Arial"/>
          <w:sz w:val="18"/>
          <w:szCs w:val="18"/>
          <w:color w:val="auto"/>
        </w:rPr>
        <w:t xml:space="preserve"> </w:t>
      </w:r>
      <w:r>
        <w:rPr>
          <w:rFonts w:ascii="Arial" w:cs="Arial" w:eastAsia="Arial" w:hAnsi="Arial"/>
          <w:sz w:val="18"/>
          <w:szCs w:val="18"/>
          <w:i w:val="1"/>
          <w:iCs w:val="1"/>
          <w:color w:val="auto"/>
        </w:rPr>
        <w:t>Laboratories, Inc. et al</w:t>
      </w:r>
      <w:r>
        <w:rPr>
          <w:rFonts w:ascii="Arial" w:cs="Arial" w:eastAsia="Arial" w:hAnsi="Arial"/>
          <w:sz w:val="18"/>
          <w:szCs w:val="18"/>
          <w:color w:val="auto"/>
        </w:rPr>
        <w:t>., Civ. A. No. 2:18-cv-01596 (D. Nev.). In this lawsuit, we are seeking, among other remedies, an order enjoining DRL from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8" w:name="page39"/>
    <w:bookmarkEnd w:id="38"/>
    <w:p>
      <w:pPr>
        <w:ind w:right="60" w:firstLine="518"/>
        <w:spacing w:after="0" w:line="287" w:lineRule="auto"/>
        <w:rPr>
          <w:sz w:val="20"/>
          <w:szCs w:val="20"/>
          <w:color w:val="auto"/>
        </w:rPr>
      </w:pPr>
      <w:r>
        <w:rPr>
          <w:rFonts w:ascii="Arial" w:cs="Arial" w:eastAsia="Arial" w:hAnsi="Arial"/>
          <w:sz w:val="16"/>
          <w:szCs w:val="16"/>
          <w:color w:val="auto"/>
        </w:rPr>
        <w:t>We expect to face similar patent litigation related to the patents filed in the Orange Book related to the REDUCE-IT study. In addition,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the approval of our sNDA for REDUCE-IT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until December 13, 2022, three years from the date of FDA approval of the REDUCE-IT sNDA. While this three-year exclusivity would prevent such an approval based on our REDUCE-IT indication during such time, it does not preclude tentative or final approval of an ANDA based on our MARINE indication. The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FDA from approving an NDA that relies only on its own data to support the change or innovation. Regulatory exclusivity is in addition to exclusivity afforded by issued patents related to Vascepa.</w:t>
      </w:r>
    </w:p>
    <w:p>
      <w:pPr>
        <w:spacing w:after="0" w:line="115"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We may also face challenges to the validity of our patents through a procedure known as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is a trial proceeding conducted through the Patent Trial and Appeal Board, or PTAB, of the U.S. Patent and Trademark Office.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34"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 xml:space="preserve">We intend to vigorously enforce our intellectual property rights relating to Vascepa, but we cannot predict the outcome of the pending lawsuits or any subsequently filed lawsuits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w:t>
      </w:r>
    </w:p>
    <w:p>
      <w:pPr>
        <w:spacing w:after="0" w:line="116"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If an ANDA filer meets the approval requirements for a generic version of Vascepa to the satisfaction of the FDA under its ANDA,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134"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statutory NCE-related 30-month stay triggered by the 1-gram dose patent litigation following generic application submissions permitted on July 26, 2016 expired on January 26, 2020, seven-and-a-half years from our initial FDA approval of Vascepa. However, based on court proceedings, we do not expect an at-risk launch from either generic filer before the court issues a decision on the merits in the pending MARINE-related patent litigation, which decision, based on statements by the Court, is expected by the end of March 2020. Based on historical practice in the field, we expect the final decision by the Court on the merits of this MARINE-related patent litigation to be appealed by the losing parties. The timing of such appeal proceedings and an outcome on the merits is difficult to predict. It is not uncommon for such an appeal to take from several months to approximately one year until judgment. Based on our current understanding of the strength of our position in the litigation, if the Court were to rule against us, we expect we would file an expedited motion for an injunction to prevent any generic launch while the appeal is pending. We believe we would be favorably situated to obtain an injunction against generic launch pending appeal, subject to our posting a bond to secure generics’ lost profits in the event that generics prevail on appeal. There can be no guarantee we would be successful in any of such efforts.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final approval of a generic ANDA is granted, an ANDA filer is able to supply the product in significant commercial quantities and circumstances described in the preceding paragraph do not maintain the status quo as it existed prior to any adverse Court ruling, generic companies could introduce generic versions of Vascepa in the market. Any such introduction of a generic version of Vascepa would also be subject to current patent infringement claims that may then be subject to an appeal.</w:t>
      </w:r>
    </w:p>
    <w:p>
      <w:pPr>
        <w:spacing w:after="0" w:line="133" w:lineRule="exact"/>
        <w:rPr>
          <w:sz w:val="20"/>
          <w:szCs w:val="20"/>
          <w:color w:val="auto"/>
        </w:rPr>
      </w:pPr>
    </w:p>
    <w:p>
      <w:pPr>
        <w:ind w:right="320" w:firstLine="518"/>
        <w:spacing w:after="0" w:line="286" w:lineRule="auto"/>
        <w:rPr>
          <w:sz w:val="20"/>
          <w:szCs w:val="20"/>
          <w:color w:val="auto"/>
        </w:rPr>
      </w:pPr>
      <w:r>
        <w:rPr>
          <w:rFonts w:ascii="Arial" w:cs="Arial" w:eastAsia="Arial" w:hAnsi="Arial"/>
          <w:sz w:val="17"/>
          <w:szCs w:val="17"/>
          <w:color w:val="auto"/>
        </w:rPr>
        <w:t>Any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79" w:lineRule="exact"/>
        <w:rPr>
          <w:sz w:val="20"/>
          <w:szCs w:val="20"/>
          <w:color w:val="auto"/>
        </w:rPr>
      </w:pPr>
    </w:p>
    <w:p>
      <w:pPr>
        <w:ind w:left="260" w:right="44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1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9" w:name="page40"/>
    <w:bookmarkEnd w:id="39"/>
    <w:p>
      <w:pPr>
        <w:ind w:right="40"/>
        <w:spacing w:after="0" w:line="257" w:lineRule="auto"/>
        <w:rPr>
          <w:sz w:val="20"/>
          <w:szCs w:val="20"/>
          <w:color w:val="auto"/>
        </w:rPr>
      </w:pPr>
      <w:r>
        <w:rPr>
          <w:rFonts w:ascii="Arial" w:cs="Arial" w:eastAsia="Arial" w:hAnsi="Arial"/>
          <w:sz w:val="18"/>
          <w:szCs w:val="18"/>
          <w:color w:val="auto"/>
        </w:rPr>
        <w:t>view the pharmaceutical grade purity and proven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34" w:lineRule="exact"/>
        <w:rPr>
          <w:sz w:val="20"/>
          <w:szCs w:val="20"/>
          <w:color w:val="auto"/>
        </w:rPr>
      </w:pPr>
    </w:p>
    <w:p>
      <w:pPr>
        <w:ind w:right="260" w:firstLine="518"/>
        <w:spacing w:after="0" w:line="302" w:lineRule="auto"/>
        <w:rPr>
          <w:sz w:val="20"/>
          <w:szCs w:val="20"/>
          <w:color w:val="auto"/>
        </w:rPr>
      </w:pPr>
      <w:r>
        <w:rPr>
          <w:rFonts w:ascii="Arial" w:cs="Arial" w:eastAsia="Arial" w:hAnsi="Arial"/>
          <w:sz w:val="16"/>
          <w:szCs w:val="16"/>
          <w:color w:val="auto"/>
        </w:rPr>
        <w:t>Also, for more than a decade now,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Such companies are not, however, permitted, based on FDA enforcement activity, to make claims that suggest or imply treatment of cardiovascular disease.</w:t>
      </w:r>
    </w:p>
    <w:p>
      <w:pPr>
        <w:spacing w:after="0" w:line="10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116"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For example, on October 29, 2018, Amarin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Amarin’s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11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Similarly, on August 30, 2017, Amarin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We have also engaged with FDA on the topic of synthetically produced omega-3 products through the citizen’s petition process and otherwise.</w:t>
      </w:r>
    </w:p>
    <w:p>
      <w:pPr>
        <w:spacing w:after="0" w:line="13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highly price-competitive for patients generally, and in particular when covered by insurance—cheaper in many cases—any of these outcomes may adversely impact our results of operations by limiting how we price our product and limiting the revenue we receive from the sale of Vascepa due to reduced market acceptance.</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may be smaller than we anticipate.</w:t>
      </w:r>
    </w:p>
    <w:p>
      <w:pPr>
        <w:spacing w:after="0" w:line="7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There can be no assurance as to the adequacy for commercial success of Vascepa outside the United States. For example, even if we obtain approval to commercialize Vascepa in Europe or we and Eddingpharm obtain marketing approval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w:t>
      </w:r>
    </w:p>
    <w:p>
      <w:pPr>
        <w:spacing w:after="0" w:line="11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Also, there is a degree of unpredictability with regard to the eventual pricing and reimbursement levels of medications in markets outside the United States. In some foreign countries, including Canada and major markets in the European Union,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 If the pricing and reimbursement levels of Vascepa are lower than we anticipate, then affordability of, and market access to, Vascepa may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40" w:name="page41"/>
    <w:bookmarkEnd w:id="40"/>
    <w:p>
      <w:pPr>
        <w:ind w:right="20"/>
        <w:spacing w:after="0" w:line="279" w:lineRule="auto"/>
        <w:rPr>
          <w:sz w:val="20"/>
          <w:szCs w:val="20"/>
          <w:color w:val="auto"/>
        </w:rPr>
      </w:pPr>
      <w:r>
        <w:rPr>
          <w:rFonts w:ascii="Arial" w:cs="Arial" w:eastAsia="Arial" w:hAnsi="Arial"/>
          <w:sz w:val="17"/>
          <w:szCs w:val="17"/>
          <w:color w:val="auto"/>
        </w:rPr>
        <w:t>be adversely affected and thus market potential in these territories would suffer. We or our partners may even choose to not proceed with marketing Vascepa in a market, even after a regulatory approval, due to negative commercial dynamics. Furthermore, with regard to any indications for which we may gain approval in territories outside the United States, the number of actual patients with the condition included in such approved indication may be smaller than we anticipate. If any of these market dynamics exist, the commercial potential in these territories for our product would suffer.</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90"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With respect to sales and marketing activities,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35"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We participate in the U.S. Medicaid Drug Rebate Program, the Federal Supply Schedule of the U.S. Department of Veterans Affairs, or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15"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Pharmaceuticals America, Inc. In addition, even if we comply with FDA and other requirements, new information regarding the safety or effectiveness of a product could lead the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in certain territories we may need to rely on third parties, such as our partners in Canada, China and the Middle East, to assist us in dealing with any such issues.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Legislative or regulatory reform of the healthcare system in the United States and foreign jurisdictions may affect our ability to profitably sell Vascepa.</w:t>
      </w:r>
    </w:p>
    <w:p>
      <w:pPr>
        <w:spacing w:after="0" w:line="11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1" w:name="page42"/>
    <w:bookmarkEnd w:id="41"/>
    <w:p>
      <w:pPr>
        <w:ind w:firstLine="518"/>
        <w:spacing w:after="0" w:line="271"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2029 unless Congress takes additional action. These cuts reduce reimbursement payments related to our products, which could potentially negatively impact our revenue.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30" w:lineRule="exact"/>
        <w:rPr>
          <w:sz w:val="20"/>
          <w:szCs w:val="20"/>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76" w:lineRule="exact"/>
        <w:rPr>
          <w:rFonts w:ascii="Arial" w:cs="Arial" w:eastAsia="Arial" w:hAnsi="Arial"/>
          <w:sz w:val="18"/>
          <w:szCs w:val="18"/>
          <w:color w:val="auto"/>
        </w:rPr>
      </w:pPr>
    </w:p>
    <w:p>
      <w:pPr>
        <w:ind w:left="1020" w:right="300" w:hanging="377"/>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21" w:lineRule="exact"/>
        <w:rPr>
          <w:rFonts w:ascii="Arial" w:cs="Arial" w:eastAsia="Arial" w:hAnsi="Arial"/>
          <w:sz w:val="18"/>
          <w:szCs w:val="18"/>
          <w:color w:val="auto"/>
        </w:rPr>
      </w:pPr>
    </w:p>
    <w:p>
      <w:pPr>
        <w:ind w:left="1020" w:right="320" w:hanging="377"/>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116"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Trump administration is currently assessing additional proposals that are designed to affect drug pricing, such as tying U.S. drug prices to prices outside the United States.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115"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4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These and similar regulatory dynamics can affect our ability to sell Vascepa on commercially reasonable terms and limit the commercial value of Vascepa.</w:t>
      </w:r>
    </w:p>
    <w:p>
      <w:pPr>
        <w:spacing w:after="0" w:line="184" w:lineRule="exact"/>
        <w:rPr>
          <w:sz w:val="20"/>
          <w:szCs w:val="20"/>
          <w:color w:val="auto"/>
        </w:rPr>
      </w:pPr>
    </w:p>
    <w:p>
      <w:pPr>
        <w:ind w:left="26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46"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25"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2" w:name="page43"/>
    <w:bookmarkEnd w:id="42"/>
    <w:p>
      <w:pPr>
        <w:ind w:right="20" w:firstLine="518"/>
        <w:spacing w:after="0" w:line="28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1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24"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24"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1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or VA, Federal Supply Schedule, or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38"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43" w:name="page44"/>
    <w:bookmarkEnd w:id="43"/>
    <w:p>
      <w:pPr>
        <w:ind w:left="260" w:right="40"/>
        <w:spacing w:after="0" w:line="277" w:lineRule="auto"/>
        <w:rPr>
          <w:sz w:val="20"/>
          <w:szCs w:val="20"/>
          <w:color w:val="auto"/>
        </w:rPr>
      </w:pPr>
      <w:r>
        <w:rPr>
          <w:rFonts w:ascii="Arial" w:cs="Arial" w:eastAsia="Arial" w:hAnsi="Arial"/>
          <w:sz w:val="18"/>
          <w:szCs w:val="18"/>
          <w:b w:val="1"/>
          <w:bCs w:val="1"/>
          <w:i w:val="1"/>
          <w:iCs w:val="1"/>
          <w:color w:val="auto"/>
        </w:rPr>
        <w:t>Changes in reimbursement procedures by government and other third-party payors may limit our ability to market and sell our approved drugs. These changes could have a material adverse effect on our business and financial condition.</w:t>
      </w:r>
    </w:p>
    <w:p>
      <w:pPr>
        <w:spacing w:after="0" w:line="3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the U.S. and abroad, sales of pharmaceutical drugs are dependent, in part, on the availability of reimbursement to the consumer from third-party payors, such as government and private insurance plans. Third-party payors are increasingly challenging the prices charged for medical products and services. Some third-party payor benefit packages restrict reimbursement, charge copayments to patients, or do not provide coverage for specific drugs or drug classes.</w:t>
      </w:r>
    </w:p>
    <w:p>
      <w:pPr>
        <w:spacing w:after="0" w:line="93"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In addition, certain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2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Ongoing healthcare legislative and regulatory reform measures may have a material adverse effect on our business and results of operations.</w:t>
      </w:r>
    </w:p>
    <w:p>
      <w:pPr>
        <w:spacing w:after="0" w:line="10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 xml:space="preserve">Certain provisions of the ACA have been subject to judicial challenges, as well as efforts to repeal or replace them or to alter their interpretation or implementation. Since January 2017, the Trump administration has signed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Department of Health and Human Services, or HHS, from paying out more in risk corridor payments than it collected, HHS was not required to pay more than $12 billion in ACA risk corridor payments owed to insurers under the risk corridor formula. On November 6, 2018, the Federal Circuit declined to rehear the case </w:t>
      </w:r>
      <w:r>
        <w:rPr>
          <w:rFonts w:ascii="Arial" w:cs="Arial" w:eastAsia="Arial" w:hAnsi="Arial"/>
          <w:sz w:val="17"/>
          <w:szCs w:val="17"/>
          <w:i w:val="1"/>
          <w:iCs w:val="1"/>
          <w:color w:val="auto"/>
        </w:rPr>
        <w:t>en banc</w:t>
      </w:r>
      <w:r>
        <w:rPr>
          <w:rFonts w:ascii="Arial" w:cs="Arial" w:eastAsia="Arial" w:hAnsi="Arial"/>
          <w:sz w:val="17"/>
          <w:szCs w:val="17"/>
          <w:color w:val="auto"/>
        </w:rPr>
        <w:t>. The case is currently pending a ruling by the Supreme Court.</w:t>
      </w:r>
    </w:p>
    <w:p>
      <w:pPr>
        <w:spacing w:after="0" w:line="129"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(effective as of January 1, 2019) point-of-sale discounts off negotiated prices of applicable brand drugs to eligible beneficiaries during their coverage gap period as a condition for the manufacturer’s outpatient drugs to be covered under Medicare Part D.</w:t>
      </w:r>
    </w:p>
    <w:p>
      <w:pPr>
        <w:spacing w:after="0" w:line="104"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Under the Trump Administration, CMS has issued regulations that give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It is unclear how the ultimate decision in this case, or other efforts to repeal, replace, or invalidate the ACA or its implementing regulations, or portions thereof, will impact our business.</w:t>
      </w:r>
    </w:p>
    <w:p>
      <w:pPr>
        <w:spacing w:after="0" w:line="12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In August 2011, the Budget Control Act of 2011, among other things, created the Joint Select Committee on Deficit Reduction to recommend to Congress proposals for spending reductions. The Joint Select Committee on Deficit Reduction did not reach required goals, thereby triggering the legislation’s automatic reductions. This has resulted in aggregate reductions to Medicare payments to providers of, on average, 2% per fiscal year through 2027 unless Congress takes additional action.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4" w:name="page45"/>
    <w:bookmarkEnd w:id="44"/>
    <w:p>
      <w:pPr>
        <w:jc w:val="both"/>
        <w:ind w:right="20" w:firstLine="518"/>
        <w:spacing w:after="0" w:line="259"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33"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2" w:lineRule="exact"/>
        <w:rPr>
          <w:sz w:val="20"/>
          <w:szCs w:val="20"/>
          <w:color w:val="auto"/>
        </w:rPr>
      </w:pPr>
    </w:p>
    <w:p>
      <w:pPr>
        <w:ind w:left="260" w:right="220"/>
        <w:spacing w:after="0" w:line="334"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24"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10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REDUCE-IT cardiovascular outcomes trial was conducted in part through clinical sites in the European Union, or EU. As a result, we are subject to additional privacy restrictions. The collection and use of personal health data in the EU is governed by the provisions of the General Data Protection Regulation, or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European Union to the United States. Failure to comply with the requirements of the GDPR, and the related national data protection laws of the European Union Member States may result in restrictions against regulatory approval in the EU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09" w:lineRule="exact"/>
        <w:rPr>
          <w:sz w:val="20"/>
          <w:szCs w:val="20"/>
          <w:color w:val="auto"/>
        </w:rPr>
      </w:pPr>
    </w:p>
    <w:p>
      <w:pPr>
        <w:ind w:left="260" w:right="14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our partners are found to have improperly promoted uses, efficacy or safety of Vascepa, we may become subject to significant fines and other liability. The government may seek to find means to prevent our promotion of truthful and non-misleading information beyond the current court ruling and litigation settlement.</w:t>
      </w:r>
    </w:p>
    <w:p>
      <w:pPr>
        <w:spacing w:after="0" w:line="3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prescription products. In particular, in general, the U.S. government’s position has been that a product may not be promoted for uses that are not approved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45" w:name="page46"/>
    <w:bookmarkEnd w:id="45"/>
    <w:p>
      <w:pPr>
        <w:ind w:right="40"/>
        <w:spacing w:after="0" w:line="270" w:lineRule="auto"/>
        <w:rPr>
          <w:sz w:val="20"/>
          <w:szCs w:val="20"/>
          <w:color w:val="auto"/>
        </w:rPr>
      </w:pPr>
      <w:r>
        <w:rPr>
          <w:rFonts w:ascii="Arial" w:cs="Arial" w:eastAsia="Arial" w:hAnsi="Arial"/>
          <w:sz w:val="17"/>
          <w:szCs w:val="17"/>
          <w:color w:val="auto"/>
        </w:rPr>
        <w:t>the FDA as reflected in the product’s approved labeling. Even though we received FDA marketing approval for Vascepa for the MARINE indication and for cardiovascular risk reduction based on the REDUCE-IT study,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former co-promotion partner, Kowa Pharmaceuticals America, Inc., or our commercialization partners outside the United States.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24"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2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08" w:lineRule="exact"/>
        <w:rPr>
          <w:sz w:val="20"/>
          <w:szCs w:val="20"/>
          <w:color w:val="auto"/>
        </w:rPr>
      </w:pPr>
    </w:p>
    <w:p>
      <w:pPr>
        <w:ind w:left="260"/>
        <w:spacing w:after="0" w:line="325" w:lineRule="auto"/>
        <w:rPr>
          <w:sz w:val="20"/>
          <w:szCs w:val="20"/>
          <w:color w:val="auto"/>
        </w:rPr>
      </w:pPr>
      <w:r>
        <w:rPr>
          <w:rFonts w:ascii="Arial" w:cs="Arial" w:eastAsia="Arial" w:hAnsi="Arial"/>
          <w:sz w:val="16"/>
          <w:szCs w:val="16"/>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21" w:lineRule="exact"/>
        <w:rPr>
          <w:sz w:val="20"/>
          <w:szCs w:val="20"/>
          <w:color w:val="auto"/>
        </w:rPr>
      </w:pPr>
    </w:p>
    <w:p>
      <w:pPr>
        <w:ind w:left="900" w:hanging="379"/>
        <w:spacing w:after="0"/>
        <w:tabs>
          <w:tab w:leader="none" w:pos="9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lack of efficacy during clinical trials;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slower than expected rates of patient recruitment;</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inability to observe patients adequately after treatment;</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changes in regulatory requirements for clinical trials or preclinical studies;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emergence of unforeseen safety issues in clinical trials or preclinical studies;</w:t>
      </w:r>
    </w:p>
    <w:p>
      <w:pPr>
        <w:spacing w:after="0" w:line="69" w:lineRule="exact"/>
        <w:rPr>
          <w:rFonts w:ascii="Arial" w:cs="Arial" w:eastAsia="Arial" w:hAnsi="Arial"/>
          <w:sz w:val="22"/>
          <w:szCs w:val="22"/>
          <w:color w:val="auto"/>
        </w:rPr>
      </w:pPr>
    </w:p>
    <w:p>
      <w:pPr>
        <w:ind w:left="900" w:hanging="379"/>
        <w:spacing w:after="0"/>
        <w:tabs>
          <w:tab w:leader="none" w:pos="900" w:val="left"/>
        </w:tabs>
        <w:numPr>
          <w:ilvl w:val="0"/>
          <w:numId w:val="22"/>
        </w:numPr>
        <w:rPr>
          <w:rFonts w:ascii="Arial" w:cs="Arial" w:eastAsia="Arial" w:hAnsi="Arial"/>
          <w:sz w:val="21"/>
          <w:szCs w:val="21"/>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80" w:lineRule="exact"/>
        <w:rPr>
          <w:rFonts w:ascii="Arial" w:cs="Arial" w:eastAsia="Arial" w:hAnsi="Arial"/>
          <w:sz w:val="21"/>
          <w:szCs w:val="21"/>
          <w:color w:val="auto"/>
        </w:rPr>
      </w:pPr>
    </w:p>
    <w:p>
      <w:pPr>
        <w:ind w:left="900" w:right="6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laws and regulations related to patient data privacy;</w:t>
      </w:r>
    </w:p>
    <w:p>
      <w:pPr>
        <w:spacing w:after="0" w:line="54"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government or regulatory delays or “clinical holds” requiring suspension or termination of a trial; and</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political instability affecting our clinical trial sites.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6" w:name="page47"/>
    <w:bookmarkEnd w:id="46"/>
    <w:p>
      <w:pPr>
        <w:ind w:firstLine="518"/>
        <w:spacing w:after="0" w:line="268" w:lineRule="auto"/>
        <w:rPr>
          <w:sz w:val="20"/>
          <w:szCs w:val="20"/>
          <w:color w:val="auto"/>
        </w:rPr>
      </w:pPr>
      <w:r>
        <w:rPr>
          <w:rFonts w:ascii="Arial" w:cs="Arial" w:eastAsia="Arial" w:hAnsi="Arial"/>
          <w:sz w:val="17"/>
          <w:szCs w:val="17"/>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during the public advisory committee meeting held by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w:t>
      </w:r>
    </w:p>
    <w:p>
      <w:pPr>
        <w:spacing w:after="0" w:line="129"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Further, in connection with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FDA’s exploratory analysis indicated that the effect of LDL cholesterol values on the time to the primary endpoint was numerically small and unlikely to change the overall conclusion of treatment benefit.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11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192" w:lineRule="exact"/>
        <w:rPr>
          <w:sz w:val="20"/>
          <w:szCs w:val="20"/>
          <w:color w:val="auto"/>
        </w:rPr>
      </w:pPr>
    </w:p>
    <w:p>
      <w:pPr>
        <w:ind w:left="260"/>
        <w:spacing w:after="0" w:line="334" w:lineRule="auto"/>
        <w:rPr>
          <w:sz w:val="20"/>
          <w:szCs w:val="20"/>
          <w:color w:val="auto"/>
        </w:rPr>
      </w:pPr>
      <w:r>
        <w:rPr>
          <w:rFonts w:ascii="Arial" w:cs="Arial" w:eastAsia="Arial" w:hAnsi="Arial"/>
          <w:sz w:val="16"/>
          <w:szCs w:val="16"/>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The process of establishing a commercial infrastructure is difficult, expensive and time-consuming. Prior to the REDUCE-IT results topline announcement in September 2018, our direct sales force consisted of approximately 170 sales professionals, including sales representatives and their managers. Based on the positive REDUCE-IT results, in early 2019, we increased the size of our sales team to approximately 440 sales professionals, including approximately 400 sales representatives in the United States. As a result of the FDA’s newly approved indication and label expansion, we are close to completing the expansion of our direct sales force to approximately 900 sales professionals, including approximately 800 sales representatives. Hiring, training and deploying approximately 400 new sales representatives is a multi-stage process which commenced in July 2019 and is expected to be completed in early 2020. Most of the expanded sales management team needed to support this sales force expansion was hired, or internally promoted, and trained prior to December 31, 2019. This sales team promotes Vascepa to a limited group of physicians and other healthcare professionals in select geographies in the United States. Even after planned expansion, this sales team is not large enough to call upon all physicians.</w:t>
      </w:r>
    </w:p>
    <w:p>
      <w:pPr>
        <w:spacing w:after="0" w:line="11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addition to sales force expansion in the United States, Amarin continues to work with its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47" w:name="page48"/>
    <w:bookmarkEnd w:id="47"/>
    <w:p>
      <w:pPr>
        <w:ind w:right="240"/>
        <w:spacing w:after="0" w:line="277" w:lineRule="auto"/>
        <w:rPr>
          <w:sz w:val="20"/>
          <w:szCs w:val="20"/>
          <w:color w:val="auto"/>
        </w:rPr>
      </w:pPr>
      <w:r>
        <w:rPr>
          <w:rFonts w:ascii="Arial" w:cs="Arial" w:eastAsia="Arial" w:hAnsi="Arial"/>
          <w:sz w:val="18"/>
          <w:szCs w:val="18"/>
          <w:color w:val="auto"/>
        </w:rPr>
        <w:t>marketing personnel. We may not be able to accomplish these tasks, and our failure to accomplish any of them could prevent us from successfully growing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supply of product for the commercial market and clinical trials is dependent upon relationships with third-party manufacturers and suppliers.</w:t>
      </w:r>
    </w:p>
    <w:p>
      <w:pPr>
        <w:spacing w:after="0" w:line="100" w:lineRule="exact"/>
        <w:rPr>
          <w:sz w:val="20"/>
          <w:szCs w:val="20"/>
          <w:color w:val="auto"/>
        </w:rPr>
      </w:pPr>
    </w:p>
    <w:p>
      <w:pPr>
        <w:jc w:val="both"/>
        <w:ind w:right="160" w:firstLine="518"/>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w:t>
      </w:r>
    </w:p>
    <w:p>
      <w:pPr>
        <w:spacing w:after="0" w:line="117"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Any manufacturing problem, natural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2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3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1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95"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3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02" w:lineRule="exact"/>
        <w:rPr>
          <w:sz w:val="20"/>
          <w:szCs w:val="20"/>
          <w:color w:val="auto"/>
        </w:rPr>
      </w:pPr>
    </w:p>
    <w:p>
      <w:pPr>
        <w:ind w:left="260" w:right="440"/>
        <w:spacing w:after="0" w:line="277"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2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8" w:name="page49"/>
    <w:bookmarkEnd w:id="48"/>
    <w:p>
      <w:pPr>
        <w:ind w:right="80"/>
        <w:spacing w:after="0" w:line="254" w:lineRule="auto"/>
        <w:rPr>
          <w:sz w:val="20"/>
          <w:szCs w:val="20"/>
          <w:color w:val="auto"/>
        </w:rPr>
      </w:pPr>
      <w:r>
        <w:rPr>
          <w:rFonts w:ascii="Arial" w:cs="Arial" w:eastAsia="Arial" w:hAnsi="Arial"/>
          <w:sz w:val="18"/>
          <w:szCs w:val="18"/>
          <w:color w:val="auto"/>
        </w:rPr>
        <w:t>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19" w:lineRule="exact"/>
        <w:rPr>
          <w:sz w:val="20"/>
          <w:szCs w:val="20"/>
          <w:color w:val="auto"/>
        </w:rPr>
      </w:pPr>
    </w:p>
    <w:p>
      <w:pPr>
        <w:ind w:left="260" w:right="180"/>
        <w:spacing w:after="0" w:line="26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3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24"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00"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1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w:t>
      </w:r>
    </w:p>
    <w:p>
      <w:pPr>
        <w:spacing w:after="0" w:line="9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2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may be necessary in this market. Any efforts in the China Territory may be negatively impacted by the spread of the coronavirus, which outbreak initially surfaced in Wuhan, China in December 2019. Although the effects of the coronavirus are expected to be temporary, and are not limited to the China territory, the concentration of the outbreak in China could cause disruptions or delays in Eddingpharm’s development activities, including with the enrollment or monitoring of patients in Eddingpharm’s clinical trials, particularly at clinical trial sites located in impacted jurisdictions, or with the ability to obtain sufficient and timely clinical supplies if the production capabilities of suppliers is disrupted. Further, regulatory oversight and actions may be disrupted or delayed in this region if regulators and industry professionals are expending significant and unexpected resources addressing the coronavirus outbreak. If Eddingpharm is not able to effectively develop and commercialize Vascepa in the China Territory, we may not be able to generate revenue from the DCS Agreement resulting from the sale of Vascepa in the China Territory.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49" w:name="page50"/>
    <w:bookmarkEnd w:id="49"/>
    <w:p>
      <w:pPr>
        <w:ind w:right="100" w:firstLine="518"/>
        <w:spacing w:after="0" w:line="273" w:lineRule="auto"/>
        <w:rPr>
          <w:sz w:val="20"/>
          <w:szCs w:val="20"/>
          <w:color w:val="auto"/>
        </w:rPr>
      </w:pPr>
      <w:r>
        <w:rPr>
          <w:rFonts w:ascii="Arial" w:cs="Arial" w:eastAsia="Arial" w:hAnsi="Arial"/>
          <w:sz w:val="17"/>
          <w:szCs w:val="17"/>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in Lebanon on March 2018, in United Arab Emirates on July 2018 and in Qatar in January 2020. Vascepa was launched in Lebanon and the United Arab Emirates on June 2018 and February 2019, respectively. Vascepa is under registration in additional countries in the MENA region. Commercialization across the Middle East and North Africa is subject to similar risks as in the China Territory.</w:t>
      </w:r>
    </w:p>
    <w:p>
      <w:pPr>
        <w:spacing w:after="0" w:line="124"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However, if HLS Therapeutics is not able to effectively commercialize Vascepa in Canada through effective pricing (initially and over time) or otherwise we may not be able to generate revenue from the sale of Vascepa in Canada.</w:t>
      </w:r>
    </w:p>
    <w:p>
      <w:pPr>
        <w:spacing w:after="0" w:line="138"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172" w:lineRule="exact"/>
        <w:rPr>
          <w:sz w:val="20"/>
          <w:szCs w:val="20"/>
          <w:color w:val="auto"/>
        </w:rPr>
      </w:pPr>
    </w:p>
    <w:p>
      <w:pPr>
        <w:ind w:left="260" w:right="60"/>
        <w:spacing w:after="0" w:line="264"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46"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29" w:lineRule="exact"/>
        <w:rPr>
          <w:sz w:val="20"/>
          <w:szCs w:val="20"/>
          <w:color w:val="auto"/>
        </w:rPr>
      </w:pPr>
    </w:p>
    <w:p>
      <w:pPr>
        <w:ind w:left="900" w:right="40" w:hanging="379"/>
        <w:spacing w:after="0" w:line="287"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w:t>
      </w:r>
    </w:p>
    <w:p>
      <w:pPr>
        <w:spacing w:after="0" w:line="24" w:lineRule="exact"/>
        <w:rPr>
          <w:rFonts w:ascii="Arial" w:cs="Arial" w:eastAsia="Arial" w:hAnsi="Arial"/>
          <w:sz w:val="16"/>
          <w:szCs w:val="16"/>
          <w:color w:val="auto"/>
        </w:rPr>
      </w:pPr>
    </w:p>
    <w:p>
      <w:pPr>
        <w:ind w:left="900" w:right="140" w:hanging="379"/>
        <w:spacing w:after="0" w:line="26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Civil False Claims Act, or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50" w:name="page51"/>
    <w:bookmarkEnd w:id="50"/>
    <w:p>
      <w:pPr>
        <w:ind w:left="900" w:right="260"/>
        <w:spacing w:after="0" w:line="277" w:lineRule="auto"/>
        <w:rPr>
          <w:sz w:val="20"/>
          <w:szCs w:val="20"/>
          <w:color w:val="auto"/>
        </w:rPr>
      </w:pPr>
      <w:r>
        <w:rPr>
          <w:rFonts w:ascii="Arial" w:cs="Arial" w:eastAsia="Arial" w:hAnsi="Arial"/>
          <w:sz w:val="18"/>
          <w:szCs w:val="18"/>
          <w:color w:val="auto"/>
        </w:rPr>
        <w:t>false claims laws, including, among others, federal criminal healthcare fraud and false statement statutes that extend to non-government health benefit programs;</w:t>
      </w:r>
    </w:p>
    <w:p>
      <w:pPr>
        <w:spacing w:after="0" w:line="22" w:lineRule="exact"/>
        <w:rPr>
          <w:sz w:val="20"/>
          <w:szCs w:val="20"/>
          <w:color w:val="auto"/>
        </w:rPr>
      </w:pPr>
    </w:p>
    <w:p>
      <w:pPr>
        <w:ind w:left="900" w:right="20" w:hanging="379"/>
        <w:spacing w:after="0" w:line="31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ind w:left="900" w:right="40" w:hanging="379"/>
        <w:spacing w:after="0" w:line="293"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6" w:lineRule="exact"/>
        <w:rPr>
          <w:rFonts w:ascii="Arial" w:cs="Arial" w:eastAsia="Arial" w:hAnsi="Arial"/>
          <w:sz w:val="16"/>
          <w:szCs w:val="16"/>
          <w:color w:val="auto"/>
        </w:rPr>
      </w:pPr>
    </w:p>
    <w:p>
      <w:pPr>
        <w:ind w:left="900" w:hanging="379"/>
        <w:spacing w:after="0" w:line="293"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6" w:lineRule="exact"/>
        <w:rPr>
          <w:rFonts w:ascii="Arial" w:cs="Arial" w:eastAsia="Arial" w:hAnsi="Arial"/>
          <w:sz w:val="16"/>
          <w:szCs w:val="16"/>
          <w:color w:val="auto"/>
        </w:rPr>
      </w:pPr>
    </w:p>
    <w:p>
      <w:pPr>
        <w:ind w:left="900" w:right="52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21" w:lineRule="exact"/>
        <w:rPr>
          <w:rFonts w:ascii="Arial" w:cs="Arial" w:eastAsia="Arial" w:hAnsi="Arial"/>
          <w:sz w:val="18"/>
          <w:szCs w:val="18"/>
          <w:color w:val="auto"/>
        </w:rPr>
      </w:pPr>
    </w:p>
    <w:p>
      <w:pPr>
        <w:ind w:left="900" w:right="20" w:hanging="379"/>
        <w:spacing w:after="0" w:line="270"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2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16"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04"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13"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1" w:name="page52"/>
    <w:bookmarkEnd w:id="51"/>
    <w:p>
      <w:pPr>
        <w:ind w:right="260"/>
        <w:spacing w:after="0" w:line="277" w:lineRule="auto"/>
        <w:rPr>
          <w:sz w:val="20"/>
          <w:szCs w:val="20"/>
          <w:color w:val="auto"/>
        </w:rPr>
      </w:pPr>
      <w:r>
        <w:rPr>
          <w:rFonts w:ascii="Arial" w:cs="Arial" w:eastAsia="Arial" w:hAnsi="Arial"/>
          <w:sz w:val="18"/>
          <w:szCs w:val="18"/>
          <w:color w:val="auto"/>
        </w:rPr>
        <w:t>may not be effective in controlling unknown or unmanaged risks or losses or in protecting us from governmental investigations or other actions or lawsuits stemming from a failure to be in compliance with such laws or regulations.</w:t>
      </w:r>
    </w:p>
    <w:p>
      <w:pPr>
        <w:spacing w:after="0" w:line="11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addition, the approval and commercialization of any of our products outside the United States will also likely subject us to foreign equivalents of the healthcare laws mentioned above, among other foreign laws.</w:t>
      </w:r>
    </w:p>
    <w:p>
      <w:pPr>
        <w:spacing w:after="0" w:line="184" w:lineRule="exact"/>
        <w:rPr>
          <w:sz w:val="20"/>
          <w:szCs w:val="20"/>
          <w:color w:val="auto"/>
        </w:rPr>
      </w:pPr>
    </w:p>
    <w:p>
      <w:pPr>
        <w:ind w:left="260" w:right="46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35"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9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10" w:lineRule="exact"/>
        <w:rPr>
          <w:sz w:val="20"/>
          <w:szCs w:val="20"/>
          <w:color w:val="auto"/>
        </w:rPr>
      </w:pPr>
    </w:p>
    <w:p>
      <w:pPr>
        <w:ind w:left="900" w:hanging="379"/>
        <w:spacing w:after="0"/>
        <w:tabs>
          <w:tab w:leader="none" w:pos="9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preserve any trade secrets relating to our current and future products;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acquire patented or patentable products and technologies; and</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operate without infringing the proprietary rights of third parties.</w:t>
      </w:r>
    </w:p>
    <w:p>
      <w:pPr>
        <w:spacing w:after="0" w:line="175" w:lineRule="exact"/>
        <w:rPr>
          <w:sz w:val="20"/>
          <w:szCs w:val="20"/>
          <w:color w:val="auto"/>
        </w:rPr>
      </w:pPr>
    </w:p>
    <w:p>
      <w:pPr>
        <w:ind w:right="160" w:firstLine="518"/>
        <w:spacing w:after="0" w:line="308"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92 patent applications in the United States that have been either issued or allowed and more than 30 additional patent applications are pending in the United States. Such 92 allowed and issued applications include the following:</w:t>
      </w:r>
    </w:p>
    <w:p>
      <w:pPr>
        <w:spacing w:after="0" w:line="7" w:lineRule="exact"/>
        <w:rPr>
          <w:sz w:val="20"/>
          <w:szCs w:val="20"/>
          <w:color w:val="auto"/>
        </w:rPr>
      </w:pPr>
    </w:p>
    <w:p>
      <w:pPr>
        <w:ind w:left="900" w:hanging="379"/>
        <w:spacing w:after="0"/>
        <w:tabs>
          <w:tab w:leader="none" w:pos="900" w:val="left"/>
        </w:tabs>
        <w:numPr>
          <w:ilvl w:val="0"/>
          <w:numId w:val="26"/>
        </w:numPr>
        <w:rPr>
          <w:rFonts w:ascii="Arial" w:cs="Arial" w:eastAsia="Arial" w:hAnsi="Arial"/>
          <w:sz w:val="19"/>
          <w:szCs w:val="19"/>
          <w:color w:val="auto"/>
        </w:rPr>
      </w:pPr>
      <w:r>
        <w:rPr>
          <w:rFonts w:ascii="Arial" w:cs="Arial" w:eastAsia="Arial" w:hAnsi="Arial"/>
          <w:sz w:val="16"/>
          <w:szCs w:val="16"/>
          <w:color w:val="auto"/>
        </w:rPr>
        <w:t>2 issued U.S. patents directed to a pharmaceutical composition of Vascepa in a capsule that have terms that expire in 2020 and 2030, respectively;</w:t>
      </w:r>
    </w:p>
    <w:p>
      <w:pPr>
        <w:spacing w:after="0" w:line="69" w:lineRule="exact"/>
        <w:rPr>
          <w:rFonts w:ascii="Arial" w:cs="Arial" w:eastAsia="Arial" w:hAnsi="Arial"/>
          <w:sz w:val="19"/>
          <w:szCs w:val="19"/>
          <w:color w:val="auto"/>
        </w:rPr>
      </w:pPr>
    </w:p>
    <w:p>
      <w:pPr>
        <w:ind w:left="900" w:hanging="379"/>
        <w:spacing w:after="0"/>
        <w:tabs>
          <w:tab w:leader="none" w:pos="9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1 issued U.S. patent covering a composition containing highly pure EPA that expires in 2021;</w:t>
      </w:r>
    </w:p>
    <w:p>
      <w:pPr>
        <w:spacing w:after="0" w:line="80" w:lineRule="exact"/>
        <w:rPr>
          <w:rFonts w:ascii="Arial" w:cs="Arial" w:eastAsia="Arial" w:hAnsi="Arial"/>
          <w:sz w:val="22"/>
          <w:szCs w:val="22"/>
          <w:color w:val="auto"/>
        </w:rPr>
      </w:pPr>
    </w:p>
    <w:p>
      <w:pPr>
        <w:ind w:left="900" w:right="16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49 U.S. patents covering or related to the use of Vascepa in either the MARINE or ANCHOR populations that have terms that expire in 2030 or later;</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14 U.S. patents covering or related to the use of Vascepa in the REDUCE-IT population with terms expiring in 2033 or later;</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 additional US patent directed to a pharmaceutical composition comprised of free fatty acids with a term that expires in 2030;</w:t>
      </w:r>
    </w:p>
    <w:p>
      <w:pPr>
        <w:spacing w:after="0" w:line="76" w:lineRule="exact"/>
        <w:rPr>
          <w:rFonts w:ascii="Arial" w:cs="Arial" w:eastAsia="Arial" w:hAnsi="Arial"/>
          <w:sz w:val="18"/>
          <w:szCs w:val="18"/>
          <w:color w:val="auto"/>
        </w:rPr>
      </w:pPr>
    </w:p>
    <w:p>
      <w:pPr>
        <w:ind w:left="900" w:hanging="379"/>
        <w:spacing w:after="0" w:line="232" w:lineRule="auto"/>
        <w:tabs>
          <w:tab w:leader="none" w:pos="9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4 additional patents related to the use of a pharmaceutical composition comprised of free fatty acids to treat the ANCHOR patient population with a term that expires in 2030 or later;</w:t>
      </w:r>
    </w:p>
    <w:p>
      <w:pPr>
        <w:spacing w:after="0" w:line="55" w:lineRule="exact"/>
        <w:rPr>
          <w:rFonts w:ascii="Arial" w:cs="Arial" w:eastAsia="Arial" w:hAnsi="Arial"/>
          <w:sz w:val="22"/>
          <w:szCs w:val="22"/>
          <w:color w:val="auto"/>
        </w:rPr>
      </w:pPr>
    </w:p>
    <w:p>
      <w:pPr>
        <w:ind w:left="900" w:right="6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21"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REDUCE-IT population expiring 2033;</w:t>
      </w:r>
    </w:p>
    <w:p>
      <w:pPr>
        <w:spacing w:after="0" w:line="21" w:lineRule="exact"/>
        <w:rPr>
          <w:rFonts w:ascii="Arial" w:cs="Arial" w:eastAsia="Arial" w:hAnsi="Arial"/>
          <w:sz w:val="18"/>
          <w:szCs w:val="18"/>
          <w:color w:val="auto"/>
        </w:rPr>
      </w:pPr>
    </w:p>
    <w:p>
      <w:pPr>
        <w:ind w:left="900" w:right="70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 additional patent related to a pharmaceutical composition comprised of free fatty acids and uses thereof to treat both the MARINE and ANCHOR patient populations with a term that expires in 2030;</w:t>
      </w:r>
    </w:p>
    <w:p>
      <w:pPr>
        <w:spacing w:after="0" w:line="21" w:lineRule="exact"/>
        <w:rPr>
          <w:rFonts w:ascii="Arial" w:cs="Arial" w:eastAsia="Arial" w:hAnsi="Arial"/>
          <w:sz w:val="18"/>
          <w:szCs w:val="18"/>
          <w:color w:val="auto"/>
        </w:rPr>
      </w:pPr>
    </w:p>
    <w:p>
      <w:pPr>
        <w:ind w:left="900" w:right="560" w:hanging="379"/>
        <w:spacing w:after="0" w:line="232" w:lineRule="auto"/>
        <w:tabs>
          <w:tab w:leader="none" w:pos="9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1 additional patent related to the use of a pharmaceutical composition comprised of re-esterified EPA triglyceride to treat the REDUCE-IT population expiring 2033;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2" w:name="page53"/>
    <w:bookmarkEnd w:id="52"/>
    <w:p>
      <w:pPr>
        <w:ind w:left="900" w:hanging="379"/>
        <w:spacing w:after="0"/>
        <w:tabs>
          <w:tab w:leader="none" w:pos="900" w:val="left"/>
        </w:tabs>
        <w:numPr>
          <w:ilvl w:val="0"/>
          <w:numId w:val="27"/>
        </w:numPr>
        <w:rPr>
          <w:rFonts w:ascii="Arial" w:cs="Arial" w:eastAsia="Arial" w:hAnsi="Arial"/>
          <w:sz w:val="22"/>
          <w:szCs w:val="22"/>
          <w:color w:val="auto"/>
        </w:rPr>
      </w:pPr>
      <w:r>
        <w:rPr>
          <w:rFonts w:ascii="Arial" w:cs="Arial" w:eastAsia="Arial" w:hAnsi="Arial"/>
          <w:sz w:val="18"/>
          <w:szCs w:val="18"/>
          <w:color w:val="auto"/>
        </w:rPr>
        <w:t>3 additional patents related to a formulation of EPA/DHA and uses thereof with a term that expires in 2030;</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7"/>
        </w:numPr>
        <w:rPr>
          <w:rFonts w:ascii="Arial" w:cs="Arial" w:eastAsia="Arial" w:hAnsi="Arial"/>
          <w:sz w:val="22"/>
          <w:szCs w:val="22"/>
          <w:color w:val="auto"/>
        </w:rPr>
      </w:pPr>
      <w:r>
        <w:rPr>
          <w:rFonts w:ascii="Arial" w:cs="Arial" w:eastAsia="Arial" w:hAnsi="Arial"/>
          <w:sz w:val="18"/>
          <w:szCs w:val="18"/>
          <w:color w:val="auto"/>
        </w:rPr>
        <w:t>2 additional patents related to the use of Vascepa to treat obesity with a term that expires in 2034;</w:t>
      </w:r>
    </w:p>
    <w:p>
      <w:pPr>
        <w:spacing w:after="0" w:line="80" w:lineRule="exact"/>
        <w:rPr>
          <w:rFonts w:ascii="Arial" w:cs="Arial" w:eastAsia="Arial" w:hAnsi="Arial"/>
          <w:sz w:val="22"/>
          <w:szCs w:val="22"/>
          <w:color w:val="auto"/>
        </w:rPr>
      </w:pPr>
    </w:p>
    <w:p>
      <w:pPr>
        <w:ind w:left="900" w:hanging="379"/>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3 additional patents covering a pharmaceutical composition comprised of EPA and a hydroxyl compound with a term that expires in 2034; and</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 additional patents covering a new combination therapy comprised of EPA and another drug.</w:t>
      </w:r>
    </w:p>
    <w:p>
      <w:pPr>
        <w:spacing w:after="0" w:line="17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34"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are the owner of the above-listed patents. We are also the exclusive licensee of certain patents owned by others covering products and products in development. To secure our debt under our outstanding royalty-like instrument, we have granted the holders of such instrument a security interest in our Vascepa-related patents.</w:t>
      </w:r>
    </w:p>
    <w:p>
      <w:pPr>
        <w:spacing w:after="0" w:line="12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3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9"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90"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then expected launch of Epanova, a product that, in 2014, was expected to compete with Vascepa in the United States. In November 2014, based on a representation from AstraZeneca Pharmaceuticals LP in the court proceedings that the commercial launch of Epanova was not imminent, the court dismissed our complaint, without prejudice (i.e., preserving our ability to later re-file the suit). The court required the defendant to notify us before any product launch. While we no longer expect a launch of Epanova due to the clinical failure of the STRENGTH cardiovascular outcomes trial announced in January 2020, we intend to pursue this litigation vigorously and aggressively protect our intellectual property rights should the product be launched. We likewise plan to engage in similar patent litigation should other competitors arise with products that infringe our intellectual property rights.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53" w:name="page54"/>
    <w:bookmarkEnd w:id="53"/>
    <w:p>
      <w:pPr>
        <w:ind w:right="40" w:firstLine="518"/>
        <w:spacing w:after="0" w:line="308" w:lineRule="auto"/>
        <w:rPr>
          <w:sz w:val="20"/>
          <w:szCs w:val="20"/>
          <w:color w:val="auto"/>
        </w:rPr>
      </w:pPr>
      <w:r>
        <w:rPr>
          <w:rFonts w:ascii="Arial" w:cs="Arial" w:eastAsia="Arial" w:hAnsi="Arial"/>
          <w:sz w:val="17"/>
          <w:szCs w:val="17"/>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9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ANCHOR and REDUCE-IT trials. If granted, many of the resulting granted patents would expire in 2030 or beyond. However, no assurance can be given that these additional patents or any of our pending patent applications intended to cover the indication based on results from the REDUCE-IT clinical trial will be granted or, if they grant, that they will prevent competitors from competing with Vascepa.</w:t>
      </w:r>
    </w:p>
    <w:p>
      <w:pPr>
        <w:spacing w:after="0" w:line="11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91" w:lineRule="exact"/>
        <w:rPr>
          <w:sz w:val="20"/>
          <w:szCs w:val="20"/>
          <w:color w:val="auto"/>
        </w:rPr>
      </w:pPr>
    </w:p>
    <w:p>
      <w:pPr>
        <w:ind w:left="260" w:right="60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2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1" w:lineRule="exact"/>
        <w:rPr>
          <w:sz w:val="20"/>
          <w:szCs w:val="20"/>
          <w:color w:val="auto"/>
        </w:rPr>
      </w:pPr>
    </w:p>
    <w:p>
      <w:pPr>
        <w:ind w:left="260" w:right="38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2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January 2020, we issued financial and business guidance, including expected fiscal year 2020 total net revenue and expectations regarding inventory build, and 2020 operating expenses. All such guidance and updates are based on estimates and the judgment of management. Because of the inherent nature of estimates, there could be significant differences between our estimates and the actual amount of product demand. If, for any reason, we are unable to realize our currently projected 2020 revenue, we may not realize our publicly announced financial guidance. If we fail to realize or if we change or update any element of our publicly disclosed financial guidance as we have done in the past or other expectations about our business change, our stock price could decline in value.</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7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are engaged in the 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4" w:name="page55"/>
    <w:bookmarkEnd w:id="54"/>
    <w:p>
      <w:pPr>
        <w:ind w:left="260" w:right="480"/>
        <w:spacing w:after="0" w:line="224" w:lineRule="exact"/>
        <w:rPr>
          <w:sz w:val="20"/>
          <w:szCs w:val="20"/>
          <w:color w:val="auto"/>
        </w:rPr>
      </w:pPr>
      <w:r>
        <w:rPr>
          <w:rFonts w:ascii="Arial" w:cs="Arial" w:eastAsia="Arial" w:hAnsi="Arial"/>
          <w:sz w:val="17"/>
          <w:szCs w:val="17"/>
          <w:b w:val="1"/>
          <w:bCs w:val="1"/>
          <w:i w:val="1"/>
          <w:iCs w:val="1"/>
          <w:color w:val="auto"/>
        </w:rPr>
        <w:t>Our internal computer systems, or those of our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clinical research organizations or other contractors or consultants, may fail or suffer security breaches, which could result in a material disruption of our research and development programs.</w:t>
      </w:r>
    </w:p>
    <w:p>
      <w:pPr>
        <w:spacing w:after="0" w:line="67" w:lineRule="exact"/>
        <w:rPr>
          <w:sz w:val="20"/>
          <w:szCs w:val="20"/>
          <w:color w:val="auto"/>
        </w:rPr>
      </w:pPr>
    </w:p>
    <w:p>
      <w:pPr>
        <w:ind w:right="100" w:firstLine="518"/>
        <w:spacing w:after="0" w:line="219" w:lineRule="exact"/>
        <w:rPr>
          <w:sz w:val="20"/>
          <w:szCs w:val="20"/>
          <w:color w:val="auto"/>
        </w:rPr>
      </w:pPr>
      <w:r>
        <w:rPr>
          <w:rFonts w:ascii="Arial" w:cs="Arial" w:eastAsia="Arial" w:hAnsi="Arial"/>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Arial" w:cs="Arial" w:eastAsia="Arial" w:hAnsi="Arial"/>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49"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instance, in June 2019, a report published by security researchers claimed that a database, which we are informed did not include social security numbers or credit card information, belonging to one of our vendors containing information about individuals who use or have expressed interest in Vascepa was accessible to unauthorized users.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3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7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16"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7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16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January 1, 2020 of the mutual agreement of Irish and UK tax authorities that we are solely tax resident in Ireland for the purposes of the modified DTA.</w:t>
      </w:r>
    </w:p>
    <w:p>
      <w:pPr>
        <w:spacing w:after="0" w:line="22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8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rules regarding determination of tax residence outlined above will change effective January 1, 2020, when a modified Ireland-UK DTA comes into effect pursuant to the MLI, which has recently entered into force in Ireland. Under the modified Ireland-UK DTA, from January 1, 2020, we will be tax resident in Ireland only and not tax resident in the UK if we continue to be centrally managed and controlled in Ireland and if it is mutually agreed between the Irish and UK tax authorities under the MLI “tie-breaker rule” that we are tax resident in Ireland only. Both the Irish and UK tax authorities have issued guidance on how companies impacted by this rule change under the MLI should submit to such tax authorities to obtain confirmation of their mutual agreement of a single jurisdiction of tax residence. We have made a submission to the Irish tax authority, or the Irish Revenue Commissioners, requesting that they provide confirmation of the mutual agreement of the two tax authorities that we continue to be tax resident in Ireland only.</w:t>
      </w:r>
    </w:p>
    <w:p>
      <w:pPr>
        <w:spacing w:after="0" w:line="11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Our and our subsidiaries’ income tax returns are periodically examined by various tax authorities, including the Internal Revenue Service, or the IRS, and states. We recently completed the audits by the IRS for the years 2013 to 2014, with no material changes to the filed income tax returns. In addition, we were notified by the IRS in January 2020 that it will be auditing our 2018 US income tax return and the examination is expected to begin in the first quarter of 2020. Although the outcome of tax audits is always uncertain and could result in significant cash tax payments, we do not believe the outcome of any future audits will have a material adverse effect on our consolidated financial position or results of operations.</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effect on us of comprehensive U.S. tax reform legislation whether adverse or favorable, is uncertain.</w:t>
      </w:r>
    </w:p>
    <w:p>
      <w:pPr>
        <w:spacing w:after="0" w:line="77"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On December 22, 2017, President Trump signed into law H.R. 1, “An Act to provide for reconciliation pursuant to titles II and V of the concurrent resolution on the budget for fiscal year 2018”, or informally, the Tax Cuts and Jobs Act. Among a number of significant changes to the U.S. federal income tax rules, the Tax Cuts and Jobs Act reduces the marginal U.S. corporate income tax rate from 35% to 21%, limits the deduction for net interest expense, shifts the United States toward a more territorial tax system, and imposes new taxes to combat erosion of the U.S. federal income tax base. The effect of the Tax Cuts and Jobs Act on our company and our affiliates, whether adverse or favorable, is uncertain, and may not become evident for some period of time. You are urged to consult your tax adviser regarding the implications of the Tax Cuts and Jobs Act for an investment in our ADSs.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7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9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 significant portion of our sales are to wholesalers in the pharmaceutical industry. Three customers individually accounted for 10% or more of our gross product sales. Customers A, B, and C accounted for 36%, 29%, and 25%, respectively, of gross product sales for the year ended December 31, 2019 and represented 35%, 20%, and 37%, respectively, of the gross accounts receivable balance as of December 31, 2019. Customers A, B, and C accounted for 31%, 30%, and 27%, respectively, of gross product sales for the year ended December 31, 2018 and represented 26%, 24%, 39% and, respectively, of the gross accounts receivable balance as of December 31, 2018.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left="260" w:right="140"/>
        <w:spacing w:after="0" w:line="264"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46"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On June 23, 2016, the UK held a referendum in which a majority of the eligible members of the electorate voted to leave the EU, commonly referred to as Brexit. Pursuant to Article 50 of the Lisbon Treaty, the UK ceased being a Member State of the EU on January 31, 2020. However, the terms of the withdrawal have yet to be fully negotiated. The implementation period began February 1, 2020 and will continue until December 31, 2020. During this 11-month period, the UK will continue to follow all of the EU’s rules, the EU’s pharmaceutical law remains applicable to the UK and the UK’s trading relationship will remain the same. However, regulations (including financial laws and regulations, tax and free trade agreements, intellectual property rights, data protection laws, supply chain logistics, environmental, health and safety laws and regulations medicine licensing and regulations, immigration laws and employment laws), have yet to be addressed. This lack of clarity on future UK laws and regulations and their interaction with the EU laws and regulations may negatively impact foreign direct investment in the UK, increase costs, depress economic activity and restrict access to capital.</w:t>
      </w:r>
    </w:p>
    <w:p>
      <w:pPr>
        <w:spacing w:after="0" w:line="112"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12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0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If the UK and the EU are unable to negotiate acceptable agreements or if other EU member states pursue withdrawal, barrier-free access between the UK and other EU member states or among the European Economic Area overall could be diminished or eliminated. The long-term effects of Brexit will depend on any agreements (or lack thereof) between the UK and the EU and, in particular, any arrangements for the UK to retain access to EU markets either during a transitional period or more permanently.</w:t>
      </w:r>
    </w:p>
    <w:p>
      <w:pPr>
        <w:spacing w:after="0" w:line="13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European Economic Area, or EEA, and these operations and clinical activities could be disrupted by Brexit.</w:t>
      </w:r>
    </w:p>
    <w:p>
      <w:pPr>
        <w:spacing w:after="0" w:line="13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may also face new regulatory costs and challenges that could have an adverse effect on our operations. Depending on the terms of the UK’s withdrawal from the EU, the UK could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For instance, in November 2017, EU member states voted to move the EMA, the EU’s regulatory body, from London to Amsterdam. Operations in Amsterdam commenced in March 2019, and the move itself may cause significant disruption to the regulatory approval process in Europe. It remains to be seen how, if at all, Brexit will impact regulatory requirements for product candidates and products in the UK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Even prior to any change to the UK’s relationship with the EU, the announcement of Brexit has created economic uncertainty surrounding the terms of Brexit and its consequences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9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have not yet reached sustained profitability. For the fiscal years ended December 31, 2019, 2018, and 2017, we reported losses of approximately $22.6 million, $116.4 million, and $67.9 million, respectively, and we had an accumulated deficit as of December 31, 2019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57" w:name="page58"/>
    <w:bookmarkEnd w:id="57"/>
    <w:p>
      <w:pPr>
        <w:ind w:right="140"/>
        <w:spacing w:after="0" w:line="312" w:lineRule="auto"/>
        <w:rPr>
          <w:sz w:val="20"/>
          <w:szCs w:val="20"/>
          <w:color w:val="auto"/>
        </w:rPr>
      </w:pPr>
      <w:r>
        <w:rPr>
          <w:rFonts w:ascii="Arial" w:cs="Arial" w:eastAsia="Arial" w:hAnsi="Arial"/>
          <w:sz w:val="16"/>
          <w:szCs w:val="16"/>
          <w:color w:val="auto"/>
        </w:rPr>
        <w:t>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77"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3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Even though Vascepa has been approved by the FDA for marketing in the United States for two important indications, it may not gain enough market acceptance to support profitability. We anticipate continuing to incur significant costs associated with expanding the commercialization of Vascepa. We may not achieve profitability on a sustained basis in the near term due to high costs associated with our expanded commercialization efforts, for example. If we are unable to continue to generate robust product revenues, we will not become profitable on a sustained basis in the near term, if ever, and may be unable to continue operations without continued funding.</w:t>
      </w:r>
    </w:p>
    <w:p>
      <w:pPr>
        <w:spacing w:after="0" w:line="202"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35"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23" w:lineRule="exact"/>
        <w:rPr>
          <w:sz w:val="20"/>
          <w:szCs w:val="20"/>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continuing evolution of the medical community’s and the public’s perception of the REDUCE-IT study results;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88" w:lineRule="exact"/>
        <w:rPr>
          <w:rFonts w:ascii="Arial" w:cs="Arial" w:eastAsia="Arial" w:hAnsi="Arial"/>
          <w:sz w:val="17"/>
          <w:szCs w:val="17"/>
          <w:color w:val="auto"/>
        </w:rPr>
      </w:pPr>
    </w:p>
    <w:p>
      <w:pPr>
        <w:ind w:left="900" w:right="200" w:hanging="379"/>
        <w:spacing w:after="0" w:line="325"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1" w:lineRule="exact"/>
        <w:rPr>
          <w:rFonts w:ascii="Arial" w:cs="Arial" w:eastAsia="Arial" w:hAnsi="Arial"/>
          <w:sz w:val="16"/>
          <w:szCs w:val="16"/>
          <w:color w:val="auto"/>
        </w:rPr>
      </w:pPr>
    </w:p>
    <w:p>
      <w:pPr>
        <w:ind w:left="900" w:hanging="379"/>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timing, cost and level of investment in our sales and marketing efforts to support Vascepa sales and the resulting effectiveness of those efforts;</w:t>
      </w:r>
    </w:p>
    <w:p>
      <w:pPr>
        <w:spacing w:after="0" w:line="99" w:lineRule="exact"/>
        <w:rPr>
          <w:rFonts w:ascii="Arial" w:cs="Arial" w:eastAsia="Arial" w:hAnsi="Arial"/>
          <w:sz w:val="16"/>
          <w:szCs w:val="16"/>
          <w:color w:val="auto"/>
        </w:rPr>
      </w:pPr>
    </w:p>
    <w:p>
      <w:pPr>
        <w:ind w:left="900" w:right="54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or delays in our or our partners’ commercial or development activities, including as a result of political instability, civil unrest, terrorism, pandemics or other natural disasters, such as the recent outbreak of coronavirus;</w:t>
      </w:r>
    </w:p>
    <w:p>
      <w:pPr>
        <w:spacing w:after="0" w:line="21" w:lineRule="exact"/>
        <w:rPr>
          <w:rFonts w:ascii="Arial" w:cs="Arial" w:eastAsia="Arial" w:hAnsi="Arial"/>
          <w:sz w:val="18"/>
          <w:szCs w:val="18"/>
          <w:color w:val="auto"/>
        </w:rPr>
      </w:pPr>
    </w:p>
    <w:p>
      <w:pPr>
        <w:ind w:left="900" w:right="40" w:hanging="379"/>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ability of efforts outside the United States, to develop, register and commercialize Vascepa in the EU, China Territory, several Middle Eastern and North African countries, and Canada, for example, including obtaining necessary regulatory approvals, favorable pricing and establishing marketing channels;</w:t>
      </w:r>
    </w:p>
    <w:p>
      <w:pPr>
        <w:spacing w:after="0" w:line="32"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ongoing regulatory dialogue.</w:t>
      </w:r>
    </w:p>
    <w:p>
      <w:pPr>
        <w:spacing w:after="0" w:line="239"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2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currently operate with limited resources. We believe that our cash and cash equivalents balance of $644.6 million as of December 31, 2019, will be sufficient to fund our projected operations for at least twelve months. Depending on the level of cash generated from operations, and depending in part on the rate of prescription growth for Vascepa,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58" w:name="page59"/>
    <w:bookmarkEnd w:id="58"/>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54" w:lineRule="exact"/>
        <w:rPr>
          <w:sz w:val="20"/>
          <w:szCs w:val="20"/>
          <w:color w:val="auto"/>
        </w:rPr>
      </w:pPr>
    </w:p>
    <w:p>
      <w:pPr>
        <w:ind w:left="900" w:hanging="379"/>
        <w:spacing w:after="0"/>
        <w:tabs>
          <w:tab w:leader="none" w:pos="90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timing, amount and consistency of revenue generated from the commercial sale of Vascepa;</w:t>
      </w:r>
    </w:p>
    <w:p>
      <w:pPr>
        <w:spacing w:after="0" w:line="80" w:lineRule="exact"/>
        <w:rPr>
          <w:rFonts w:ascii="Arial" w:cs="Arial" w:eastAsia="Arial" w:hAnsi="Arial"/>
          <w:sz w:val="22"/>
          <w:szCs w:val="22"/>
          <w:color w:val="auto"/>
        </w:rPr>
      </w:pPr>
    </w:p>
    <w:p>
      <w:pPr>
        <w:ind w:left="900" w:right="40" w:hanging="379"/>
        <w:spacing w:after="0" w:line="241" w:lineRule="auto"/>
        <w:tabs>
          <w:tab w:leader="none" w:pos="90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costs associated with commercializing Vascepa in the United States, including expenditures such as potential direct-to-consumer advertising and increased sales force sizing,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31" w:lineRule="exact"/>
        <w:rPr>
          <w:rFonts w:ascii="Arial" w:cs="Arial" w:eastAsia="Arial" w:hAnsi="Arial"/>
          <w:sz w:val="22"/>
          <w:szCs w:val="22"/>
          <w:color w:val="auto"/>
        </w:rPr>
      </w:pPr>
    </w:p>
    <w:p>
      <w:pPr>
        <w:ind w:left="900" w:hanging="379"/>
        <w:spacing w:after="0"/>
        <w:tabs>
          <w:tab w:leader="none" w:pos="90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continued costs associated with litigation and other legal proceedings;</w:t>
      </w:r>
    </w:p>
    <w:p>
      <w:pPr>
        <w:spacing w:after="0" w:line="80" w:lineRule="exact"/>
        <w:rPr>
          <w:rFonts w:ascii="Arial" w:cs="Arial" w:eastAsia="Arial" w:hAnsi="Arial"/>
          <w:sz w:val="22"/>
          <w:szCs w:val="22"/>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 based on REDUCE-IT results internationally;</w:t>
      </w:r>
    </w:p>
    <w:p>
      <w:pPr>
        <w:spacing w:after="0" w:line="54"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7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w:t>
      </w:r>
    </w:p>
    <w:p>
      <w:pPr>
        <w:spacing w:after="0" w:line="184"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3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12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Negative economic conditions would likely have a negative effect on our ability to obtain financing on acceptable terms.</w:t>
      </w:r>
    </w:p>
    <w:p>
      <w:pPr>
        <w:spacing w:after="0" w:line="7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8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34"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9" w:name="page60"/>
    <w:bookmarkEnd w:id="59"/>
    <w:p>
      <w:pPr>
        <w:ind w:left="2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90" w:lineRule="exact"/>
        <w:rPr>
          <w:sz w:val="20"/>
          <w:szCs w:val="20"/>
          <w:color w:val="auto"/>
        </w:rPr>
      </w:pPr>
    </w:p>
    <w:p>
      <w:pPr>
        <w:ind w:right="580" w:firstLine="518"/>
        <w:spacing w:after="0" w:line="264"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10" w:lineRule="exact"/>
        <w:rPr>
          <w:sz w:val="20"/>
          <w:szCs w:val="20"/>
          <w:color w:val="auto"/>
        </w:rPr>
      </w:pPr>
    </w:p>
    <w:p>
      <w:pPr>
        <w:ind w:left="900" w:hanging="379"/>
        <w:spacing w:after="0"/>
        <w:tabs>
          <w:tab w:leader="none" w:pos="900" w:val="left"/>
        </w:tabs>
        <w:numPr>
          <w:ilvl w:val="0"/>
          <w:numId w:val="30"/>
        </w:numPr>
        <w:rPr>
          <w:rFonts w:ascii="Arial" w:cs="Arial" w:eastAsia="Arial" w:hAnsi="Arial"/>
          <w:sz w:val="22"/>
          <w:szCs w:val="22"/>
          <w:color w:val="auto"/>
        </w:rPr>
      </w:pPr>
      <w:r>
        <w:rPr>
          <w:rFonts w:ascii="Arial" w:cs="Arial" w:eastAsia="Arial" w:hAnsi="Arial"/>
          <w:sz w:val="18"/>
          <w:szCs w:val="18"/>
          <w:color w:val="auto"/>
        </w:rPr>
        <w:t>diversion of managerial resources from day-to-day operations;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30"/>
        </w:numPr>
        <w:rPr>
          <w:rFonts w:ascii="Arial" w:cs="Arial" w:eastAsia="Arial" w:hAnsi="Arial"/>
          <w:sz w:val="22"/>
          <w:szCs w:val="22"/>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30"/>
        </w:numPr>
        <w:rPr>
          <w:rFonts w:ascii="Arial" w:cs="Arial" w:eastAsia="Arial" w:hAnsi="Arial"/>
          <w:sz w:val="22"/>
          <w:szCs w:val="22"/>
          <w:color w:val="auto"/>
        </w:rPr>
      </w:pPr>
      <w:r>
        <w:rPr>
          <w:rFonts w:ascii="Arial" w:cs="Arial" w:eastAsia="Arial" w:hAnsi="Arial"/>
          <w:sz w:val="18"/>
          <w:szCs w:val="18"/>
          <w:color w:val="auto"/>
        </w:rPr>
        <w:t>misjudgment with respect to the value;</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30"/>
        </w:numPr>
        <w:rPr>
          <w:rFonts w:ascii="Arial" w:cs="Arial" w:eastAsia="Arial" w:hAnsi="Arial"/>
          <w:sz w:val="22"/>
          <w:szCs w:val="22"/>
          <w:color w:val="auto"/>
        </w:rPr>
      </w:pPr>
      <w:r>
        <w:rPr>
          <w:rFonts w:ascii="Arial" w:cs="Arial" w:eastAsia="Arial" w:hAnsi="Arial"/>
          <w:sz w:val="18"/>
          <w:szCs w:val="18"/>
          <w:color w:val="auto"/>
        </w:rPr>
        <w:t>higher than expected transaction costs; or</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an inability to successfully consummate any such transaction or collaboration.</w:t>
      </w:r>
    </w:p>
    <w:p>
      <w:pPr>
        <w:spacing w:after="0" w:line="175"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9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2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As of February 21, 2020, we had 361,201,553 common shares outstanding including 360,999,820 shares held as ADSs and 201,733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77" w:lineRule="exact"/>
        <w:rPr>
          <w:sz w:val="20"/>
          <w:szCs w:val="20"/>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76" w:lineRule="exact"/>
        <w:rPr>
          <w:rFonts w:ascii="Arial" w:cs="Arial" w:eastAsia="Arial" w:hAnsi="Arial"/>
          <w:sz w:val="18"/>
          <w:szCs w:val="18"/>
          <w:color w:val="auto"/>
        </w:rPr>
      </w:pPr>
    </w:p>
    <w:p>
      <w:pPr>
        <w:ind w:left="900" w:right="520" w:hanging="379"/>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9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Further, the United Kingdom ceased to be a member of the European Union on January 31, 2020 (commonly referred to as “Brexit”).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Lack of clarity about future UK laws and regulations as the United Kingdom determines which EU rules and regulations to replace or replicate, including regulatory and financial laws and regulations, tax and free trade agreements, IP rights, supply chain logistics, environmental, health and safety laws and regulations, immigration laws and employment laws, could decrease foreign direct investment in the UK, increase costs, disrupt our business, depress economic activity and restrict our access to capital, any of which could negatively impact the price of our ADSs and common shares.</w:t>
      </w:r>
    </w:p>
    <w:p>
      <w:pPr>
        <w:spacing w:after="0" w:line="195"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0" w:name="page61"/>
    <w:bookmarkEnd w:id="60"/>
    <w:p>
      <w:pPr>
        <w:ind w:left="260" w:right="40"/>
        <w:spacing w:after="0" w:line="264" w:lineRule="auto"/>
        <w:rPr>
          <w:sz w:val="20"/>
          <w:szCs w:val="20"/>
          <w:color w:val="auto"/>
        </w:rPr>
      </w:pPr>
      <w:r>
        <w:rPr>
          <w:rFonts w:ascii="Arial" w:cs="Arial" w:eastAsia="Arial" w:hAnsi="Arial"/>
          <w:sz w:val="18"/>
          <w:szCs w:val="18"/>
          <w:b w:val="1"/>
          <w:bCs w:val="1"/>
          <w:i w:val="1"/>
          <w:iCs w:val="1"/>
          <w:color w:val="auto"/>
        </w:rPr>
        <w:t>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4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2015, 62,833,330 preferred shares were converted, resulting in the issuance of 6,283,333 ordinary shares and during 2018, the entire tranche completed in July 2015 of 38,867,180 preferred shares were converted, resulting in the issuance of 3,886,718 ordinary shares. The consolidation and redesignation of the Series A Preference Shares currently outstanding would result in an additional 28,931,746 ordinary shares outstanding, resulting in substantial dilution to shareholders.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25"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172" w:lineRule="exact"/>
        <w:rPr>
          <w:sz w:val="20"/>
          <w:szCs w:val="20"/>
          <w:color w:val="auto"/>
        </w:rPr>
      </w:pPr>
    </w:p>
    <w:p>
      <w:pPr>
        <w:ind w:left="260" w:right="200"/>
        <w:spacing w:after="0" w:line="306"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16"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13"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addition, under the securities subscription agreement dated as of March 5, 2015, we are required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00" w:lineRule="exact"/>
        <w:rPr>
          <w:sz w:val="20"/>
          <w:szCs w:val="20"/>
          <w:color w:val="auto"/>
        </w:rPr>
      </w:pPr>
    </w:p>
    <w:p>
      <w:pPr>
        <w:ind w:left="260" w:right="4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3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b w:val="1"/>
          <w:bCs w:val="1"/>
          <w:i w:val="1"/>
          <w:iCs w:val="1"/>
          <w:color w:val="auto"/>
        </w:rPr>
        <w:t>If we were to be characterized as a passive foreign investment company there could be adverse consequences to U.S. investors.</w:t>
      </w:r>
    </w:p>
    <w:p>
      <w:pPr>
        <w:spacing w:after="0" w:line="9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124"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Based on certain estimates of our gross income and gross assets, the latter determined by reference to the expected value of our ADSs and shares, we believe that we will not be classified as a PFIC for the taxable year ended December 31, 2019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Failure to meet our obligations under our December 2012 Purchase and Sale Agreement could adversely affect our financial results and liquidity.</w:t>
      </w:r>
    </w:p>
    <w:p>
      <w:pPr>
        <w:spacing w:after="0" w:line="10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2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CPPIB’s interests under the transaction; (iv) encumber any of the collateral securing our performance under the agreement; and (v) abandon certain patent rights, in each case without the consent of CPPIB.</w:t>
      </w:r>
    </w:p>
    <w:p>
      <w:pPr>
        <w:spacing w:after="0" w:line="134"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CPPIB and (iii), unless CPPIB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2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CPPIB may attempt to collect the maximum amount payable by us under this agreement (after deducting any payments we have already made).</w:t>
      </w:r>
    </w:p>
    <w:p>
      <w:pPr>
        <w:spacing w:after="0" w:line="139"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7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indebtedness and the related annual debt service requirements, if any, may adversely impact our business, operations and financial condition in the future. For example, they could:</w:t>
      </w:r>
    </w:p>
    <w:p>
      <w:pPr>
        <w:ind w:left="900" w:hanging="379"/>
        <w:spacing w:after="0"/>
        <w:tabs>
          <w:tab w:leader="none" w:pos="900" w:val="left"/>
        </w:tabs>
        <w:numPr>
          <w:ilvl w:val="0"/>
          <w:numId w:val="32"/>
        </w:numPr>
        <w:rPr>
          <w:rFonts w:ascii="Arial" w:cs="Arial" w:eastAsia="Arial" w:hAnsi="Arial"/>
          <w:sz w:val="22"/>
          <w:szCs w:val="22"/>
          <w:color w:val="auto"/>
        </w:rPr>
      </w:pPr>
      <w:r>
        <w:rPr>
          <w:rFonts w:ascii="Arial" w:cs="Arial" w:eastAsia="Arial" w:hAnsi="Arial"/>
          <w:sz w:val="18"/>
          <w:szCs w:val="18"/>
          <w:color w:val="auto"/>
        </w:rPr>
        <w:t>increase our vulnerability to general adverse economic and industry conditions;</w:t>
      </w:r>
    </w:p>
    <w:p>
      <w:pPr>
        <w:spacing w:after="0" w:line="79" w:lineRule="exact"/>
        <w:rPr>
          <w:rFonts w:ascii="Arial" w:cs="Arial" w:eastAsia="Arial" w:hAnsi="Arial"/>
          <w:sz w:val="22"/>
          <w:szCs w:val="22"/>
          <w:color w:val="auto"/>
        </w:rPr>
      </w:pPr>
    </w:p>
    <w:p>
      <w:pPr>
        <w:ind w:left="900" w:right="220" w:hanging="379"/>
        <w:spacing w:after="0" w:line="232" w:lineRule="auto"/>
        <w:tabs>
          <w:tab w:leader="none" w:pos="900" w:val="left"/>
        </w:tabs>
        <w:numPr>
          <w:ilvl w:val="0"/>
          <w:numId w:val="32"/>
        </w:numPr>
        <w:rPr>
          <w:rFonts w:ascii="Arial" w:cs="Arial" w:eastAsia="Arial" w:hAnsi="Arial"/>
          <w:sz w:val="22"/>
          <w:szCs w:val="22"/>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2" w:name="page63"/>
    <w:bookmarkEnd w:id="62"/>
    <w:p>
      <w:pPr>
        <w:ind w:left="900" w:hanging="379"/>
        <w:spacing w:after="0"/>
        <w:tabs>
          <w:tab w:leader="none" w:pos="900" w:val="left"/>
        </w:tabs>
        <w:numPr>
          <w:ilvl w:val="0"/>
          <w:numId w:val="33"/>
        </w:numPr>
        <w:rPr>
          <w:rFonts w:ascii="Arial" w:cs="Arial" w:eastAsia="Arial" w:hAnsi="Arial"/>
          <w:sz w:val="22"/>
          <w:szCs w:val="22"/>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80" w:lineRule="exact"/>
        <w:rPr>
          <w:rFonts w:ascii="Arial" w:cs="Arial" w:eastAsia="Arial" w:hAnsi="Arial"/>
          <w:sz w:val="22"/>
          <w:szCs w:val="22"/>
          <w:color w:val="auto"/>
        </w:rPr>
      </w:pPr>
    </w:p>
    <w:p>
      <w:pPr>
        <w:ind w:left="900" w:right="160" w:hanging="379"/>
        <w:spacing w:after="0" w:line="232" w:lineRule="auto"/>
        <w:tabs>
          <w:tab w:leader="none" w:pos="900" w:val="left"/>
        </w:tabs>
        <w:numPr>
          <w:ilvl w:val="0"/>
          <w:numId w:val="33"/>
        </w:numPr>
        <w:rPr>
          <w:rFonts w:ascii="Arial" w:cs="Arial" w:eastAsia="Arial" w:hAnsi="Arial"/>
          <w:sz w:val="22"/>
          <w:szCs w:val="22"/>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9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7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46" w:lineRule="exact"/>
        <w:rPr>
          <w:sz w:val="20"/>
          <w:szCs w:val="20"/>
          <w:color w:val="auto"/>
        </w:rPr>
      </w:pPr>
    </w:p>
    <w:p>
      <w:pPr>
        <w:jc w:val="both"/>
        <w:ind w:left="900" w:right="80" w:hanging="379"/>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32" w:lineRule="exact"/>
        <w:rPr>
          <w:rFonts w:ascii="Arial" w:cs="Arial" w:eastAsia="Arial" w:hAnsi="Arial"/>
          <w:sz w:val="18"/>
          <w:szCs w:val="18"/>
          <w:color w:val="auto"/>
        </w:rPr>
      </w:pPr>
    </w:p>
    <w:p>
      <w:pPr>
        <w:ind w:left="900" w:right="660" w:hanging="379"/>
        <w:spacing w:after="0" w:line="325"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 w:lineRule="exact"/>
        <w:rPr>
          <w:rFonts w:ascii="Arial" w:cs="Arial" w:eastAsia="Arial" w:hAnsi="Arial"/>
          <w:sz w:val="16"/>
          <w:szCs w:val="16"/>
          <w:color w:val="auto"/>
        </w:rPr>
      </w:pPr>
    </w:p>
    <w:p>
      <w:pPr>
        <w:ind w:left="900" w:right="80" w:hanging="379"/>
        <w:spacing w:after="0" w:line="31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ind w:left="900" w:right="120" w:hanging="379"/>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39" w:lineRule="exact"/>
        <w:rPr>
          <w:rFonts w:ascii="Arial" w:cs="Arial" w:eastAsia="Arial" w:hAnsi="Arial"/>
          <w:sz w:val="18"/>
          <w:szCs w:val="18"/>
          <w:color w:val="auto"/>
        </w:rPr>
      </w:pPr>
    </w:p>
    <w:p>
      <w:pPr>
        <w:ind w:left="900" w:right="80" w:hanging="379"/>
        <w:spacing w:after="0" w:line="272"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29" w:lineRule="exact"/>
        <w:rPr>
          <w:rFonts w:ascii="Arial" w:cs="Arial" w:eastAsia="Arial" w:hAnsi="Arial"/>
          <w:sz w:val="17"/>
          <w:szCs w:val="17"/>
          <w:color w:val="auto"/>
        </w:rPr>
      </w:pPr>
    </w:p>
    <w:p>
      <w:pPr>
        <w:ind w:left="900" w:right="20" w:hanging="379"/>
        <w:spacing w:after="0" w:line="30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 w:lineRule="exact"/>
        <w:rPr>
          <w:rFonts w:ascii="Arial" w:cs="Arial" w:eastAsia="Arial" w:hAnsi="Arial"/>
          <w:sz w:val="16"/>
          <w:szCs w:val="16"/>
          <w:color w:val="auto"/>
        </w:rPr>
      </w:pPr>
    </w:p>
    <w:p>
      <w:pPr>
        <w:ind w:left="900" w:right="20" w:hanging="379"/>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Shareholder protections found in provisions under the U.K. City Code on Takeovers and Mergers, or the Takeover Code, do not apply to us.</w:t>
      </w:r>
    </w:p>
    <w:p>
      <w:pPr>
        <w:spacing w:after="0" w:line="10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we are not subject to the Takeover Code. As a result, our shareholders are not entitled to the benefit of certain takeover offer protections provided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Takeover Code. The following is a brief summary of some of the most important rules of the Takeover Code which, as noted, does not apply to us:</w:t>
      </w:r>
    </w:p>
    <w:p>
      <w:pPr>
        <w:spacing w:after="0" w:line="87" w:lineRule="exact"/>
        <w:rPr>
          <w:sz w:val="20"/>
          <w:szCs w:val="20"/>
          <w:color w:val="auto"/>
        </w:rPr>
      </w:pPr>
    </w:p>
    <w:p>
      <w:pPr>
        <w:ind w:left="900" w:right="180" w:hanging="379"/>
        <w:spacing w:after="0" w:line="31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jc w:val="both"/>
        <w:ind w:left="900" w:right="120" w:hanging="379"/>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When a person or group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38" w:lineRule="exact"/>
        <w:rPr>
          <w:rFonts w:ascii="Arial" w:cs="Arial" w:eastAsia="Arial" w:hAnsi="Arial"/>
          <w:sz w:val="18"/>
          <w:szCs w:val="18"/>
          <w:color w:val="auto"/>
        </w:rPr>
      </w:pPr>
    </w:p>
    <w:p>
      <w:pPr>
        <w:ind w:left="900" w:hanging="379"/>
        <w:spacing w:after="0" w:line="25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When interests in shares carrying 10% or more of the voting rights of a class have been acquired by an offeror (i.e., a bidder) in the offer period (i.e., before the shares subject to the offer have been acquired) and the previous 12 months, the offer must be in cash or be accompanied by a cash alternative for all shareholders of that class at the highest price paid by the offeror in that period. Further, if an offeror acquires any interest in shares during the offer period, the offer for the shares must be in cash or accompanied by a cash alternative at a price at least equal to the price paid for such shares during the offer period.</w:t>
      </w:r>
    </w:p>
    <w:p>
      <w:pPr>
        <w:spacing w:after="0" w:line="39"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21"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21"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Those issuing takeover circulars must include statements taking responsibility for the contents thereof.</w:t>
      </w:r>
    </w:p>
    <w:p>
      <w:pPr>
        <w:spacing w:after="0" w:line="76" w:lineRule="exact"/>
        <w:rPr>
          <w:rFonts w:ascii="Arial" w:cs="Arial" w:eastAsia="Arial" w:hAnsi="Arial"/>
          <w:sz w:val="18"/>
          <w:szCs w:val="18"/>
          <w:color w:val="auto"/>
        </w:rPr>
      </w:pPr>
    </w:p>
    <w:p>
      <w:pPr>
        <w:ind w:left="900" w:right="34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Misleading, inaccurate or unsubstantiated statements made in documents or to the media must be publicly corrected immediately.</w:t>
      </w:r>
    </w:p>
    <w:p>
      <w:pPr>
        <w:spacing w:after="0" w:line="76" w:lineRule="exact"/>
        <w:rPr>
          <w:rFonts w:ascii="Arial" w:cs="Arial" w:eastAsia="Arial" w:hAnsi="Arial"/>
          <w:sz w:val="18"/>
          <w:szCs w:val="18"/>
          <w:color w:val="auto"/>
        </w:rPr>
      </w:pPr>
    </w:p>
    <w:p>
      <w:pPr>
        <w:ind w:left="900" w:right="300" w:hanging="379"/>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32" w:lineRule="exact"/>
        <w:rPr>
          <w:rFonts w:ascii="Arial" w:cs="Arial" w:eastAsia="Arial" w:hAnsi="Arial"/>
          <w:sz w:val="18"/>
          <w:szCs w:val="18"/>
          <w:color w:val="auto"/>
        </w:rPr>
      </w:pPr>
    </w:p>
    <w:p>
      <w:pPr>
        <w:ind w:left="900" w:hanging="379"/>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32" w:lineRule="exact"/>
        <w:rPr>
          <w:rFonts w:ascii="Arial" w:cs="Arial" w:eastAsia="Arial" w:hAnsi="Arial"/>
          <w:sz w:val="18"/>
          <w:szCs w:val="18"/>
          <w:color w:val="auto"/>
        </w:rPr>
      </w:pPr>
    </w:p>
    <w:p>
      <w:pPr>
        <w:ind w:left="900" w:right="200" w:hanging="379"/>
        <w:spacing w:after="0" w:line="286"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77"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64" w:name="page65"/>
    <w:bookmarkEnd w:id="64"/>
    <w:p>
      <w:pPr>
        <w:ind w:left="260" w:right="30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3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lists the location, use and ownership interest of our principal properties as of February 21,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3480" w:type="dxa"/>
            <w:vAlign w:val="bottom"/>
            <w:tcBorders>
              <w:bottom w:val="single" w:sz="8" w:color="auto"/>
            </w:tcBorders>
          </w:tcPr>
          <w:p>
            <w:pPr>
              <w:jc w:val="center"/>
              <w:ind w:left="1936"/>
              <w:spacing w:after="0"/>
              <w:rPr>
                <w:sz w:val="20"/>
                <w:szCs w:val="20"/>
                <w:color w:val="auto"/>
              </w:rPr>
            </w:pPr>
            <w:r>
              <w:rPr>
                <w:rFonts w:ascii="Arial" w:cs="Arial" w:eastAsia="Arial" w:hAnsi="Arial"/>
                <w:sz w:val="14"/>
                <w:szCs w:val="14"/>
                <w:b w:val="1"/>
                <w:bCs w:val="1"/>
                <w:color w:val="auto"/>
                <w:w w:val="85"/>
              </w:rPr>
              <w:t>Use</w:t>
            </w:r>
          </w:p>
        </w:tc>
        <w:tc>
          <w:tcPr>
            <w:tcW w:w="14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6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Size (sq. ft.)</w:t>
            </w:r>
          </w:p>
        </w:tc>
        <w:tc>
          <w:tcPr>
            <w:tcW w:w="100" w:type="dxa"/>
            <w:vAlign w:val="bottom"/>
            <w:tcBorders>
              <w:bottom w:val="single" w:sz="8" w:color="CFF0FC"/>
            </w:tcBorders>
          </w:tcPr>
          <w:p>
            <w:pPr>
              <w:spacing w:after="0"/>
              <w:rPr>
                <w:sz w:val="14"/>
                <w:szCs w:val="14"/>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Dublin, Ireland</w:t>
            </w:r>
          </w:p>
        </w:tc>
        <w:tc>
          <w:tcPr>
            <w:tcW w:w="3620" w:type="dxa"/>
            <w:vAlign w:val="bottom"/>
            <w:gridSpan w:val="2"/>
            <w:shd w:val="clear" w:color="auto" w:fill="CFF0FC"/>
          </w:tcPr>
          <w:p>
            <w:pPr>
              <w:jc w:val="center"/>
              <w:ind w:left="1796"/>
              <w:spacing w:after="0"/>
              <w:rPr>
                <w:sz w:val="20"/>
                <w:szCs w:val="20"/>
                <w:color w:val="auto"/>
              </w:rPr>
            </w:pPr>
            <w:r>
              <w:rPr>
                <w:rFonts w:ascii="Arial" w:cs="Arial" w:eastAsia="Arial" w:hAnsi="Arial"/>
                <w:sz w:val="18"/>
                <w:szCs w:val="18"/>
                <w:color w:val="auto"/>
                <w:w w:val="96"/>
              </w:rPr>
              <w:t>Offices</w:t>
            </w: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4"/>
              </w:rPr>
              <w:t>Leased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w:t>
            </w:r>
          </w:p>
        </w:tc>
        <w:tc>
          <w:tcPr>
            <w:tcW w:w="100" w:type="dxa"/>
            <w:vAlign w:val="bottom"/>
            <w:shd w:val="clear" w:color="auto" w:fill="CFF0FC"/>
          </w:tcPr>
          <w:p>
            <w:pPr>
              <w:spacing w:after="0"/>
              <w:rPr>
                <w:sz w:val="20"/>
                <w:szCs w:val="20"/>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Bridgewater, New Jersey, USA</w:t>
            </w:r>
          </w:p>
        </w:tc>
        <w:tc>
          <w:tcPr>
            <w:tcW w:w="3620" w:type="dxa"/>
            <w:vAlign w:val="bottom"/>
            <w:gridSpan w:val="2"/>
          </w:tcPr>
          <w:p>
            <w:pPr>
              <w:jc w:val="center"/>
              <w:ind w:left="1796"/>
              <w:spacing w:after="0"/>
              <w:rPr>
                <w:sz w:val="20"/>
                <w:szCs w:val="20"/>
                <w:color w:val="auto"/>
              </w:rPr>
            </w:pPr>
            <w:r>
              <w:rPr>
                <w:rFonts w:ascii="Arial" w:cs="Arial" w:eastAsia="Arial" w:hAnsi="Arial"/>
                <w:sz w:val="18"/>
                <w:szCs w:val="18"/>
                <w:color w:val="auto"/>
                <w:w w:val="96"/>
              </w:rPr>
              <w:t>Offices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Leased</w:t>
            </w:r>
          </w:p>
        </w:tc>
        <w:tc>
          <w:tcPr>
            <w:tcW w:w="1340" w:type="dxa"/>
            <w:vAlign w:val="bottom"/>
          </w:tcPr>
          <w:p>
            <w:pPr>
              <w:jc w:val="right"/>
              <w:spacing w:after="0"/>
              <w:rPr>
                <w:sz w:val="20"/>
                <w:szCs w:val="20"/>
                <w:color w:val="auto"/>
              </w:rPr>
            </w:pPr>
            <w:r>
              <w:rPr>
                <w:rFonts w:ascii="Arial" w:cs="Arial" w:eastAsia="Arial" w:hAnsi="Arial"/>
                <w:sz w:val="18"/>
                <w:szCs w:val="18"/>
                <w:color w:val="auto"/>
              </w:rPr>
              <w:t>67,747</w:t>
            </w:r>
          </w:p>
        </w:tc>
        <w:tc>
          <w:tcPr>
            <w:tcW w:w="100" w:type="dxa"/>
            <w:vAlign w:val="bottom"/>
          </w:tcPr>
          <w:p>
            <w:pPr>
              <w:spacing w:after="0"/>
              <w:rPr>
                <w:sz w:val="21"/>
                <w:szCs w:val="21"/>
                <w:color w:val="auto"/>
              </w:rPr>
            </w:pPr>
          </w:p>
        </w:tc>
      </w:tr>
    </w:tbl>
    <w:p>
      <w:pPr>
        <w:spacing w:after="0" w:line="188"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Effective November 1, 2011, we leased 320 square feet of office space in Dublin, Ireland. The office space was subsequently reduced to 270 square feet, effective November 1, 2013. The lease was terminated on May 1, 2019. Effective May 1, 2019 and October 1, 2019, we entered into Office Centre Sharing Agreements, leasing 4,983 square feet, to replace the office space with new office space in Dublin, Ireland which terminate on April 30, 2020 and September 30, 2020, respectively, and can be extended automatically for successive one year periods.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July 1, 2011, the Company leased 9,747 square feet of office space in Bedminster, New Jersey. The lease, as amended, terminated on September 15, 2019. On January 26, 2019, the Company leased an additional 5,988 square feet in another building in Bedminster, New Jersey, effective February 1, 2019 which also terminated on September 15, 2019.</w:t>
      </w:r>
    </w:p>
    <w:p>
      <w:pPr>
        <w:spacing w:after="0" w:line="12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Effective February 5, 2019, we entered into a lease agreement for approximately 67,747 square feet of office space in Bridgewater, New Jersey. The lease commenced on August 15, 2019 for an 11-year period.</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8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On February 22, 2019, a purported investor in our publicly traded securities filed a putative class action lawsuit against Amarin Corporation plc, our chief executive officer and chief scientific officer in the U.S. District Court for the District of New Jersey, </w:t>
      </w:r>
      <w:r>
        <w:rPr>
          <w:rFonts w:ascii="Arial" w:cs="Arial" w:eastAsia="Arial" w:hAnsi="Arial"/>
          <w:sz w:val="17"/>
          <w:szCs w:val="17"/>
          <w:i w:val="1"/>
          <w:iCs w:val="1"/>
          <w:color w:val="auto"/>
        </w:rPr>
        <w:t>Debendra Sharma v. Amarin Corporation plc, John</w:t>
      </w:r>
      <w:r>
        <w:rPr>
          <w:rFonts w:ascii="Arial" w:cs="Arial" w:eastAsia="Arial" w:hAnsi="Arial"/>
          <w:sz w:val="17"/>
          <w:szCs w:val="17"/>
          <w:color w:val="auto"/>
        </w:rPr>
        <w:t xml:space="preserve"> </w:t>
      </w:r>
      <w:r>
        <w:rPr>
          <w:rFonts w:ascii="Arial" w:cs="Arial" w:eastAsia="Arial" w:hAnsi="Arial"/>
          <w:sz w:val="17"/>
          <w:szCs w:val="17"/>
          <w:i w:val="1"/>
          <w:iCs w:val="1"/>
          <w:color w:val="auto"/>
        </w:rPr>
        <w:t>F. Thero and Steven Ketchum</w:t>
      </w:r>
      <w:r>
        <w:rPr>
          <w:rFonts w:ascii="Arial" w:cs="Arial" w:eastAsia="Arial" w:hAnsi="Arial"/>
          <w:sz w:val="17"/>
          <w:szCs w:val="17"/>
          <w:color w:val="auto"/>
        </w:rPr>
        <w:t>, No. 2:19-cv-06601 (D.N.J. Feb. 22, 2019). On March 12, 2019, another purported investor filed a substantially similar lawsuit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captioned </w:t>
      </w:r>
      <w:r>
        <w:rPr>
          <w:rFonts w:ascii="Arial" w:cs="Arial" w:eastAsia="Arial" w:hAnsi="Arial"/>
          <w:sz w:val="17"/>
          <w:szCs w:val="17"/>
          <w:i w:val="1"/>
          <w:iCs w:val="1"/>
          <w:color w:val="auto"/>
        </w:rPr>
        <w:t>Richard Borghesi v. Amarin Corporation plc, John F. Thero and Steven Ketchum,</w:t>
      </w:r>
      <w:r>
        <w:rPr>
          <w:rFonts w:ascii="Arial" w:cs="Arial" w:eastAsia="Arial" w:hAnsi="Arial"/>
          <w:sz w:val="17"/>
          <w:szCs w:val="17"/>
          <w:color w:val="auto"/>
        </w:rPr>
        <w:t xml:space="preserve"> No. 3:19-cv-08423 (D.N.J. March 12, 2019). On May 14, 2019 the court consolidated the cases under the caption </w:t>
      </w:r>
      <w:r>
        <w:rPr>
          <w:rFonts w:ascii="Arial" w:cs="Arial" w:eastAsia="Arial" w:hAnsi="Arial"/>
          <w:sz w:val="17"/>
          <w:szCs w:val="17"/>
          <w:i w:val="1"/>
          <w:iCs w:val="1"/>
          <w:color w:val="auto"/>
        </w:rPr>
        <w:t>In re Amarin Corporation PLC Securities Litigation</w:t>
      </w:r>
      <w:r>
        <w:rPr>
          <w:rFonts w:ascii="Arial" w:cs="Arial" w:eastAsia="Arial" w:hAnsi="Arial"/>
          <w:sz w:val="17"/>
          <w:szCs w:val="17"/>
          <w:color w:val="auto"/>
        </w:rPr>
        <w:t>, No. 3:19-cv-06601 and appointed two other purported shareholders, Dan Kotecki and the Gaetano Cecchini Living Trust, as Co-Lead Plaintiffs.</w:t>
      </w:r>
    </w:p>
    <w:p>
      <w:pPr>
        <w:spacing w:after="0" w:line="124"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Co-Lead Plaintiffs filed a consolidated amended complaint, or Amended Complaint, on July 22, 2019 that adds as defendants our current chief medical officer and our former chief executive officer, who is a current director. The Amended Complaint alleges that from September 24, 2018 to November 9, 2018 we misled investors by releasing topline results for the REDUCE-IT study without disclosing data on biomarker increases in the placebo group as compared with baseline measurement. The Amended Complaint alleges that these data suggest that the mineral oil placebo used in the REDUCE-IT study may have interfered with statin absorption in the placebo group, which they allege may have increased adverse outcomes in the placebo group. The Amended Complaint further allege that these purported misrepresentations and omissions inflated our share price. Based on these allegations, the suit asserts claims under the Securities Exchange Act of 1934 and seeks unspecified monetary damages and attorneys’ fees and costs.</w:t>
      </w:r>
    </w:p>
    <w:p>
      <w:pPr>
        <w:spacing w:after="0" w:line="124"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believe that we have valid defenses and we will vigorously defend against the claims, but cannot predict the outcome. We are unable to reasonably estimate the loss exposure, if any, associated with these claims. We have insurance coverage that is anticipated to cover any significant loss exposure that may arise from this action after payment by us of the associated deductible obligation.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5" w:name="page66"/>
    <w:bookmarkEnd w:id="65"/>
    <w:p>
      <w:pPr>
        <w:ind w:firstLine="518"/>
        <w:spacing w:after="0" w:line="267" w:lineRule="auto"/>
        <w:rPr>
          <w:sz w:val="20"/>
          <w:szCs w:val="20"/>
          <w:color w:val="auto"/>
        </w:rPr>
      </w:pPr>
      <w:r>
        <w:rPr>
          <w:rFonts w:ascii="Arial" w:cs="Arial" w:eastAsia="Arial" w:hAnsi="Arial"/>
          <w:sz w:val="17"/>
          <w:szCs w:val="17"/>
          <w:color w:val="auto"/>
        </w:rPr>
        <w:t xml:space="preserve">In September and October 2016, we received paragraph IV certification notices from four companies contending to varying degrees that certain of our patents are invalid, unenforceable and/or will not be infringed by the manufacture, use, sale or offer for sale of a generic form of Vascepa as described in those companies’ abbreviated new drug applications, or ANDAs. 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Arial" w:cs="Arial" w:eastAsia="Arial" w:hAnsi="Arial"/>
          <w:sz w:val="17"/>
          <w:szCs w:val="17"/>
          <w:i w:val="1"/>
          <w:iCs w:val="1"/>
          <w:color w:val="auto"/>
        </w:rPr>
        <w:t>Amarin Pharma, Inc. et al. v. Roxane Laboratories, Inc. et al.</w:t>
      </w:r>
      <w:r>
        <w:rPr>
          <w:rFonts w:ascii="Arial" w:cs="Arial" w:eastAsia="Arial" w:hAnsi="Arial"/>
          <w:sz w:val="17"/>
          <w:szCs w:val="17"/>
          <w:color w:val="auto"/>
        </w:rPr>
        <w:t xml:space="preserve">, Civ. A. No. 2:16-cv-02525 (D. Nev.). According to a stipulation filed with the Nevada court, in 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Arial" w:cs="Arial" w:eastAsia="Arial" w:hAnsi="Arial"/>
          <w:sz w:val="17"/>
          <w:szCs w:val="17"/>
          <w:i w:val="1"/>
          <w:iCs w:val="1"/>
          <w:color w:val="auto"/>
        </w:rPr>
        <w:t>Amarin Pharma, Inc. et al. v. West-Ward Pharmaceuticals Corp. et al.</w:t>
      </w:r>
      <w:r>
        <w:rPr>
          <w:rFonts w:ascii="Arial" w:cs="Arial" w:eastAsia="Arial" w:hAnsi="Arial"/>
          <w:sz w:val="17"/>
          <w:szCs w:val="17"/>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Arial" w:cs="Arial" w:eastAsia="Arial" w:hAnsi="Arial"/>
          <w:sz w:val="17"/>
          <w:szCs w:val="17"/>
          <w:i w:val="1"/>
          <w:iCs w:val="1"/>
          <w:color w:val="auto"/>
        </w:rPr>
        <w:t>Amarin Pharma, Inc. et al. v. Dr. Reddy’s Laboratories, Inc. et al.</w:t>
      </w:r>
      <w:r>
        <w:rPr>
          <w:rFonts w:ascii="Arial" w:cs="Arial" w:eastAsia="Arial" w:hAnsi="Arial"/>
          <w:sz w:val="17"/>
          <w:szCs w:val="17"/>
          <w:color w:val="auto"/>
        </w:rPr>
        <w:t xml:space="preserve">, Civ. A. No. 2:16-cv-02562 (D. Nev.). In November 2016, Amarin filed a lawsuit against Teva Pharmaceuticals USA, Inc. and Teva Pharmaceuticals Industries Limited (collectively, “Teva”) in the U.S. District Court for the District of Nevada. The case against Teva is captioned </w:t>
      </w:r>
      <w:r>
        <w:rPr>
          <w:rFonts w:ascii="Arial" w:cs="Arial" w:eastAsia="Arial" w:hAnsi="Arial"/>
          <w:sz w:val="17"/>
          <w:szCs w:val="17"/>
          <w:i w:val="1"/>
          <w:iCs w:val="1"/>
          <w:color w:val="auto"/>
        </w:rPr>
        <w:t>Amarin Pharma, Inc. et al. v. Teva</w:t>
      </w:r>
      <w:r>
        <w:rPr>
          <w:rFonts w:ascii="Arial" w:cs="Arial" w:eastAsia="Arial" w:hAnsi="Arial"/>
          <w:sz w:val="17"/>
          <w:szCs w:val="17"/>
          <w:color w:val="auto"/>
        </w:rPr>
        <w:t xml:space="preserve"> </w:t>
      </w:r>
      <w:r>
        <w:rPr>
          <w:rFonts w:ascii="Arial" w:cs="Arial" w:eastAsia="Arial" w:hAnsi="Arial"/>
          <w:sz w:val="17"/>
          <w:szCs w:val="17"/>
          <w:i w:val="1"/>
          <w:iCs w:val="1"/>
          <w:color w:val="auto"/>
        </w:rPr>
        <w:t>Pharmaceuticals USA, Inc. et al.</w:t>
      </w:r>
      <w:r>
        <w:rPr>
          <w:rFonts w:ascii="Arial" w:cs="Arial" w:eastAsia="Arial" w:hAnsi="Arial"/>
          <w:sz w:val="17"/>
          <w:szCs w:val="17"/>
          <w:color w:val="auto"/>
        </w:rPr>
        <w:t>, Civ. A. No. 2:16-cv-02658. In all three lawsuits, Amarin is seeking, among other remedies, an order enjoining each</w:t>
      </w:r>
      <w:r>
        <w:rPr>
          <w:rFonts w:ascii="Arial" w:cs="Arial" w:eastAsia="Arial" w:hAnsi="Arial"/>
          <w:sz w:val="17"/>
          <w:szCs w:val="17"/>
          <w:i w:val="1"/>
          <w:iCs w:val="1"/>
          <w:color w:val="auto"/>
        </w:rPr>
        <w:t xml:space="preserve"> </w:t>
      </w:r>
      <w:r>
        <w:rPr>
          <w:rFonts w:ascii="Arial" w:cs="Arial" w:eastAsia="Arial" w:hAnsi="Arial"/>
          <w:sz w:val="17"/>
          <w:szCs w:val="17"/>
          <w:color w:val="auto"/>
        </w:rPr>
        <w:t>defendant from marketing generic versions of Vascepa before the last to expire of the asserted patents in 2030. The three lawsuits have been consolidated for pretrial proceedings. As a result of the statutory stay associated with the filing of these lawsuits under the Hatch-Waxman Act, the FDA was restricted from granting final approval to West-Ward, DRL, or Teva’s respective ANDA before January 2020, unless there was an earlier court decision holding that the subject patents are not infringed and/or are invalid.</w:t>
      </w:r>
    </w:p>
    <w:p>
      <w:pPr>
        <w:spacing w:after="0" w:line="13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fourth ANDA applicant referenced above is Apotex Inc., or Apotex, which sent Amarin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Act.</w:t>
      </w:r>
    </w:p>
    <w:p>
      <w:pPr>
        <w:spacing w:after="0" w:line="11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U.S. District Court for the District of Nevada. The case was captioned </w:t>
      </w:r>
      <w:r>
        <w:rPr>
          <w:rFonts w:ascii="Arial" w:cs="Arial" w:eastAsia="Arial" w:hAnsi="Arial"/>
          <w:sz w:val="17"/>
          <w:szCs w:val="17"/>
          <w:i w:val="1"/>
          <w:iCs w:val="1"/>
          <w:color w:val="auto"/>
        </w:rPr>
        <w:t>Amarin Pharma, Inc. et al. v. Teva Pharmaceuticals USA, Inc. et al.,</w:t>
      </w:r>
      <w:r>
        <w:rPr>
          <w:rFonts w:ascii="Arial" w:cs="Arial" w:eastAsia="Arial" w:hAnsi="Arial"/>
          <w:sz w:val="17"/>
          <w:szCs w:val="17"/>
          <w:color w:val="auto"/>
        </w:rPr>
        <w:t xml:space="preserve"> Civ. A. No. 2:17-cv-2641 (D. Nev.). In this lawsuit, we sought, among other remedies, an order enjoining Teva from marketing generic versions of the 0.5-gram dose strength of Vascepa before the last to expire of the asserted patents in 2030.</w:t>
      </w:r>
    </w:p>
    <w:p>
      <w:pPr>
        <w:spacing w:after="0" w:line="124"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us certain royalties on its generic Vascepa products.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In July 2018, as anticipated,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lawsuit against DRL in the U.S. District Court for the District of Nevada. The case is captioned </w:t>
      </w:r>
      <w:r>
        <w:rPr>
          <w:rFonts w:ascii="Arial" w:cs="Arial" w:eastAsia="Arial" w:hAnsi="Arial"/>
          <w:sz w:val="17"/>
          <w:szCs w:val="17"/>
          <w:i w:val="1"/>
          <w:iCs w:val="1"/>
          <w:color w:val="auto"/>
        </w:rPr>
        <w:t>Amarin Pharma, Inc. 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 v. Dr. Reddy’s Laboratories, Inc. et al., </w:t>
      </w:r>
      <w:r>
        <w:rPr>
          <w:rFonts w:ascii="Arial" w:cs="Arial" w:eastAsia="Arial" w:hAnsi="Arial"/>
          <w:sz w:val="17"/>
          <w:szCs w:val="17"/>
          <w:color w:val="auto"/>
        </w:rPr>
        <w:t>Civ. A. No. 2:18-cv-01596 (D. Nev.). In this lawsuit, we are seeking, among other remedies, an order enjoining</w:t>
      </w:r>
      <w:r>
        <w:rPr>
          <w:rFonts w:ascii="Arial" w:cs="Arial" w:eastAsia="Arial" w:hAnsi="Arial"/>
          <w:sz w:val="17"/>
          <w:szCs w:val="17"/>
          <w:i w:val="1"/>
          <w:iCs w:val="1"/>
          <w:color w:val="auto"/>
        </w:rPr>
        <w:t xml:space="preserve"> </w:t>
      </w:r>
      <w:r>
        <w:rPr>
          <w:rFonts w:ascii="Arial" w:cs="Arial" w:eastAsia="Arial" w:hAnsi="Arial"/>
          <w:sz w:val="17"/>
          <w:szCs w:val="17"/>
          <w:color w:val="auto"/>
        </w:rPr>
        <w:t>DRL from marketing 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6" w:name="page67"/>
    <w:bookmarkEnd w:id="66"/>
    <w:p>
      <w:pPr>
        <w:ind w:firstLine="518"/>
        <w:spacing w:after="0" w:line="312" w:lineRule="auto"/>
        <w:rPr>
          <w:sz w:val="20"/>
          <w:szCs w:val="20"/>
          <w:color w:val="auto"/>
        </w:rPr>
      </w:pPr>
      <w:r>
        <w:rPr>
          <w:rFonts w:ascii="Arial" w:cs="Arial" w:eastAsia="Arial" w:hAnsi="Arial"/>
          <w:sz w:val="16"/>
          <w:szCs w:val="16"/>
          <w:color w:val="auto"/>
        </w:rPr>
        <w:t>The ANDA patent litigation referenced above is currently pending in the United States District Court for the District of Nevada with parties DRL and West-Ward, now known as Hikma Pharmaceuticals USA Inc, or Hikma (Case No.: 2:16-cv-02525-MMD-NJK (consolidated with 2:16-cv-02562-MMD-NJK). The trial in this litigation took place from mid to late January 2020. Based on Court statements, judgment is expected by the end of March 2020.</w:t>
      </w:r>
    </w:p>
    <w:p>
      <w:pPr>
        <w:spacing w:after="0" w:line="9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We intend to vigorously enforce our intellectual property rights relating to Vascepa, but we cannot predict the outcome of these lawsuits or any subsequently filed lawsuits.</w:t>
      </w:r>
    </w:p>
    <w:p>
      <w:pPr>
        <w:spacing w:after="0" w:line="116"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 addition to the above, in the ordinary course of business, we are from time to time involved in lawsuits, claims, investigations, proceedings, and threats of litigation relating to intellectual property, commercial arrangements and other matters.</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503"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900"/>
        <w:spacing w:after="0" w:line="33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spacing w:after="0" w:line="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sets forth the high and low prices for our ADSs in each of the quarters over the past two fiscal years, as quoted on The NASDAQ Global Market under the symbol “AMRN.”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Common Stock Price</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Fiscal 2019</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45"/>
              <w:spacing w:after="0" w:line="155" w:lineRule="exact"/>
              <w:rPr>
                <w:sz w:val="20"/>
                <w:szCs w:val="20"/>
                <w:color w:val="auto"/>
              </w:rPr>
            </w:pPr>
            <w:r>
              <w:rPr>
                <w:rFonts w:ascii="Arial" w:cs="Arial" w:eastAsia="Arial" w:hAnsi="Arial"/>
                <w:sz w:val="14"/>
                <w:szCs w:val="14"/>
                <w:b w:val="1"/>
                <w:bCs w:val="1"/>
                <w:color w:val="auto"/>
              </w:rPr>
              <w:t>Fiscal 2018</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3"/>
                <w:szCs w:val="13"/>
                <w:color w:val="auto"/>
              </w:rPr>
            </w:pPr>
          </w:p>
        </w:tc>
        <w:tc>
          <w:tcPr>
            <w:tcW w:w="82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20.97</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16.20</w:t>
            </w:r>
          </w:p>
        </w:tc>
        <w:tc>
          <w:tcPr>
            <w:tcW w:w="240" w:type="dxa"/>
            <w:vAlign w:val="bottom"/>
          </w:tcPr>
          <w:p>
            <w:pPr>
              <w:spacing w:after="0"/>
              <w:rPr>
                <w:sz w:val="19"/>
                <w:szCs w:val="19"/>
                <w:color w:val="auto"/>
              </w:rPr>
            </w:pP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3.52</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16.34</w:t>
            </w:r>
          </w:p>
        </w:tc>
        <w:tc>
          <w:tcPr>
            <w:tcW w:w="5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26.12</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13.87</w:t>
            </w:r>
          </w:p>
        </w:tc>
        <w:tc>
          <w:tcPr>
            <w:tcW w:w="240" w:type="dxa"/>
            <w:vAlign w:val="bottom"/>
          </w:tcPr>
          <w:p>
            <w:pPr>
              <w:spacing w:after="0"/>
              <w:rPr>
                <w:sz w:val="20"/>
                <w:szCs w:val="20"/>
                <w:color w:val="auto"/>
              </w:rPr>
            </w:pP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23.34</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of January 31, 2020, there were approximately 350 holders of record of our ordinary shares. Because many ordinary shares are held by broker nominees, we are unable to estimate the total number of shareholders represented by these record holders. Our depositary, Citibank, N.A., constitutes a single record holder of our ordinary shares.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stockholders, and may only be paid from our distributable profits available for the purpose, determined on an unconsolidated basis.</w:t>
      </w:r>
    </w:p>
    <w:p>
      <w:pPr>
        <w:spacing w:after="0" w:line="133"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Under our Purchase and Sale Agreement with CPPIB Credit Europe S.à r.l., or CPPIB, as successor in interest to BioPharma Secured Debt Fund II Holdings Cayman LP, we are restricted from paying a dividend on our common shares, unless we have cash and cash equivalents in excess of a specified amount after such payment.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Graph—5 Year</w:t>
      </w:r>
    </w:p>
    <w:p>
      <w:pPr>
        <w:spacing w:after="0" w:line="9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following graph compares the cumulative 5-year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January 1, 2015 and its relative performance is tracked through December 31,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ind w:right="120" w:firstLine="518"/>
        <w:spacing w:after="0" w:line="259" w:lineRule="auto"/>
        <w:rPr>
          <w:sz w:val="20"/>
          <w:szCs w:val="20"/>
          <w:color w:val="auto"/>
        </w:rPr>
      </w:pPr>
      <w:r>
        <w:rPr>
          <w:rFonts w:ascii="Arial" w:cs="Arial" w:eastAsia="Arial" w:hAnsi="Arial"/>
          <w:sz w:val="18"/>
          <w:szCs w:val="18"/>
          <w:color w:val="auto"/>
        </w:rPr>
        <w:t>Included in this 5-year time period is the substantial positive impact on the price of Amarin’s ADSs in 2018 following presentation and publication of positive REDUCE-IT results and, in late 2019, following approval by the FDA of a new indication and label expansion for Vascepa to reduce cardiovascular risk. During this entire 5-year time period, cumulative total return for Amarin’s ADSs approximated or exceeded both the NASDAQ Composite Index and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93345</wp:posOffset>
            </wp:positionV>
            <wp:extent cx="5565775" cy="26587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577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Company/Market/Peer Company</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12/31/2015</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5"/>
              </w:rPr>
              <w:t>12/31/2016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12/31/2017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12/31/2018</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5"/>
              </w:rPr>
              <w:t>12/31/2019</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Amarin Corporation PLC</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169.91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272.57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354.87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1,171.68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1,897.35</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NASDAQ Composite Index</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106.81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113.88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146.05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139.30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189.82</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86.54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118.19</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Graph—3 Year</w:t>
      </w:r>
    </w:p>
    <w:p>
      <w:pPr>
        <w:spacing w:after="0" w:line="9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9" w:name="page70"/>
    <w:bookmarkEnd w:id="69"/>
    <w:p>
      <w:pPr>
        <w:ind w:right="60" w:firstLine="518"/>
        <w:spacing w:after="0" w:line="276" w:lineRule="auto"/>
        <w:rPr>
          <w:sz w:val="20"/>
          <w:szCs w:val="20"/>
          <w:color w:val="auto"/>
        </w:rPr>
      </w:pPr>
      <w:r>
        <w:rPr>
          <w:rFonts w:ascii="Arial" w:cs="Arial" w:eastAsia="Arial" w:hAnsi="Arial"/>
          <w:sz w:val="17"/>
          <w:szCs w:val="17"/>
          <w:color w:val="auto"/>
        </w:rPr>
        <w:t>The following graph compares the cumulative 3-year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January 1, 2017 and its relative performance is tracked through December 31, 2019.</w:t>
      </w:r>
    </w:p>
    <w:p>
      <w:pPr>
        <w:spacing w:after="0" w:line="119"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Included in this 3-year time period is the substantial positive impact on the price of Amarin’s ADSs in 2018 following presentation and publication of positive REDUCE-IT results and, in late 2019, following approval by the FDA of a new indication and label expansion for Vascepa to reduce cardiovascular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124460</wp:posOffset>
            </wp:positionV>
            <wp:extent cx="5556885" cy="26073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5688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Company/Market/Peer Company</w:t>
            </w:r>
          </w:p>
        </w:tc>
        <w:tc>
          <w:tcPr>
            <w:tcW w:w="24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12/31/2017</w:t>
            </w: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12/31/2018</w:t>
            </w: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12/31/2019</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Amarin Corporation PLC</w:t>
            </w:r>
          </w:p>
        </w:tc>
        <w:tc>
          <w:tcPr>
            <w:tcW w:w="2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130.19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441.88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696.10</w:t>
            </w: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NASDAQ Composite Index</w:t>
            </w:r>
          </w:p>
        </w:tc>
        <w:tc>
          <w:tcPr>
            <w:tcW w:w="24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128.24</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123.26</w:t>
            </w:r>
          </w:p>
        </w:tc>
        <w:tc>
          <w:tcPr>
            <w:tcW w:w="4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166.68</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2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121.06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109.77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136.56</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regarding our equity compensation plans is incorporated by reference in Item 12 of Part III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purchased in the fourth quarter of 2019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Average Price</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 xml:space="preserve">Shares Purchased </w:t>
            </w:r>
            <w:r>
              <w:rPr>
                <w:rFonts w:ascii="Arial" w:cs="Arial" w:eastAsia="Arial" w:hAnsi="Arial"/>
                <w:sz w:val="12"/>
                <w:szCs w:val="12"/>
                <w:b w:val="1"/>
                <w:bCs w:val="1"/>
                <w:color w:val="auto"/>
                <w:w w:val="90"/>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0" w:type="dxa"/>
            <w:vAlign w:val="bottom"/>
          </w:tcPr>
          <w:p>
            <w:pPr>
              <w:spacing w:after="0"/>
              <w:rPr>
                <w:sz w:val="1"/>
                <w:szCs w:val="1"/>
                <w:color w:val="auto"/>
              </w:rPr>
            </w:pP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 31, 2019</w:t>
            </w:r>
          </w:p>
        </w:tc>
        <w:tc>
          <w:tcPr>
            <w:tcW w:w="1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1,069,377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November 1 – 30, 2019</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 31, 2019</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1,069,377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9690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57" w:lineRule="exact"/>
        <w:rPr>
          <w:sz w:val="20"/>
          <w:szCs w:val="20"/>
          <w:color w:val="auto"/>
        </w:rPr>
      </w:pPr>
    </w:p>
    <w:p>
      <w:pPr>
        <w:ind w:left="5620" w:right="1220" w:hanging="5612"/>
        <w:spacing w:after="0" w:line="528" w:lineRule="auto"/>
        <w:tabs>
          <w:tab w:leader="none" w:pos="5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shares withheld to satisfy tax withholding amounts due from employees related to the exercise or vesting of equity awards.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TAXATION</w:t>
      </w:r>
    </w:p>
    <w:p>
      <w:pPr>
        <w:spacing w:after="0" w:line="94" w:lineRule="exact"/>
        <w:rPr>
          <w:sz w:val="20"/>
          <w:szCs w:val="20"/>
          <w:color w:val="auto"/>
        </w:rPr>
      </w:pPr>
    </w:p>
    <w:p>
      <w:pPr>
        <w:ind w:right="120" w:firstLine="761"/>
        <w:spacing w:after="0" w:line="264" w:lineRule="auto"/>
        <w:rPr>
          <w:sz w:val="20"/>
          <w:szCs w:val="20"/>
          <w:color w:val="auto"/>
        </w:rPr>
      </w:pPr>
      <w:r>
        <w:rPr>
          <w:rFonts w:ascii="Arial" w:cs="Arial" w:eastAsia="Arial" w:hAnsi="Arial"/>
          <w:sz w:val="18"/>
          <w:szCs w:val="18"/>
          <w:i w:val="1"/>
          <w:iCs w:val="1"/>
          <w:color w:val="auto"/>
        </w:rPr>
        <w:t>The following summary contains a description of material U.S., U.K. and Irish federal income tax consequences of the ownership and disposition of our ordinary shares or ADSs. This summary should not be considered a comprehensive description of all the tax considerations that may be relevant to beneficial owners of ADSs.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U.S. Tax Considerations</w:t>
      </w:r>
    </w:p>
    <w:p>
      <w:pPr>
        <w:spacing w:after="0" w:line="121" w:lineRule="exact"/>
        <w:rPr>
          <w:sz w:val="20"/>
          <w:szCs w:val="20"/>
          <w:color w:val="auto"/>
        </w:rPr>
      </w:pPr>
    </w:p>
    <w:p>
      <w:pPr>
        <w:ind w:right="100" w:firstLine="761"/>
        <w:spacing w:after="0" w:line="297" w:lineRule="auto"/>
        <w:rPr>
          <w:sz w:val="20"/>
          <w:szCs w:val="20"/>
          <w:color w:val="auto"/>
        </w:rPr>
      </w:pPr>
      <w:r>
        <w:rPr>
          <w:rFonts w:ascii="Arial" w:cs="Arial" w:eastAsia="Arial" w:hAnsi="Arial"/>
          <w:sz w:val="16"/>
          <w:szCs w:val="16"/>
          <w:color w:val="auto"/>
        </w:rPr>
        <w:t>The following is a summary of certain U.S. federal income tax considerations with respect to the ownership and disposition of ordinary shares or ADSs by a U.S. Holder (as defined below). This summary applies to you only if you hold ordinary shares or ADSs as a capital asset. This summary is based upon the U.S. Internal Revenue Code of 1986, as amended, which is referred to herein as the Code, regulations promulgated under the Code and administrative rulings and judicial decisions as in effect on the date of this report, all of which are subject to change and to differing interpretations, possibly with retroactive effect, which could result in U.S. federal income tax considerations different from those summarized below.</w:t>
      </w:r>
    </w:p>
    <w:p>
      <w:pPr>
        <w:spacing w:after="0" w:line="50"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This summary is general in nature and does not address the effects of any state or local taxes, the tax consequences in jurisdictions other than the United States or any U.S. federal taxes other than income tax (such as estate or gift tax). In addition, it does not address U.S. federal income tax consequences that may be relevant to you in your particular circumstances, including alternative minimum tax consequences, nor does it apply to you if you are a holder with a special status, such as:</w:t>
      </w:r>
    </w:p>
    <w:p>
      <w:pPr>
        <w:spacing w:after="0" w:line="79"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person that owns, or is treated as owning under certain ownership attribution rules, 10% or more of the voting power or value of the stock of Amarin;</w:t>
      </w:r>
    </w:p>
    <w:p>
      <w:pPr>
        <w:spacing w:after="0" w:line="140" w:lineRule="exact"/>
        <w:rPr>
          <w:rFonts w:ascii="Arial" w:cs="Arial" w:eastAsia="Arial" w:hAnsi="Arial"/>
          <w:sz w:val="16"/>
          <w:szCs w:val="16"/>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broker, dealer or trader in securities or currencies;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bank, mutual fund, life insurance company or other financial institution;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qualified retirement plan or individual retirement account;</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person that holds ordinary shares or ADSs as part of a straddle, hedge, constructive sale or other integrated transaction for tax purposes;</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partnership, S corporation or other pass-through entity;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investor in a partnership, S corporation or other pass-through entity;</w:t>
      </w:r>
    </w:p>
    <w:p>
      <w:pPr>
        <w:spacing w:after="0" w:line="117" w:lineRule="exact"/>
        <w:rPr>
          <w:rFonts w:ascii="Arial" w:cs="Arial" w:eastAsia="Arial" w:hAnsi="Arial"/>
          <w:sz w:val="18"/>
          <w:szCs w:val="18"/>
          <w:color w:val="auto"/>
        </w:rPr>
      </w:pPr>
    </w:p>
    <w:p>
      <w:pPr>
        <w:ind w:left="380" w:right="420" w:hanging="372"/>
        <w:spacing w:after="0" w:line="27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person that is required to report income with respect to ordinary shares or ADSs no later than such income is reported on an “applicable financial statement;”</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person who received ordinary shares or ADSs in connection with the performance of services;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person whose functional currency for U.S. federal income tax purposes is not the U.S. dollar.</w:t>
      </w:r>
    </w:p>
    <w:p>
      <w:pPr>
        <w:spacing w:after="0" w:line="333" w:lineRule="exact"/>
        <w:rPr>
          <w:sz w:val="20"/>
          <w:szCs w:val="20"/>
          <w:color w:val="auto"/>
        </w:rPr>
      </w:pPr>
    </w:p>
    <w:p>
      <w:pPr>
        <w:ind w:right="280" w:firstLine="761"/>
        <w:spacing w:after="0" w:line="312" w:lineRule="auto"/>
        <w:rPr>
          <w:sz w:val="20"/>
          <w:szCs w:val="20"/>
          <w:color w:val="auto"/>
        </w:rPr>
      </w:pPr>
      <w:r>
        <w:rPr>
          <w:rFonts w:ascii="Arial" w:cs="Arial" w:eastAsia="Arial" w:hAnsi="Arial"/>
          <w:sz w:val="16"/>
          <w:szCs w:val="16"/>
          <w:color w:val="auto"/>
        </w:rPr>
        <w:t>If an entity treated as a partnership for U.S. federal income tax purposes holds ordinary shares or ADSs, the tax treatment of a partner will generally depend upon the status of the partner and upon the activities of the partnership. A partner of a partnership that owns or disposes of ADSs should consult the partner’s tax advisor regarding the specific tax consequences of the ownership and disposition of ordinary shares or ADSs.</w:t>
      </w:r>
    </w:p>
    <w:p>
      <w:pPr>
        <w:spacing w:after="0" w:line="39"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YOU SHOULD CONSULT YOUR OWN ADVISOR REGARDING THE TAX CONSEQUENCES OF THE OWNERSHIP AND DISPOSITION OF ORDINARY SHARES AND ADSS IN LIGHT OF YOUR PARTICULAR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purposes of this discussion, a U.S. Holder is any beneficial owner of an ordinary share or ADS that is, for U.S. federal income tax purposes:</w:t>
      </w:r>
    </w:p>
    <w:p>
      <w:pPr>
        <w:spacing w:after="0" w:line="140"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any state thereof or the District of Columbia;</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trust (1) that validly elects to be treated as a U.S. person for U.S. federal income tax purposes, or (2) the administration over which a U.S. court can exercise primary supervision and all of the substantial decisions of which one or more U.S. persons have the authority to control.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100" w:firstLine="761"/>
        <w:spacing w:after="0" w:line="255" w:lineRule="auto"/>
        <w:rPr>
          <w:sz w:val="20"/>
          <w:szCs w:val="20"/>
          <w:color w:val="auto"/>
        </w:rPr>
      </w:pPr>
      <w:r>
        <w:rPr>
          <w:rFonts w:ascii="Arial" w:cs="Arial" w:eastAsia="Arial" w:hAnsi="Arial"/>
          <w:sz w:val="18"/>
          <w:szCs w:val="18"/>
          <w:color w:val="auto"/>
        </w:rPr>
        <w:t>Subject to the discussion under “—Passive Foreign Investment Company,” below, the gross amount of distributions, if any, payable on ordinary shares and ADSs generally would be treated as dividend income to the extent paid out of current or accumulated earnings and profits (as determined for U.S. federal income tax purposes). A U.S. Holder would be required to include the amount of such distribution in gross income as a dividend (without reduction for any income tax withheld from such distribution). Because Amarin does not maintain calculations of its earnings and profits in accordance with U.S. federal income tax principles, U.S. Holders should assume that any distribution by Amarin with respect to the ordinary shares and ADSs will constitute ordinary dividend income.</w:t>
      </w:r>
    </w:p>
    <w:p>
      <w:pPr>
        <w:spacing w:after="0" w:line="85" w:lineRule="exact"/>
        <w:rPr>
          <w:sz w:val="20"/>
          <w:szCs w:val="20"/>
          <w:color w:val="auto"/>
        </w:rPr>
      </w:pPr>
    </w:p>
    <w:p>
      <w:pPr>
        <w:ind w:right="160" w:firstLine="761"/>
        <w:spacing w:after="0" w:line="276" w:lineRule="auto"/>
        <w:rPr>
          <w:sz w:val="20"/>
          <w:szCs w:val="20"/>
          <w:color w:val="auto"/>
        </w:rPr>
      </w:pPr>
      <w:r>
        <w:rPr>
          <w:rFonts w:ascii="Arial" w:cs="Arial" w:eastAsia="Arial" w:hAnsi="Arial"/>
          <w:sz w:val="17"/>
          <w:szCs w:val="17"/>
          <w:color w:val="auto"/>
        </w:rPr>
        <w:t>Subject to the discussion under “—Passive Foreign Investment Company,” below, as long as our ordinary shares or ADSs (as applicable) are treated as publicly traded on an established securities market, or we are eligible for the benefits of the U.S.-Irish Tax Treaty, any distributions treated as dividends will generally be qualified dividend income in the hands of non-corporate U.S. Holders, provided that certain significant holding period and other requirements are met. Any dividends that are qualified dividend income will generally be taxed at preferential rates to a non-corporate U.S. Holder. Any dividends paid to a corporate holder will not be eligible for the dividends received deduction.</w:t>
      </w:r>
    </w:p>
    <w:p>
      <w:pPr>
        <w:spacing w:after="0" w:line="64" w:lineRule="exact"/>
        <w:rPr>
          <w:sz w:val="20"/>
          <w:szCs w:val="20"/>
          <w:color w:val="auto"/>
        </w:rPr>
      </w:pPr>
    </w:p>
    <w:p>
      <w:pPr>
        <w:ind w:right="40" w:firstLine="761"/>
        <w:spacing w:after="0" w:line="271" w:lineRule="auto"/>
        <w:rPr>
          <w:sz w:val="20"/>
          <w:szCs w:val="20"/>
          <w:color w:val="auto"/>
        </w:rPr>
      </w:pPr>
      <w:r>
        <w:rPr>
          <w:rFonts w:ascii="Arial" w:cs="Arial" w:eastAsia="Arial" w:hAnsi="Arial"/>
          <w:sz w:val="17"/>
          <w:szCs w:val="17"/>
          <w:color w:val="auto"/>
        </w:rPr>
        <w:t>U.S. Holders generally may claim the amount of Irish withholding tax withheld either as a deduction from gross income or as a credit against U.S. federal income tax liability. However, the foreign tax credit is subject to numerous complex limitations that must be determined and applied on an individual basis. Generally, the credit cannot exceed the proportionate share of a U.S. Holder’s U.S. federal income tax liability that such U.S. Holder’s foreign source taxable income bears to such U.S. Holder’s worldwide taxable income. In applying this limitation, a U.S. Holder’s various items of income and deduction must be classified, under complex rules, as either foreign source or U.S. source. In addition, this limitation is calculated separately with respect to specific categories of income. The amount of a distribution with respect to the ordinary shares or ADSs that is treated as a dividend may be lower for U.S. federal income tax purposes than it is for Irish income tax purposes, potentially resulting in a reduced foreign tax credit for the U.S. Holder. Each U.S. Holder should consult its own tax advisors regarding the foreign tax credit rules.</w:t>
      </w:r>
    </w:p>
    <w:p>
      <w:pPr>
        <w:spacing w:after="0" w:line="71" w:lineRule="exact"/>
        <w:rPr>
          <w:sz w:val="20"/>
          <w:szCs w:val="20"/>
          <w:color w:val="auto"/>
        </w:rPr>
      </w:pPr>
    </w:p>
    <w:p>
      <w:pPr>
        <w:ind w:right="160" w:firstLine="761"/>
        <w:spacing w:after="0" w:line="257" w:lineRule="auto"/>
        <w:rPr>
          <w:sz w:val="20"/>
          <w:szCs w:val="20"/>
          <w:color w:val="auto"/>
        </w:rPr>
      </w:pPr>
      <w:r>
        <w:rPr>
          <w:rFonts w:ascii="Arial" w:cs="Arial" w:eastAsia="Arial" w:hAnsi="Arial"/>
          <w:sz w:val="18"/>
          <w:szCs w:val="18"/>
          <w:color w:val="auto"/>
        </w:rPr>
        <w:t>The amount of a distribution paid to a U.S. Holder of ordinary shares or ADSs in foreign currency generally will be equal to the U.S. dollar value of such distribution based on the exchange rate applicable on the date of receipt. A U.S. Holder that does not convert foreign currency received as a distribution into U.S. dollars on the date of receipt generally will have a tax basis in such foreign currency equal to the U.S. dollar value of such foreign currency on the date of receipt. Such a U.S. Holder generally will recognize ordinary income or loss on the subsequent sale or other taxable disposition of such foreign currency (including an exchange for U.S. dollars).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ordinary shares or ADSs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Subject to the discussion under “—Passive Foreign Investment Company,” below, in general, if you sell or otherwise dispose of ordinary shares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ADSs in a taxable disposition:</w:t>
      </w:r>
    </w:p>
    <w:p>
      <w:pPr>
        <w:spacing w:after="0" w:line="103" w:lineRule="exact"/>
        <w:rPr>
          <w:sz w:val="20"/>
          <w:szCs w:val="20"/>
          <w:color w:val="auto"/>
        </w:rPr>
      </w:pPr>
    </w:p>
    <w:p>
      <w:pPr>
        <w:ind w:left="380" w:right="640" w:hanging="372"/>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you will recognize gain or loss equal to the difference (if any) between the U.S. dollar value of the amount realized on such sale or other taxable disposition and your adjusted tax basis in such ordinary shares or ADSs;</w:t>
      </w:r>
    </w:p>
    <w:p>
      <w:pPr>
        <w:spacing w:after="0" w:line="62" w:lineRule="exact"/>
        <w:rPr>
          <w:rFonts w:ascii="Arial" w:cs="Arial" w:eastAsia="Arial" w:hAnsi="Arial"/>
          <w:sz w:val="18"/>
          <w:szCs w:val="18"/>
          <w:color w:val="auto"/>
        </w:rPr>
      </w:pPr>
    </w:p>
    <w:p>
      <w:pPr>
        <w:ind w:left="380" w:right="440" w:hanging="372"/>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gain or loss will be capital gain or loss and will be long-term capital gain or loss if your holding period for the ordinary shares or ADSs sold or otherwise disposed of is more than one year at the time of such sale or other taxable disposition; and,</w:t>
      </w:r>
    </w:p>
    <w:p>
      <w:pPr>
        <w:spacing w:after="0" w:line="62" w:lineRule="exact"/>
        <w:rPr>
          <w:rFonts w:ascii="Arial" w:cs="Arial" w:eastAsia="Arial" w:hAnsi="Arial"/>
          <w:sz w:val="18"/>
          <w:szCs w:val="18"/>
          <w:color w:val="auto"/>
        </w:rPr>
      </w:pPr>
    </w:p>
    <w:p>
      <w:pPr>
        <w:ind w:left="380" w:right="220" w:hanging="372"/>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gain or loss will generally be treated as U.S.-source income for U.S. foreign tax credit purposes, although special rules apply to U.S. Holders who have a fixed place of business outside the United States to which this gain is attributable.</w:t>
      </w:r>
    </w:p>
    <w:p>
      <w:pPr>
        <w:spacing w:after="0" w:line="279" w:lineRule="exact"/>
        <w:rPr>
          <w:sz w:val="20"/>
          <w:szCs w:val="20"/>
          <w:color w:val="auto"/>
        </w:rPr>
      </w:pPr>
    </w:p>
    <w:p>
      <w:pPr>
        <w:ind w:right="60" w:firstLine="761"/>
        <w:spacing w:after="0" w:line="277" w:lineRule="auto"/>
        <w:rPr>
          <w:sz w:val="20"/>
          <w:szCs w:val="20"/>
          <w:color w:val="auto"/>
        </w:rPr>
      </w:pPr>
      <w:r>
        <w:rPr>
          <w:rFonts w:ascii="Arial" w:cs="Arial" w:eastAsia="Arial" w:hAnsi="Arial"/>
          <w:sz w:val="18"/>
          <w:szCs w:val="18"/>
          <w:color w:val="auto"/>
        </w:rPr>
        <w:t>Under current law, long-term capital gains of non-corporate U.S. Holders are taxed at reduced rates. The deductibility of capital losses is subject to limitations.</w:t>
      </w:r>
    </w:p>
    <w:p>
      <w:pPr>
        <w:spacing w:after="0" w:line="62" w:lineRule="exact"/>
        <w:rPr>
          <w:sz w:val="20"/>
          <w:szCs w:val="20"/>
          <w:color w:val="auto"/>
        </w:rPr>
      </w:pPr>
    </w:p>
    <w:p>
      <w:pPr>
        <w:ind w:firstLine="761"/>
        <w:spacing w:after="0" w:line="272" w:lineRule="auto"/>
        <w:rPr>
          <w:sz w:val="20"/>
          <w:szCs w:val="20"/>
          <w:color w:val="auto"/>
        </w:rPr>
      </w:pPr>
      <w:r>
        <w:rPr>
          <w:rFonts w:ascii="Arial" w:cs="Arial" w:eastAsia="Arial" w:hAnsi="Arial"/>
          <w:sz w:val="17"/>
          <w:szCs w:val="17"/>
          <w:color w:val="auto"/>
        </w:rPr>
        <w:t>In certain circumstances, amounts received by a U.S. Holder upon the redemption of ordinary shares or ADSs may be treated as a dividend with respect to such ordinary shares or ADSs, rather than as a payment in exchange for such ordinary shares or ADSs that results in the recognition of capital gain or loss. In these circumstances, the redemption payment would be included in a U.S. Holder’s gross income as a dividend to the extent such payment is made out of our earnings and profits (as described above). The determination of whether redemption of ordinary shares or ADSs will be treated as a dividend, rather than as a payment in exchange for such ordinary shares or ADSs, will depend, in part, on whether and to what extent the redemption reduces the U.S. Holder’s ownership in us (including as a result of certain constructive ownership attribution rules). The rules applicable to redemptions are complex, and each U.S. Holder should consult its own tax adviser to determine the consequences of any redemption.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ind w:right="460" w:firstLine="761"/>
        <w:spacing w:after="0" w:line="277" w:lineRule="auto"/>
        <w:rPr>
          <w:sz w:val="20"/>
          <w:szCs w:val="20"/>
          <w:color w:val="auto"/>
        </w:rPr>
      </w:pPr>
      <w:r>
        <w:rPr>
          <w:rFonts w:ascii="Arial" w:cs="Arial" w:eastAsia="Arial" w:hAnsi="Arial"/>
          <w:sz w:val="18"/>
          <w:szCs w:val="18"/>
          <w:i w:val="1"/>
          <w:iCs w:val="1"/>
          <w:color w:val="auto"/>
        </w:rPr>
        <w:t>PFIC Rules Generally</w:t>
      </w:r>
      <w:r>
        <w:rPr>
          <w:rFonts w:ascii="Arial" w:cs="Arial" w:eastAsia="Arial" w:hAnsi="Arial"/>
          <w:sz w:val="18"/>
          <w:szCs w:val="18"/>
          <w:color w:val="auto"/>
        </w:rPr>
        <w:t>. U.S. Holders of ordinary shares and ADSs should be aware that each of Amarin and certain of its subsidiaries could</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passive foreign investment company, or a PFIC for U.S. federal income tax purposes. The tests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2" w:name="page73"/>
    <w:bookmarkEnd w:id="72"/>
    <w:p>
      <w:pPr>
        <w:ind w:right="80"/>
        <w:spacing w:after="0" w:line="255" w:lineRule="auto"/>
        <w:rPr>
          <w:sz w:val="20"/>
          <w:szCs w:val="20"/>
          <w:color w:val="auto"/>
        </w:rPr>
      </w:pPr>
      <w:r>
        <w:rPr>
          <w:rFonts w:ascii="Arial" w:cs="Arial" w:eastAsia="Arial" w:hAnsi="Arial"/>
          <w:sz w:val="18"/>
          <w:szCs w:val="18"/>
          <w:color w:val="auto"/>
        </w:rPr>
        <w:t>determining PFIC status for a taxable year depend upon the relative values of certain categories of assets and the relative amounts of certain kinds of income. The application of these factors depends upon our financial results for the year, which are beyond our ability to predict or control, and the application of the relevant rules is subject to legal and factual uncertainties. Based on certain estimates of our gross income and gross assets, the latter determined by reference to the expected value of our ADSs and shares, we believe that we will not be classified as a PFIC for the taxable year ended December 31, 2019 and we do not expect to be treated as a PFIC in any future taxable year for the foreseeable future. However, there can be no assurance that we will be classified as a PFIC for any taxable year.</w:t>
      </w:r>
    </w:p>
    <w:p>
      <w:pPr>
        <w:spacing w:after="0" w:line="85"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In general terms, Amarin will be a PFIC for any taxable year in which either (i) 75% or more of its gross income is passive income, or the income test, or (ii) the average percentage, by fair market value, of its assets that produce or are held for the production of passive income is 50% or more, or the asset test. “Passive income” includes, for example, dividends, interest, certain rents and royalties, certain gains from the sale of stock and securities, and certain gains from commodities transactions.</w:t>
      </w:r>
    </w:p>
    <w:p>
      <w:pPr>
        <w:spacing w:after="0" w:line="187" w:lineRule="exact"/>
        <w:rPr>
          <w:sz w:val="20"/>
          <w:szCs w:val="20"/>
          <w:color w:val="auto"/>
        </w:rPr>
      </w:pPr>
    </w:p>
    <w:p>
      <w:pPr>
        <w:ind w:right="80" w:firstLine="761"/>
        <w:spacing w:after="0" w:line="312" w:lineRule="auto"/>
        <w:rPr>
          <w:sz w:val="20"/>
          <w:szCs w:val="20"/>
          <w:color w:val="auto"/>
        </w:rPr>
      </w:pPr>
      <w:r>
        <w:rPr>
          <w:rFonts w:ascii="Arial" w:cs="Arial" w:eastAsia="Arial" w:hAnsi="Arial"/>
          <w:sz w:val="16"/>
          <w:szCs w:val="16"/>
          <w:color w:val="auto"/>
        </w:rPr>
        <w:t>If Amarin is a PFIC for any year, subject to the discussion of QEF and mark-to-market elections below, a U.S. taxpayer who disposes or is deemed to dispose of an ordinary share or ADS at a gain or who receives a distribution treated as an “excess distribution” on an ordinary share or ADS generally would be required to allocate such gain and distribution ratably to each day in the U.S. taxpayer’s holding period for the ordinary share or ADS in question.</w:t>
      </w:r>
    </w:p>
    <w:p>
      <w:pPr>
        <w:spacing w:after="0" w:line="39" w:lineRule="exact"/>
        <w:rPr>
          <w:sz w:val="20"/>
          <w:szCs w:val="20"/>
          <w:color w:val="auto"/>
        </w:rPr>
      </w:pPr>
    </w:p>
    <w:p>
      <w:pPr>
        <w:ind w:right="20" w:firstLine="761"/>
        <w:spacing w:after="0" w:line="255" w:lineRule="auto"/>
        <w:rPr>
          <w:sz w:val="20"/>
          <w:szCs w:val="20"/>
          <w:color w:val="auto"/>
        </w:rPr>
      </w:pPr>
      <w:r>
        <w:rPr>
          <w:rFonts w:ascii="Arial" w:cs="Arial" w:eastAsia="Arial" w:hAnsi="Arial"/>
          <w:sz w:val="18"/>
          <w:szCs w:val="18"/>
          <w:color w:val="auto"/>
        </w:rPr>
        <w:t>The portion of any excess distributions including gains, which are treated for all purposes as excess distributions, allocated to the current taxable year or to a year prior to the first year in which Amarin was a PFIC would be includible as ordinary income in the current taxable year. In contrast, the portion of any excess distributions allocated to the first year in the U.S. Holder’s holding period in which Amarin was a PFIC and any subsequent year or years (excluding the current year) would be taxed at the highest marginal rate applicable to ordinary income for each year (regardless of the U.S. Holder’s actual marginal rate for that year and without reduction by any losses or loss carryforwards) and would be subject to interest charges to reflect the value of the U.S. federal income tax deferral.</w:t>
      </w:r>
    </w:p>
    <w:p>
      <w:pPr>
        <w:spacing w:after="0" w:line="85"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In accordance with the rules above, if Amarin is or was a PFIC at any time during the U.S. Holder’s holding period, none of the gain recognized on the sale or other disposition of an ordinary share or ADS would be eligible for the preferential long-term capital gains rate. In addition, dividends generally will not be qualified dividend income if in the year of payment or the preceding year Amarin is a PFIC.</w:t>
      </w:r>
    </w:p>
    <w:p>
      <w:pPr>
        <w:spacing w:after="0" w:line="73" w:lineRule="exact"/>
        <w:rPr>
          <w:sz w:val="20"/>
          <w:szCs w:val="20"/>
          <w:color w:val="auto"/>
        </w:rPr>
      </w:pPr>
    </w:p>
    <w:p>
      <w:pPr>
        <w:ind w:right="360" w:firstLine="761"/>
        <w:spacing w:after="0" w:line="342" w:lineRule="auto"/>
        <w:rPr>
          <w:sz w:val="20"/>
          <w:szCs w:val="20"/>
          <w:color w:val="auto"/>
        </w:rPr>
      </w:pPr>
      <w:r>
        <w:rPr>
          <w:rFonts w:ascii="Arial" w:cs="Arial" w:eastAsia="Arial" w:hAnsi="Arial"/>
          <w:sz w:val="16"/>
          <w:szCs w:val="16"/>
          <w:color w:val="auto"/>
        </w:rPr>
        <w:t>Certain elections may sometimes be used to reduce the adverse impact of the PFIC rules on U.S. Holders qualifying electing fund, or QEF, and mark-to-market elections, but these elections may accelerate the recognition of taxable income and may result in the recognition of ordinary income.</w:t>
      </w:r>
    </w:p>
    <w:p>
      <w:pPr>
        <w:spacing w:after="0" w:line="16" w:lineRule="exact"/>
        <w:rPr>
          <w:sz w:val="20"/>
          <w:szCs w:val="20"/>
          <w:color w:val="auto"/>
        </w:rPr>
      </w:pPr>
    </w:p>
    <w:p>
      <w:pPr>
        <w:ind w:right="20" w:firstLine="761"/>
        <w:spacing w:after="0" w:line="290" w:lineRule="auto"/>
        <w:rPr>
          <w:sz w:val="20"/>
          <w:szCs w:val="20"/>
          <w:color w:val="auto"/>
        </w:rPr>
      </w:pPr>
      <w:r>
        <w:rPr>
          <w:rFonts w:ascii="Arial" w:cs="Arial" w:eastAsia="Arial" w:hAnsi="Arial"/>
          <w:sz w:val="16"/>
          <w:szCs w:val="16"/>
          <w:i w:val="1"/>
          <w:iCs w:val="1"/>
          <w:color w:val="auto"/>
        </w:rPr>
        <w:t xml:space="preserve">QEF Election. </w:t>
      </w:r>
      <w:r>
        <w:rPr>
          <w:rFonts w:ascii="Arial" w:cs="Arial" w:eastAsia="Arial" w:hAnsi="Arial"/>
          <w:sz w:val="16"/>
          <w:szCs w:val="16"/>
          <w:color w:val="auto"/>
        </w:rPr>
        <w:t>The rules described above for excess distributions would not apply to a U.S. Holder if the U.S. Holder makes a timely QEF</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for the first taxable year of the U.S. Holder’s holding period for ordinary shares or ADSs during which Amarin is a PFIC and Amarin complies with specified reporting requirements. A timely QEF election for a taxable year generally must be made on or before the due date (as may be extended) for filing the taxpayer’s U.S. federal income tax return for the year. A U.S. Holder who makes a QEF election generally must report and include in income on a current basis a pro rata share of Amarin’s ordinary earnings and net capital gain for any taxable year in which Amarin is a PFIC, whether or not those earnings or gains are distributed. A U.S. Holder who makes a QEF election must file a Form 8621 with its annual income tax return. For U.S. Holders who seek to make a QEF election, with respect to our ordinary shares or ADSs, Amarin will make available an information statement that will contain the necessary information required for making a QEF election and permit such U.S. Holders access to certain information in the event of an audit by the U.S. tax authorities.</w:t>
      </w:r>
    </w:p>
    <w:p>
      <w:pPr>
        <w:spacing w:after="0" w:line="58" w:lineRule="exact"/>
        <w:rPr>
          <w:sz w:val="20"/>
          <w:szCs w:val="20"/>
          <w:color w:val="auto"/>
        </w:rPr>
      </w:pPr>
    </w:p>
    <w:p>
      <w:pPr>
        <w:ind w:right="80" w:firstLine="761"/>
        <w:spacing w:after="0" w:line="291" w:lineRule="auto"/>
        <w:rPr>
          <w:sz w:val="20"/>
          <w:szCs w:val="20"/>
          <w:color w:val="auto"/>
        </w:rPr>
      </w:pPr>
      <w:r>
        <w:rPr>
          <w:rFonts w:ascii="Arial" w:cs="Arial" w:eastAsia="Arial" w:hAnsi="Arial"/>
          <w:sz w:val="16"/>
          <w:szCs w:val="16"/>
          <w:color w:val="auto"/>
        </w:rPr>
        <w:t>If a U.S. Holder does not make a QEF election for the first taxable year of the U.S. Holder’s holding period for ordinary shares or ADSs during which Amarin is a PFIC, the QEF election will not be treated as timely and the adverse tax regime described above would apply to dispositions of or excess distributions on the ordinary shares or ADSs. In such case, a U.S. Holder may make a deemed sale election whereby the U.S. Holder would be treated as if the U.S. Holder had sold the ordinary shares or ADSs in a fully taxable sale at fair market value on the first day of such taxable year in which the QEF election takes effect. Such U.S. Holder would be required to recognize any gain on the deemed sale as an excess distribution and pay any tax and interest due on the excess distribution when making the deemed sale election. The effect of such further election would be to restart the U.S. Holder’s holding period in the ordinary shares or ADSs, subject to the QEF regime, and to purge the PFIC status of such ordinary shares or ADSs going forward.</w:t>
      </w:r>
    </w:p>
    <w:p>
      <w:pPr>
        <w:spacing w:after="0" w:line="59" w:lineRule="exact"/>
        <w:rPr>
          <w:sz w:val="20"/>
          <w:szCs w:val="20"/>
          <w:color w:val="auto"/>
        </w:rPr>
      </w:pPr>
    </w:p>
    <w:p>
      <w:pPr>
        <w:ind w:right="20" w:firstLine="761"/>
        <w:spacing w:after="0" w:line="297" w:lineRule="auto"/>
        <w:rPr>
          <w:sz w:val="20"/>
          <w:szCs w:val="20"/>
          <w:color w:val="auto"/>
        </w:rPr>
      </w:pPr>
      <w:r>
        <w:rPr>
          <w:rFonts w:ascii="Arial" w:cs="Arial" w:eastAsia="Arial" w:hAnsi="Arial"/>
          <w:sz w:val="16"/>
          <w:szCs w:val="16"/>
          <w:i w:val="1"/>
          <w:iCs w:val="1"/>
          <w:color w:val="auto"/>
        </w:rPr>
        <w:t xml:space="preserve">Mark-to-Market Election. </w:t>
      </w:r>
      <w:r>
        <w:rPr>
          <w:rFonts w:ascii="Arial" w:cs="Arial" w:eastAsia="Arial" w:hAnsi="Arial"/>
          <w:sz w:val="16"/>
          <w:szCs w:val="16"/>
          <w:color w:val="auto"/>
        </w:rPr>
        <w:t>If Amarin is or becomes a PFIC, a U.S. Holder of ordinary shares or ADSs may elect to recognize any gain or loss on</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or ADSs on a mark-to-market basis at the end of each taxable year, so long as the ordinary shares and ADSs, respectively, are regularly traded on a qualifying exchange. The mark-to-market election under the PFIC rules is an alternative to the QEF election. A U.S. Holder who makes a mark-to-market election generally must recognize as ordinary income all appreciation inherent in the U.S. Holder’s investment in ordinary shares or ADSs on a mark-to-market basis and may recognize losses inherent in such ordinary shares or ADSs only to the extent of prior mark-to-market gain recognition. The income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3" w:name="page74"/>
    <w:bookmarkEnd w:id="73"/>
    <w:p>
      <w:pPr>
        <w:ind w:right="40"/>
        <w:spacing w:after="0" w:line="254" w:lineRule="auto"/>
        <w:rPr>
          <w:sz w:val="20"/>
          <w:szCs w:val="20"/>
          <w:color w:val="auto"/>
        </w:rPr>
      </w:pPr>
      <w:r>
        <w:rPr>
          <w:rFonts w:ascii="Arial" w:cs="Arial" w:eastAsia="Arial" w:hAnsi="Arial"/>
          <w:sz w:val="18"/>
          <w:szCs w:val="18"/>
          <w:color w:val="auto"/>
        </w:rPr>
        <w:t>and deductions entailed by the mark-to-market regime will increase and decrease the U.S. Holder’s adjusted basis in its ordinary shares or ADSs. Upon a sale or other disposition of ordinary shares or ADSs that have been marked-to-market, any gain recognized will be treated as ordinary income. The mark-to-market election must be made by the due date (as may be extended) for filing the U.S. Holder’s federal income tax return for the first year in which the election is to take effect. If a mark-to-market election is made after the first taxable year of a U.S. Holder’s holding period, any gain recognized in the year of the election will be treated like an excess distribution (as described above). Whether or not the mark-to-market election is available will depend on whether the ordinary shares or ADSs are regularly traded on a qualifying exchange and Amarin cannot provide assurance that the ordinary shares or ADSs will be considered regularly traded (which determination is based on the volume of trading of the ordinary shares or ADSs) for all years in which Amarin may be a PFIC.</w:t>
      </w:r>
    </w:p>
    <w:p>
      <w:pPr>
        <w:spacing w:after="0" w:line="84" w:lineRule="exact"/>
        <w:rPr>
          <w:sz w:val="20"/>
          <w:szCs w:val="20"/>
          <w:color w:val="auto"/>
        </w:rPr>
      </w:pPr>
    </w:p>
    <w:p>
      <w:pPr>
        <w:ind w:firstLine="761"/>
        <w:spacing w:after="0" w:line="288" w:lineRule="auto"/>
        <w:rPr>
          <w:sz w:val="20"/>
          <w:szCs w:val="20"/>
          <w:color w:val="auto"/>
        </w:rPr>
      </w:pPr>
      <w:r>
        <w:rPr>
          <w:rFonts w:ascii="Arial" w:cs="Arial" w:eastAsia="Arial" w:hAnsi="Arial"/>
          <w:sz w:val="16"/>
          <w:szCs w:val="16"/>
          <w:i w:val="1"/>
          <w:iCs w:val="1"/>
          <w:color w:val="auto"/>
        </w:rPr>
        <w:t xml:space="preserve">Rules for Lower-Tier PFIC Subsidiaries. </w:t>
      </w:r>
      <w:r>
        <w:rPr>
          <w:rFonts w:ascii="Arial" w:cs="Arial" w:eastAsia="Arial" w:hAnsi="Arial"/>
          <w:sz w:val="16"/>
          <w:szCs w:val="16"/>
          <w:color w:val="auto"/>
        </w:rPr>
        <w:t>Special adverse rules apply to U.S. Holders of ordinary shares or ADSs for any year in which Amarin is</w:t>
      </w:r>
      <w:r>
        <w:rPr>
          <w:rFonts w:ascii="Arial" w:cs="Arial" w:eastAsia="Arial" w:hAnsi="Arial"/>
          <w:sz w:val="16"/>
          <w:szCs w:val="16"/>
          <w:i w:val="1"/>
          <w:iCs w:val="1"/>
          <w:color w:val="auto"/>
        </w:rPr>
        <w:t xml:space="preserve"> </w:t>
      </w:r>
      <w:r>
        <w:rPr>
          <w:rFonts w:ascii="Arial" w:cs="Arial" w:eastAsia="Arial" w:hAnsi="Arial"/>
          <w:sz w:val="16"/>
          <w:szCs w:val="16"/>
          <w:color w:val="auto"/>
        </w:rPr>
        <w:t>a PFIC and has a non-U.S. subsidiary that is also a PFIC, or a lower-tier PFIC. If Amarin is or becomes a PFIC and a U.S. Holder does not make a QEF election (as described above) in respect of any lower-tier PFIC, the U.S. Holder could incur liability for the deferred tax and interest charge described above if</w:t>
      </w:r>
    </w:p>
    <w:p>
      <w:pPr>
        <w:ind w:right="60" w:firstLine="8"/>
        <w:spacing w:after="0" w:line="287" w:lineRule="auto"/>
        <w:tabs>
          <w:tab w:leader="none" w:pos="2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Amarin receives a distribution from, or disposes of all or part of its interest in, the lower-tier PFIC or (ii) the U.S. Holder disposes of all or part of its ordinary shares or ADSs. A QEF election that is made for ordinary shares or ADSs will not apply to a lower tier PFIC, although a separate QEF election may be made with respect to a lower-tier PFIC. For U.S. Holders who seek to make a QEF election, with respect to our ordinary shares or ADSs, Amarin will make available an information statement that will contain the necessary information required for making a QEF election with respect to any lower-tier PFIC and permit such U.S. Holders access to certain information in the event of an audit by the U.S. tax authorities. For U.S. Holders that make a mark-to-market election for Amarin, if available, no such election may be made with respect to the stock of a lower-tier PFIC that a U.S. Holder is treated as owning if such stock is not marketable. Hence, the mark-to-market election will not be effective to eliminate a U.S. Holder’s liability for the deferred tax and interest charge described above with respect to deemed dispositions of lower-tier PFIC stock or distributions from a lower-tier PFIC.</w:t>
      </w:r>
    </w:p>
    <w:p>
      <w:pPr>
        <w:spacing w:after="0" w:line="62" w:lineRule="exact"/>
        <w:rPr>
          <w:sz w:val="20"/>
          <w:szCs w:val="20"/>
          <w:color w:val="auto"/>
        </w:rPr>
      </w:pPr>
    </w:p>
    <w:p>
      <w:pPr>
        <w:ind w:right="220" w:firstLine="761"/>
        <w:spacing w:after="0" w:line="264" w:lineRule="auto"/>
        <w:rPr>
          <w:sz w:val="20"/>
          <w:szCs w:val="20"/>
          <w:color w:val="auto"/>
        </w:rPr>
      </w:pPr>
      <w:r>
        <w:rPr>
          <w:rFonts w:ascii="Arial" w:cs="Arial" w:eastAsia="Arial" w:hAnsi="Arial"/>
          <w:sz w:val="18"/>
          <w:szCs w:val="18"/>
          <w:i w:val="1"/>
          <w:iCs w:val="1"/>
          <w:color w:val="auto"/>
        </w:rPr>
        <w:t>Taxpayer Reporting Obligations</w:t>
      </w:r>
      <w:r>
        <w:rPr>
          <w:rFonts w:ascii="Arial" w:cs="Arial" w:eastAsia="Arial" w:hAnsi="Arial"/>
          <w:sz w:val="18"/>
          <w:szCs w:val="18"/>
          <w:color w:val="auto"/>
        </w:rPr>
        <w:t>. A U.S. Holder’s ownership of ordinary shares or ADSs in a PFIC generally must be reported by filing Form</w:t>
      </w:r>
      <w:r>
        <w:rPr>
          <w:rFonts w:ascii="Arial" w:cs="Arial" w:eastAsia="Arial" w:hAnsi="Arial"/>
          <w:sz w:val="18"/>
          <w:szCs w:val="18"/>
          <w:i w:val="1"/>
          <w:iCs w:val="1"/>
          <w:color w:val="auto"/>
        </w:rPr>
        <w:t xml:space="preserve"> </w:t>
      </w:r>
      <w:r>
        <w:rPr>
          <w:rFonts w:ascii="Arial" w:cs="Arial" w:eastAsia="Arial" w:hAnsi="Arial"/>
          <w:sz w:val="18"/>
          <w:szCs w:val="18"/>
          <w:color w:val="auto"/>
        </w:rPr>
        <w:t>8621 with the U.S. Holder’s annual U.S. federal income tax return. Every U.S. Holder who is a shareholder in a PFIC must file an annual report containing the information required by the Internal Revenue Service.</w:t>
      </w:r>
    </w:p>
    <w:p>
      <w:pPr>
        <w:spacing w:after="0" w:line="73" w:lineRule="exact"/>
        <w:rPr>
          <w:sz w:val="20"/>
          <w:szCs w:val="20"/>
          <w:color w:val="auto"/>
        </w:rPr>
      </w:pPr>
    </w:p>
    <w:p>
      <w:pPr>
        <w:ind w:right="240" w:firstLine="761"/>
        <w:spacing w:after="0" w:line="277" w:lineRule="auto"/>
        <w:rPr>
          <w:sz w:val="20"/>
          <w:szCs w:val="20"/>
          <w:color w:val="auto"/>
        </w:rPr>
      </w:pPr>
      <w:r>
        <w:rPr>
          <w:rFonts w:ascii="Arial" w:cs="Arial" w:eastAsia="Arial" w:hAnsi="Arial"/>
          <w:sz w:val="18"/>
          <w:szCs w:val="18"/>
          <w:color w:val="auto"/>
        </w:rPr>
        <w:t>The PFIC rules are extremely complex, and U.S. Holders are urged to consult their own tax advisers regarding the potential tax consequences of Amarin being classified as a PFIC.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117" w:lineRule="exact"/>
        <w:rPr>
          <w:sz w:val="20"/>
          <w:szCs w:val="20"/>
          <w:color w:val="auto"/>
        </w:rPr>
      </w:pPr>
    </w:p>
    <w:p>
      <w:pPr>
        <w:ind w:firstLine="761"/>
        <w:spacing w:after="0" w:line="273" w:lineRule="auto"/>
        <w:rPr>
          <w:sz w:val="20"/>
          <w:szCs w:val="20"/>
          <w:color w:val="auto"/>
        </w:rPr>
      </w:pPr>
      <w:r>
        <w:rPr>
          <w:rFonts w:ascii="Arial" w:cs="Arial" w:eastAsia="Arial" w:hAnsi="Arial"/>
          <w:sz w:val="17"/>
          <w:szCs w:val="17"/>
          <w:color w:val="auto"/>
        </w:rPr>
        <w:t>Certain U.S. Holders that are individuals, estates or trusts are required to pay up to an additional 3.8% tax on the lesser of (i) the U.S. person’s net investment income (or undistributed net investment income in the case of an estate or trust) for the relevant taxable year and (ii) the excess of the U.S. person’s modified adjusted gross income (or adjusted gross income, in the case of an estate or trust) for the taxable year over a certain threshold (which in the case of individuals will be between $125,000 and $250,000, depending on the individual’s circumstances). A U.S. Holder’s net investment income will include dividends and capital gains on the U.S. Holder’s ordinary shares and ADSs. U.S. Holders should consult their own tax advisors regarding the effect, if any, of the Medicare tax on the ownership and disposition of ordinary shares or ADSs.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Taxpayer reporting obligations</w:t>
      </w:r>
    </w:p>
    <w:p>
      <w:pPr>
        <w:spacing w:after="0" w:line="117" w:lineRule="exact"/>
        <w:rPr>
          <w:sz w:val="20"/>
          <w:szCs w:val="20"/>
          <w:color w:val="auto"/>
        </w:rPr>
      </w:pPr>
    </w:p>
    <w:p>
      <w:pPr>
        <w:ind w:right="20" w:firstLine="761"/>
        <w:spacing w:after="0" w:line="259" w:lineRule="auto"/>
        <w:rPr>
          <w:sz w:val="20"/>
          <w:szCs w:val="20"/>
          <w:color w:val="auto"/>
        </w:rPr>
      </w:pPr>
      <w:r>
        <w:rPr>
          <w:rFonts w:ascii="Arial" w:cs="Arial" w:eastAsia="Arial" w:hAnsi="Arial"/>
          <w:sz w:val="18"/>
          <w:szCs w:val="18"/>
          <w:color w:val="auto"/>
        </w:rPr>
        <w:t>Certain U.S. Holders that hold certain foreign financial assets are required to report information relating to such assets to the IRS, subject to certain exceptions. U.S. Holders may also be required to make other tax filings with respect to their investments in our ordinary shares and ADSs, including IRS Form 926 (Return by a U.S. Transferor of Property to a Foreign Corporation). Failure to provide such information could result in significant additional taxes and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Information reporting and backup withholding</w:t>
      </w:r>
    </w:p>
    <w:p>
      <w:pPr>
        <w:spacing w:after="0" w:line="117" w:lineRule="exact"/>
        <w:rPr>
          <w:sz w:val="20"/>
          <w:szCs w:val="20"/>
          <w:color w:val="auto"/>
        </w:rPr>
      </w:pPr>
    </w:p>
    <w:p>
      <w:pPr>
        <w:ind w:right="20" w:firstLine="761"/>
        <w:spacing w:after="0" w:line="257" w:lineRule="auto"/>
        <w:rPr>
          <w:sz w:val="20"/>
          <w:szCs w:val="20"/>
          <w:color w:val="auto"/>
        </w:rPr>
      </w:pPr>
      <w:r>
        <w:rPr>
          <w:rFonts w:ascii="Arial" w:cs="Arial" w:eastAsia="Arial" w:hAnsi="Arial"/>
          <w:sz w:val="18"/>
          <w:szCs w:val="18"/>
          <w:color w:val="auto"/>
        </w:rPr>
        <w:t>U.S. Holders of ordinary shares and ADSs may be subject to information reporting and may be subject to backup withholding on distributions on ordinary shares and ADSs or on the proceeds from a sale or other disposition of ordinary shares and ADSs paid within the United States. Payments of distributions on, or the proceeds from the sale or other disposition of ordinary shares and ADSs to or through a foreign office of a broker generally will not be subject to backup withholding, although information reporting may apply to those payments in certain circumstances. Backup withholding will generally not apply, however, to a U.S. Holder who:</w:t>
      </w:r>
    </w:p>
    <w:p>
      <w:pPr>
        <w:spacing w:after="0" w:line="80" w:lineRule="exact"/>
        <w:rPr>
          <w:sz w:val="20"/>
          <w:szCs w:val="20"/>
          <w:color w:val="auto"/>
        </w:rPr>
      </w:pPr>
    </w:p>
    <w:p>
      <w:pPr>
        <w:ind w:left="380" w:right="8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furnishes a correct taxpayer identification number and certifies that the U.S. Holder is not subject to backup withholding on IRS Form W-9, Request for Taxpayer Identification Number and Certification (or substitute form); or</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 otherwise exempt from backup withholding.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4" w:name="page75"/>
    <w:bookmarkEnd w:id="74"/>
    <w:p>
      <w:pPr>
        <w:ind w:right="440" w:firstLine="761"/>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under the backup withholding rules may be credited against the holder’s U.S. federal income tax liability, and a holder may obtain a refund of any excess amounts withheld by filing the appropriate claim for refund with the IRS in a timely manner.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U.K. Tax Considerations</w:t>
      </w:r>
    </w:p>
    <w:p>
      <w:pPr>
        <w:spacing w:after="0" w:line="229" w:lineRule="exact"/>
        <w:rPr>
          <w:sz w:val="20"/>
          <w:szCs w:val="20"/>
          <w:color w:val="auto"/>
        </w:rPr>
      </w:pPr>
    </w:p>
    <w:p>
      <w:pPr>
        <w:ind w:right="140" w:firstLine="761"/>
        <w:spacing w:after="0" w:line="259" w:lineRule="auto"/>
        <w:rPr>
          <w:sz w:val="20"/>
          <w:szCs w:val="20"/>
          <w:color w:val="auto"/>
        </w:rPr>
      </w:pPr>
      <w:r>
        <w:rPr>
          <w:rFonts w:ascii="Arial" w:cs="Arial" w:eastAsia="Arial" w:hAnsi="Arial"/>
          <w:sz w:val="18"/>
          <w:szCs w:val="18"/>
          <w:color w:val="auto"/>
        </w:rPr>
        <w:t>The following discussion is limited to an overview of the tax consequences of ownership and disposition of ordinary shares, or such shares represented by ADSs (those ordinary shares or ADSs deriving over 75% of their value otherwise than from United Kingdom land). Tax considerations applicable to other types of securities will be described in the related prospectus supplement. Each shareholder should however seek individual tax advice as specific rules may apply in certain circumstances.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w:t>
      </w:r>
    </w:p>
    <w:p>
      <w:pPr>
        <w:spacing w:after="0" w:line="117" w:lineRule="exact"/>
        <w:rPr>
          <w:sz w:val="20"/>
          <w:szCs w:val="20"/>
          <w:color w:val="auto"/>
        </w:rPr>
      </w:pPr>
    </w:p>
    <w:p>
      <w:pPr>
        <w:ind w:right="120" w:firstLine="761"/>
        <w:spacing w:after="0" w:line="312" w:lineRule="auto"/>
        <w:rPr>
          <w:sz w:val="20"/>
          <w:szCs w:val="20"/>
          <w:color w:val="auto"/>
        </w:rPr>
      </w:pPr>
      <w:r>
        <w:rPr>
          <w:rFonts w:ascii="Arial" w:cs="Arial" w:eastAsia="Arial" w:hAnsi="Arial"/>
          <w:sz w:val="16"/>
          <w:szCs w:val="16"/>
          <w:color w:val="auto"/>
        </w:rPr>
        <w:t>If you are not resident in the United Kingdom, or UK, for UK tax purposes, you will not be liable for UK tax on capital gains realized or accrued on the sale or other disposition of ordinary shares or ADSs unless the ordinary shares or ADSs are held in connection with your trade carried on in the UK through a branch or agency and the ordinary shares or ADSs are or have been used, held or acquired for the purposes of such trade or such branch or agency.</w:t>
      </w:r>
    </w:p>
    <w:p>
      <w:pPr>
        <w:spacing w:after="0" w:line="39" w:lineRule="exact"/>
        <w:rPr>
          <w:sz w:val="20"/>
          <w:szCs w:val="20"/>
          <w:color w:val="auto"/>
        </w:rPr>
      </w:pPr>
    </w:p>
    <w:p>
      <w:pPr>
        <w:ind w:right="20" w:firstLine="761"/>
        <w:spacing w:after="0" w:line="264" w:lineRule="auto"/>
        <w:rPr>
          <w:sz w:val="20"/>
          <w:szCs w:val="20"/>
          <w:color w:val="auto"/>
        </w:rPr>
      </w:pPr>
      <w:r>
        <w:rPr>
          <w:rFonts w:ascii="Arial" w:cs="Arial" w:eastAsia="Arial" w:hAnsi="Arial"/>
          <w:sz w:val="18"/>
          <w:szCs w:val="18"/>
          <w:color w:val="auto"/>
        </w:rPr>
        <w:t>An individual holder of ordinary shares or ADSs who ceases to be resident in the UK for UK tax purposes for a period of less than 5 years and who disposes of ordinary shares or ADSs during that period may also be liable on returning to the UK for UK capital gains tax despite the fact that the individual may not be resident in the UK at the time of the disposal.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Inheritance tax</w:t>
      </w:r>
    </w:p>
    <w:p>
      <w:pPr>
        <w:spacing w:after="0" w:line="117"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If you are an individual domiciled in the United States and are not a national of the UK for the purposes of the Inheritance and Gift Tax Treaty 1978 between the United States and the UK, any ordinary shares or ADS beneficially owned by you will not generally be subject to UK inheritance tax on your death or on a gift made by you during your lifetime, provided that any applicable United States federal gift or estate tax liability is paid, except where the ordinary share or ADS is part of the business property of your UK permanent establishment. Where the ordinary shares or ADSs have been placed in trust by a settlor who, at the time of the settlement, was domiciled in the United States and not a national of the UK, the ordinary shares or ADSs will not generally be subject to UK inheritance tax.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ADSs and ADRs representing ADSs</w:t>
      </w:r>
    </w:p>
    <w:p>
      <w:pPr>
        <w:spacing w:after="0" w:line="117"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No UK stamp duty or stamp duty reserve tax will be payable on an instrument transferring an ADS or an ADR representing an ADS or on a written agreement to transfer an ADS or an ADR representing an ADS whether made in or outside the UK.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 and transfer of ordinary shares</w:t>
      </w:r>
    </w:p>
    <w:p>
      <w:pPr>
        <w:spacing w:after="0" w:line="117" w:lineRule="exact"/>
        <w:rPr>
          <w:sz w:val="20"/>
          <w:szCs w:val="20"/>
          <w:color w:val="auto"/>
        </w:rPr>
      </w:pPr>
    </w:p>
    <w:p>
      <w:pPr>
        <w:ind w:firstLine="761"/>
        <w:spacing w:after="0" w:line="272" w:lineRule="auto"/>
        <w:rPr>
          <w:sz w:val="20"/>
          <w:szCs w:val="20"/>
          <w:color w:val="auto"/>
        </w:rPr>
      </w:pPr>
      <w:r>
        <w:rPr>
          <w:rFonts w:ascii="Arial" w:cs="Arial" w:eastAsia="Arial" w:hAnsi="Arial"/>
          <w:sz w:val="17"/>
          <w:szCs w:val="17"/>
          <w:color w:val="auto"/>
        </w:rPr>
        <w:t>The issue of ordinary shares by Amarin will not give rise to a charge to UK stamp duty or stamp duty reserve tax. Transfers of ordinary shares, as opposed to ADSs or ADRs representing ADSs, will generally attract ad valorem stamp duty at the rate of 0.5% of the amount or value of the consideration (or in some circumstances, the open market value of those ordinary shares, if higher). A charge to stamp duty reserve tax, at the rate of 0.5% of the amount or value of the consideration (or in some circumstances, the open market value of the ordinary shares, if higher), will generally arise on an agreement to transfer ordinary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Under UK law, there is no withholding tax on dividends paid on the ordinary shares or ADSs.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Irish Tax Considerations</w:t>
      </w:r>
    </w:p>
    <w:p>
      <w:pPr>
        <w:spacing w:after="0" w:line="121" w:lineRule="exact"/>
        <w:rPr>
          <w:sz w:val="20"/>
          <w:szCs w:val="20"/>
          <w:color w:val="auto"/>
        </w:rPr>
      </w:pPr>
    </w:p>
    <w:p>
      <w:pPr>
        <w:ind w:right="120" w:firstLine="761"/>
        <w:spacing w:after="0" w:line="259" w:lineRule="auto"/>
        <w:rPr>
          <w:sz w:val="20"/>
          <w:szCs w:val="20"/>
          <w:color w:val="auto"/>
        </w:rPr>
      </w:pPr>
      <w:r>
        <w:rPr>
          <w:rFonts w:ascii="Arial" w:cs="Arial" w:eastAsia="Arial" w:hAnsi="Arial"/>
          <w:sz w:val="18"/>
          <w:szCs w:val="18"/>
          <w:color w:val="auto"/>
        </w:rPr>
        <w:t>The summary only applies to U.S. Holders that legally and beneficially hold their ordinary shares, or such shares represented by ADSs evidenced by ADRs as capital assets (i.e. investments) and does not address special classes of holders including, but not limited to, dealers in securities, insurance companies, pension schemes, employee share ownership trusts, collective investment undertakings, charities, tax-exempt organizations, financial institutions and close companies, each of which may be subject to special rules not discussed below.</w:t>
      </w:r>
    </w:p>
    <w:p>
      <w:pPr>
        <w:spacing w:after="0" w:line="79" w:lineRule="exact"/>
        <w:rPr>
          <w:sz w:val="20"/>
          <w:szCs w:val="20"/>
          <w:color w:val="auto"/>
        </w:rPr>
      </w:pPr>
    </w:p>
    <w:p>
      <w:pPr>
        <w:ind w:right="160" w:firstLine="761"/>
        <w:spacing w:after="0" w:line="277" w:lineRule="auto"/>
        <w:rPr>
          <w:sz w:val="20"/>
          <w:szCs w:val="20"/>
          <w:color w:val="auto"/>
        </w:rPr>
      </w:pPr>
      <w:r>
        <w:rPr>
          <w:rFonts w:ascii="Arial" w:cs="Arial" w:eastAsia="Arial" w:hAnsi="Arial"/>
          <w:sz w:val="18"/>
          <w:szCs w:val="18"/>
          <w:color w:val="auto"/>
        </w:rPr>
        <w:t>Solely for the purposes of this summary of Irish Tax Considerations, a U.S. Holder means a holder of shares or ADSs evidenced by ADRs that (i) beneficially owns the shares or ADSs registered in their name; (ii) is resident in the United States for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ind w:right="340"/>
        <w:spacing w:after="0" w:line="279" w:lineRule="auto"/>
        <w:rPr>
          <w:sz w:val="20"/>
          <w:szCs w:val="20"/>
          <w:color w:val="auto"/>
        </w:rPr>
      </w:pPr>
      <w:r>
        <w:rPr>
          <w:rFonts w:ascii="Arial" w:cs="Arial" w:eastAsia="Arial" w:hAnsi="Arial"/>
          <w:sz w:val="17"/>
          <w:szCs w:val="17"/>
          <w:color w:val="auto"/>
        </w:rPr>
        <w:t>purposes of the Ireland-United States Double Taxation Convention, or the Treaty; (iii) in the case of an individual holder, is not also resident or ordinarily resident in Ireland for Irish tax purposes; (iv) in the case of a corporate holder, is not a resident in Ireland for Irish tax purposes and is not ultimately controlled by persons resident in Ireland; and (v) is not engaged in any trade or business and does not perform independent personal services through a permanent establishment or fixed base in Ireland; and (vi) is a qualified person as defined in Article 23 of the Treaty.</w:t>
      </w:r>
    </w:p>
    <w:p>
      <w:pPr>
        <w:spacing w:after="0" w:line="63" w:lineRule="exact"/>
        <w:rPr>
          <w:sz w:val="20"/>
          <w:szCs w:val="20"/>
          <w:color w:val="auto"/>
        </w:rPr>
      </w:pPr>
    </w:p>
    <w:p>
      <w:pPr>
        <w:ind w:right="340" w:firstLine="761"/>
        <w:spacing w:after="0" w:line="277" w:lineRule="auto"/>
        <w:rPr>
          <w:sz w:val="20"/>
          <w:szCs w:val="20"/>
          <w:color w:val="auto"/>
        </w:rPr>
      </w:pPr>
      <w:r>
        <w:rPr>
          <w:rFonts w:ascii="Arial" w:cs="Arial" w:eastAsia="Arial" w:hAnsi="Arial"/>
          <w:sz w:val="18"/>
          <w:szCs w:val="18"/>
          <w:color w:val="auto"/>
        </w:rPr>
        <w:t>For Irish taxation purposes, and for the purposes of the Treaty, U.S. Holders of ADSs will be treated as the owners of the shares represented by such ADSs.</w:t>
      </w:r>
    </w:p>
    <w:p>
      <w:pPr>
        <w:spacing w:after="0" w:line="62"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The following discussion is limited to the tax consequences of ownership and disposition of shares or ADSs. Tax considerations applicable to other types of securities will be described in the related prospectus supplement.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right="620" w:firstLine="761"/>
        <w:spacing w:after="0" w:line="342" w:lineRule="auto"/>
        <w:rPr>
          <w:sz w:val="20"/>
          <w:szCs w:val="20"/>
          <w:color w:val="auto"/>
        </w:rPr>
      </w:pPr>
      <w:r>
        <w:rPr>
          <w:rFonts w:ascii="Arial" w:cs="Arial" w:eastAsia="Arial" w:hAnsi="Arial"/>
          <w:sz w:val="16"/>
          <w:szCs w:val="16"/>
          <w:color w:val="auto"/>
        </w:rPr>
        <w:t>We do not expect to pay dividends in the foreseeable future. Should we begin paying dividends, such dividends will generally be subject to dividend withholding tax, or DWT, in Ireland at a rate of 25%. Where DWT applies, we will be responsible for withholding such tax at source.</w:t>
      </w:r>
    </w:p>
    <w:p>
      <w:pPr>
        <w:spacing w:after="0" w:line="16" w:lineRule="exact"/>
        <w:rPr>
          <w:sz w:val="20"/>
          <w:szCs w:val="20"/>
          <w:color w:val="auto"/>
        </w:rPr>
      </w:pPr>
    </w:p>
    <w:p>
      <w:pPr>
        <w:jc w:val="both"/>
        <w:ind w:right="60" w:firstLine="761"/>
        <w:spacing w:after="0" w:line="264" w:lineRule="auto"/>
        <w:rPr>
          <w:sz w:val="20"/>
          <w:szCs w:val="20"/>
          <w:color w:val="auto"/>
        </w:rPr>
      </w:pPr>
      <w:r>
        <w:rPr>
          <w:rFonts w:ascii="Arial" w:cs="Arial" w:eastAsia="Arial" w:hAnsi="Arial"/>
          <w:sz w:val="18"/>
          <w:szCs w:val="18"/>
          <w:color w:val="auto"/>
        </w:rPr>
        <w:t>Dividends paid by us to U.S. Holders of shares or ADSs evidenced by ADRs will be exempt from DWT if, prior to the payment of such dividends, the recipient U.S. Holder delivers to us a declaration in the form prescribed by the Irish Revenue Commissioners. In addition, a certificate of residency in the form prescribed by the Irish Revenue Commissioners, will also be required if the US holder is an individual.</w:t>
      </w:r>
    </w:p>
    <w:p>
      <w:pPr>
        <w:spacing w:after="0" w:line="73" w:lineRule="exact"/>
        <w:rPr>
          <w:sz w:val="20"/>
          <w:szCs w:val="20"/>
          <w:color w:val="auto"/>
        </w:rPr>
      </w:pPr>
    </w:p>
    <w:p>
      <w:pPr>
        <w:jc w:val="both"/>
        <w:ind w:right="60" w:firstLine="761"/>
        <w:spacing w:after="0" w:line="286" w:lineRule="auto"/>
        <w:rPr>
          <w:sz w:val="20"/>
          <w:szCs w:val="20"/>
          <w:color w:val="auto"/>
        </w:rPr>
      </w:pPr>
      <w:r>
        <w:rPr>
          <w:rFonts w:ascii="Arial" w:cs="Arial" w:eastAsia="Arial" w:hAnsi="Arial"/>
          <w:sz w:val="17"/>
          <w:szCs w:val="17"/>
          <w:color w:val="auto"/>
        </w:rPr>
        <w:t>Where DWT is withheld from dividend payments to U.S. Holders of shares or ADSs evidenced by ADRs, such U.S. Holders can apply to the Irish Revenue Commissioners claiming a full refund of DWT paid by filing a declaration in the form prescribed by the Irish Revenue Commissioners. As above, a certificate of residency in the form prescribed by the Irish Revenue Commissioners, will also be required if the US holder is an individual.</w:t>
      </w:r>
    </w:p>
    <w:p>
      <w:pPr>
        <w:spacing w:after="0" w:line="57" w:lineRule="exact"/>
        <w:rPr>
          <w:sz w:val="20"/>
          <w:szCs w:val="20"/>
          <w:color w:val="auto"/>
        </w:rPr>
      </w:pPr>
    </w:p>
    <w:p>
      <w:pPr>
        <w:ind w:right="160" w:firstLine="761"/>
        <w:spacing w:after="0" w:line="277" w:lineRule="auto"/>
        <w:rPr>
          <w:sz w:val="20"/>
          <w:szCs w:val="20"/>
          <w:color w:val="auto"/>
        </w:rPr>
      </w:pPr>
      <w:r>
        <w:rPr>
          <w:rFonts w:ascii="Arial" w:cs="Arial" w:eastAsia="Arial" w:hAnsi="Arial"/>
          <w:sz w:val="18"/>
          <w:szCs w:val="18"/>
          <w:color w:val="auto"/>
        </w:rPr>
        <w:t>The DWT rate applicable to U.S. Holders may be reduced under the terms of the Treaty, however, in the first instance, an exemption should be in place under Irish domestic legislation.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source income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 Holders will not be liable to Irish income tax on dividends paid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on disposals of shares or ADSs</w:t>
      </w:r>
    </w:p>
    <w:p>
      <w:pPr>
        <w:spacing w:after="0" w:line="117"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U.S. Holders will not be subject to Irish capital gains tax, or CGT, on the disposal of shares or ADSs provided that such shares or ADSs are quoted on a stock exchange at the time of disposition such as Nasdaq. While it is our intention to continue the listing of ADSs on Nasdaq, no assurances can be given in this regard.</w:t>
      </w:r>
    </w:p>
    <w:p>
      <w:pPr>
        <w:spacing w:after="0" w:line="73" w:lineRule="exact"/>
        <w:rPr>
          <w:sz w:val="20"/>
          <w:szCs w:val="20"/>
          <w:color w:val="auto"/>
        </w:rPr>
      </w:pPr>
    </w:p>
    <w:p>
      <w:pPr>
        <w:ind w:right="180" w:firstLine="761"/>
        <w:spacing w:after="0" w:line="264" w:lineRule="auto"/>
        <w:rPr>
          <w:sz w:val="20"/>
          <w:szCs w:val="20"/>
          <w:color w:val="auto"/>
        </w:rPr>
      </w:pPr>
      <w:r>
        <w:rPr>
          <w:rFonts w:ascii="Arial" w:cs="Arial" w:eastAsia="Arial" w:hAnsi="Arial"/>
          <w:sz w:val="18"/>
          <w:szCs w:val="18"/>
          <w:color w:val="auto"/>
        </w:rPr>
        <w:t>If, for any reason, our ADSs cease to be listed on Nasdaq, U.S. Holders will not be subject to CGT on the disposal of their shares or ADSs provided that the shares or ADSs do not, at the time of the disposal, derive the greater part of their value from land, buildings, minerals, or mineral rights or exploration rights in Ireland.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Capital Acquisitions Tax (CAT)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CAT comprises principally gift and inheritance tax. A gift or inheritance of shares or ADSs will come within the charge to CAT if either:</w:t>
      </w:r>
    </w:p>
    <w:p>
      <w:pPr>
        <w:spacing w:after="0" w:line="117" w:lineRule="exact"/>
        <w:rPr>
          <w:sz w:val="20"/>
          <w:szCs w:val="20"/>
          <w:color w:val="auto"/>
        </w:rPr>
      </w:pPr>
    </w:p>
    <w:p>
      <w:pPr>
        <w:ind w:right="40" w:firstLine="769"/>
        <w:spacing w:after="0" w:line="277" w:lineRule="auto"/>
        <w:tabs>
          <w:tab w:leader="none" w:pos="9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disponer or the donee/successor in relation to the gift or inheritance is resident or ordinarily resident in Ireland (please note that special rules with regard to residence apply where an individual is not domiciled in Ireland); or</w:t>
      </w:r>
    </w:p>
    <w:p>
      <w:pPr>
        <w:spacing w:after="0" w:line="62" w:lineRule="exact"/>
        <w:rPr>
          <w:rFonts w:ascii="Arial" w:cs="Arial" w:eastAsia="Arial" w:hAnsi="Arial"/>
          <w:sz w:val="18"/>
          <w:szCs w:val="18"/>
          <w:color w:val="auto"/>
        </w:rPr>
      </w:pPr>
    </w:p>
    <w:p>
      <w:pPr>
        <w:jc w:val="both"/>
        <w:ind w:right="120" w:firstLine="769"/>
        <w:spacing w:after="0" w:line="264" w:lineRule="auto"/>
        <w:tabs>
          <w:tab w:leader="none" w:pos="10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ordinary shares or ADSs are regarded as property situated in Ireland (e.g. shares would be regarded as Irish property if the share register is maintained in Ireland. ADSs, if registered, will be regarded as Irish property if the register is maintained in Ireland, or, if in bearer form, if the instrument of ownership is located in Ireland).</w:t>
      </w:r>
    </w:p>
    <w:p>
      <w:pPr>
        <w:spacing w:after="0" w:line="73" w:lineRule="exact"/>
        <w:rPr>
          <w:sz w:val="20"/>
          <w:szCs w:val="20"/>
          <w:color w:val="auto"/>
        </w:rPr>
      </w:pPr>
    </w:p>
    <w:p>
      <w:pPr>
        <w:ind w:right="160" w:firstLine="761"/>
        <w:spacing w:after="0" w:line="264" w:lineRule="auto"/>
        <w:rPr>
          <w:sz w:val="20"/>
          <w:szCs w:val="20"/>
          <w:color w:val="auto"/>
        </w:rPr>
      </w:pPr>
      <w:r>
        <w:rPr>
          <w:rFonts w:ascii="Arial" w:cs="Arial" w:eastAsia="Arial" w:hAnsi="Arial"/>
          <w:sz w:val="18"/>
          <w:szCs w:val="18"/>
          <w:color w:val="auto"/>
        </w:rPr>
        <w:t>On the basis that the shares or ADSs (assuming they are registered) should not be regarded as property situated in Ireland (given that the registers are not maintained in Ireland), a gift or inheritance of the shares or ADSs should only come within the charge to Irish CAT if either the disponer or donee/successor is resident or ordinarily resident in Ireland at the date of the gift or inheritance.</w:t>
      </w:r>
    </w:p>
    <w:p>
      <w:pPr>
        <w:spacing w:after="0" w:line="73" w:lineRule="exact"/>
        <w:rPr>
          <w:sz w:val="20"/>
          <w:szCs w:val="20"/>
          <w:color w:val="auto"/>
        </w:rPr>
      </w:pPr>
    </w:p>
    <w:p>
      <w:pPr>
        <w:ind w:right="160" w:firstLine="761"/>
        <w:spacing w:after="0" w:line="264" w:lineRule="auto"/>
        <w:rPr>
          <w:sz w:val="20"/>
          <w:szCs w:val="20"/>
          <w:color w:val="auto"/>
        </w:rPr>
      </w:pPr>
      <w:r>
        <w:rPr>
          <w:rFonts w:ascii="Arial" w:cs="Arial" w:eastAsia="Arial" w:hAnsi="Arial"/>
          <w:sz w:val="18"/>
          <w:szCs w:val="18"/>
          <w:color w:val="auto"/>
        </w:rPr>
        <w:t>The rate of CAT is currently 33% and is payable if the taxable value of the gift or inheritance exceeds certain tax-free thresholds. The appropriate tax-free threshold depends on the relationship between the disponer and the donee/successor. A gift or inheritance received from a spouse is exempt from CAT.</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person who receives the gift or inheritance is generally accountable for any CAT due.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b w:val="1"/>
          <w:bCs w:val="1"/>
          <w:i w:val="1"/>
          <w:iCs w:val="1"/>
          <w:color w:val="auto"/>
        </w:rPr>
        <w:t>Irish stamp duty</w:t>
      </w:r>
    </w:p>
    <w:p>
      <w:pPr>
        <w:spacing w:after="0" w:line="117"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No Irish stamp duty should arise on the issue or transfer for cash of shares or ADSs on the basis that such a transfer does not relate to stocks or marketable securities of an Irish registered company.</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557" w:right="599" w:bottom="1440" w:gutter="0" w:footer="0" w:header="0"/>
        </w:sectPr>
      </w:pPr>
    </w:p>
    <w:bookmarkStart w:id="77" w:name="page78"/>
    <w:bookmarkEnd w:id="77"/>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8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The selected financial data set forth below as of and for the years ended December 31, 2019, 2018, 2017, 2016, and 2015 have been derived from the audited consolidated financial statements of Amarin.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 Historical results are not necessarily indicative of operating results to be expected in the future.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ind w:left="472"/>
              <w:spacing w:after="0"/>
              <w:rPr>
                <w:sz w:val="20"/>
                <w:szCs w:val="20"/>
                <w:color w:val="auto"/>
              </w:rPr>
            </w:pPr>
            <w:r>
              <w:rPr>
                <w:rFonts w:ascii="Arial" w:cs="Arial" w:eastAsia="Arial" w:hAnsi="Arial"/>
                <w:sz w:val="14"/>
                <w:szCs w:val="14"/>
                <w:b w:val="1"/>
                <w:bCs w:val="1"/>
                <w:color w:val="auto"/>
                <w:w w:val="92"/>
              </w:rPr>
              <w:t>Years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1"/>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9"/>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(In thousands, except per share amounts)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Product revenue,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427,391</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228,371</w:t>
            </w:r>
          </w:p>
        </w:tc>
        <w:tc>
          <w:tcPr>
            <w:tcW w:w="120" w:type="dxa"/>
            <w:vAlign w:val="bottom"/>
          </w:tcPr>
          <w:p>
            <w:pPr>
              <w:spacing w:after="0"/>
              <w:rPr>
                <w:sz w:val="19"/>
                <w:szCs w:val="19"/>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179,825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128,966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Licensing revenue</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revenue,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229,214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181,104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Cost of goods sold</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44,952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333,736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174,671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136,152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Selling, general and administrative (1)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323,623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226,996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134,549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111,372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47,158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358,015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282,896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181,707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161,347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(108,225)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(65,626)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Gain (loss) on change in fair value of derivative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liabilities (2)</w:t>
            </w:r>
          </w:p>
        </w:tc>
        <w:tc>
          <w:tcPr>
            <w:tcW w:w="2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Gain on extinguishment of debt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(6,626)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(8,872)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(9,766)</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(18,677)</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(20,180)</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taxes</w:t>
            </w: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(116,349)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(54,818)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(76,381)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(Provision for) benefit from income taxes (5)</w:t>
            </w: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(13,047)</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(9,969)</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(22,645)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(116,445)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(67,865)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(86,350)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Preferred stock purchase option</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beneficial conversion features</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(32,987)</w:t>
            </w: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shareholders</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(116,445)</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(67,865)</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(86,350)</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(149,059)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Loss per share: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(0.07)</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(0.39)</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shares: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297,237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211,874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342,538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297,237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270,652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211,874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180,654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As of December 31,</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1"/>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644,588</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249,227</w:t>
            </w:r>
          </w:p>
        </w:tc>
        <w:tc>
          <w:tcPr>
            <w:tcW w:w="120" w:type="dxa"/>
            <w:vAlign w:val="bottom"/>
          </w:tcPr>
          <w:p>
            <w:pPr>
              <w:spacing w:after="0"/>
              <w:rPr>
                <w:sz w:val="19"/>
                <w:szCs w:val="19"/>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73,637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98,251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assets (3) (4)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882,209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161,598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166,999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Long-term liabilities (3)</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118,168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99,808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 (4)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608,263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(65,100)</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(9,058)</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(127,552)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690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22" w:lineRule="exact"/>
        <w:rPr>
          <w:sz w:val="20"/>
          <w:szCs w:val="20"/>
          <w:color w:val="auto"/>
        </w:rPr>
      </w:pPr>
    </w:p>
    <w:p>
      <w:pPr>
        <w:ind w:left="520" w:right="260" w:hanging="512"/>
        <w:spacing w:after="0" w:line="258"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non-cash warrant-related compensation income in 2015, reflecting the change in the fair value of the warrant derivative liability associated with warrants issued in October 2009 to former officers of Amarin.</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non-cash charges resulting from changes in the fair value of derivative liabilities.</w:t>
      </w:r>
    </w:p>
    <w:p>
      <w:pPr>
        <w:spacing w:after="0" w:line="22"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Reflects reclassification of $1.9 million as of December 31, 2015 to present debt issuance costs as a direct deduction from the carrying amount of the related debt liability rather than as an asset, due to the retrospective application of Accounting Standards Update, or ASU, No. 2015-03, </w:t>
      </w:r>
      <w:r>
        <w:rPr>
          <w:rFonts w:ascii="Arial" w:cs="Arial" w:eastAsia="Arial" w:hAnsi="Arial"/>
          <w:sz w:val="17"/>
          <w:szCs w:val="17"/>
          <w:i w:val="1"/>
          <w:iCs w:val="1"/>
          <w:color w:val="auto"/>
        </w:rPr>
        <w:t>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Imputation of Interest (Subtopic 835-30): Simplifying the Presentation of Debt Issuance Costs</w:t>
      </w:r>
      <w:r>
        <w:rPr>
          <w:rFonts w:ascii="Arial" w:cs="Arial" w:eastAsia="Arial" w:hAnsi="Arial"/>
          <w:sz w:val="17"/>
          <w:szCs w:val="17"/>
          <w:color w:val="auto"/>
        </w:rPr>
        <w:t>, adopted in January 2016.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8" w:name="page79"/>
    <w:bookmarkEnd w:id="78"/>
    <w:p>
      <w:pPr>
        <w:ind w:left="520" w:right="20" w:hanging="512"/>
        <w:spacing w:after="0" w:line="25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Reflects recognition of deferred tax assets of approximately $1.6 million relating to excess tax benefits on stock-based compensation outstanding as of December 31, 2015 and corresponding cumulative-effect adjustment to Accumulated deficit as of December 31, 2015, due to the modified retrospective application of ASU No.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adopted in 2016.</w:t>
      </w:r>
    </w:p>
    <w:p>
      <w:pPr>
        <w:spacing w:after="0" w:line="2" w:lineRule="exact"/>
        <w:rPr>
          <w:rFonts w:ascii="Arial" w:cs="Arial" w:eastAsia="Arial" w:hAnsi="Arial"/>
          <w:sz w:val="18"/>
          <w:szCs w:val="18"/>
          <w:color w:val="auto"/>
        </w:rPr>
      </w:pPr>
    </w:p>
    <w:p>
      <w:pPr>
        <w:ind w:left="520" w:right="20" w:hanging="512"/>
        <w:spacing w:after="0" w:line="25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the provision for the year ended December 31, 2017 is a non-cash charge related to the reduction in the amount of the U.S. subsidiary’s deferred tax assets due to the decrease in the U.S. corporate tax rate to 21% resulting from the enactment of the Tax Cuts and Jobs Act. Also included in the provisions for the years ended December 31, 2017 and 2016 is non-cash tax expense resulting from our conclusion that it is not more likely than not that certain of the deferred tax benefits resulting from deferred tax assets generated from the U.S. subsidiary operations will be realized, based on evaluation of available evidence.</w:t>
      </w:r>
    </w:p>
    <w:p>
      <w:pPr>
        <w:spacing w:after="0" w:line="20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8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i w:val="1"/>
          <w:iCs w:val="1"/>
          <w:color w:val="auto"/>
        </w:rPr>
        <w:t>This Annual Report on Form 10-K contains forward-looking statements concerning future events and performance of the Company. When used in this report,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commercial success of Vascepa and factors that can affect such success; interpretation of court decisions; expectation on determinations and policy positions of the United States Food and Drug Administration, or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report in Item 1A, “Risk Factors”. We disclaim any intent to update or announce revisions to any forward-looking statements to reflect actual events or developments, except as required by law. Except as otherwise indicated herein, all dates referred to in this report represent periods or dates fixed with reference to our fiscal year ended December 31,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are a pharmaceutical company with expertise in omega-3 fatty acids and lipid science focused on the commercialization and development of therapeutics to improve cardiovascular, or CV, health and reduce CV risk. Our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was first approved by the U.S. Food and Drug Administration, or FDA, for use as an adjunct to diet to reduce triglyceride, or TG, levels in adult patients with severe (≥500 mg/dL) hypertriglyceridemia. On December 13, 2019 the FDA approved a new indication and label expansion for Vascepa based on the landmark results of our cardiovascular outcomes trial of Vascepa, REDUCE-IT</w:t>
      </w:r>
      <w:r>
        <w:rPr>
          <w:rFonts w:ascii="Arial" w:cs="Arial" w:eastAsia="Arial" w:hAnsi="Arial"/>
          <w:sz w:val="13"/>
          <w:szCs w:val="13"/>
          <w:color w:val="auto"/>
        </w:rPr>
        <w:t>®</w:t>
      </w:r>
      <w:r>
        <w:rPr>
          <w:rFonts w:ascii="Arial" w:cs="Arial" w:eastAsia="Arial" w:hAnsi="Arial"/>
          <w:sz w:val="16"/>
          <w:szCs w:val="16"/>
          <w:color w:val="auto"/>
        </w:rPr>
        <w:t>, or Reduction of Cardiovascular Events with EPA – Intervention Trial. Vascepa is the first and only drug approved by the FDA as an adjunct to maximally tolerated statin therapy for reducing persistent cardiovascular risk in select high risk patients.</w:t>
      </w:r>
    </w:p>
    <w:p>
      <w:pPr>
        <w:spacing w:after="0" w:line="11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Since our inception, we have devoted substantial resources to our research and development efforts, most significantly our Vascepa cardiovascular outcomes trial, REDUCE-IT. We announced topline results from REDUCE-IT on September 24, 2018. On November 10, 2018, we publicly presented primary results of the REDUCE-IT study at the 2018 Scientific Sessions of the American Heart Association, or AHA, and the results were concurrently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we publicly presented the total cardiovascular events results, and the method of calculating such events, of the REDUCE-IT study at the American College of Cardiology’s, or ACC, 68</w:t>
      </w:r>
      <w:r>
        <w:rPr>
          <w:rFonts w:ascii="Arial" w:cs="Arial" w:eastAsia="Arial" w:hAnsi="Arial"/>
          <w:sz w:val="14"/>
          <w:szCs w:val="14"/>
          <w:color w:val="auto"/>
        </w:rPr>
        <w:t>th</w:t>
      </w:r>
      <w:r>
        <w:rPr>
          <w:rFonts w:ascii="Arial" w:cs="Arial" w:eastAsia="Arial" w:hAnsi="Arial"/>
          <w:sz w:val="17"/>
          <w:szCs w:val="17"/>
          <w:color w:val="auto"/>
        </w:rPr>
        <w:t xml:space="preserve"> Annual Scientific Session and such results and methods were concurrently published in the </w:t>
      </w:r>
      <w:r>
        <w:rPr>
          <w:rFonts w:ascii="Arial" w:cs="Arial" w:eastAsia="Arial" w:hAnsi="Arial"/>
          <w:sz w:val="17"/>
          <w:szCs w:val="17"/>
          <w:i w:val="1"/>
          <w:iCs w:val="1"/>
          <w:color w:val="auto"/>
        </w:rPr>
        <w:t>Journal of the American College of Cardiology</w:t>
      </w:r>
      <w:r>
        <w:rPr>
          <w:rFonts w:ascii="Arial" w:cs="Arial" w:eastAsia="Arial" w:hAnsi="Arial"/>
          <w:sz w:val="17"/>
          <w:szCs w:val="17"/>
          <w:color w:val="auto"/>
        </w:rPr>
        <w:t>. Included in such results were that Vascepa reduced total events (first and subsequent events) by 30% compared to placebo, reflecting that for every 1,000 patients treated for 5 years with Vascepa versus placebo in this trial, approximately 159 MACE would have been be prevented with Vascepa.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on REDUCE-IT results, several clinical treatment guidelines and position statements have been updated as follows:</w:t>
      </w:r>
    </w:p>
    <w:p>
      <w:pPr>
        <w:spacing w:after="0" w:line="77" w:lineRule="exact"/>
        <w:rPr>
          <w:sz w:val="20"/>
          <w:szCs w:val="20"/>
          <w:color w:val="auto"/>
        </w:rPr>
      </w:pPr>
    </w:p>
    <w:p>
      <w:pPr>
        <w:ind w:left="1280" w:right="360" w:hanging="381"/>
        <w:spacing w:after="0" w:line="264" w:lineRule="auto"/>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In March 2019, the American Diabetes Association, or ADA, issued important updates to the </w:t>
      </w:r>
      <w:r>
        <w:rPr>
          <w:rFonts w:ascii="Arial" w:cs="Arial" w:eastAsia="Arial" w:hAnsi="Arial"/>
          <w:sz w:val="18"/>
          <w:szCs w:val="18"/>
          <w:i w:val="1"/>
          <w:iCs w:val="1"/>
          <w:color w:val="auto"/>
        </w:rPr>
        <w:t>Standard of Medical Care in Diabetes</w:t>
      </w:r>
      <w:r>
        <w:rPr>
          <w:rFonts w:ascii="Arial" w:cs="Arial" w:eastAsia="Arial" w:hAnsi="Arial"/>
          <w:sz w:val="18"/>
          <w:szCs w:val="18"/>
          <w:color w:val="auto"/>
        </w:rPr>
        <w:t xml:space="preserve"> for 2019, including a recommendation for the use of icosapent ethyl in treating at-risk patients based on the results of the REDUCE-IT cardiovascular outcomes study.</w:t>
      </w:r>
    </w:p>
    <w:p>
      <w:pPr>
        <w:spacing w:after="0" w:line="32" w:lineRule="exact"/>
        <w:rPr>
          <w:rFonts w:ascii="Arial" w:cs="Arial" w:eastAsia="Arial" w:hAnsi="Arial"/>
          <w:sz w:val="18"/>
          <w:szCs w:val="18"/>
          <w:color w:val="auto"/>
        </w:rPr>
      </w:pPr>
    </w:p>
    <w:p>
      <w:pPr>
        <w:ind w:left="1280" w:right="320" w:hanging="381"/>
        <w:spacing w:after="0" w:line="277" w:lineRule="auto"/>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August 2019, the AHA recognized the results of REDUCE-IT and recommended directing medical care away from unproven fish oil dietary supplements and to prescription drug therapy in patients with elevated TG levels.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9" w:name="page80"/>
    <w:bookmarkEnd w:id="79"/>
    <w:p>
      <w:pPr>
        <w:ind w:left="1280" w:right="480" w:hanging="381"/>
        <w:spacing w:after="0" w:line="277" w:lineRule="auto"/>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September 2019, the National Lipid Association issued a position statement recognizing the cardiovascular risk-lowering effects of icosapent ethyl based on the REDUCE-IT results.</w:t>
      </w:r>
    </w:p>
    <w:p>
      <w:pPr>
        <w:spacing w:after="0" w:line="21" w:lineRule="exact"/>
        <w:rPr>
          <w:rFonts w:ascii="Arial" w:cs="Arial" w:eastAsia="Arial" w:hAnsi="Arial"/>
          <w:sz w:val="18"/>
          <w:szCs w:val="18"/>
          <w:color w:val="auto"/>
        </w:rPr>
      </w:pPr>
    </w:p>
    <w:p>
      <w:pPr>
        <w:ind w:left="1280" w:right="800" w:hanging="381"/>
        <w:spacing w:after="0" w:line="277" w:lineRule="auto"/>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September 2019, the European Society of Cardiology and the European Atherosclerosis Society updated their Clinical Practice Guidelines for the Management of Dyslipidemias to incorporate findings from the REDUCE-IT study.</w:t>
      </w:r>
    </w:p>
    <w:p>
      <w:pPr>
        <w:spacing w:after="0" w:line="21" w:lineRule="exact"/>
        <w:rPr>
          <w:rFonts w:ascii="Arial" w:cs="Arial" w:eastAsia="Arial" w:hAnsi="Arial"/>
          <w:sz w:val="18"/>
          <w:szCs w:val="18"/>
          <w:color w:val="auto"/>
        </w:rPr>
      </w:pPr>
    </w:p>
    <w:p>
      <w:pPr>
        <w:ind w:left="1280" w:right="60" w:hanging="381"/>
        <w:spacing w:after="0" w:line="259" w:lineRule="auto"/>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February 2020, the American Association of Clinical Endocrinologists and the American College of Endocrinology released a consensus statement on the comprehensive management of type 2 diabetes. The statement included new guidance for managing patients with established or high risk for cardiovascular disease who have triglyceride levels between 135 – 499 mg/dL with icosapent ethyl which has proven benefits to prevent the new adverse cardiovascular event.</w:t>
      </w:r>
    </w:p>
    <w:p>
      <w:pPr>
        <w:spacing w:after="0" w:line="13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October 2019, the Institute for Clinical and Economic Review, or ICER, released its final evidence report regarding clinical effectiveness and economic impacts on Vascepa. ICER’s report indicated that Vascepa was cost effectiveness across all of the non-profit organization’s analyses, including its quality-adjusted life year metrics of &lt;$50,000. The conclusion from the report is that Vascepa easily meets “commonly cited thresholds for cost-effectiveness and therefore represents a high long-term value for money” based on the organization’s value assessment framework. In addition, an independent academic, patient-level, cost-effectiveness analysis of icosapent ethyl led by Dr. William S. Weintraub, M.D., director of Outcomes Research with MedStar Cardiovascular Research Network, indicated that Vascepa was projected to not only be cost-effective but also to reduce long-term health care costs in a majority of the scenarios analyzed.</w:t>
      </w:r>
    </w:p>
    <w:p>
      <w:pPr>
        <w:spacing w:after="0" w:line="135"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The FDA granted Priority Review designation to our March 2019 supplemental new drug application, or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In November 2019,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label expansion for Vascepa capsules. Vascepa is the first and only drug approved by the FDA as an adjunct to maximally tolerated statin therapy to reduce the risk of myocardial infarction, stroke, coronary revascularization, and unstable angina requiring hospitalization in adult patients with elevated triglyceride, or TG, levels (≥150 mg/dL) and either established cardiovascular disease or diabetes mellitus and two or more additional risk factors for cardiovascular disease.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w:t>
      </w:r>
    </w:p>
    <w:p>
      <w:pPr>
        <w:spacing w:after="0" w:line="9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commenced the commercial launch of Vascepa through sales and shipments to our network of U.S.-based wholesalers in the United States in January 2013. We began selling and marketing 1-gram size Vascepa capsules in January 2013, and in October 2016, introduced a smaller 0.5-gram capsule size. The FDA-approved dosing for Vascepa continues to be 4 grams per day, and, as expected, the majority of new and existing patients taking Vascepa continue to be prescribed the 1-gram size Vascepa capsule. Vascepa is sold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Prior to results of the REDUCE-IT study we did not have outcomes data regarding the clinical effect of Vascepa and a substantial portion of our resources were being spent on the REDUCE-IT study. As a result, our commercialization of Vascepa was somewhat limited.</w:t>
      </w:r>
    </w:p>
    <w:p>
      <w:pPr>
        <w:spacing w:after="0" w:line="140"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Prior to the REDUCE-IT results topline announcement in September 2018, our direct sales force consisted of approximately 170 sales professionals, including sales representatives and their managers. Based on the positive REDUCE-IT results, in early 2019, we increased the size of our sales team to approximately 440 sales professionals, including approximately 400 sales representatives. As a result of the FDA’s newly approved indication and label expansion, we are close to completing the expansion of our direct sales force to approximately 900 sales professionals, including approximately 800 sales representatives. Hiring, training and deploying approximately 400 new sales representatives is a multi-stage process which commenced in July 2019 and is expected to be completed in early 2020. Most of the expanded sales management team needed to support this sales force expansion was hired, or internally promoted, and trained prior to December 31, 2019.</w:t>
      </w:r>
    </w:p>
    <w:p>
      <w:pPr>
        <w:spacing w:after="0" w:line="12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From May 2014 through the end of December 2018, in addition to Vascepa promotion by our sales representatives, Kowa Pharmaceuticals America, Inc. co-promoted Vascepa in conjunction with its promotion of its primary product, a branded statin for patients with high cholesterol. Amarin and Kowa Pharmaceuticals America, Inc. intentionally designed the co-promotion to naturally end as of December 31, 2018 and mutually agreed not to renew the agreement. During 2018, as a result of not renewing the agreement, we incurred expense for the accrual of co-promotion tail payments, which were calculated as a percentage of the 2018 co-promotion fee. Kowa Pharmaceuticals America, Inc. will receive $17.8 million in co-promotion tail payments, the present value of which, $16.6 million, was fully accrued as of December 31, 2018 and will be paid over three years with declining amounts each year. We made $7.3 million in tail payments as of December 31, 2019.</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80" w:name="page81"/>
    <w:bookmarkEnd w:id="80"/>
    <w:p>
      <w:pPr>
        <w:ind w:firstLine="518"/>
        <w:spacing w:after="0" w:line="257" w:lineRule="auto"/>
        <w:rPr>
          <w:sz w:val="20"/>
          <w:szCs w:val="20"/>
          <w:color w:val="auto"/>
        </w:rPr>
      </w:pPr>
      <w:r>
        <w:rPr>
          <w:rFonts w:ascii="Arial" w:cs="Arial" w:eastAsia="Arial" w:hAnsi="Arial"/>
          <w:sz w:val="18"/>
          <w:szCs w:val="18"/>
          <w:color w:val="auto"/>
        </w:rPr>
        <w:t xml:space="preserve">We also employ various medical affairs and marketing personnel to support our commercialization of Vascepa. We expanded certain medical education and market awareness initiatives following the reporting of positive REDUCE-IT results in 2018. We intend to further expand promotion of Vascepa, including direct to consumer advertising, as a result of the new indication and label expansion of Vascepa approved by the FDA on December 13, 2019. In January 2020, we launched an educational campaign, </w:t>
      </w:r>
      <w:r>
        <w:rPr>
          <w:rFonts w:ascii="Arial" w:cs="Arial" w:eastAsia="Arial" w:hAnsi="Arial"/>
          <w:sz w:val="18"/>
          <w:szCs w:val="18"/>
          <w:i w:val="1"/>
          <w:iCs w:val="1"/>
          <w:color w:val="auto"/>
        </w:rPr>
        <w:t>True To Your Heart</w:t>
      </w:r>
      <w:r>
        <w:rPr>
          <w:rFonts w:ascii="Arial" w:cs="Arial" w:eastAsia="Arial" w:hAnsi="Arial"/>
          <w:sz w:val="18"/>
          <w:szCs w:val="18"/>
          <w:color w:val="auto"/>
        </w:rPr>
        <w:t>, to help people learn more about cardiovascular disease and how to better protect against persistent cardiovascular risk.</w:t>
      </w:r>
    </w:p>
    <w:p>
      <w:pPr>
        <w:spacing w:after="0" w:line="134"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Based on monthly compilations of data provided by a third party, Symphony Health, the estimated number of normalized total Vascepa prescriptions for the three months ended December 31, 2019 was approximately 992,000 compared to 865,000, 756,000, 618,000, and 539,000 in the three months ended September 30, 2019, June 30, 2019, March 31, 2019, and December 31, 2018, respectively. According to data from another third party, IQVIA, the estimated number of normalized total Vascepa prescriptions for the three months ended December 31, 2019 was approximately 909,000 compared to 787,000, 683,000, 553,000, and 492,000 in the three months ended September 30, 2019, June 30, 2019, March 31, 2019, and December 31, 2018,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We are not responsible for the accuracy of these companies’ information and Amarin does not receive prescription data directly from retail pharmacies.</w:t>
      </w:r>
    </w:p>
    <w:p>
      <w:pPr>
        <w:spacing w:after="0" w:line="12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recognize revenue from product sales when the distributor obtains control of our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24"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In addition to promotion of Vascepa in the United States, based on REDUCE-IT, we have increased focus on expansion of our development efforts for Vascepa to major markets outside the United States. We currently have strategic collaborations to develop and commercialize Vascepa in select territories outside the United States. 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In March 2016, we entered into an agreement with Biologix to register and commercialize Vascepa in several Middle Eastern and North African countries. In September 2017, we entered into an agreement with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 In December 2019, HLS received formal confirmation from Health Canada that the Canadian regulatory authority has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 regulatory exclusivity designation. Commercial launch in Canada began in February 2020 on a limited scale with subsequent expansion intended. In 2020, we intend to explore potential development and commercial paths for Vascepa in other markets such as the European Union. In December 2019, the European Medicines Agency, or EMA, has validated the marketing authorization application seeking approval for Vascepa. The validation confirms the submission is sufficiently complete for the EMA to begin its review, which review is currently expected to be completed before the end of 2020.</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plan to assess other potential partnership opportunities for licensing Vascepa to partners outside of the United States.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1" w:name="page82"/>
    <w:bookmarkEnd w:id="81"/>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 xml:space="preserve">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The REDUCE-IT study was conducted based on a special protocol assessment, or SPA, agreement with the FDA. Based on the final positive results of REDUCE-IT, we sought additional indicated uses for Vascepa in the United States and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AHA on November 10, 2018 with such results concurrently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The total (first and subsequent) cardiovascular events results of the REDUCE-IT study were presented at the American College of Cardiology’s 68</w:t>
      </w:r>
      <w:r>
        <w:rPr>
          <w:rFonts w:ascii="Arial" w:cs="Arial" w:eastAsia="Arial" w:hAnsi="Arial"/>
          <w:sz w:val="14"/>
          <w:szCs w:val="14"/>
          <w:color w:val="auto"/>
        </w:rPr>
        <w:t>th</w:t>
      </w:r>
      <w:r>
        <w:rPr>
          <w:rFonts w:ascii="Arial" w:cs="Arial" w:eastAsia="Arial" w:hAnsi="Arial"/>
          <w:sz w:val="17"/>
          <w:szCs w:val="17"/>
          <w:color w:val="auto"/>
        </w:rPr>
        <w:t xml:space="preserve"> Annual Scientific Session in March 2019 and concurrently published in the </w:t>
      </w:r>
      <w:r>
        <w:rPr>
          <w:rFonts w:ascii="Arial" w:cs="Arial" w:eastAsia="Arial" w:hAnsi="Arial"/>
          <w:sz w:val="17"/>
          <w:szCs w:val="17"/>
          <w:i w:val="1"/>
          <w:iCs w:val="1"/>
          <w:color w:val="auto"/>
        </w:rPr>
        <w:t>Journal of the American College of Cardiology.</w:t>
      </w:r>
      <w:r>
        <w:rPr>
          <w:rFonts w:ascii="Arial" w:cs="Arial" w:eastAsia="Arial" w:hAnsi="Arial"/>
          <w:sz w:val="17"/>
          <w:szCs w:val="17"/>
          <w:color w:val="auto"/>
        </w:rPr>
        <w:t xml:space="preserve"> Potential additional research and development opportunities beyond REDUCE-IT will be prioritized after giving priority to securing regulatory approval for Vascepa based on the REDUCE-IT results in the United States and in various geographies internationally, including pursuit of approval for Vascepa in Europe and in countries where we have commercialization partners for Vascepa.</w:t>
      </w:r>
    </w:p>
    <w:p>
      <w:pPr>
        <w:spacing w:after="0" w:line="134"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The FDA granted Priority Review designation to our March 2019, supplemental new drug application, or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when compared to standard applications. In November 2019,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related label expansion based on REDUCE-IT. Vascepa is the first and only drug approved by the FDA as an adjunct to maximally tolerated statin therapy to reduce the risk of myocardial infarction, stroke, coronary revascularization, and unstable angina requiring hospitalization in adult patients with elevated triglyceride, or TG, levels (≥150 mg/dL) and either established cardiovascular disease or diabetes mellitus and two or more additional risk factors for cardiovascular disease.</w:t>
      </w:r>
    </w:p>
    <w:p>
      <w:pPr>
        <w:spacing w:after="0" w:line="113"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In January 2020, we achieved certain milestones under the agreement, resulting in payment of $1.0 million to Mochida.</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7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manage the manufacturing and supply of Vascepa internally and have done so since we began clinical development of Vascepa prior to the drug’s marketing approval by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the Vascepa commercial franchise.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All of our product revenue is derived from product sales of 1-gram and 0.5-gram size capsules of Vascepa, net of allowances,</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2" w:name="page83"/>
    <w:bookmarkEnd w:id="82"/>
    <w:p>
      <w:pPr>
        <w:ind w:right="440" w:firstLine="518"/>
        <w:spacing w:after="0" w:line="264"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We recognize revenue from licensing arrangements as we fulfill the performance obligations under each of the agreements.</w:t>
      </w:r>
    </w:p>
    <w:p>
      <w:pPr>
        <w:spacing w:after="0" w:line="12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33" w:lineRule="exact"/>
        <w:rPr>
          <w:sz w:val="20"/>
          <w:szCs w:val="20"/>
          <w:color w:val="auto"/>
        </w:rPr>
      </w:pPr>
    </w:p>
    <w:p>
      <w:pPr>
        <w:ind w:right="320" w:firstLine="518"/>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consists primarily of salaries and other related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stock-based compensation expense, for personnel in our sales, marketing, executive, business development, finance and information technology functions, as well as until December 31, 2018, co-promotion fees payable to Kowa Pharmaceuticals America, Inc. and, in 2018, an accrual for the co-promotion tail payments. Other costs primarily include facility costs and professional fees for accounting, consulting and legal services.</w:t>
      </w:r>
    </w:p>
    <w:p>
      <w:pPr>
        <w:spacing w:after="0" w:line="10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consists primarily of fees paid to professional service providers in conjunction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We expense research and development costs as incurred.</w:t>
      </w:r>
    </w:p>
    <w:p>
      <w:pPr>
        <w:spacing w:after="0" w:line="124"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expense consists of interest incurred under our December 2012 royalty-bearing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arrangement, and interest incurred in 2018 under our previously outstanding 3.5% exchangeable notes. Interest expense under our royalty-bearing instrument financing arrangement is calculated based on an estimated repayment schedule. Interest expense under our previously outstanding exchangeable notes includes the amortization of the conversion option related to our exchangeable debt, the amortization of the related debt discounts and debt obligation coupon interest. Interest income consists of interest earned on our cash and cash equivalents. Other (expense) income, net, consists primarily of foreign exchange losses and gains.</w:t>
      </w:r>
    </w:p>
    <w:p>
      <w:pPr>
        <w:spacing w:after="0" w:line="139" w:lineRule="exact"/>
        <w:rPr>
          <w:sz w:val="20"/>
          <w:szCs w:val="20"/>
          <w:color w:val="auto"/>
        </w:rPr>
      </w:pPr>
    </w:p>
    <w:p>
      <w:pPr>
        <w:ind w:right="260" w:firstLine="518"/>
        <w:spacing w:after="0" w:line="286"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deferred tax assets and liabilities, and reserves for unrecognized tax benefits reflect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best 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year-ended December 31, 2019 and 2018 are not more likely than not to be</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realized. Therefore, the appropriate amount of income tax benefit to recognize for the year-ended December 31, 2019 and 2018 is $0.2 million and $0.1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4"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Note 2—Significant Accounting Policies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13"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—In accordance with GAAP, under Accounting Standards Codification, or ASC, Topic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which we adopted on a modified retrospective basis effective January 1, 2018, we recognize revenue when our distributors obtain control of</w:t>
      </w:r>
      <w:r>
        <w:rPr>
          <w:rFonts w:ascii="Arial" w:cs="Arial" w:eastAsia="Arial" w:hAnsi="Arial"/>
          <w:sz w:val="16"/>
          <w:szCs w:val="16"/>
          <w:i w:val="1"/>
          <w:iCs w:val="1"/>
          <w:color w:val="auto"/>
        </w:rPr>
        <w:t xml:space="preserve"> </w:t>
      </w:r>
      <w:r>
        <w:rPr>
          <w:rFonts w:ascii="Arial" w:cs="Arial" w:eastAsia="Arial" w:hAnsi="Arial"/>
          <w:sz w:val="16"/>
          <w:szCs w:val="16"/>
          <w:color w:val="auto"/>
        </w:rPr>
        <w:t>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contract(s) with a Distributor; (ii) identify the performance obligations in the contract; (iii) determine the transaction price; (iv) allocate the transaction price to the performance obligations in the contract; and (v) recognize revenue when (or as) we satisfy a performance obligation. We apply the five-step model to contracts only when it is probable that we will collect the consideration we are entitled to in exchange for the goods or services we transfer to the Distributor. At contract inception, once the contract is determined to be within the scope of Topic 606, we assess the goods or services promised within each contract, determine those that are performance obligations and assess whether each promised good or service 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3" w:name="page84"/>
    <w:bookmarkEnd w:id="83"/>
    <w:p>
      <w:pPr>
        <w:ind w:right="380"/>
        <w:spacing w:after="0" w:line="264" w:lineRule="auto"/>
        <w:rPr>
          <w:sz w:val="20"/>
          <w:szCs w:val="20"/>
          <w:color w:val="auto"/>
        </w:rPr>
      </w:pPr>
      <w:r>
        <w:rPr>
          <w:rFonts w:ascii="Arial" w:cs="Arial" w:eastAsia="Arial" w:hAnsi="Arial"/>
          <w:sz w:val="18"/>
          <w:szCs w:val="18"/>
          <w:color w:val="auto"/>
        </w:rPr>
        <w:t>distinct. We then recognize as revenue the amount of the transaction price that is allocated to the respective performance obligation when (or as) the performance obligation is satisfied. For a complete discussion of our accounting for net product revenue and licensing revenues, see Note 2—Significant Accounting Policies.</w:t>
      </w:r>
    </w:p>
    <w:p>
      <w:pPr>
        <w:spacing w:after="0" w:line="12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sell Vascepa principally to a limited number of distributors that in turn resell Vascepa to retail pharmacies that subsequently resell it to patients and healthcare providers.</w:t>
      </w:r>
    </w:p>
    <w:p>
      <w:pPr>
        <w:spacing w:after="0" w:line="116"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began recognizing revenue from the sale of Vascepa following our commercial launch in the United States in January 2013. Prior to 2013, we recognized no revenue from Vascepa sales. In accordance with GAAP, we recognize revenue when the Distributor obtains control of our product, which occurs at a point in time, typically upon delivery to the Distributor. We recognized Product revenue, net of $427.4 million and $228.4 million based on sales to distributors during the years ended December 31, 2019 and 2018, respectively.</w:t>
      </w:r>
    </w:p>
    <w:p>
      <w:pPr>
        <w:spacing w:after="0" w:line="13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have written contracts with our distributors, and transfer of control typically occurs upon delivery of our product to the Distributor. We evaluate the creditworthiness of each of our distributors to determine whether revenues can be recognized upon delivery, subject to satisfaction of the other requirements, or whether recognition is required to be delayed until receipt of payment. We calculate gross product revenues based on the wholesale acquisition cost that we charge our distributors for Vascepa. We estimate our Product revenue, net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and IQVIA in estimating the level of inventory held in the distribution channel. A hypothetical 5% change in estimated aggregate bottles of channel inventory would result in a change of less than 1% in net product revenues reported during each of the three and twelve months ended December 31, 2019 and 2018.</w:t>
      </w:r>
    </w:p>
    <w:p>
      <w:pPr>
        <w:spacing w:after="0" w:line="115"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When evaluating licensing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In determining performance obligations, we evaluate whether the license is distinct from the other performance obligations with the collaborative partner based on the consideration of the relevant facts and circumstances for each arrangement. Factors considered include the stage of development of the license delivered, research and development capabilities of the partner and the ability of partners to develop and commercialize Vascepa independent of us.</w:t>
      </w:r>
    </w:p>
    <w:p>
      <w:pPr>
        <w:spacing w:after="0" w:line="124"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If the license to our intellectual property is determined to be distinct from the other performance obligations identified in the arrangement, we recognize revenues from non-refundable, up-front fees allocated to the license when the license is transferred to the Distributor and the Distributor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2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At the inception of each arrangement that includes development, regulatory and commercial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regulatory and commercial milestones and any related constraint, and if necessary, adjust its estimate of the overall transaction price. Any such adjustments are recorded on a cumulative catch-up basis, which would affect licensing revenues and earnings in the period of adjustment.</w:t>
      </w:r>
    </w:p>
    <w:p>
      <w:pPr>
        <w:spacing w:after="0" w:line="12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receive payments from our customers based on billing schedules established in each contract. Up-front payments and fees are recorded as deferred revenue upon receipt or when due and may require deferral of revenue recognition to a future period until we perform our obligations under these arrangements. Amounts are recorded as accounts receivable when our right to consideration is unconditional.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84" w:name="page85"/>
    <w:bookmarkEnd w:id="84"/>
    <w:p>
      <w:pPr>
        <w:jc w:val="both"/>
        <w:ind w:right="60" w:firstLine="518"/>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 tax</w:t>
      </w:r>
      <w:r>
        <w:rPr>
          <w:rFonts w:ascii="Arial" w:cs="Arial" w:eastAsia="Arial" w:hAnsi="Arial"/>
          <w:sz w:val="17"/>
          <w:szCs w:val="17"/>
          <w:i w:val="1"/>
          <w:iCs w:val="1"/>
          <w:color w:val="auto"/>
        </w:rPr>
        <w:t xml:space="preserve"> </w:t>
      </w:r>
      <w:r>
        <w:rPr>
          <w:rFonts w:ascii="Arial" w:cs="Arial" w:eastAsia="Arial" w:hAnsi="Arial"/>
          <w:sz w:val="17"/>
          <w:szCs w:val="17"/>
          <w:color w:val="auto"/>
        </w:rPr>
        <w:t>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1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3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assess our ability to realize deferred tax assets at each reporting period. The realization of deferred tax assets depends on generating future taxable income during the periods in which the tax benefits are deductible or creditable. When making our assessment about the realization of our deferred tax assets as of December 31, 2019, we considered all available evidence, placing particular weight on evidence that could be objectively verified. The evidence considered included the (i) historical taxable profitability of our U.S. operations, (ii) historical pre-tax book loss position, (iii) sources of future taxable income, giving weight to sources according to the extent to which they can be objectively verified, (iv) the provisions of the Tax Cuts and Jobs Act enacted in 2017 and their impact on our future taxable income, and (v) the risks to our business related to the commercialization and development of Vascepa. Based on our assessment, we concluded that all of our net deferred tax assets are not more likely than not to be realizable as of both December 31, 2019 and 2018. Changes in historical earnings performance, future earnings projections, and changes in tax laws and tax rates, among other factors, may cause us to adjust our valuation allowance on deferred tax assets in the future, which would impact our income tax expense in the period in which we determine that these factors have changed. We intend to maintain the valuation allowance until sufficient positive evidence exists to conclude that it is more likely than not that our deferred tax benefits will be realized. We will continue to monitor the need for valuation allowances in each jurisdiction and may adjust our positions in the future.</w:t>
      </w:r>
    </w:p>
    <w:p>
      <w:pPr>
        <w:spacing w:after="0" w:line="126"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Excess tax benefits and deficiencies that arise upon vesting or exercise of share-based payments are recognized as an income tax benefit and expense, respectively, in the consolidated statement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Consolidated Financial Statements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2019 and December 31, 2018</w:t>
      </w:r>
    </w:p>
    <w:p>
      <w:pPr>
        <w:spacing w:after="0" w:line="7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product revenue, net, of $427.4 million and $228.4 million during the years ended December 31, 2019 and 2018,</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$199.0 million, or 87%. This increase was driven primarily by volume of Vascepa sales to our customers in the United States. Orders by such customer were supported by an increase in estimated normalized total Vascepa prescriptions in the United States. Based on data provided by Symphony Health and IQVIA, estimated normalized total Vascepa prescriptions in the United States increased in 2019 by approximately 1,412,000 and 1,274,000, respectively, over the year ended December 31, 2018, representing growth of 78% and 77%, respectively. In addition, we recognized net product revenue of approximately $0.7 million and $0.1 million as of December 31, 2019 and 2018, respectively for Vascepa sales outside of the United States.</w:t>
      </w:r>
    </w:p>
    <w:p>
      <w:pPr>
        <w:spacing w:after="0" w:line="11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All of our product revenue in the years ended December 31, 2019 and 2018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34" w:lineRule="exact"/>
        <w:rPr>
          <w:sz w:val="20"/>
          <w:szCs w:val="20"/>
          <w:color w:val="auto"/>
        </w:rPr>
      </w:pPr>
    </w:p>
    <w:p>
      <w:pPr>
        <w:ind w:right="260" w:firstLine="518"/>
        <w:spacing w:after="0" w:line="272" w:lineRule="auto"/>
        <w:rPr>
          <w:sz w:val="20"/>
          <w:szCs w:val="20"/>
          <w:color w:val="auto"/>
        </w:rPr>
      </w:pPr>
      <w:r>
        <w:rPr>
          <w:rFonts w:ascii="Arial" w:cs="Arial" w:eastAsia="Arial" w:hAnsi="Arial"/>
          <w:sz w:val="17"/>
          <w:szCs w:val="17"/>
          <w:color w:val="auto"/>
        </w:rPr>
        <w:t>During the years ended December 31, 2019 and 2018, our Product revenue, net included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years ended December 31, 2019 and 2018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5" w:name="page86"/>
    <w:bookmarkEnd w:id="85"/>
    <w:p>
      <w:pPr>
        <w:ind w:right="30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16" w:lineRule="exact"/>
        <w:rPr>
          <w:sz w:val="20"/>
          <w:szCs w:val="20"/>
          <w:color w:val="auto"/>
        </w:rPr>
      </w:pPr>
    </w:p>
    <w:p>
      <w:pPr>
        <w:ind w:firstLine="518"/>
        <w:spacing w:after="0" w:line="325" w:lineRule="auto"/>
        <w:rPr>
          <w:sz w:val="20"/>
          <w:szCs w:val="20"/>
          <w:color w:val="auto"/>
        </w:rPr>
      </w:pPr>
      <w:r>
        <w:rPr>
          <w:rFonts w:ascii="Arial" w:cs="Arial" w:eastAsia="Arial" w:hAnsi="Arial"/>
          <w:sz w:val="16"/>
          <w:szCs w:val="16"/>
          <w:i w:val="1"/>
          <w:iCs w:val="1"/>
          <w:color w:val="auto"/>
        </w:rPr>
        <w:t xml:space="preserve">Licensing revenue. </w:t>
      </w:r>
      <w:r>
        <w:rPr>
          <w:rFonts w:ascii="Arial" w:cs="Arial" w:eastAsia="Arial" w:hAnsi="Arial"/>
          <w:sz w:val="16"/>
          <w:szCs w:val="16"/>
          <w:color w:val="auto"/>
        </w:rPr>
        <w:t>Licensing revenue during the years ended December 31, 2019 and 2018 was $2.4 million and $0.8 million, respectively,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$1.5 million, or 180%. Licensing revenue relates to the recognition of amounts received in connection with the following Vascepa licensing agreements:</w:t>
      </w:r>
    </w:p>
    <w:p>
      <w:pPr>
        <w:spacing w:after="0" w:line="1" w:lineRule="exact"/>
        <w:rPr>
          <w:sz w:val="20"/>
          <w:szCs w:val="20"/>
          <w:color w:val="auto"/>
        </w:rPr>
      </w:pPr>
    </w:p>
    <w:p>
      <w:pPr>
        <w:ind w:left="1280" w:hanging="381"/>
        <w:spacing w:after="0"/>
        <w:tabs>
          <w:tab w:leader="none" w:pos="1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Eddingpharm – a $15.0 million up-front payment received in February 2015 and a $1.0 million milestone payment achieved in March 2016.</w:t>
      </w:r>
    </w:p>
    <w:p>
      <w:pPr>
        <w:spacing w:after="0" w:line="99" w:lineRule="exact"/>
        <w:rPr>
          <w:rFonts w:ascii="Arial" w:cs="Arial" w:eastAsia="Arial" w:hAnsi="Arial"/>
          <w:sz w:val="16"/>
          <w:szCs w:val="16"/>
          <w:color w:val="auto"/>
        </w:rPr>
      </w:pPr>
    </w:p>
    <w:p>
      <w:pPr>
        <w:ind w:left="1280" w:right="380" w:hanging="381"/>
        <w:spacing w:after="0" w:line="312" w:lineRule="auto"/>
        <w:tabs>
          <w:tab w:leader="none" w:pos="1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and a $2.5 million milestone payment that was received following FDA approval of a new indication and label expansion in December 2019.</w:t>
      </w:r>
    </w:p>
    <w:p>
      <w:pPr>
        <w:spacing w:after="0" w:line="93"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 We do not anticipate significant revenues from international sources in 2020.</w:t>
      </w:r>
    </w:p>
    <w:p>
      <w:pPr>
        <w:spacing w:after="0" w:line="93"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years ended December 31, 2019 and 2018 was $96.0 million and $54.5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$41.5 million, or 76%.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0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API included in the calculation of the average cost of goods sold during the years ended December 31, 2019 and 2018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2020 to be similar to or modestly lower than 2019. The average cost may be variable from period to period depending upon the timing and quantity of API purchased from each supplier.</w:t>
      </w:r>
    </w:p>
    <w:p>
      <w:pPr>
        <w:spacing w:after="0" w:line="139"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Our gross margin on product sales for the years ended December 31, 2019 and 2018 was 78% and 76%, respectively, reflecting modestly lower API average cost in 2019 compared to 2018 reflecting multiple factors including efficiencies associated with economies of expanded scale.</w:t>
      </w:r>
    </w:p>
    <w:p>
      <w:pPr>
        <w:spacing w:after="0" w:line="93"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years ended December 31, 2019 and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$323.6 million and $227.0 million, respectively, an increase of $96.6 million, or 43%. Selling, general and administrative expenses for the years ended December 31, 2019 and 2018 are summarized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gridSpan w:val="3"/>
            <w:vMerge w:val="restart"/>
          </w:tcPr>
          <w:p>
            <w:pPr>
              <w:ind w:left="860"/>
              <w:spacing w:after="0"/>
              <w:rPr>
                <w:sz w:val="20"/>
                <w:szCs w:val="20"/>
                <w:color w:val="auto"/>
              </w:rPr>
            </w:pPr>
            <w:r>
              <w:rPr>
                <w:rFonts w:ascii="Arial" w:cs="Arial" w:eastAsia="Arial" w:hAnsi="Arial"/>
                <w:sz w:val="14"/>
                <w:szCs w:val="14"/>
                <w:b w:val="1"/>
                <w:bCs w:val="1"/>
                <w:i w:val="1"/>
                <w:iCs w:val="1"/>
                <w:color w:val="auto"/>
              </w:rPr>
              <w:t>In thousands</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940" w:type="dxa"/>
            <w:vAlign w:val="bottom"/>
            <w:gridSpan w:val="3"/>
            <w:vMerge w:val="continue"/>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15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297,321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Co-promotion fees (2)</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15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3"/>
          </w:tcPr>
          <w:p>
            <w:pPr>
              <w:ind w:left="860"/>
              <w:spacing w:after="0"/>
              <w:rPr>
                <w:sz w:val="20"/>
                <w:szCs w:val="20"/>
                <w:color w:val="auto"/>
              </w:rPr>
            </w:pPr>
            <w:r>
              <w:rPr>
                <w:rFonts w:ascii="Arial" w:cs="Arial" w:eastAsia="Arial" w:hAnsi="Arial"/>
                <w:sz w:val="18"/>
                <w:szCs w:val="18"/>
                <w:color w:val="auto"/>
              </w:rPr>
              <w:t>Total selling, general and administrative expense</w:t>
            </w:r>
          </w:p>
        </w:tc>
        <w:tc>
          <w:tcPr>
            <w:tcW w:w="15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323,623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20" w:right="20" w:hanging="512"/>
        <w:spacing w:after="0" w:line="297"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co-promotion fees and non-cash compensation charges for stock compensation, for the years ended December 31, 2019 and 2018 was $297.3 million and $164.3 million, respectively, an increase of $133.1 million, or 81%. This increase is due primarily to increased commercial and other promotional spend as well as costs for sales force expansion in preparation for the launch of Vascepa in early 2020 for the new indication and expanded label approved based on the REDUCE-IT results. Partially offsetting this increase is a payment of $2.0 million made in connection with the settlement agreement reached with Teva Pharmaceuticals USA, Inc. in May 2018.</w:t>
      </w:r>
    </w:p>
    <w:p>
      <w:pPr>
        <w:spacing w:after="0" w:line="9" w:lineRule="exact"/>
        <w:rPr>
          <w:rFonts w:ascii="Arial" w:cs="Arial" w:eastAsia="Arial" w:hAnsi="Arial"/>
          <w:sz w:val="16"/>
          <w:szCs w:val="16"/>
          <w:color w:val="auto"/>
        </w:rPr>
      </w:pPr>
    </w:p>
    <w:p>
      <w:pPr>
        <w:ind w:left="520" w:right="520" w:hanging="512"/>
        <w:spacing w:after="0" w:line="279"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were nil and $46.8 million in the years ended December 31, 2019 and 2018, respectively, a decrease of $46.8 million, or 100%. Amarin and Kowa Pharmaceuticals America, Inc. intentionally designed the co-promotion agreement to naturally end as of December 31, 2018 and mutually agreed not to renew the agreement.</w:t>
      </w:r>
    </w:p>
    <w:p>
      <w:pPr>
        <w:spacing w:after="0" w:line="20" w:lineRule="exact"/>
        <w:rPr>
          <w:rFonts w:ascii="Arial" w:cs="Arial" w:eastAsia="Arial" w:hAnsi="Arial"/>
          <w:sz w:val="18"/>
          <w:szCs w:val="18"/>
          <w:color w:val="auto"/>
        </w:rPr>
      </w:pPr>
    </w:p>
    <w:p>
      <w:pPr>
        <w:ind w:left="520" w:right="8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Non-cash stock-based compensation expense for the years ended December 31, 2019 and 2018 was $26.3 million and $15.9 million, respectively, an increase of $10.4 million, or 65%. Non-cash stock-based compensation expense represents the estimated costs associated with equity awards issued to internal personnel supporting our selling, general and administrative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6" w:name="page87"/>
    <w:bookmarkEnd w:id="86"/>
    <w:p>
      <w:pPr>
        <w:ind w:left="520" w:right="120"/>
        <w:spacing w:after="0" w:line="277" w:lineRule="auto"/>
        <w:rPr>
          <w:sz w:val="20"/>
          <w:szCs w:val="20"/>
          <w:color w:val="auto"/>
        </w:rPr>
      </w:pPr>
      <w:r>
        <w:rPr>
          <w:rFonts w:ascii="Arial" w:cs="Arial" w:eastAsia="Arial" w:hAnsi="Arial"/>
          <w:sz w:val="18"/>
          <w:szCs w:val="18"/>
          <w:color w:val="auto"/>
        </w:rPr>
        <w:t>functions. The increase is due primarily to an increase in the number of employees receiving equity awards as a result of the growth of our sales force and an increase in the underlying fair value of the equity awards resulting from the increase in the price of our stock.</w:t>
      </w:r>
    </w:p>
    <w:p>
      <w:pPr>
        <w:spacing w:after="0" w:line="15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anticipate our selling, general and administrative expenses to increase in 2020 as a result of increased promotional activities and direct to consumer promotion pertaining to the launch of Vascepa in early 2020 for the new indication and expanded label approved by FDA in December 2019, including increased costs associated with expanding the size of our sales force. In early 2019, we increased the size of our United States-based sales team to approximately 440 sales professionals, including approximately 400 sales representatives. We are close to completing the expansion of our United States-based direct sales force to approximately 900 sales professionals, including approximately 800 sales representatives. Hiring, training and deploying approximately 400 new sales representatives is expected to be completed in early 2020.</w:t>
      </w:r>
    </w:p>
    <w:p>
      <w:pPr>
        <w:spacing w:after="0" w:line="139"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years ended December 31, 2019 and 2018 was $34.4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$55.9 million, respectively, a decrease of $21.5 million, or 38%. Research and development expenses for the years ended December 31, 2019 and 2018 are summarized in the table below:</w:t>
      </w:r>
    </w:p>
    <w:p>
      <w:pPr>
        <w:spacing w:after="0" w:line="25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6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10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29,777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w:t>
            </w:r>
          </w:p>
        </w:tc>
        <w:tc>
          <w:tcPr>
            <w:tcW w:w="10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decrease in research and development expenses for the year ended December 31, 2019, as compared to the prior year period, is primarily due to timing of REDUCE-IT and related costs.</w:t>
      </w:r>
    </w:p>
    <w:p>
      <w:pPr>
        <w:spacing w:after="0" w:line="22" w:lineRule="exact"/>
        <w:rPr>
          <w:sz w:val="20"/>
          <w:szCs w:val="20"/>
          <w:color w:val="auto"/>
        </w:rPr>
      </w:pPr>
    </w:p>
    <w:p>
      <w:pPr>
        <w:ind w:left="900" w:right="40" w:hanging="379"/>
        <w:spacing w:after="0" w:line="284"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We managed the study through a contract research organization, or CRO, through which all costs for the conduct of this outcomes study were incurred with the exception of costs for clinical trial material, or CTM, and costs for internal management. The decrease in expenses is primarily driven by a decline in REDUCE-IT related costs after the successful REDUCE-IT results. Following the completion of the REDUCE-IT trial, costs consisted primarily of the clinical study’s wrap-up activities, regulatory support and publications.</w:t>
      </w:r>
    </w:p>
    <w:p>
      <w:pPr>
        <w:spacing w:after="0" w:line="18" w:lineRule="exact"/>
        <w:rPr>
          <w:rFonts w:ascii="Arial" w:cs="Arial" w:eastAsia="Arial" w:hAnsi="Arial"/>
          <w:sz w:val="17"/>
          <w:szCs w:val="17"/>
          <w:color w:val="auto"/>
        </w:rPr>
      </w:pPr>
    </w:p>
    <w:p>
      <w:pPr>
        <w:ind w:left="900" w:hanging="379"/>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regulatory filing fees in each of the years ended December 31, 2019 and 2018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32" w:lineRule="exact"/>
        <w:rPr>
          <w:rFonts w:ascii="Arial" w:cs="Arial" w:eastAsia="Arial" w:hAnsi="Arial"/>
          <w:sz w:val="18"/>
          <w:szCs w:val="18"/>
          <w:color w:val="auto"/>
        </w:rPr>
      </w:pPr>
    </w:p>
    <w:p>
      <w:pPr>
        <w:ind w:left="900" w:right="20" w:hanging="379"/>
        <w:spacing w:after="0" w:line="290"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The increase in costs is primarily driven by an increase in support of publishing results of the REDUCE-IT study and preparation for sNDA submission based on the result of the REDUCE-IT study and in support of the FDA review process which led to FDA approval in December 2019 of an expanded indication for Vascepa in the United States. Such costs also include costs for supporting Vascepa approval in December 2019 by Health Canada and submission of Vascepa for approval in the European Union. Partially offsetting this increase, is a non-refundable, non-creditable upfront payment made during the year ended December 31, 2018 of $2.7 million related to our strategic collaboration with Mochida Pharmaceutical Co., Ltd.</w:t>
      </w:r>
    </w:p>
    <w:p>
      <w:pPr>
        <w:spacing w:after="0" w:line="17" w:lineRule="exact"/>
        <w:rPr>
          <w:rFonts w:ascii="Arial" w:cs="Arial" w:eastAsia="Arial" w:hAnsi="Arial"/>
          <w:sz w:val="16"/>
          <w:szCs w:val="16"/>
          <w:color w:val="auto"/>
        </w:rPr>
      </w:pPr>
    </w:p>
    <w:p>
      <w:pPr>
        <w:ind w:left="900" w:right="60" w:hanging="379"/>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internal personnel supporting our research and development and regulatory functions.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7" w:name="page88"/>
    <w:bookmarkEnd w:id="87"/>
    <w:p>
      <w:pPr>
        <w:ind w:right="20" w:firstLine="518"/>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(expense) for the years ended December 31, 2019 and 2018 was income of $1.9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$7.8 million, respectively, an increase of $9.7 million, or 124%. Net interest income (expense) for the years ended December 31, 2019 and 2018 is summarized in the table below:</w:t>
      </w:r>
    </w:p>
    <w:p>
      <w:pPr>
        <w:spacing w:after="0" w:line="25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8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8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Amortization of debt discounts</w:t>
            </w:r>
          </w:p>
        </w:tc>
        <w:tc>
          <w:tcPr>
            <w:tcW w:w="11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8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Cash interest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(4,381)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8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interest expense</w:t>
            </w:r>
          </w:p>
        </w:tc>
        <w:tc>
          <w:tcPr>
            <w:tcW w:w="8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interest income (expense), net</w:t>
            </w:r>
          </w:p>
        </w:tc>
        <w:tc>
          <w:tcPr>
            <w:tcW w:w="82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20" w:right="2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which were fully exchanged and retired for equity in November 2018, for the years ended December 31, 2019 and 2018 was nil and $1.1 million, respectively.</w:t>
      </w:r>
    </w:p>
    <w:p>
      <w:pPr>
        <w:spacing w:after="0" w:line="21" w:lineRule="exact"/>
        <w:rPr>
          <w:rFonts w:ascii="Arial" w:cs="Arial" w:eastAsia="Arial" w:hAnsi="Arial"/>
          <w:sz w:val="18"/>
          <w:szCs w:val="18"/>
          <w:color w:val="auto"/>
        </w:rPr>
      </w:pPr>
    </w:p>
    <w:p>
      <w:pPr>
        <w:ind w:left="520" w:right="260" w:hanging="512"/>
        <w:spacing w:after="0" w:line="297"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Cash and non-cash interest expense related to the December 2012 royalty-bearing instrument for the years ended December 31, 2019 and 2018 was $6.0 million and $7.6 million, respectively. These amounts reflect the assumption that our Vascepa net revenue levels will not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9" w:lineRule="exact"/>
        <w:rPr>
          <w:rFonts w:ascii="Arial" w:cs="Arial" w:eastAsia="Arial" w:hAnsi="Arial"/>
          <w:sz w:val="16"/>
          <w:szCs w:val="16"/>
          <w:color w:val="auto"/>
        </w:rPr>
      </w:pPr>
    </w:p>
    <w:p>
      <w:pPr>
        <w:ind w:left="520" w:right="20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income for the years ended December 31, 2019 and 2018 was $8.5 million and $1.1 million, respectively. Interest income represents income earned on cash balances, which cash balances were on average higher in 2019 than in 2018.</w:t>
      </w:r>
    </w:p>
    <w:p>
      <w:pPr>
        <w:spacing w:after="0" w:line="116"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i w:val="1"/>
          <w:iCs w:val="1"/>
          <w:color w:val="auto"/>
        </w:rPr>
        <w:t>Other Expense, net</w:t>
      </w:r>
      <w:r>
        <w:rPr>
          <w:rFonts w:ascii="Arial" w:cs="Arial" w:eastAsia="Arial" w:hAnsi="Arial"/>
          <w:sz w:val="16"/>
          <w:szCs w:val="16"/>
          <w:color w:val="auto"/>
        </w:rPr>
        <w:t>. Other expense, net, for the year ended December 31, 2019 and 2018 was $0.1 million and $0.3 million, respectively. Other</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net, in the years ended December 31, 2019 and 2018 primarily consists of gains and losses on foreign exchange transactions.</w:t>
      </w:r>
    </w:p>
    <w:p>
      <w:pPr>
        <w:spacing w:after="0" w:line="70"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Provision for income taxes for the year ended December 31, 2019 and 2018 was $0.2 million and $0.1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provision for each year is the result of losses generated by our U.S. and non-U.S. operations for which no tax benefit has been recognized based on our position that deferred tax benefits are not more likely than not to be realized based on available evidence.</w:t>
      </w:r>
    </w:p>
    <w:p>
      <w:pPr>
        <w:spacing w:after="0" w:line="11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The provisions for income taxes for the years ended December 31, 2019 and 2018 include excess tax benefits of $17.2 million and $7.7 million, respectively, arising from share-based payments as a result of adopting ASU No. 2016-09,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which requires that excess tax benefits and deficiencies that arise upon vesting or exercise of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be recognized as an income tax benefit and expense in the income statement.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2018 and December 31, 2017</w:t>
      </w:r>
    </w:p>
    <w:p>
      <w:pPr>
        <w:spacing w:after="0" w:line="9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net product revenue of $228.4 million and $179.8 million during the years ended December 31,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$48.5 million, or 27%. This increase in revenue was driven primarily by an increase in estimated normalized total Vascepa prescriptions in the United States. Based on data provided by Symphony Health and IQVIA, estimated normalized total Vascepa prescriptions in the United States increased in 2018 by approximately 365,000 and 381,000, respectively, over the year ended December 31, 2017, representing growth of 25% and 27%, respectively.</w:t>
      </w:r>
    </w:p>
    <w:p>
      <w:pPr>
        <w:spacing w:after="0" w:line="134"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All of our product revenue in the years ended December 31, 2018 and 2017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88" w:name="page89"/>
    <w:bookmarkEnd w:id="88"/>
    <w:p>
      <w:pPr>
        <w:ind w:right="240" w:firstLine="518"/>
        <w:spacing w:after="0" w:line="272" w:lineRule="auto"/>
        <w:rPr>
          <w:sz w:val="20"/>
          <w:szCs w:val="20"/>
          <w:color w:val="auto"/>
        </w:rPr>
      </w:pPr>
      <w:r>
        <w:rPr>
          <w:rFonts w:ascii="Arial" w:cs="Arial" w:eastAsia="Arial" w:hAnsi="Arial"/>
          <w:sz w:val="17"/>
          <w:szCs w:val="17"/>
          <w:color w:val="auto"/>
        </w:rPr>
        <w:t>During the years ended December 31, 2018 and 2017, our net product revenue included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years ended December 31, 2018 and 2017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24"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1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i w:val="1"/>
          <w:iCs w:val="1"/>
          <w:color w:val="auto"/>
        </w:rPr>
        <w:t xml:space="preserve">Licensing Revenue. </w:t>
      </w:r>
      <w:r>
        <w:rPr>
          <w:rFonts w:ascii="Arial" w:cs="Arial" w:eastAsia="Arial" w:hAnsi="Arial"/>
          <w:sz w:val="17"/>
          <w:szCs w:val="17"/>
          <w:color w:val="auto"/>
        </w:rPr>
        <w:t>Licensing revenue during the years ended December 31, 2018 and 2017 was $0.8 million and $1.3 million, respectively, a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$0.4 million, or 34%. Licensing revenue relates to the recognition of amounts received in connection with a Vascepa licensing agreement for the China Territory, specifically a $15.0 million up-front payment received in February 2015 and a $1.0 million milestone payment achieved in March 2016, as well as recognition of amounts received in connection with a Vascepa licensing agreement for Canada, specifically a $5.0 million up-front payment which was received upon closing of the agreement in September 2017 and a $2.5 million milestone payment that was received following achievement of the REDUCE-IT trial primary endpoint in September 2018. 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w:t>
      </w:r>
    </w:p>
    <w:p>
      <w:pPr>
        <w:spacing w:after="0" w:line="125"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years ended December 31, 2018 and 2017 was $54.5 million and $45.0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$9.6 million, or 21%.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00"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API included in the calculation of the average cost of goods sold during the years ended December 31, 2018 and 2017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margin on product sales for the years ended December 31, 2018 and 2017 was 76% and 75%, respectively.</w:t>
      </w:r>
    </w:p>
    <w:p>
      <w:pPr>
        <w:spacing w:after="0" w:line="171" w:lineRule="exact"/>
        <w:rPr>
          <w:sz w:val="20"/>
          <w:szCs w:val="20"/>
          <w:color w:val="auto"/>
        </w:rPr>
      </w:pPr>
    </w:p>
    <w:p>
      <w:pPr>
        <w:jc w:val="both"/>
        <w:ind w:right="500" w:firstLine="518"/>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years ended December 31, 2018 and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$227.0 million and $134.5 million, respectively, an increase of $92.4 million, or 69%. Selling, general and administrative expenses for the years ended December 31, 2018 and 2017 are summarized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gridSpan w:val="3"/>
            <w:vMerge w:val="restart"/>
          </w:tcPr>
          <w:p>
            <w:pPr>
              <w:ind w:left="9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272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480" w:type="dxa"/>
            <w:vAlign w:val="bottom"/>
            <w:gridSpan w:val="3"/>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164,267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Co-promotion fees (2)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gridSpan w:val="3"/>
          </w:tcPr>
          <w:p>
            <w:pPr>
              <w:ind w:left="920"/>
              <w:spacing w:after="0"/>
              <w:rPr>
                <w:sz w:val="20"/>
                <w:szCs w:val="20"/>
                <w:color w:val="auto"/>
              </w:rPr>
            </w:pPr>
            <w:r>
              <w:rPr>
                <w:rFonts w:ascii="Arial" w:cs="Arial" w:eastAsia="Arial" w:hAnsi="Arial"/>
                <w:sz w:val="18"/>
                <w:szCs w:val="18"/>
                <w:color w:val="auto"/>
              </w:rPr>
              <w:t>Total selling, general and administrative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226,996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20" w:right="20" w:hanging="512"/>
        <w:spacing w:after="0" w:line="273"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Selling, general and administrative expense, excluding co-promotion fees and non-cash compensation charges for stock compensation, for the years ended December 31, 2018 and 2017 was $164.3 million and $100.2 million, respectively, an increase of $64.1 million, or 64%. This increase is due primarily to increased promotional activities, including commercial spend in preparation for successful REDUCE-IT results (announced on September 24, 2018) as well as costs for sales force expansion and other increased promotional activities following positive REDUCE-IT results. Incurred in 2018 and not incurred in 2017 were costs for direct to consumer activities of approximately $28 million, as well as payment of $2.0 million made in connection with the settlement agreement reached with Teva Pharmaceuticals USA, Inc. in May 2018.</w:t>
      </w:r>
    </w:p>
    <w:p>
      <w:pPr>
        <w:spacing w:after="0" w:line="43" w:lineRule="exact"/>
        <w:rPr>
          <w:rFonts w:ascii="Arial" w:cs="Arial" w:eastAsia="Arial" w:hAnsi="Arial"/>
          <w:sz w:val="17"/>
          <w:szCs w:val="17"/>
          <w:color w:val="auto"/>
        </w:rPr>
      </w:pPr>
    </w:p>
    <w:p>
      <w:pPr>
        <w:ind w:left="520" w:right="100" w:hanging="512"/>
        <w:spacing w:after="0" w:line="259"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were $46.8 million and $22.5 million in the years ended December 31, 2018 and 2017, respectively, an increase of $24.3 million, or 108%. The increase is due primarily to an accrual for co-promotion tail payments of $16.4 million in 2018 as well as an increase in gross margin on product sales, upon which the co-promotion fees are calculated for the twelve months ended December 31, 2018 compared to the same period in 2017.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89" w:name="page90"/>
    <w:bookmarkEnd w:id="89"/>
    <w:p>
      <w:pPr>
        <w:ind w:left="520" w:hanging="512"/>
        <w:spacing w:after="0" w:line="262"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Non-cash stock-based compensation expense for the years ended December 31, 2018 and 2017 was $15.9 million and $11.8 million, respectively, an increase of $4.1 million, or 34%. Non-cash stock-based compensation expense represents the estimated costs associated with equity awards issued to internal staff supporting our selling, general and administrative functions. The increase is due primarily to the determination in 2018 that certain performance awards are probable to be achieved following positive REDUCE-IT results, as well as an increase in the number of employees receiving equity awards as a result of the growth of our sales force and an increase in the underlying fair value of the equity awards resulting from the increase in the price of our stock.</w:t>
      </w:r>
    </w:p>
    <w:p>
      <w:pPr>
        <w:spacing w:after="0" w:line="130"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years ended December 31, 2018 and 2017 was $55.9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$47.2 million, respectively, an increase of $8.7 million, or 19%. Research and development expenses for the years ended December 31, 2018 and 2017 are summarized in the table below:</w:t>
      </w:r>
    </w:p>
    <w:p>
      <w:pPr>
        <w:spacing w:after="0" w:line="25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6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10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w:t>
            </w:r>
          </w:p>
        </w:tc>
        <w:tc>
          <w:tcPr>
            <w:tcW w:w="10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increase in research and development expenses for the year ended December 31, 2018, as compared to the prior year period, is primarily due to timing of REDUCE-IT and related costs.</w:t>
      </w:r>
    </w:p>
    <w:p>
      <w:pPr>
        <w:spacing w:after="0" w:line="22" w:lineRule="exact"/>
        <w:rPr>
          <w:sz w:val="20"/>
          <w:szCs w:val="20"/>
          <w:color w:val="auto"/>
        </w:rPr>
      </w:pPr>
    </w:p>
    <w:p>
      <w:pPr>
        <w:ind w:left="520" w:hanging="512"/>
        <w:spacing w:after="0" w:line="269"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In September 2018, we announced landmark positive topline results of the REDUCE-IT cardiovascular outcomes trial. The REDUCE-IT study met its primary endpoint demonstrating an approximately 25% relative risk reduction in composite of major adverse cardiovascular events with high statistical significance. This result was supported by robust demonstrations of efficacy across multiple secondary endpoints. The REDUCE-IT study results were further presented at the 2018 Scientific Sessions of the American Heart Association, or AHA, on November 10, 2018 and concurrently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We managed the study through a contract research organization, or CRO, through which all costs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of this outcomes study were incurred with the exception of costs for clinical trial material, or CTM, and costs for internal management. We expense costs for CTM when allocated to clinical research. For the years ended December 31, 2018 and 2017, we incurred expenses through our CRO in connection with this trial of approximately $29.1 million and $29.9 million, respectively. Inclusive of CTM costs, the combined CRO and CTM costs during the years ended December 31, 2018 and 2017 for REDUCE-IT were approximately $38.1 million and $34.9 million, respectively. Our internal personnel are responsible for managing multiple projects and their costs are not specifically allocated to REDUCE-IT or any other individual project. The increase in expenses in 2018 as compared to 2017 is primarily due to costs associated with last patient study visits and data collection and analysis related to the REDUCE-IT study.</w:t>
      </w:r>
    </w:p>
    <w:p>
      <w:pPr>
        <w:spacing w:after="0" w:line="31" w:lineRule="exact"/>
        <w:rPr>
          <w:rFonts w:ascii="Arial" w:cs="Arial" w:eastAsia="Arial" w:hAnsi="Arial"/>
          <w:sz w:val="17"/>
          <w:szCs w:val="17"/>
          <w:color w:val="auto"/>
        </w:rPr>
      </w:pPr>
    </w:p>
    <w:p>
      <w:pPr>
        <w:ind w:left="520" w:right="380" w:hanging="512"/>
        <w:spacing w:after="0" w:line="264"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regulatory filing fees in each of the years ended December 31, 2018 and 2017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32" w:lineRule="exact"/>
        <w:rPr>
          <w:rFonts w:ascii="Arial" w:cs="Arial" w:eastAsia="Arial" w:hAnsi="Arial"/>
          <w:sz w:val="18"/>
          <w:szCs w:val="18"/>
          <w:color w:val="auto"/>
        </w:rPr>
      </w:pPr>
    </w:p>
    <w:p>
      <w:pPr>
        <w:ind w:left="520" w:right="60" w:hanging="512"/>
        <w:spacing w:after="0" w:line="255"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These costs increased in 2018 compared to 2017 in support of publishing results of the REDUCE-IT study and preparing potential regulatory filings based on the results of the study. Other research and development expenses for the year ended December 31, 2018 include a non-refundable, non-creditable upfront payment of approximately $2.7 million related to our strategic collaboration with Mochida Pharmaceutical Co., Ltd.</w:t>
      </w:r>
    </w:p>
    <w:p>
      <w:pPr>
        <w:spacing w:after="0" w:line="44" w:lineRule="exact"/>
        <w:rPr>
          <w:rFonts w:ascii="Arial" w:cs="Arial" w:eastAsia="Arial" w:hAnsi="Arial"/>
          <w:sz w:val="18"/>
          <w:szCs w:val="18"/>
          <w:color w:val="auto"/>
        </w:rPr>
      </w:pPr>
    </w:p>
    <w:p>
      <w:pPr>
        <w:ind w:left="520" w:right="520" w:hanging="512"/>
        <w:spacing w:after="0" w:line="277"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internal staff supporting our research and development and regulatory functions.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0" w:name="page91"/>
    <w:bookmarkEnd w:id="90"/>
    <w:p>
      <w:pPr>
        <w:ind w:right="640" w:firstLine="518"/>
        <w:spacing w:after="0" w:line="34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for the years ended December 31, 2018 and 2017 was $7.8 million and $9.3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$1.5 million, or 9%. Net interest expense for the years ended December 31, 2018 and 2017 is summarized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gridSpan w:val="3"/>
            <w:vMerge w:val="restart"/>
          </w:tcPr>
          <w:p>
            <w:pPr>
              <w:ind w:left="860"/>
              <w:spacing w:after="0"/>
              <w:rPr>
                <w:sz w:val="20"/>
                <w:szCs w:val="20"/>
                <w:color w:val="auto"/>
              </w:rPr>
            </w:pPr>
            <w:r>
              <w:rPr>
                <w:rFonts w:ascii="Arial" w:cs="Arial" w:eastAsia="Arial" w:hAnsi="Arial"/>
                <w:sz w:val="14"/>
                <w:szCs w:val="14"/>
                <w:b w:val="1"/>
                <w:bCs w:val="1"/>
                <w:i w:val="1"/>
                <w:iCs w:val="1"/>
                <w:color w:val="auto"/>
              </w:rPr>
              <w:t>In thousands</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5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6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Amortization of debt discounts</w:t>
            </w:r>
          </w:p>
        </w:tc>
        <w:tc>
          <w:tcPr>
            <w:tcW w:w="9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6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ind w:left="860"/>
              <w:spacing w:after="0"/>
              <w:rPr>
                <w:sz w:val="20"/>
                <w:szCs w:val="20"/>
                <w:color w:val="auto"/>
              </w:rPr>
            </w:pPr>
            <w:r>
              <w:rPr>
                <w:rFonts w:ascii="Arial" w:cs="Arial" w:eastAsia="Arial" w:hAnsi="Arial"/>
                <w:sz w:val="18"/>
                <w:szCs w:val="18"/>
                <w:color w:val="auto"/>
              </w:rPr>
              <w:t>Total exchangeable senior notes interest expense</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Cash interest</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6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ind w:left="860"/>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7,643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6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ind w:left="860"/>
              <w:spacing w:after="0"/>
              <w:rPr>
                <w:sz w:val="20"/>
                <w:szCs w:val="20"/>
                <w:color w:val="auto"/>
              </w:rPr>
            </w:pPr>
            <w:r>
              <w:rPr>
                <w:rFonts w:ascii="Arial" w:cs="Arial" w:eastAsia="Arial" w:hAnsi="Arial"/>
                <w:sz w:val="18"/>
                <w:szCs w:val="18"/>
                <w:color w:val="auto"/>
              </w:rPr>
              <w:t>Total interest expense</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3"/>
        </w:trPr>
        <w:tc>
          <w:tcPr>
            <w:tcW w:w="6540" w:type="dxa"/>
            <w:vAlign w:val="bottom"/>
            <w:gridSpan w:val="3"/>
          </w:tcPr>
          <w:p>
            <w:pPr>
              <w:ind w:left="860"/>
              <w:spacing w:after="0"/>
              <w:rPr>
                <w:sz w:val="20"/>
                <w:szCs w:val="20"/>
                <w:color w:val="auto"/>
              </w:rPr>
            </w:pPr>
            <w:r>
              <w:rPr>
                <w:rFonts w:ascii="Arial" w:cs="Arial" w:eastAsia="Arial" w:hAnsi="Arial"/>
                <w:sz w:val="18"/>
                <w:szCs w:val="18"/>
                <w:color w:val="auto"/>
              </w:rPr>
              <w:t>Total interest expense, net</w:t>
            </w:r>
          </w:p>
        </w:tc>
        <w:tc>
          <w:tcPr>
            <w:tcW w:w="6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20" w:right="20" w:hanging="512"/>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which were fully exchanged and retired for equity in November 2018, for the years ended December 31, 2018 and 2017 was $1.1 million and $1.2 million, respectively.</w:t>
      </w:r>
    </w:p>
    <w:p>
      <w:pPr>
        <w:spacing w:after="0" w:line="35" w:lineRule="exact"/>
        <w:rPr>
          <w:rFonts w:ascii="Arial" w:cs="Arial" w:eastAsia="Arial" w:hAnsi="Arial"/>
          <w:sz w:val="18"/>
          <w:szCs w:val="18"/>
          <w:color w:val="auto"/>
        </w:rPr>
      </w:pPr>
    </w:p>
    <w:p>
      <w:pPr>
        <w:ind w:left="520" w:right="120" w:hanging="512"/>
        <w:spacing w:after="0" w:line="255"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years ended December 31, 2018 and 2017 was $7.6 million and $8.6 million, respectively. These amounts reflect the fact that our Vascepa net revenue levels have not been, and during these years were not assumed to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44"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 income for the years ended December 31, 2018 and 2017 was $1.1 million and $0.4 million, respectively. Interest income represents income earned on cash balances.</w:t>
      </w:r>
    </w:p>
    <w:p>
      <w:pPr>
        <w:spacing w:after="0" w:line="103"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net, for the year ended December 31, 2018 and 2017 was expense of $0.3 million and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of $0.1 million, respectively. Other (expense) income, net, in the years ended December 31, 2018 and 2017 primarily consists of gains and losses on foreign exchange transactions.</w:t>
      </w:r>
    </w:p>
    <w:p>
      <w:pPr>
        <w:spacing w:after="0" w:line="154"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Provision for income taxes for the year ended December 31, 2018 and 2017 was $0.1 million and $13.0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2018 provision is the result of losses generated by our U.S. and non-U.S. operations for which no tax benefit has been recognized based on our position that deferred tax benefits are not more likely than not to be realized based on available evidence. The 2017 provision recorded related entirely to the U.S. subsidiary operations. At the date of enactment of the Tax Cuts and Jobs Act, we had net deferred tax assets for the excess of the net tax value over the book basis of our U.S. assets and liabilities which will generate future tax deductions in excess of book expense. As a result of the Tax Cuts and Jobs Act, future tax deductions will result in a decreased reduction in tax expense. Consequently, we reduced the amount of the U.S. subsidiary’s net deferred tax assets as of the date of enactment and recorded a non-cash charge of $2.4 million in the provision for income taxes for the year ended December 31, 2017 due to the decrease in the U.S. corporate tax rate from 34% to 21%. In addition, based on our evaluation of the available evidence, we recognized non-cash tax expense during the year ended December 31, 2017 of $8.7 million related to the recording of additional valuation allowance to reduce the deferred tax assets on the balance sheet to zero as we concluded that it is not more likely than not that certain of the deferred tax benefits resulting from the deferred tax assets generated from the U.S. subsidiary operations will be realized.</w:t>
      </w:r>
    </w:p>
    <w:p>
      <w:pPr>
        <w:spacing w:after="0" w:line="1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The provisions for income taxes for the years ended December 31, 2018 and 2017 include excess tax benefits of $7.7 million and $1.3 million, respectively, arising from share-based payments as a result of adopting ASU No. 2016-09,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which requires that excess tax benefits and deficiencies that arise upon vesting or exercise of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be recognized as an income tax benefit and expense in the income statement.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Our sources of liquidity as of December 31, 2019 include cash and cash equivalents and restricted cash of $648.5 million. Our cash flows from operating, investing and financing activities, as reflected in the consolidated statements of cash flows, are summarized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(94.7)</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 and restricted cash</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Net cash used in operating activities during 2019 compared to 2018 decreased primarily as a result of higher collections due to an increase in product sales and a decrease in R&amp;D activities associated with the REDUCE-IT study, partially offset by increased costs of promotional activities following the successful REDUCE-IT study results, including costs associated with expanding the Company’s United States-based sales force.</w:t>
      </w:r>
    </w:p>
    <w:p>
      <w:pPr>
        <w:spacing w:after="0" w:line="111"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Net cash used in investing activities during 2019 is due to payments on the purchase of furniture, fixtures and equipment associated with the Company’s new office space in Bridgewater, NJ.</w:t>
      </w:r>
    </w:p>
    <w:p>
      <w:pPr>
        <w:spacing w:after="0" w:line="116"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Net cash provided by financing activities increased primarily due to completing a public offering of 22,222,223 ADS with each ADS representing one ordinary share at a price of $18.00 per ADS, $17.235 per ADS after commission, on July 18, 2019. In addition, we granted the underwriters a 30-day option to purchase up to an additional 3,333,333 ADS at the same price per ADS. On July 29, 2019, the underwriters exercised the full option. This public offering, including the exercised option, resulted in net proceeds of $440.1 million, after deducting customary commissions and offering expenses. In February 2018, we completed a public offering of 19,178,082 ADSs and, in March 2018, we issued an additional 1,438,356 ADSs upon the underwriter’s partial exercise of a 30-day option to purchase additional shares. The underwriter purchased the ADSs from us at a price of $3.41 per ADS after commission, resulting in net proceeds to us of approximately $70.0 million, after deducting customary commissions and offering expenses. In November 2018, we completed a public offering of 11,111,112 ADSs. The underwriters purchased the ADSs from us at a price of $17.575 per ADS after commission, resulting in net proceeds to us of approximately $194.8 million, after deducting customary commissions and offering expenses.</w:t>
      </w:r>
    </w:p>
    <w:p>
      <w:pPr>
        <w:spacing w:after="0" w:line="128"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 CPPIB. We have agreed to repay up to $150.0 million of future revenue and receivables. As of December 31, 2019, the net remaining amount to be repaid to CPPIB is $52.4 million, which will be repaid in quarterly installments calculated as 10% of quarterly Vascepa net revenues. We can prepay the net remaining amount at any time.</w:t>
      </w:r>
    </w:p>
    <w:p>
      <w:pPr>
        <w:spacing w:after="0" w:line="11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of December 31, 2019 and 2018, we have no exchangeable notes or term debt outstanding since, in October 2018, we exercised our optional exchange rights upon satisfaction of specified equity conditions set forth in the 3.5% exchangeable senior notes due 2047, or the 2017 Notes, to mandatorily exchange the entirety of the $30.0 million in aggregate principal amount outstanding into ADSs. This resulted in elimination of the debt and issuance of 7,716,046 ADSs. The 2017 Notes were issued and sold in January 2017 when we, through our wholly-owned subsidiary Corsicanto II DAC, or Corsicanto II, a private designated activity company incorporated under the laws of Ireland, entered into separate, privately negotiated purchase agreements with certain unrelated investors. The net proceeds we received from the January 2017 offering were approximately $28.8 million, after deducting placement agent fees and estimated offering expenses.</w:t>
      </w:r>
    </w:p>
    <w:p>
      <w:pPr>
        <w:spacing w:after="0" w:line="162" w:lineRule="exact"/>
        <w:rPr>
          <w:sz w:val="20"/>
          <w:szCs w:val="20"/>
          <w:color w:val="auto"/>
        </w:rPr>
      </w:pPr>
    </w:p>
    <w:p>
      <w:pPr>
        <w:ind w:right="240" w:firstLine="842"/>
        <w:spacing w:after="0" w:line="294" w:lineRule="auto"/>
        <w:rPr>
          <w:sz w:val="20"/>
          <w:szCs w:val="20"/>
          <w:color w:val="auto"/>
        </w:rPr>
      </w:pPr>
      <w:r>
        <w:rPr>
          <w:rFonts w:ascii="Arial" w:cs="Arial" w:eastAsia="Arial" w:hAnsi="Arial"/>
          <w:sz w:val="16"/>
          <w:szCs w:val="16"/>
          <w:color w:val="auto"/>
        </w:rPr>
        <w:t>As of December 31, 2019, we had net accounts receivable of $116.4 million and inventory of $76.8 million. We have incurred annual operating losses since our inception and, as a result, we had an accumulated deficit of $1.4 billion as of December 31, 2019. We anticipate that quarterly net cash outflows in future periods will continue to be variable as a result of the timing of certain items, including our purchases of API and expanded Vascepa promotional activities from approval by the FDA for the new indication and expanded label. We believe that our cash and cash equivalents of $644.6</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22"/>
          <w:szCs w:val="22"/>
          <w:color w:val="auto"/>
        </w:rPr>
        <w:t>million as of December 31, 2019, will be sufficient to fund our projected operations for at least twelve months and is adequate to achieve positive cash flow from the commercial launch of Vascepa based on our current plans.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2019 and the effects such obligations are expected to have on our liquidity and cash flows in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57"/>
              <w:spacing w:after="0"/>
              <w:rPr>
                <w:sz w:val="20"/>
                <w:szCs w:val="20"/>
                <w:color w:val="auto"/>
              </w:rPr>
            </w:pPr>
            <w:r>
              <w:rPr>
                <w:rFonts w:ascii="Arial" w:cs="Arial" w:eastAsia="Arial" w:hAnsi="Arial"/>
                <w:sz w:val="14"/>
                <w:szCs w:val="14"/>
                <w:b w:val="1"/>
                <w:bCs w:val="1"/>
                <w:color w:val="auto"/>
              </w:rPr>
              <w:t>2021 to</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2023 to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Contractual obligations:</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260"/>
              <w:spacing w:after="0"/>
              <w:rPr>
                <w:sz w:val="20"/>
                <w:szCs w:val="20"/>
                <w:color w:val="auto"/>
              </w:rPr>
            </w:pPr>
            <w:r>
              <w:rPr>
                <w:rFonts w:ascii="Arial" w:cs="Arial" w:eastAsia="Arial" w:hAnsi="Arial"/>
                <w:sz w:val="18"/>
                <w:szCs w:val="18"/>
                <w:color w:val="auto"/>
              </w:rPr>
              <w:t>Purchase obligations (1)</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192.4</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117.0</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obligations (2)</w:t>
            </w:r>
          </w:p>
        </w:tc>
        <w:tc>
          <w:tcPr>
            <w:tcW w:w="10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ind w:left="260"/>
              <w:spacing w:after="0"/>
              <w:rPr>
                <w:sz w:val="20"/>
                <w:szCs w:val="20"/>
                <w:color w:val="auto"/>
              </w:rPr>
            </w:pPr>
            <w:r>
              <w:rPr>
                <w:rFonts w:ascii="Arial" w:cs="Arial" w:eastAsia="Arial" w:hAnsi="Arial"/>
                <w:sz w:val="18"/>
                <w:szCs w:val="18"/>
                <w:color w:val="auto"/>
              </w:rPr>
              <w:t>Total contractual cash obligations</w:t>
            </w:r>
          </w:p>
        </w:tc>
        <w:tc>
          <w:tcPr>
            <w:tcW w:w="10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4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20" w:right="120" w:hanging="512"/>
        <w:spacing w:after="0" w:line="286"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agreements with certain supply chain contracting parties contain minimum annual purchase levels to enable us to maintain certain supply exclusivity and also contain a provision that any shortfall in the minimum purchase commitments is payable in cash. Each such supplier is required to meet certain performance obligations and the agreements may be terminated by us in the event of non-performance.</w:t>
      </w:r>
    </w:p>
    <w:p>
      <w:pPr>
        <w:spacing w:after="0" w:line="30" w:lineRule="exact"/>
        <w:rPr>
          <w:rFonts w:ascii="Arial" w:cs="Arial" w:eastAsia="Arial" w:hAnsi="Arial"/>
          <w:sz w:val="17"/>
          <w:szCs w:val="17"/>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and Bridgewater, NJ.</w:t>
      </w:r>
    </w:p>
    <w:p>
      <w:pPr>
        <w:spacing w:after="0" w:line="19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of December 31, 2019, we had certain marketing commitments, consisting of communication costs related to our direct-to-consumer activities, totaling approximately $19.9 million.</w:t>
      </w:r>
    </w:p>
    <w:p>
      <w:pPr>
        <w:spacing w:after="0" w:line="116"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Under the terms of the agreement with CPPIB, as successor in interest to BioPharma, we agreed to repay up to $150.0 million of future revenue and receivables. As of December 31, 2019, the net remaining amount to be repaid is $52.4 million, which will be repaid in quarterly installments calculated as 10% of quarterly Vascepa net revenues. We can prepay the net remaining amount at any time.</w:t>
      </w:r>
    </w:p>
    <w:p>
      <w:pPr>
        <w:spacing w:after="0" w:line="154" w:lineRule="exact"/>
        <w:rPr>
          <w:sz w:val="20"/>
          <w:szCs w:val="20"/>
          <w:color w:val="auto"/>
        </w:rPr>
      </w:pPr>
    </w:p>
    <w:p>
      <w:pPr>
        <w:jc w:val="both"/>
        <w:ind w:right="120" w:firstLine="518"/>
        <w:spacing w:after="0" w:line="288" w:lineRule="auto"/>
        <w:rPr>
          <w:sz w:val="20"/>
          <w:szCs w:val="20"/>
          <w:color w:val="auto"/>
        </w:rPr>
      </w:pPr>
      <w:r>
        <w:rPr>
          <w:rFonts w:ascii="Arial" w:cs="Arial" w:eastAsia="Arial" w:hAnsi="Arial"/>
          <w:sz w:val="16"/>
          <w:szCs w:val="16"/>
          <w:color w:val="auto"/>
        </w:rPr>
        <w:t>Under the 2004 share repurchase agreement with Laxdale Limited, or Laxdale,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w:t>
      </w:r>
    </w:p>
    <w:p>
      <w:pPr>
        <w:jc w:val="both"/>
        <w:ind w:right="60"/>
        <w:spacing w:after="0" w:line="271" w:lineRule="auto"/>
        <w:rPr>
          <w:sz w:val="20"/>
          <w:szCs w:val="20"/>
          <w:color w:val="auto"/>
        </w:rPr>
      </w:pPr>
      <w:r>
        <w:rPr>
          <w:rFonts w:ascii="Arial" w:cs="Arial" w:eastAsia="Arial" w:hAnsi="Arial"/>
          <w:sz w:val="18"/>
          <w:szCs w:val="18"/>
          <w:color w:val="auto"/>
        </w:rPr>
        <w:t>$9.9 million as of December 31, 2019). Additionally, upon receipt of a marketing approval in Europe for a further indication of Vascepa (or further indication of any other product using Amarin Neuroscience Limited intellectual property), we must make an aggregate stock or cash payment (at the sole option of each of the sellers) of £5 million (approximately $6.6 million as of December 31, 2019) .</w:t>
      </w:r>
    </w:p>
    <w:p>
      <w:pPr>
        <w:spacing w:after="0" w:line="12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do not enter into financial instruments for trading or speculative purposes. As of December 31, 2019 and 2018, we had no outstanding forward exchange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8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We are exposed to market risks, which include changes in interest rates. We do not use derivative financial instruments in our investment portfolio, and we do not enter into foreign exchange contracts. Our investments meet high credit quality and diversification standards, as specified in our investment policy.</w:t>
      </w:r>
    </w:p>
    <w:p>
      <w:pPr>
        <w:spacing w:after="0" w:line="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Our results of operations and cash flows are subject to fluctuations due to changes in the Euro, Sterling and Yen.</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of cash and cash equivalents and the majority of our vendor relationships are denominated in U.S. dollars. We therefore believe that the risk of a significant impact on our operating income from foreign currency fluctuations is not substantial. From time to time, we maintain a small amount of our cash and cash equivalents in Euro and Pound Sterling. We purchase a portion of our supply from Novasep based on a U.S. dollar to Euro exchange rate and, as such, remain subject to currency fluctuation risk for such purchases.</w:t>
      </w:r>
    </w:p>
    <w:p>
      <w:pPr>
        <w:spacing w:after="0" w:line="134"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believe that we are not exposed to significant interest rate risk through market value fluctuations of balance sheet items (i.e.,</w:t>
      </w:r>
      <w:r>
        <w:rPr>
          <w:rFonts w:ascii="Arial" w:cs="Arial" w:eastAsia="Arial" w:hAnsi="Arial"/>
          <w:sz w:val="18"/>
          <w:szCs w:val="18"/>
          <w:i w:val="1"/>
          <w:iCs w:val="1"/>
          <w:color w:val="auto"/>
        </w:rPr>
        <w:t xml:space="preserve"> </w:t>
      </w:r>
      <w:r>
        <w:rPr>
          <w:rFonts w:ascii="Arial" w:cs="Arial" w:eastAsia="Arial" w:hAnsi="Arial"/>
          <w:sz w:val="18"/>
          <w:szCs w:val="18"/>
          <w:color w:val="auto"/>
        </w:rPr>
        <w:t>price risk) or through changes in interest income or expenses (i.e., re-financing or re-investment risk). Interest rate risk mainly arises through interest bearing liabilities and assets. We invest funds not needed for near-term operating expenses in diversified short-term investments, consisting primarily of investment grade securities. As of December 31, 2019, the fair value of our cash and cash equivalents maturing in one year or less was $644.6 million and represented 100% of our cash, cash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3" w:name="page94"/>
    <w:bookmarkEnd w:id="93"/>
    <w:p>
      <w:pPr>
        <w:ind w:right="40"/>
        <w:spacing w:after="0" w:line="277" w:lineRule="auto"/>
        <w:rPr>
          <w:sz w:val="20"/>
          <w:szCs w:val="20"/>
          <w:color w:val="auto"/>
        </w:rPr>
      </w:pPr>
      <w:r>
        <w:rPr>
          <w:rFonts w:ascii="Arial" w:cs="Arial" w:eastAsia="Arial" w:hAnsi="Arial"/>
          <w:sz w:val="18"/>
          <w:szCs w:val="18"/>
          <w:color w:val="auto"/>
        </w:rPr>
        <w:t>equivalents and investment portfolio. A hypothetical 50 basis point change in interest rates would not result in a material decrease or increase in the fair value of our securities due to the general short-term nature of our investment portfolio.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financial statements are annexed to this report beginning on page F-1.</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or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17"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As of December 31, 2019, or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8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our company. Internal control over financial reporting is defined in Rules 13a-15(f) and 15(d)-15(f) promulgated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4" w:lineRule="exact"/>
        <w:rPr>
          <w:sz w:val="20"/>
          <w:szCs w:val="20"/>
          <w:color w:val="auto"/>
        </w:rPr>
      </w:pPr>
    </w:p>
    <w:p>
      <w:pPr>
        <w:ind w:left="1020" w:hanging="377"/>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 of our assets;</w:t>
      </w:r>
    </w:p>
    <w:p>
      <w:pPr>
        <w:spacing w:after="0" w:line="88" w:lineRule="exact"/>
        <w:rPr>
          <w:rFonts w:ascii="Arial" w:cs="Arial" w:eastAsia="Arial" w:hAnsi="Arial"/>
          <w:sz w:val="17"/>
          <w:szCs w:val="17"/>
          <w:color w:val="auto"/>
        </w:rPr>
      </w:pPr>
    </w:p>
    <w:p>
      <w:pPr>
        <w:ind w:left="1020" w:right="540" w:hanging="377"/>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21" w:lineRule="exact"/>
        <w:rPr>
          <w:rFonts w:ascii="Arial" w:cs="Arial" w:eastAsia="Arial" w:hAnsi="Arial"/>
          <w:sz w:val="18"/>
          <w:szCs w:val="18"/>
          <w:color w:val="auto"/>
        </w:rPr>
      </w:pPr>
    </w:p>
    <w:p>
      <w:pPr>
        <w:ind w:left="1020" w:right="160" w:hanging="377"/>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that our receipts and expenditures are being made only in accordance with authorization of our management and directors; and</w:t>
      </w:r>
    </w:p>
    <w:p>
      <w:pPr>
        <w:spacing w:after="0" w:line="21" w:lineRule="exact"/>
        <w:rPr>
          <w:rFonts w:ascii="Arial" w:cs="Arial" w:eastAsia="Arial" w:hAnsi="Arial"/>
          <w:sz w:val="18"/>
          <w:szCs w:val="18"/>
          <w:color w:val="auto"/>
        </w:rPr>
      </w:pPr>
    </w:p>
    <w:p>
      <w:pPr>
        <w:ind w:left="1020" w:right="220" w:hanging="377"/>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6"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 xml:space="preserve">Our management, including our Principal Executive Officer and Principal Financial Officer, has conducted an evaluation of the effectiveness of our internal control over financial reporting as of December 31, 2019. In conducting this evaluation, we used the criteria set forth by the Committee of Sponsoring Organizations of the Treadway Commission, or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w:t>
      </w:r>
    </w:p>
    <w:p>
      <w:pPr>
        <w:spacing w:after="0" w:line="12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Based upon this evaluation and those criteria, management believes that, as of December 31, 2019, our internal controls over financial reporting were effective.</w:t>
      </w:r>
    </w:p>
    <w:p>
      <w:pPr>
        <w:spacing w:after="0" w:line="116"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Ernst &amp; Young LLP, our independent registered public accounting firm, has audited our consolidated financial statements and the effectiveness of our internal control over financial reporting as of December 31, 2019. This report appears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2019 that have materially affected, or are reasonably likely to materially affect, our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Amarin Corporation plc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Amarin Corporation plc’s internal control over financial reporting as of December 31, 2019, based on criteria established in Internal Control —Integrated Framework issued by the Committee of Sponsoring Organizations of the Treadway Commission (2013 framework) (the COSO criteria). In our opinion, Amarin Corporation plc (the Company) maintained, in all material respects, effective internal control over financial reporting as of December 31, 2019, based on the COSO criteria</w:t>
      </w:r>
      <w:r>
        <w:rPr>
          <w:rFonts w:ascii="Arial" w:cs="Arial" w:eastAsia="Arial" w:hAnsi="Arial"/>
          <w:sz w:val="18"/>
          <w:szCs w:val="18"/>
          <w:b w:val="1"/>
          <w:bCs w:val="1"/>
          <w:color w:val="auto"/>
        </w:rPr>
        <w: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operations, stockholders’ deficit and cash flows for each of the three years in the period ended December 31, 2019, and the related notes and our report dated February 25,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5" w:name="page96"/>
    <w:bookmarkEnd w:id="95"/>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Rule 10b5-1 Trading Plans</w:t>
      </w:r>
    </w:p>
    <w:p>
      <w:pPr>
        <w:spacing w:after="0" w:line="94"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policy governing transactions in our securities by our directors, officers and employees permits our officers, directors and certain other persons to enter into trading plans complying with Rule 10b5-1 under the Securities Exchange Act of 1934, as amended. Consistent with such regulation, our policy permits such plans to be entered into only when that person confirms they are not in possession of material non-public information. Our policy also requires a waiting period after a trading plan is created before shares can be traded under the plan. Our open trading windows are established in consultation with legal counsel. We have been from time to time advised that a number of our directors and employees, including members of our senior management team, and investment funds associated with such persons, have entered into trading plans in accordance with Rule 10b5-1 and our policy governing transactions in our securities. It is not our policy to publicly disclose the terms of these private trading plans. We undertake no obligation to update or revise the information provided herein, including for revision or termination of an established trading plan.</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96" w:name="page97"/>
    <w:bookmarkEnd w:id="96"/>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2020 Annual General Meeting of Shareholders. Such information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Any waivers from or amendments to the code will be filed with the SEC on Form 8-K. You may also request a printed copy of the code, without charge, by writing to us at Amarin Pharma, Inc., 440 Route 22, Bridgewater, NJ 08807, Attention: Investor Relations.</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2020 Annual General Meeting of Shareholders. Such information is incorporated herein by reference.</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2020 Annual General Meeting of Shareholders. Such information is incorporated herein by reference.</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2020 Annual General Meeting of Shareholders. Such information is incorporated herein by reference.</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2020 Annual General Meeting of Shareholders. Such information is incorporated herein by reference.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7" w:name="page98"/>
    <w:bookmarkEnd w:id="97"/>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4140" w:type="dxa"/>
            <w:vAlign w:val="bottom"/>
            <w:gridSpan w:val="24"/>
          </w:tcPr>
          <w:p>
            <w:pPr>
              <w:ind w:left="1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352"/>
        </w:trPr>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1"/>
        </w:trPr>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8"/>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50"/>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4000" w:type="dxa"/>
            <w:vAlign w:val="bottom"/>
            <w:gridSpan w:val="23"/>
          </w:tcPr>
          <w:p>
            <w:pPr>
              <w:spacing w:after="0"/>
              <w:rPr>
                <w:rFonts w:ascii="Arial" w:cs="Arial" w:eastAsia="Arial" w:hAnsi="Arial"/>
                <w:sz w:val="18"/>
                <w:szCs w:val="18"/>
                <w:color w:val="0000EE"/>
              </w:rPr>
            </w:pPr>
            <w:hyperlink r:id="rId116">
              <w:r>
                <w:rPr>
                  <w:rFonts w:ascii="Arial" w:cs="Arial" w:eastAsia="Arial" w:hAnsi="Arial"/>
                  <w:sz w:val="18"/>
                  <w:szCs w:val="18"/>
                  <w:color w:val="0000EE"/>
                </w:rPr>
                <w:t>Articles of Association of the Company</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800" w:type="dxa"/>
            <w:vAlign w:val="bottom"/>
            <w:tcBorders>
              <w:bottom w:val="single" w:sz="8" w:color="0000EE"/>
            </w:tcBorders>
            <w:gridSpan w:val="19"/>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Form of Amended and Restated Deposit Agreement,</w:t>
              </w:r>
            </w:hyperlink>
          </w:p>
        </w:tc>
        <w:tc>
          <w:tcPr>
            <w:tcW w:w="20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3"/>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dated as of November 4, 2011, among the Company,</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Citibank, N.A., as Depositary, and all holders from</w:t>
              </w:r>
            </w:hyperlink>
          </w:p>
        </w:tc>
        <w:tc>
          <w:tcPr>
            <w:tcW w:w="100" w:type="dxa"/>
            <w:vAlign w:val="bottom"/>
            <w:tcBorders>
              <w:top w:val="single" w:sz="8" w:color="0000EE"/>
            </w:tcBorders>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time to time of American Depositary Receipts issued</w:t>
              </w:r>
            </w:hyperlink>
          </w:p>
        </w:tc>
        <w:tc>
          <w:tcPr>
            <w:tcW w:w="1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17">
              <w:r>
                <w:rPr>
                  <w:rFonts w:ascii="Arial" w:cs="Arial" w:eastAsia="Arial" w:hAnsi="Arial"/>
                  <w:sz w:val="18"/>
                  <w:szCs w:val="18"/>
                  <w:color w:val="0000EE"/>
                  <w:w w:val="87"/>
                </w:rPr>
                <w:t>thereunder</w:t>
              </w:r>
            </w:hyperlink>
          </w:p>
        </w:tc>
        <w:tc>
          <w:tcPr>
            <w:tcW w:w="3220" w:type="dxa"/>
            <w:vAlign w:val="bottom"/>
            <w:gridSpan w:val="19"/>
          </w:tcPr>
          <w:p>
            <w:pPr>
              <w:spacing w:after="0"/>
              <w:rPr>
                <w:sz w:val="17"/>
                <w:szCs w:val="17"/>
                <w:color w:val="auto"/>
              </w:rPr>
            </w:pPr>
          </w:p>
        </w:tc>
      </w:tr>
      <w:tr>
        <w:trPr>
          <w:trHeight w:val="304"/>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000" w:type="dxa"/>
            <w:vAlign w:val="bottom"/>
            <w:gridSpan w:val="23"/>
          </w:tcPr>
          <w:p>
            <w:pPr>
              <w:spacing w:after="0"/>
              <w:rPr>
                <w:rFonts w:ascii="Arial" w:cs="Arial" w:eastAsia="Arial" w:hAnsi="Arial"/>
                <w:sz w:val="18"/>
                <w:szCs w:val="18"/>
                <w:color w:val="0000EE"/>
              </w:rPr>
            </w:pPr>
            <w:hyperlink r:id="rId118">
              <w:r>
                <w:rPr>
                  <w:rFonts w:ascii="Arial" w:cs="Arial" w:eastAsia="Arial" w:hAnsi="Arial"/>
                  <w:sz w:val="18"/>
                  <w:szCs w:val="18"/>
                  <w:color w:val="0000EE"/>
                </w:rPr>
                <w:t>Form of Ordinary Share certificate</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4000" w:type="dxa"/>
            <w:vAlign w:val="bottom"/>
            <w:gridSpan w:val="23"/>
          </w:tcPr>
          <w:p>
            <w:pPr>
              <w:spacing w:after="0"/>
              <w:rPr>
                <w:rFonts w:ascii="Arial" w:cs="Arial" w:eastAsia="Arial" w:hAnsi="Arial"/>
                <w:sz w:val="18"/>
                <w:szCs w:val="18"/>
                <w:color w:val="0000EE"/>
              </w:rPr>
            </w:pPr>
            <w:hyperlink r:id="rId119">
              <w:r>
                <w:rPr>
                  <w:rFonts w:ascii="Arial" w:cs="Arial" w:eastAsia="Arial" w:hAnsi="Arial"/>
                  <w:sz w:val="18"/>
                  <w:szCs w:val="18"/>
                  <w:color w:val="0000EE"/>
                </w:rPr>
                <w:t>Form of American Depositary Receipt evidencing</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ADSs</w:t>
              </w:r>
            </w:hyperlink>
          </w:p>
        </w:tc>
        <w:tc>
          <w:tcPr>
            <w:tcW w:w="3160" w:type="dxa"/>
            <w:vAlign w:val="bottom"/>
            <w:tcBorders>
              <w:top w:val="single" w:sz="8" w:color="0000EE"/>
            </w:tcBorders>
            <w:gridSpan w:val="13"/>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304"/>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4000" w:type="dxa"/>
            <w:vAlign w:val="bottom"/>
            <w:gridSpan w:val="23"/>
          </w:tcPr>
          <w:p>
            <w:pPr>
              <w:spacing w:after="0"/>
              <w:rPr>
                <w:rFonts w:ascii="Arial" w:cs="Arial" w:eastAsia="Arial" w:hAnsi="Arial"/>
                <w:sz w:val="18"/>
                <w:szCs w:val="18"/>
                <w:color w:val="0000EE"/>
              </w:rPr>
            </w:pPr>
            <w:hyperlink r:id="rId120">
              <w:r>
                <w:rPr>
                  <w:rFonts w:ascii="Arial" w:cs="Arial" w:eastAsia="Arial" w:hAnsi="Arial"/>
                  <w:sz w:val="18"/>
                  <w:szCs w:val="18"/>
                  <w:color w:val="0000EE"/>
                </w:rPr>
                <w:t>Form of Series A Preference Share Terms</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4000" w:type="dxa"/>
            <w:vAlign w:val="bottom"/>
            <w:gridSpan w:val="23"/>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Preferred Share Deposit Agreement by and among the</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Company, Citibank, N.A., as depositary, and all</w:t>
              </w:r>
            </w:hyperlink>
          </w:p>
        </w:tc>
        <w:tc>
          <w:tcPr>
            <w:tcW w:w="460" w:type="dxa"/>
            <w:vAlign w:val="bottom"/>
            <w:tcBorders>
              <w:top w:val="single" w:sz="8" w:color="0000EE"/>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3"/>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holders and beneficial owners of restricted ADSs</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issued thereunder</w:t>
              </w:r>
            </w:hyperlink>
          </w:p>
        </w:tc>
        <w:tc>
          <w:tcPr>
            <w:tcW w:w="46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4000" w:type="dxa"/>
            <w:vAlign w:val="bottom"/>
            <w:gridSpan w:val="23"/>
          </w:tcPr>
          <w:p>
            <w:pPr>
              <w:spacing w:after="0"/>
              <w:rPr>
                <w:rFonts w:ascii="Arial" w:cs="Arial" w:eastAsia="Arial" w:hAnsi="Arial"/>
                <w:sz w:val="18"/>
                <w:szCs w:val="18"/>
                <w:color w:val="0000EE"/>
              </w:rPr>
            </w:pPr>
            <w:hyperlink r:id="rId121">
              <w:r>
                <w:rPr>
                  <w:rFonts w:ascii="Arial" w:cs="Arial" w:eastAsia="Arial" w:hAnsi="Arial"/>
                  <w:sz w:val="18"/>
                  <w:szCs w:val="18"/>
                  <w:color w:val="0000EE"/>
                </w:rPr>
                <w:t>Form of American Depositary Receipt evidencing</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restricted ADSs representing Series A Preference</w:t>
              </w:r>
            </w:hyperlink>
          </w:p>
        </w:tc>
        <w:tc>
          <w:tcPr>
            <w:tcW w:w="40" w:type="dxa"/>
            <w:vAlign w:val="bottom"/>
            <w:tcBorders>
              <w:top w:val="single" w:sz="8" w:color="0000EE"/>
            </w:tcBorders>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3"/>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Shares</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27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41">
              <w:r>
                <w:rPr>
                  <w:rFonts w:ascii="Arial" w:cs="Arial" w:eastAsia="Arial" w:hAnsi="Arial"/>
                  <w:sz w:val="18"/>
                  <w:szCs w:val="18"/>
                  <w:color w:val="0000EE"/>
                  <w:w w:val="91"/>
                </w:rPr>
                <w:t>Description of Registrant’s Securities</w:t>
              </w:r>
            </w:hyperlink>
          </w:p>
        </w:tc>
        <w:tc>
          <w:tcPr>
            <w:tcW w:w="1300" w:type="dxa"/>
            <w:vAlign w:val="bottom"/>
            <w:gridSpan w:val="16"/>
          </w:tcPr>
          <w:p>
            <w:pPr>
              <w:spacing w:after="0"/>
              <w:rPr>
                <w:sz w:val="24"/>
                <w:szCs w:val="24"/>
                <w:color w:val="auto"/>
              </w:rPr>
            </w:pPr>
          </w:p>
        </w:tc>
      </w:tr>
      <w:tr>
        <w:trPr>
          <w:trHeight w:val="331"/>
        </w:trPr>
        <w:tc>
          <w:tcPr>
            <w:tcW w:w="1040" w:type="dxa"/>
            <w:vAlign w:val="bottom"/>
          </w:tcPr>
          <w:p>
            <w:pPr>
              <w:jc w:val="right"/>
              <w:ind w:right="632"/>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24"/>
                <w:szCs w:val="24"/>
                <w:color w:val="auto"/>
              </w:rPr>
            </w:pPr>
          </w:p>
        </w:tc>
        <w:tc>
          <w:tcPr>
            <w:tcW w:w="2900" w:type="dxa"/>
            <w:vAlign w:val="bottom"/>
            <w:tcBorders>
              <w:bottom w:val="single" w:sz="8" w:color="0000EE"/>
            </w:tcBorders>
            <w:gridSpan w:val="10"/>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The Company 2002 Stock Option Plan*</w:t>
              </w:r>
            </w:hyperlink>
          </w:p>
        </w:tc>
        <w:tc>
          <w:tcPr>
            <w:tcW w:w="1100" w:type="dxa"/>
            <w:vAlign w:val="bottom"/>
            <w:gridSpan w:val="13"/>
          </w:tcPr>
          <w:p>
            <w:pPr>
              <w:spacing w:after="0"/>
              <w:rPr>
                <w:sz w:val="24"/>
                <w:szCs w:val="24"/>
                <w:color w:val="auto"/>
              </w:rPr>
            </w:pPr>
          </w:p>
        </w:tc>
      </w:tr>
      <w:tr>
        <w:trPr>
          <w:trHeight w:val="520"/>
        </w:trPr>
        <w:tc>
          <w:tcPr>
            <w:tcW w:w="1040" w:type="dxa"/>
            <w:vAlign w:val="bottom"/>
          </w:tcPr>
          <w:p>
            <w:pPr>
              <w:jc w:val="right"/>
              <w:ind w:right="632"/>
              <w:spacing w:after="0"/>
              <w:rPr>
                <w:sz w:val="20"/>
                <w:szCs w:val="20"/>
                <w:color w:val="auto"/>
              </w:rPr>
            </w:pPr>
            <w:r>
              <w:rPr>
                <w:rFonts w:ascii="Arial" w:cs="Arial" w:eastAsia="Arial" w:hAnsi="Arial"/>
                <w:sz w:val="18"/>
                <w:szCs w:val="18"/>
                <w:color w:val="auto"/>
                <w:w w:val="85"/>
              </w:rPr>
              <w:t>10.2</w:t>
            </w:r>
          </w:p>
        </w:tc>
        <w:tc>
          <w:tcPr>
            <w:tcW w:w="140" w:type="dxa"/>
            <w:vAlign w:val="bottom"/>
          </w:tcPr>
          <w:p>
            <w:pPr>
              <w:spacing w:after="0"/>
              <w:rPr>
                <w:sz w:val="24"/>
                <w:szCs w:val="24"/>
                <w:color w:val="auto"/>
              </w:rPr>
            </w:pPr>
          </w:p>
        </w:tc>
        <w:tc>
          <w:tcPr>
            <w:tcW w:w="4000" w:type="dxa"/>
            <w:vAlign w:val="bottom"/>
            <w:gridSpan w:val="23"/>
          </w:tcPr>
          <w:p>
            <w:pPr>
              <w:spacing w:after="0"/>
              <w:rPr>
                <w:rFonts w:ascii="Arial" w:cs="Arial" w:eastAsia="Arial" w:hAnsi="Arial"/>
                <w:sz w:val="18"/>
                <w:szCs w:val="18"/>
                <w:color w:val="0000EE"/>
              </w:rPr>
            </w:pPr>
            <w:hyperlink r:id="rId123">
              <w:r>
                <w:rPr>
                  <w:rFonts w:ascii="Arial" w:cs="Arial" w:eastAsia="Arial" w:hAnsi="Arial"/>
                  <w:sz w:val="18"/>
                  <w:szCs w:val="18"/>
                  <w:color w:val="0000EE"/>
                </w:rPr>
                <w:t>The Company 2011 Stock Option Plan*</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60" w:type="dxa"/>
            <w:vAlign w:val="bottom"/>
            <w:gridSpan w:val="8"/>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040" w:type="dxa"/>
            <w:vAlign w:val="bottom"/>
          </w:tcPr>
          <w:p>
            <w:pPr>
              <w:jc w:val="right"/>
              <w:ind w:right="632"/>
              <w:spacing w:after="0"/>
              <w:rPr>
                <w:sz w:val="20"/>
                <w:szCs w:val="20"/>
                <w:color w:val="auto"/>
              </w:rPr>
            </w:pPr>
            <w:r>
              <w:rPr>
                <w:rFonts w:ascii="Arial" w:cs="Arial" w:eastAsia="Arial" w:hAnsi="Arial"/>
                <w:sz w:val="18"/>
                <w:szCs w:val="18"/>
                <w:color w:val="auto"/>
                <w:w w:val="85"/>
              </w:rPr>
              <w:t>10.3</w:t>
            </w:r>
          </w:p>
        </w:tc>
        <w:tc>
          <w:tcPr>
            <w:tcW w:w="140" w:type="dxa"/>
            <w:vAlign w:val="bottom"/>
          </w:tcPr>
          <w:p>
            <w:pPr>
              <w:spacing w:after="0"/>
              <w:rPr>
                <w:sz w:val="24"/>
                <w:szCs w:val="24"/>
                <w:color w:val="auto"/>
              </w:rPr>
            </w:pPr>
          </w:p>
        </w:tc>
        <w:tc>
          <w:tcPr>
            <w:tcW w:w="3640" w:type="dxa"/>
            <w:vAlign w:val="bottom"/>
            <w:tcBorders>
              <w:bottom w:val="single" w:sz="8" w:color="0000EE"/>
            </w:tcBorders>
            <w:gridSpan w:val="16"/>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Amendment No. 1 to 2011 Stock Option Incentive</w:t>
              </w:r>
            </w:hyperlink>
          </w:p>
        </w:tc>
        <w:tc>
          <w:tcPr>
            <w:tcW w:w="36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Plan*</w:t>
              </w:r>
            </w:hyperlink>
          </w:p>
        </w:tc>
        <w:tc>
          <w:tcPr>
            <w:tcW w:w="3580" w:type="dxa"/>
            <w:vAlign w:val="bottom"/>
            <w:gridSpan w:val="22"/>
          </w:tcPr>
          <w:p>
            <w:pPr>
              <w:spacing w:after="0"/>
              <w:rPr>
                <w:sz w:val="17"/>
                <w:szCs w:val="17"/>
                <w:color w:val="auto"/>
              </w:rPr>
            </w:pPr>
          </w:p>
        </w:tc>
      </w:tr>
      <w:tr>
        <w:trPr>
          <w:trHeight w:val="304"/>
        </w:trPr>
        <w:tc>
          <w:tcPr>
            <w:tcW w:w="1040" w:type="dxa"/>
            <w:vAlign w:val="bottom"/>
          </w:tcPr>
          <w:p>
            <w:pPr>
              <w:jc w:val="right"/>
              <w:ind w:right="632"/>
              <w:spacing w:after="0"/>
              <w:rPr>
                <w:sz w:val="20"/>
                <w:szCs w:val="20"/>
                <w:color w:val="auto"/>
              </w:rPr>
            </w:pPr>
            <w:r>
              <w:rPr>
                <w:rFonts w:ascii="Arial" w:cs="Arial" w:eastAsia="Arial" w:hAnsi="Arial"/>
                <w:sz w:val="18"/>
                <w:szCs w:val="18"/>
                <w:color w:val="auto"/>
                <w:w w:val="85"/>
              </w:rPr>
              <w:t>10.4</w:t>
            </w:r>
          </w:p>
        </w:tc>
        <w:tc>
          <w:tcPr>
            <w:tcW w:w="140" w:type="dxa"/>
            <w:vAlign w:val="bottom"/>
          </w:tcPr>
          <w:p>
            <w:pPr>
              <w:spacing w:after="0"/>
              <w:rPr>
                <w:sz w:val="24"/>
                <w:szCs w:val="24"/>
                <w:color w:val="auto"/>
              </w:rPr>
            </w:pPr>
          </w:p>
        </w:tc>
        <w:tc>
          <w:tcPr>
            <w:tcW w:w="3640" w:type="dxa"/>
            <w:vAlign w:val="bottom"/>
            <w:tcBorders>
              <w:bottom w:val="single" w:sz="8" w:color="0000EE"/>
            </w:tcBorders>
            <w:gridSpan w:val="16"/>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Amendment No. 2 to 2011 Stock Option Incentive</w:t>
              </w:r>
            </w:hyperlink>
          </w:p>
        </w:tc>
        <w:tc>
          <w:tcPr>
            <w:tcW w:w="36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Plan*</w:t>
              </w:r>
            </w:hyperlink>
          </w:p>
        </w:tc>
        <w:tc>
          <w:tcPr>
            <w:tcW w:w="3580" w:type="dxa"/>
            <w:vAlign w:val="bottom"/>
            <w:gridSpan w:val="22"/>
          </w:tcPr>
          <w:p>
            <w:pPr>
              <w:spacing w:after="0"/>
              <w:rPr>
                <w:sz w:val="17"/>
                <w:szCs w:val="17"/>
                <w:color w:val="auto"/>
              </w:rPr>
            </w:pPr>
          </w:p>
        </w:tc>
      </w:tr>
      <w:tr>
        <w:trPr>
          <w:trHeight w:val="277"/>
        </w:trPr>
        <w:tc>
          <w:tcPr>
            <w:tcW w:w="1040" w:type="dxa"/>
            <w:vAlign w:val="bottom"/>
          </w:tcPr>
          <w:p>
            <w:pPr>
              <w:jc w:val="right"/>
              <w:ind w:right="632"/>
              <w:spacing w:after="0"/>
              <w:rPr>
                <w:sz w:val="20"/>
                <w:szCs w:val="20"/>
                <w:color w:val="auto"/>
              </w:rPr>
            </w:pPr>
            <w:r>
              <w:rPr>
                <w:rFonts w:ascii="Arial" w:cs="Arial" w:eastAsia="Arial" w:hAnsi="Arial"/>
                <w:sz w:val="18"/>
                <w:szCs w:val="18"/>
                <w:color w:val="auto"/>
                <w:w w:val="85"/>
              </w:rPr>
              <w:t>10.5</w:t>
            </w:r>
          </w:p>
        </w:tc>
        <w:tc>
          <w:tcPr>
            <w:tcW w:w="140" w:type="dxa"/>
            <w:vAlign w:val="bottom"/>
          </w:tcPr>
          <w:p>
            <w:pPr>
              <w:spacing w:after="0"/>
              <w:rPr>
                <w:sz w:val="24"/>
                <w:szCs w:val="24"/>
                <w:color w:val="auto"/>
              </w:rPr>
            </w:pPr>
          </w:p>
        </w:tc>
        <w:tc>
          <w:tcPr>
            <w:tcW w:w="4000" w:type="dxa"/>
            <w:vAlign w:val="bottom"/>
            <w:gridSpan w:val="23"/>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Amendment No. 3 to 2011 Stock Option and Incentive</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Plan*</w:t>
              </w:r>
            </w:hyperlink>
          </w:p>
        </w:tc>
        <w:tc>
          <w:tcPr>
            <w:tcW w:w="3520" w:type="dxa"/>
            <w:vAlign w:val="bottom"/>
            <w:tcBorders>
              <w:top w:val="single" w:sz="8" w:color="0000EE"/>
            </w:tcBorders>
            <w:gridSpan w:val="21"/>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40" w:type="dxa"/>
            <w:vAlign w:val="bottom"/>
          </w:tcPr>
          <w:p>
            <w:pPr>
              <w:jc w:val="right"/>
              <w:ind w:right="632"/>
              <w:spacing w:after="0"/>
              <w:rPr>
                <w:sz w:val="20"/>
                <w:szCs w:val="20"/>
                <w:color w:val="auto"/>
              </w:rPr>
            </w:pPr>
            <w:r>
              <w:rPr>
                <w:rFonts w:ascii="Arial" w:cs="Arial" w:eastAsia="Arial" w:hAnsi="Arial"/>
                <w:sz w:val="18"/>
                <w:szCs w:val="18"/>
                <w:color w:val="auto"/>
                <w:w w:val="85"/>
              </w:rPr>
              <w:t>10.6</w:t>
            </w:r>
          </w:p>
        </w:tc>
        <w:tc>
          <w:tcPr>
            <w:tcW w:w="140" w:type="dxa"/>
            <w:vAlign w:val="bottom"/>
          </w:tcPr>
          <w:p>
            <w:pPr>
              <w:spacing w:after="0"/>
              <w:rPr>
                <w:sz w:val="24"/>
                <w:szCs w:val="24"/>
                <w:color w:val="auto"/>
              </w:rPr>
            </w:pPr>
          </w:p>
        </w:tc>
        <w:tc>
          <w:tcPr>
            <w:tcW w:w="4000" w:type="dxa"/>
            <w:vAlign w:val="bottom"/>
            <w:gridSpan w:val="23"/>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Amendment No. 4 to 2011 Stock Option and Incentive</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Plan*</w:t>
              </w:r>
            </w:hyperlink>
          </w:p>
        </w:tc>
        <w:tc>
          <w:tcPr>
            <w:tcW w:w="3520" w:type="dxa"/>
            <w:vAlign w:val="bottom"/>
            <w:tcBorders>
              <w:top w:val="single" w:sz="8" w:color="0000EE"/>
            </w:tcBorders>
            <w:gridSpan w:val="21"/>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40" w:type="dxa"/>
            <w:vAlign w:val="bottom"/>
          </w:tcPr>
          <w:p>
            <w:pPr>
              <w:jc w:val="right"/>
              <w:ind w:right="632"/>
              <w:spacing w:after="0"/>
              <w:rPr>
                <w:sz w:val="20"/>
                <w:szCs w:val="20"/>
                <w:color w:val="auto"/>
              </w:rPr>
            </w:pPr>
            <w:r>
              <w:rPr>
                <w:rFonts w:ascii="Arial" w:cs="Arial" w:eastAsia="Arial" w:hAnsi="Arial"/>
                <w:sz w:val="18"/>
                <w:szCs w:val="18"/>
                <w:color w:val="auto"/>
                <w:w w:val="85"/>
              </w:rPr>
              <w:t>10.7</w:t>
            </w:r>
          </w:p>
        </w:tc>
        <w:tc>
          <w:tcPr>
            <w:tcW w:w="140" w:type="dxa"/>
            <w:vAlign w:val="bottom"/>
          </w:tcPr>
          <w:p>
            <w:pPr>
              <w:spacing w:after="0"/>
              <w:rPr>
                <w:sz w:val="24"/>
                <w:szCs w:val="24"/>
                <w:color w:val="auto"/>
              </w:rPr>
            </w:pPr>
          </w:p>
        </w:tc>
        <w:tc>
          <w:tcPr>
            <w:tcW w:w="4000" w:type="dxa"/>
            <w:vAlign w:val="bottom"/>
            <w:gridSpan w:val="23"/>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Amendment No. 5 to 2011 Stock Option and Incentive</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Plan*</w:t>
              </w:r>
            </w:hyperlink>
          </w:p>
        </w:tc>
        <w:tc>
          <w:tcPr>
            <w:tcW w:w="3520" w:type="dxa"/>
            <w:vAlign w:val="bottom"/>
            <w:tcBorders>
              <w:top w:val="single" w:sz="8" w:color="0000EE"/>
            </w:tcBorders>
            <w:gridSpan w:val="21"/>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2"/>
        </w:trPr>
        <w:tc>
          <w:tcPr>
            <w:tcW w:w="3980" w:type="dxa"/>
            <w:vAlign w:val="bottom"/>
            <w:tcBorders>
              <w:top w:val="single" w:sz="8" w:color="auto"/>
              <w:bottom w:val="single" w:sz="8" w:color="auto"/>
            </w:tcBorders>
          </w:tcPr>
          <w:p>
            <w:pPr>
              <w:ind w:left="182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tcPr>
          <w:p>
            <w:pPr>
              <w:spacing w:after="0"/>
              <w:rPr>
                <w:sz w:val="12"/>
                <w:szCs w:val="12"/>
                <w:color w:val="auto"/>
              </w:rPr>
            </w:pPr>
          </w:p>
        </w:tc>
        <w:tc>
          <w:tcPr>
            <w:tcW w:w="2020" w:type="dxa"/>
            <w:vAlign w:val="bottom"/>
            <w:tcBorders>
              <w:top w:val="single" w:sz="8" w:color="auto"/>
              <w:bottom w:val="single" w:sz="8" w:color="auto"/>
            </w:tcBorders>
          </w:tcPr>
          <w:p>
            <w:pPr>
              <w:ind w:left="880"/>
              <w:spacing w:after="0" w:line="142" w:lineRule="exact"/>
              <w:rPr>
                <w:sz w:val="20"/>
                <w:szCs w:val="20"/>
                <w:color w:val="auto"/>
              </w:rPr>
            </w:pPr>
            <w:r>
              <w:rPr>
                <w:rFonts w:ascii="Arial" w:cs="Arial" w:eastAsia="Arial" w:hAnsi="Arial"/>
                <w:sz w:val="14"/>
                <w:szCs w:val="14"/>
                <w:b w:val="1"/>
                <w:bCs w:val="1"/>
                <w:color w:val="auto"/>
              </w:rPr>
              <w:t>Date</w:t>
            </w:r>
          </w:p>
        </w:tc>
      </w:tr>
      <w:tr>
        <w:trPr>
          <w:trHeight w:val="276"/>
        </w:trPr>
        <w:tc>
          <w:tcPr>
            <w:tcW w:w="3980" w:type="dxa"/>
            <w:vAlign w:val="bottom"/>
          </w:tcPr>
          <w:p>
            <w:pPr>
              <w:spacing w:after="0"/>
              <w:rPr>
                <w:sz w:val="20"/>
                <w:szCs w:val="20"/>
                <w:color w:val="auto"/>
              </w:rPr>
            </w:pPr>
            <w:r>
              <w:rPr>
                <w:rFonts w:ascii="Arial" w:cs="Arial" w:eastAsia="Arial" w:hAnsi="Arial"/>
                <w:sz w:val="18"/>
                <w:szCs w:val="18"/>
                <w:color w:val="auto"/>
                <w:w w:val="93"/>
              </w:rPr>
              <w:t>Quarterly Report on Form 10-Q, File No. 0-21392, as</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August 8, 2013</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Exhibit 3.1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rPr>
              <w:t>Annual Report on Form 10-K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February 29, 2012</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4"/>
              </w:rPr>
              <w:t>December 31, 2011, File No. 0-21392, as Exhibit 4.1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958"/>
        </w:trPr>
        <w:tc>
          <w:tcPr>
            <w:tcW w:w="3980" w:type="dxa"/>
            <w:vAlign w:val="bottom"/>
          </w:tcPr>
          <w:p>
            <w:pPr>
              <w:spacing w:after="0"/>
              <w:rPr>
                <w:sz w:val="20"/>
                <w:szCs w:val="20"/>
                <w:color w:val="auto"/>
              </w:rPr>
            </w:pPr>
            <w:r>
              <w:rPr>
                <w:rFonts w:ascii="Arial" w:cs="Arial" w:eastAsia="Arial" w:hAnsi="Arial"/>
                <w:sz w:val="18"/>
                <w:szCs w:val="18"/>
                <w:color w:val="auto"/>
              </w:rPr>
              <w:t>Annual Report on Form 20-F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April 24, 2003</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4"/>
              </w:rPr>
              <w:t>December 31, 2002, File No. 0-21392, as Exhibit 2.4</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rPr>
              <w:t>Annual Report on Form 10-K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February 29, 2012</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4"/>
              </w:rPr>
              <w:t>December 31, 2011, File No. 0-21392, as Exhibit 4.4</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w w:val="91"/>
              </w:rPr>
              <w:t>Current Report on Form 8-K dated March 5, 2015, File</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March 11, 2015</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No. 0-21392, as Exhibit 4.1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w w:val="96"/>
              </w:rPr>
              <w:t>Current Report on Form 8-K dated March 30, 2015,</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March 30, 2015</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File No. 0-21392, as Exhibit 4.1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742"/>
        </w:trPr>
        <w:tc>
          <w:tcPr>
            <w:tcW w:w="3980" w:type="dxa"/>
            <w:vAlign w:val="bottom"/>
          </w:tcPr>
          <w:p>
            <w:pPr>
              <w:spacing w:after="0"/>
              <w:rPr>
                <w:sz w:val="20"/>
                <w:szCs w:val="20"/>
                <w:color w:val="auto"/>
              </w:rPr>
            </w:pPr>
            <w:r>
              <w:rPr>
                <w:rFonts w:ascii="Arial" w:cs="Arial" w:eastAsia="Arial" w:hAnsi="Arial"/>
                <w:sz w:val="18"/>
                <w:szCs w:val="18"/>
                <w:color w:val="auto"/>
                <w:w w:val="96"/>
              </w:rPr>
              <w:t>Current Report on Form 8-K dated March 30, 2015,</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March 30, 2015</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File No. 0-21392, as Exhibit 4.2</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40"/>
        </w:trPr>
        <w:tc>
          <w:tcPr>
            <w:tcW w:w="3980" w:type="dxa"/>
            <w:vAlign w:val="bottom"/>
          </w:tcPr>
          <w:p>
            <w:pPr>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7"/>
        </w:trPr>
        <w:tc>
          <w:tcPr>
            <w:tcW w:w="3980" w:type="dxa"/>
            <w:vAlign w:val="bottom"/>
          </w:tcPr>
          <w:p>
            <w:pPr>
              <w:spacing w:after="0"/>
              <w:rPr>
                <w:sz w:val="20"/>
                <w:szCs w:val="20"/>
                <w:color w:val="auto"/>
              </w:rPr>
            </w:pPr>
            <w:r>
              <w:rPr>
                <w:rFonts w:ascii="Arial" w:cs="Arial" w:eastAsia="Arial" w:hAnsi="Arial"/>
                <w:sz w:val="18"/>
                <w:szCs w:val="18"/>
                <w:color w:val="auto"/>
              </w:rPr>
              <w:t>Annual Report on Form 20-F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March 5, 2007</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2"/>
              </w:rPr>
              <w:t>December 31, 2006, File No. 0-21392, as Exhibit 4.17</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w w:val="95"/>
              </w:rPr>
              <w:t>Quarterly Report on Form 10-Q for the period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August 9, 2011</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June 30, 2011, File No. 0-21392, as Exhibit 10.4</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w w:val="97"/>
              </w:rPr>
              <w:t>Quarterly Report on Form 10-Q for quarterly period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August 8, 2008</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89"/>
              </w:rPr>
              <w:t>ended June 30, 2012, File No. 0-21392, as Exhibit 10.1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w w:val="97"/>
              </w:rPr>
              <w:t>Quarterly Report on Form 10-Q for quarterly period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August 8, 2008</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89"/>
              </w:rPr>
              <w:t>ended June 30, 2012, File No. 0-21392, as Exhibit 10.2</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83"/>
        </w:trPr>
        <w:tc>
          <w:tcPr>
            <w:tcW w:w="3980" w:type="dxa"/>
            <w:vAlign w:val="bottom"/>
          </w:tcPr>
          <w:p>
            <w:pPr>
              <w:spacing w:after="0"/>
              <w:rPr>
                <w:sz w:val="20"/>
                <w:szCs w:val="20"/>
                <w:color w:val="auto"/>
              </w:rPr>
            </w:pPr>
            <w:r>
              <w:rPr>
                <w:rFonts w:ascii="Arial" w:cs="Arial" w:eastAsia="Arial" w:hAnsi="Arial"/>
                <w:sz w:val="18"/>
                <w:szCs w:val="18"/>
                <w:color w:val="auto"/>
              </w:rPr>
              <w:t>Annual Report on Form 10-K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February 28, 2012</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2"/>
              </w:rPr>
              <w:t>December 31, 2012, File No. 0-21392, as Exhibit 10.5</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w w:val="97"/>
              </w:rPr>
              <w:t>Quarterly Report on Form 10-Q for quarterly period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August 6, 2015</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2"/>
              </w:rPr>
              <w:t>ended June 30, 2015, File No. 0-21392, as Exhibit 4.1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w w:val="97"/>
              </w:rPr>
              <w:t>Quarterly Report on Form 10-Q for quarterly period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August 6, 2015</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2"/>
              </w:rPr>
              <w:t>ended June 30, 2015, File No. 0-21392, as Exhibit 4.2</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40"/>
        </w:trPr>
        <w:tc>
          <w:tcPr>
            <w:tcW w:w="3980" w:type="dxa"/>
            <w:vAlign w:val="bottom"/>
          </w:tcPr>
          <w:p>
            <w:pPr>
              <w:ind w:left="30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55880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5180" w:space="140"/>
            <w:col w:w="6100"/>
          </w:cols>
          <w:pgMar w:left="240" w:top="337"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Exhibit</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tcBorders>
              <w:bottom w:val="single" w:sz="8" w:color="auto"/>
            </w:tcBorders>
            <w:gridSpan w:val="2"/>
          </w:tcPr>
          <w:p>
            <w:pPr>
              <w:ind w:left="2060"/>
              <w:spacing w:after="0"/>
              <w:rPr>
                <w:sz w:val="20"/>
                <w:szCs w:val="20"/>
                <w:color w:val="auto"/>
              </w:rPr>
            </w:pPr>
            <w:r>
              <w:rPr>
                <w:rFonts w:ascii="Arial" w:cs="Arial" w:eastAsia="Arial" w:hAnsi="Arial"/>
                <w:sz w:val="14"/>
                <w:szCs w:val="14"/>
                <w:b w:val="1"/>
                <w:bCs w:val="1"/>
                <w:color w:val="auto"/>
                <w:w w:val="88"/>
              </w:rPr>
              <w:t>Incorporated by Reference Herein</w:t>
            </w: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gridSpan w:val="8"/>
          </w:tcPr>
          <w:p>
            <w:pPr>
              <w:ind w:left="160"/>
              <w:spacing w:after="0" w:line="142" w:lineRule="exact"/>
              <w:rPr>
                <w:sz w:val="20"/>
                <w:szCs w:val="20"/>
                <w:color w:val="auto"/>
              </w:rPr>
            </w:pPr>
            <w:r>
              <w:rPr>
                <w:rFonts w:ascii="Arial" w:cs="Arial" w:eastAsia="Arial" w:hAnsi="Arial"/>
                <w:sz w:val="14"/>
                <w:szCs w:val="14"/>
                <w:b w:val="1"/>
                <w:bCs w:val="1"/>
                <w:color w:val="auto"/>
              </w:rPr>
              <w:t>Description</w:t>
            </w:r>
          </w:p>
        </w:tc>
        <w:tc>
          <w:tcPr>
            <w:tcW w:w="4060" w:type="dxa"/>
            <w:vAlign w:val="bottom"/>
            <w:gridSpan w:val="2"/>
          </w:tcPr>
          <w:p>
            <w:pPr>
              <w:ind w:left="1820"/>
              <w:spacing w:after="0" w:line="142" w:lineRule="exact"/>
              <w:rPr>
                <w:sz w:val="20"/>
                <w:szCs w:val="20"/>
                <w:color w:val="auto"/>
              </w:rPr>
            </w:pPr>
            <w:r>
              <w:rPr>
                <w:rFonts w:ascii="Arial" w:cs="Arial" w:eastAsia="Arial" w:hAnsi="Arial"/>
                <w:sz w:val="14"/>
                <w:szCs w:val="14"/>
                <w:b w:val="1"/>
                <w:bCs w:val="1"/>
                <w:color w:val="auto"/>
              </w:rPr>
              <w:t>Form</w:t>
            </w:r>
          </w:p>
        </w:tc>
        <w:tc>
          <w:tcPr>
            <w:tcW w:w="20" w:type="dxa"/>
            <w:vAlign w:val="bottom"/>
          </w:tcPr>
          <w:p>
            <w:pPr>
              <w:spacing w:after="0"/>
              <w:rPr>
                <w:sz w:val="12"/>
                <w:szCs w:val="12"/>
                <w:color w:val="auto"/>
              </w:rPr>
            </w:pPr>
          </w:p>
        </w:tc>
        <w:tc>
          <w:tcPr>
            <w:tcW w:w="2020" w:type="dxa"/>
            <w:vAlign w:val="bottom"/>
          </w:tcPr>
          <w:p>
            <w:pPr>
              <w:ind w:left="880"/>
              <w:spacing w:after="0" w:line="142" w:lineRule="exact"/>
              <w:rPr>
                <w:sz w:val="20"/>
                <w:szCs w:val="20"/>
                <w:color w:val="auto"/>
              </w:rPr>
            </w:pPr>
            <w:r>
              <w:rPr>
                <w:rFonts w:ascii="Arial" w:cs="Arial" w:eastAsia="Arial" w:hAnsi="Arial"/>
                <w:sz w:val="14"/>
                <w:szCs w:val="14"/>
                <w:b w:val="1"/>
                <w:bCs w:val="1"/>
                <w:color w:val="auto"/>
              </w:rPr>
              <w:t>Date</w:t>
            </w: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4"/>
                <w:szCs w:val="14"/>
                <w:color w:val="auto"/>
              </w:rPr>
            </w:pPr>
          </w:p>
        </w:tc>
        <w:tc>
          <w:tcPr>
            <w:tcW w:w="3440" w:type="dxa"/>
            <w:vAlign w:val="bottom"/>
            <w:tcBorders>
              <w:top w:val="single" w:sz="8" w:color="auto"/>
              <w:bottom w:val="single" w:sz="8" w:color="0000EE"/>
            </w:tcBorders>
            <w:gridSpan w:val="5"/>
          </w:tcPr>
          <w:p>
            <w:pPr>
              <w:spacing w:after="0" w:line="170"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Amarin Corporation plc Management Incentive</w:t>
              </w:r>
            </w:hyperlink>
          </w:p>
        </w:tc>
        <w:tc>
          <w:tcPr>
            <w:tcW w:w="560" w:type="dxa"/>
            <w:vAlign w:val="bottom"/>
            <w:tcBorders>
              <w:top w:val="single" w:sz="8" w:color="auto"/>
            </w:tcBorders>
            <w:gridSpan w:val="4"/>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Annual Report on Form 10-K for the year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March 16, 2011</w:t>
            </w: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0"/>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Compensation Plan*</w:t>
              </w:r>
            </w:hyperlink>
          </w:p>
        </w:tc>
        <w:tc>
          <w:tcPr>
            <w:tcW w:w="4060" w:type="dxa"/>
            <w:vAlign w:val="bottom"/>
            <w:gridSpan w:val="2"/>
          </w:tcPr>
          <w:p>
            <w:pPr>
              <w:spacing w:after="0" w:line="196" w:lineRule="exact"/>
              <w:rPr>
                <w:sz w:val="20"/>
                <w:szCs w:val="20"/>
                <w:color w:val="auto"/>
              </w:rPr>
            </w:pPr>
            <w:r>
              <w:rPr>
                <w:rFonts w:ascii="Arial" w:cs="Arial" w:eastAsia="Arial" w:hAnsi="Arial"/>
                <w:sz w:val="18"/>
                <w:szCs w:val="18"/>
                <w:color w:val="auto"/>
              </w:rPr>
              <w:t>December 31, 2010, File No. 0-21392, as Exhibit</w:t>
            </w: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84"/>
        </w:trPr>
        <w:tc>
          <w:tcPr>
            <w:tcW w:w="1040" w:type="dxa"/>
            <w:vAlign w:val="bottom"/>
            <w:gridSpan w:val="2"/>
          </w:tcPr>
          <w:p>
            <w:pPr>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4140" w:type="dxa"/>
            <w:vAlign w:val="bottom"/>
            <w:gridSpan w:val="10"/>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Incentive Stock Option Award Agreement</w:t>
              </w:r>
            </w:hyperlink>
          </w:p>
        </w:tc>
        <w:tc>
          <w:tcPr>
            <w:tcW w:w="406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February 29, 2012</w:t>
            </w: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4"/>
              </w:rPr>
              <w:t>December 31, 2011, File No. 0-21392, as Exhibit 10.3</w:t>
            </w: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84"/>
        </w:trPr>
        <w:tc>
          <w:tcPr>
            <w:tcW w:w="1040" w:type="dxa"/>
            <w:vAlign w:val="bottom"/>
            <w:gridSpan w:val="2"/>
          </w:tcPr>
          <w:p>
            <w:pPr>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4140" w:type="dxa"/>
            <w:vAlign w:val="bottom"/>
            <w:gridSpan w:val="10"/>
          </w:tcPr>
          <w:p>
            <w:pPr>
              <w:spacing w:after="0"/>
              <w:rPr>
                <w:rFonts w:ascii="Arial" w:cs="Arial" w:eastAsia="Arial" w:hAnsi="Arial"/>
                <w:sz w:val="18"/>
                <w:szCs w:val="18"/>
                <w:color w:val="0000EE"/>
              </w:rPr>
            </w:pPr>
            <w:hyperlink r:id="rId132">
              <w:r>
                <w:rPr>
                  <w:rFonts w:ascii="Arial" w:cs="Arial" w:eastAsia="Arial" w:hAnsi="Arial"/>
                  <w:sz w:val="18"/>
                  <w:szCs w:val="18"/>
                  <w:color w:val="0000EE"/>
                </w:rPr>
                <w:t>Form of Non-Qualified Stock Option Award</w:t>
              </w:r>
            </w:hyperlink>
          </w:p>
        </w:tc>
        <w:tc>
          <w:tcPr>
            <w:tcW w:w="406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February 29, 2012</w:t>
            </w: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Agreement</w:t>
              </w:r>
            </w:hyperlink>
          </w:p>
        </w:tc>
        <w:tc>
          <w:tcPr>
            <w:tcW w:w="940" w:type="dxa"/>
            <w:vAlign w:val="bottom"/>
            <w:gridSpan w:val="6"/>
          </w:tcPr>
          <w:p>
            <w:pPr>
              <w:spacing w:after="0"/>
              <w:rPr>
                <w:sz w:val="17"/>
                <w:szCs w:val="17"/>
                <w:color w:val="auto"/>
              </w:rPr>
            </w:pPr>
          </w:p>
        </w:tc>
        <w:tc>
          <w:tcPr>
            <w:tcW w:w="4060" w:type="dxa"/>
            <w:vAlign w:val="bottom"/>
            <w:gridSpan w:val="2"/>
          </w:tcPr>
          <w:p>
            <w:pPr>
              <w:spacing w:after="0" w:line="196" w:lineRule="exact"/>
              <w:rPr>
                <w:sz w:val="20"/>
                <w:szCs w:val="20"/>
                <w:color w:val="auto"/>
              </w:rPr>
            </w:pPr>
            <w:r>
              <w:rPr>
                <w:rFonts w:ascii="Arial" w:cs="Arial" w:eastAsia="Arial" w:hAnsi="Arial"/>
                <w:sz w:val="18"/>
                <w:szCs w:val="18"/>
                <w:color w:val="auto"/>
                <w:w w:val="94"/>
              </w:rPr>
              <w:t>December 31, 2011, File No. 0-21392, as Exhibit 10.4</w:t>
            </w: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4140" w:type="dxa"/>
            <w:vAlign w:val="bottom"/>
            <w:gridSpan w:val="10"/>
          </w:tcPr>
          <w:p>
            <w:pPr>
              <w:spacing w:after="0"/>
              <w:rPr>
                <w:rFonts w:ascii="Arial" w:cs="Arial" w:eastAsia="Arial" w:hAnsi="Arial"/>
                <w:sz w:val="18"/>
                <w:szCs w:val="18"/>
                <w:color w:val="0000EE"/>
              </w:rPr>
            </w:pPr>
            <w:hyperlink r:id="rId133">
              <w:r>
                <w:rPr>
                  <w:rFonts w:ascii="Arial" w:cs="Arial" w:eastAsia="Arial" w:hAnsi="Arial"/>
                  <w:sz w:val="18"/>
                  <w:szCs w:val="18"/>
                  <w:color w:val="0000EE"/>
                </w:rPr>
                <w:t>Form of Restricted Stock Unit Award Agreement</w:t>
              </w:r>
            </w:hyperlink>
          </w:p>
        </w:tc>
        <w:tc>
          <w:tcPr>
            <w:tcW w:w="406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February 29, 2012</w:t>
            </w: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4"/>
              </w:rPr>
              <w:t>December 31, 2011, File No. 0-21392, as Exhibit 10.5</w:t>
            </w: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84"/>
        </w:trPr>
        <w:tc>
          <w:tcPr>
            <w:tcW w:w="1040" w:type="dxa"/>
            <w:vAlign w:val="bottom"/>
            <w:gridSpan w:val="2"/>
          </w:tcPr>
          <w:p>
            <w:pPr>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4140" w:type="dxa"/>
            <w:vAlign w:val="bottom"/>
            <w:gridSpan w:val="10"/>
          </w:tcPr>
          <w:p>
            <w:pPr>
              <w:spacing w:after="0"/>
              <w:rPr>
                <w:rFonts w:ascii="Arial" w:cs="Arial" w:eastAsia="Arial" w:hAnsi="Arial"/>
                <w:sz w:val="18"/>
                <w:szCs w:val="18"/>
                <w:color w:val="0000EE"/>
                <w:w w:val="94"/>
              </w:rPr>
            </w:pPr>
            <w:hyperlink r:id="rId134">
              <w:r>
                <w:rPr>
                  <w:rFonts w:ascii="Arial" w:cs="Arial" w:eastAsia="Arial" w:hAnsi="Arial"/>
                  <w:sz w:val="18"/>
                  <w:szCs w:val="18"/>
                  <w:color w:val="0000EE"/>
                  <w:w w:val="94"/>
                </w:rPr>
                <w:t>Letter Agreement, dated November 15, 2010, between</w:t>
              </w:r>
            </w:hyperlink>
          </w:p>
        </w:tc>
        <w:tc>
          <w:tcPr>
            <w:tcW w:w="406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March 16, 2011</w:t>
            </w: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the Company and John F. Thero*</w:t>
              </w:r>
            </w:hyperlink>
          </w:p>
        </w:tc>
        <w:tc>
          <w:tcPr>
            <w:tcW w:w="220" w:type="dxa"/>
            <w:vAlign w:val="bottom"/>
            <w:gridSpan w:val="2"/>
          </w:tcPr>
          <w:p>
            <w:pPr>
              <w:spacing w:after="0"/>
              <w:rPr>
                <w:sz w:val="17"/>
                <w:szCs w:val="17"/>
                <w:color w:val="auto"/>
              </w:rPr>
            </w:pPr>
          </w:p>
        </w:tc>
        <w:tc>
          <w:tcPr>
            <w:tcW w:w="4060" w:type="dxa"/>
            <w:vAlign w:val="bottom"/>
            <w:gridSpan w:val="2"/>
          </w:tcPr>
          <w:p>
            <w:pPr>
              <w:spacing w:after="0" w:line="196" w:lineRule="exact"/>
              <w:rPr>
                <w:sz w:val="20"/>
                <w:szCs w:val="20"/>
                <w:color w:val="auto"/>
              </w:rPr>
            </w:pPr>
            <w:r>
              <w:rPr>
                <w:rFonts w:ascii="Arial" w:cs="Arial" w:eastAsia="Arial" w:hAnsi="Arial"/>
                <w:sz w:val="18"/>
                <w:szCs w:val="18"/>
                <w:color w:val="auto"/>
              </w:rPr>
              <w:t>December 31, 2010, File No. 0-21392, as Exhibit</w:t>
            </w: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10.42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77" w:lineRule="exact"/>
        <w:rPr>
          <w:sz w:val="20"/>
          <w:szCs w:val="20"/>
          <w:color w:val="auto"/>
        </w:rPr>
      </w:pPr>
    </w:p>
    <w:p>
      <w:pPr>
        <w:sectPr>
          <w:pgSz w:w="11900" w:h="16838" w:orient="portrait"/>
          <w:cols w:equalWidth="0" w:num="1">
            <w:col w:w="11420"/>
          </w:cols>
          <w:pgMar w:left="240" w:top="343"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10.13</w:t>
            </w:r>
          </w:p>
        </w:tc>
        <w:tc>
          <w:tcPr>
            <w:tcW w:w="4000" w:type="dxa"/>
            <w:vAlign w:val="bottom"/>
            <w:gridSpan w:val="17"/>
          </w:tcPr>
          <w:p>
            <w:pPr>
              <w:spacing w:after="0"/>
              <w:rPr>
                <w:rFonts w:ascii="Arial" w:cs="Arial" w:eastAsia="Arial" w:hAnsi="Arial"/>
                <w:sz w:val="18"/>
                <w:szCs w:val="18"/>
                <w:color w:val="0000EE"/>
              </w:rPr>
            </w:pPr>
            <w:hyperlink r:id="rId135">
              <w:r>
                <w:rPr>
                  <w:rFonts w:ascii="Arial" w:cs="Arial" w:eastAsia="Arial" w:hAnsi="Arial"/>
                  <w:sz w:val="18"/>
                  <w:szCs w:val="18"/>
                  <w:color w:val="0000EE"/>
                </w:rPr>
                <w:t>Letter Agreement with Joseph Kennedy, dated</w:t>
              </w:r>
            </w:hyperlink>
          </w:p>
        </w:tc>
      </w:tr>
      <w:tr>
        <w:trPr>
          <w:trHeight w:val="196"/>
        </w:trPr>
        <w:tc>
          <w:tcPr>
            <w:tcW w:w="1180" w:type="dxa"/>
            <w:vAlign w:val="bottom"/>
          </w:tcPr>
          <w:p>
            <w:pPr>
              <w:spacing w:after="0"/>
              <w:rPr>
                <w:sz w:val="17"/>
                <w:szCs w:val="17"/>
                <w:color w:val="auto"/>
              </w:rPr>
            </w:pPr>
          </w:p>
        </w:tc>
        <w:tc>
          <w:tcPr>
            <w:tcW w:w="3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December 13, 2011*</w:t>
              </w:r>
            </w:hyperlink>
          </w:p>
        </w:tc>
        <w:tc>
          <w:tcPr>
            <w:tcW w:w="660" w:type="dxa"/>
            <w:vAlign w:val="bottom"/>
            <w:gridSpan w:val="7"/>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10.14</w:t>
            </w:r>
          </w:p>
        </w:tc>
        <w:tc>
          <w:tcPr>
            <w:tcW w:w="4000" w:type="dxa"/>
            <w:vAlign w:val="bottom"/>
            <w:gridSpan w:val="17"/>
          </w:tcPr>
          <w:p>
            <w:pPr>
              <w:spacing w:after="0"/>
              <w:rPr>
                <w:rFonts w:ascii="Arial" w:cs="Arial" w:eastAsia="Arial" w:hAnsi="Arial"/>
                <w:sz w:val="18"/>
                <w:szCs w:val="18"/>
                <w:color w:val="0000EE"/>
              </w:rPr>
            </w:pPr>
            <w:hyperlink r:id="rId136">
              <w:r>
                <w:rPr>
                  <w:rFonts w:ascii="Arial" w:cs="Arial" w:eastAsia="Arial" w:hAnsi="Arial"/>
                  <w:sz w:val="18"/>
                  <w:szCs w:val="18"/>
                  <w:color w:val="0000EE"/>
                </w:rPr>
                <w:t>Letter Agreement with John Thero, dated</w:t>
              </w:r>
            </w:hyperlink>
          </w:p>
        </w:tc>
      </w:tr>
      <w:tr>
        <w:trPr>
          <w:trHeight w:val="196"/>
        </w:trPr>
        <w:tc>
          <w:tcPr>
            <w:tcW w:w="1180" w:type="dxa"/>
            <w:vAlign w:val="bottom"/>
          </w:tcPr>
          <w:p>
            <w:pPr>
              <w:spacing w:after="0"/>
              <w:rPr>
                <w:sz w:val="17"/>
                <w:szCs w:val="17"/>
                <w:color w:val="auto"/>
              </w:rPr>
            </w:pPr>
          </w:p>
        </w:tc>
        <w:tc>
          <w:tcPr>
            <w:tcW w:w="2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December 23, 2011*</w:t>
              </w:r>
            </w:hyperlink>
          </w:p>
        </w:tc>
        <w:tc>
          <w:tcPr>
            <w:tcW w:w="1020" w:type="dxa"/>
            <w:vAlign w:val="bottom"/>
            <w:gridSpan w:val="10"/>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10.15</w:t>
            </w:r>
          </w:p>
        </w:tc>
        <w:tc>
          <w:tcPr>
            <w:tcW w:w="3280" w:type="dxa"/>
            <w:vAlign w:val="bottom"/>
            <w:tcBorders>
              <w:bottom w:val="single" w:sz="8" w:color="0000EE"/>
            </w:tcBorders>
            <w:gridSpan w:val="9"/>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Letter Agreement with Steve Ketchum, dated</w:t>
              </w:r>
            </w:hyperlink>
          </w:p>
        </w:tc>
        <w:tc>
          <w:tcPr>
            <w:tcW w:w="720" w:type="dxa"/>
            <w:vAlign w:val="bottom"/>
            <w:gridSpan w:val="8"/>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February 8, 2012*</w:t>
              </w:r>
            </w:hyperlink>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10.16</w:t>
            </w:r>
          </w:p>
        </w:tc>
        <w:tc>
          <w:tcPr>
            <w:tcW w:w="4000" w:type="dxa"/>
            <w:vAlign w:val="bottom"/>
            <w:gridSpan w:val="17"/>
          </w:tcPr>
          <w:p>
            <w:pPr>
              <w:spacing w:after="0"/>
              <w:rPr>
                <w:rFonts w:ascii="Arial" w:cs="Arial" w:eastAsia="Arial" w:hAnsi="Arial"/>
                <w:sz w:val="18"/>
                <w:szCs w:val="18"/>
                <w:color w:val="0000EE"/>
                <w:w w:val="93"/>
              </w:rPr>
            </w:pPr>
            <w:hyperlink r:id="rId138">
              <w:r>
                <w:rPr>
                  <w:rFonts w:ascii="Arial" w:cs="Arial" w:eastAsia="Arial" w:hAnsi="Arial"/>
                  <w:sz w:val="18"/>
                  <w:szCs w:val="18"/>
                  <w:color w:val="0000EE"/>
                  <w:w w:val="93"/>
                </w:rPr>
                <w:t>Letter Agreement with John Thero, dated January 10,</w:t>
              </w:r>
            </w:hyperlink>
          </w:p>
        </w:tc>
      </w:tr>
      <w:tr>
        <w:trPr>
          <w:trHeight w:val="196"/>
        </w:trPr>
        <w:tc>
          <w:tcPr>
            <w:tcW w:w="11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2014*</w:t>
              </w:r>
            </w:hyperlink>
          </w:p>
        </w:tc>
        <w:tc>
          <w:tcPr>
            <w:tcW w:w="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10.17</w:t>
            </w:r>
          </w:p>
        </w:tc>
        <w:tc>
          <w:tcPr>
            <w:tcW w:w="3860" w:type="dxa"/>
            <w:vAlign w:val="bottom"/>
            <w:tcBorders>
              <w:bottom w:val="single" w:sz="8" w:color="0000EE"/>
            </w:tcBorders>
            <w:gridSpan w:val="14"/>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Amendment, dated July 6, 2015, to Letter Agreement</w:t>
              </w:r>
            </w:hyperlink>
          </w:p>
        </w:tc>
        <w:tc>
          <w:tcPr>
            <w:tcW w:w="14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with Joseph Kennedy, dated December 13, 2011*</w:t>
              </w:r>
            </w:hyperlink>
          </w:p>
        </w:tc>
      </w:tr>
      <w:tr>
        <w:trPr>
          <w:trHeight w:val="20"/>
        </w:trPr>
        <w:tc>
          <w:tcPr>
            <w:tcW w:w="1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10.18</w:t>
            </w:r>
          </w:p>
        </w:tc>
        <w:tc>
          <w:tcPr>
            <w:tcW w:w="3860" w:type="dxa"/>
            <w:vAlign w:val="bottom"/>
            <w:tcBorders>
              <w:bottom w:val="single" w:sz="8" w:color="0000EE"/>
            </w:tcBorders>
            <w:gridSpan w:val="14"/>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Amendment, dated July 6, 2015, to Letter Agreement</w:t>
              </w:r>
            </w:hyperlink>
          </w:p>
        </w:tc>
        <w:tc>
          <w:tcPr>
            <w:tcW w:w="14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34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with Steven Ketchum, dated February 8, 2012*</w:t>
              </w:r>
            </w:hyperlink>
          </w:p>
        </w:tc>
        <w:tc>
          <w:tcPr>
            <w:tcW w:w="580" w:type="dxa"/>
            <w:vAlign w:val="bottom"/>
            <w:gridSpan w:val="6"/>
          </w:tcPr>
          <w:p>
            <w:pPr>
              <w:spacing w:after="0"/>
              <w:rPr>
                <w:sz w:val="17"/>
                <w:szCs w:val="17"/>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10.19</w:t>
            </w:r>
          </w:p>
        </w:tc>
        <w:tc>
          <w:tcPr>
            <w:tcW w:w="3860" w:type="dxa"/>
            <w:vAlign w:val="bottom"/>
            <w:tcBorders>
              <w:bottom w:val="single" w:sz="8" w:color="0000EE"/>
            </w:tcBorders>
            <w:gridSpan w:val="14"/>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Amendment, dated July 6, 2015, to Letter Agreement</w:t>
              </w:r>
            </w:hyperlink>
          </w:p>
        </w:tc>
        <w:tc>
          <w:tcPr>
            <w:tcW w:w="14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with John Thero, dated December 23, 2011*</w:t>
              </w:r>
            </w:hyperlink>
          </w:p>
        </w:tc>
      </w:tr>
      <w:tr>
        <w:trPr>
          <w:trHeight w:val="20"/>
        </w:trPr>
        <w:tc>
          <w:tcPr>
            <w:tcW w:w="1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10.20</w:t>
            </w:r>
          </w:p>
        </w:tc>
        <w:tc>
          <w:tcPr>
            <w:tcW w:w="3340" w:type="dxa"/>
            <w:vAlign w:val="bottom"/>
            <w:tcBorders>
              <w:bottom w:val="single" w:sz="8" w:color="0000EE"/>
            </w:tcBorders>
            <w:gridSpan w:val="10"/>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2011 Long Term Incentive Award with Joseph</w:t>
              </w:r>
            </w:hyperlink>
          </w:p>
        </w:tc>
        <w:tc>
          <w:tcPr>
            <w:tcW w:w="66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6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42">
              <w:r>
                <w:rPr>
                  <w:rFonts w:ascii="Arial" w:cs="Arial" w:eastAsia="Arial" w:hAnsi="Arial"/>
                  <w:sz w:val="18"/>
                  <w:szCs w:val="18"/>
                  <w:color w:val="0000EE"/>
                  <w:w w:val="89"/>
                </w:rPr>
                <w:t>Kennedy dated December 16, 2011*</w:t>
              </w:r>
            </w:hyperlink>
          </w:p>
        </w:tc>
        <w:tc>
          <w:tcPr>
            <w:tcW w:w="1360" w:type="dxa"/>
            <w:vAlign w:val="bottom"/>
            <w:gridSpan w:val="11"/>
          </w:tcPr>
          <w:p>
            <w:pPr>
              <w:spacing w:after="0"/>
              <w:rPr>
                <w:sz w:val="17"/>
                <w:szCs w:val="17"/>
                <w:color w:val="auto"/>
              </w:rPr>
            </w:pPr>
          </w:p>
        </w:tc>
      </w:tr>
      <w:tr>
        <w:trPr>
          <w:trHeight w:val="277"/>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10.21</w:t>
            </w:r>
          </w:p>
        </w:tc>
        <w:tc>
          <w:tcPr>
            <w:tcW w:w="4000" w:type="dxa"/>
            <w:vAlign w:val="bottom"/>
            <w:gridSpan w:val="17"/>
          </w:tcPr>
          <w:p>
            <w:pPr>
              <w:spacing w:after="0"/>
              <w:rPr>
                <w:rFonts w:ascii="Arial" w:cs="Arial" w:eastAsia="Arial" w:hAnsi="Arial"/>
                <w:sz w:val="18"/>
                <w:szCs w:val="18"/>
                <w:color w:val="0000EE"/>
              </w:rPr>
            </w:pPr>
            <w:hyperlink r:id="rId143">
              <w:r>
                <w:rPr>
                  <w:rFonts w:ascii="Arial" w:cs="Arial" w:eastAsia="Arial" w:hAnsi="Arial"/>
                  <w:sz w:val="18"/>
                  <w:szCs w:val="18"/>
                  <w:color w:val="0000EE"/>
                </w:rPr>
                <w:t>2012 Long Term Incentive Award with Steven</w:t>
              </w:r>
            </w:hyperlink>
          </w:p>
        </w:tc>
      </w:tr>
      <w:tr>
        <w:trPr>
          <w:trHeight w:val="196"/>
        </w:trPr>
        <w:tc>
          <w:tcPr>
            <w:tcW w:w="1180" w:type="dxa"/>
            <w:vAlign w:val="bottom"/>
          </w:tcPr>
          <w:p>
            <w:pPr>
              <w:spacing w:after="0"/>
              <w:rPr>
                <w:sz w:val="17"/>
                <w:szCs w:val="17"/>
                <w:color w:val="auto"/>
              </w:rPr>
            </w:pPr>
          </w:p>
        </w:tc>
        <w:tc>
          <w:tcPr>
            <w:tcW w:w="3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Ketchum dated March 1, 2012*</w:t>
              </w:r>
            </w:hyperlink>
          </w:p>
        </w:tc>
        <w:tc>
          <w:tcPr>
            <w:tcW w:w="660" w:type="dxa"/>
            <w:vAlign w:val="bottom"/>
            <w:gridSpan w:val="7"/>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10.22</w:t>
            </w:r>
          </w:p>
        </w:tc>
        <w:tc>
          <w:tcPr>
            <w:tcW w:w="4000" w:type="dxa"/>
            <w:vAlign w:val="bottom"/>
            <w:gridSpan w:val="17"/>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Employment Agreement dated November 5, 2009 with</w:t>
              </w:r>
            </w:hyperlink>
          </w:p>
        </w:tc>
      </w:tr>
      <w:tr>
        <w:trPr>
          <w:trHeight w:val="196"/>
        </w:trPr>
        <w:tc>
          <w:tcPr>
            <w:tcW w:w="1180" w:type="dxa"/>
            <w:vAlign w:val="bottom"/>
          </w:tcPr>
          <w:p>
            <w:pPr>
              <w:spacing w:after="0"/>
              <w:rPr>
                <w:sz w:val="17"/>
                <w:szCs w:val="17"/>
                <w:color w:val="auto"/>
              </w:rPr>
            </w:pPr>
          </w:p>
        </w:tc>
        <w:tc>
          <w:tcPr>
            <w:tcW w:w="3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John F. Thero*</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760" w:type="dxa"/>
            <w:vAlign w:val="bottom"/>
            <w:gridSpan w:val="11"/>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10.23</w:t>
            </w:r>
          </w:p>
        </w:tc>
        <w:tc>
          <w:tcPr>
            <w:tcW w:w="4000" w:type="dxa"/>
            <w:vAlign w:val="bottom"/>
            <w:gridSpan w:val="17"/>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Stock Purchase Agreement, dated December 5, 2007,</w:t>
              </w:r>
            </w:hyperlink>
          </w:p>
        </w:tc>
      </w:tr>
      <w:tr>
        <w:trPr>
          <w:trHeight w:val="20"/>
        </w:trPr>
        <w:tc>
          <w:tcPr>
            <w:tcW w:w="1180" w:type="dxa"/>
            <w:vAlign w:val="bottom"/>
          </w:tcPr>
          <w:p>
            <w:pPr>
              <w:spacing w:after="0" w:line="20" w:lineRule="exact"/>
              <w:rPr>
                <w:sz w:val="1"/>
                <w:szCs w:val="1"/>
                <w:color w:val="auto"/>
              </w:rPr>
            </w:pPr>
          </w:p>
        </w:tc>
        <w:tc>
          <w:tcPr>
            <w:tcW w:w="3840" w:type="dxa"/>
            <w:vAlign w:val="bottom"/>
            <w:gridSpan w:val="1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0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45">
              <w:r>
                <w:rPr>
                  <w:rFonts w:ascii="Arial" w:cs="Arial" w:eastAsia="Arial" w:hAnsi="Arial"/>
                  <w:sz w:val="18"/>
                  <w:szCs w:val="18"/>
                  <w:color w:val="0000EE"/>
                  <w:w w:val="88"/>
                </w:rPr>
                <w:t>between the Company, the selling shareholders of Ester</w:t>
              </w:r>
            </w:hyperlink>
          </w:p>
        </w:tc>
      </w:tr>
    </w:tbl>
    <w:p>
      <w:pPr>
        <w:spacing w:after="0" w:line="13" w:lineRule="exact"/>
        <w:rPr>
          <w:sz w:val="20"/>
          <w:szCs w:val="20"/>
          <w:color w:val="auto"/>
        </w:rPr>
      </w:pPr>
    </w:p>
    <w:p>
      <w:pPr>
        <w:ind w:left="1180" w:right="160"/>
        <w:spacing w:after="0" w:line="277" w:lineRule="auto"/>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Neurosciences Limited, Ester Neurosciences Limited</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and Medica II Management L.P. ††</w:t>
        </w:r>
      </w:hyperlink>
    </w:p>
    <w:p>
      <w:pPr>
        <w:spacing w:after="0" w:line="20" w:lineRule="exact"/>
        <w:rPr>
          <w:sz w:val="20"/>
          <w:szCs w:val="20"/>
          <w:color w:val="auto"/>
        </w:rPr>
      </w:pPr>
      <w:r>
        <w:rPr>
          <w:sz w:val="20"/>
          <w:szCs w:val="20"/>
          <w:color w:val="auto"/>
        </w:rPr>
        <w:br w:type="column"/>
      </w:r>
    </w:p>
    <w:p>
      <w:pPr>
        <w:spacing w:after="0"/>
        <w:tabs>
          <w:tab w:leader="none" w:pos="4060" w:val="left"/>
        </w:tabs>
        <w:rPr>
          <w:sz w:val="20"/>
          <w:szCs w:val="20"/>
          <w:color w:val="auto"/>
        </w:rPr>
      </w:pPr>
      <w:r>
        <w:rPr>
          <w:rFonts w:ascii="Arial" w:cs="Arial" w:eastAsia="Arial" w:hAnsi="Arial"/>
          <w:sz w:val="18"/>
          <w:szCs w:val="18"/>
          <w:color w:val="auto"/>
        </w:rPr>
        <w:t>Current Report on Form 8-K dated December 23,</w:t>
      </w:r>
      <w:r>
        <w:rPr>
          <w:sz w:val="20"/>
          <w:szCs w:val="20"/>
          <w:color w:val="auto"/>
        </w:rPr>
        <w:tab/>
      </w:r>
      <w:r>
        <w:rPr>
          <w:rFonts w:ascii="Arial" w:cs="Arial" w:eastAsia="Arial" w:hAnsi="Arial"/>
          <w:sz w:val="16"/>
          <w:szCs w:val="16"/>
          <w:color w:val="auto"/>
        </w:rPr>
        <w:t>December 23,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2011, File No. 0-21392, as Exhibit 10.5</w:t>
      </w:r>
    </w:p>
    <w:p>
      <w:pPr>
        <w:spacing w:after="0" w:line="10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Current Report on Form 8-K dated December 23,</w:t>
      </w:r>
      <w:r>
        <w:rPr>
          <w:sz w:val="20"/>
          <w:szCs w:val="20"/>
          <w:color w:val="auto"/>
        </w:rPr>
        <w:tab/>
      </w:r>
      <w:r>
        <w:rPr>
          <w:rFonts w:ascii="Arial" w:cs="Arial" w:eastAsia="Arial" w:hAnsi="Arial"/>
          <w:sz w:val="16"/>
          <w:szCs w:val="16"/>
          <w:color w:val="auto"/>
        </w:rPr>
        <w:t>December 23,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2011, File No. 0-21392, as Exhibit 10.1</w:t>
      </w:r>
    </w:p>
    <w:p>
      <w:pPr>
        <w:spacing w:after="0" w:line="10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Current Report on Form 8-K dated February 16, 2012,</w:t>
      </w:r>
      <w:r>
        <w:rPr>
          <w:sz w:val="20"/>
          <w:szCs w:val="20"/>
          <w:color w:val="auto"/>
        </w:rPr>
        <w:tab/>
      </w:r>
      <w:r>
        <w:rPr>
          <w:rFonts w:ascii="Arial" w:cs="Arial" w:eastAsia="Arial" w:hAnsi="Arial"/>
          <w:sz w:val="16"/>
          <w:szCs w:val="16"/>
          <w:color w:val="auto"/>
        </w:rPr>
        <w:t>February 16,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 No. 0-21392, as Exhibit 10.1</w:t>
      </w:r>
    </w:p>
    <w:p>
      <w:pPr>
        <w:spacing w:after="0" w:line="10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Current Report on Form 8-K dated January 8, 2014,</w:t>
      </w:r>
      <w:r>
        <w:rPr>
          <w:sz w:val="20"/>
          <w:szCs w:val="20"/>
          <w:color w:val="auto"/>
        </w:rPr>
        <w:tab/>
      </w:r>
      <w:r>
        <w:rPr>
          <w:rFonts w:ascii="Arial" w:cs="Arial" w:eastAsia="Arial" w:hAnsi="Arial"/>
          <w:sz w:val="16"/>
          <w:szCs w:val="16"/>
          <w:color w:val="auto"/>
        </w:rPr>
        <w:t>January 10,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 No. 0-21392, as Exhibit 10.1</w:t>
      </w:r>
    </w:p>
    <w:p>
      <w:pPr>
        <w:spacing w:after="0" w:line="10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Quarterly Report on Form 10-Q for the period ended</w:t>
      </w:r>
      <w:r>
        <w:rPr>
          <w:sz w:val="20"/>
          <w:szCs w:val="20"/>
          <w:color w:val="auto"/>
        </w:rPr>
        <w:tab/>
      </w:r>
      <w:r>
        <w:rPr>
          <w:rFonts w:ascii="Arial" w:cs="Arial" w:eastAsia="Arial" w:hAnsi="Arial"/>
          <w:sz w:val="16"/>
          <w:szCs w:val="16"/>
          <w:color w:val="auto"/>
        </w:rPr>
        <w:t>August 6,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2015, File No. 0-21392, as Exhibit 10.1</w:t>
      </w:r>
    </w:p>
    <w:p>
      <w:pPr>
        <w:spacing w:after="0" w:line="10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Quarterly Report on Form 10-Q for the period ended</w:t>
      </w:r>
      <w:r>
        <w:rPr>
          <w:sz w:val="20"/>
          <w:szCs w:val="20"/>
          <w:color w:val="auto"/>
        </w:rPr>
        <w:tab/>
      </w:r>
      <w:r>
        <w:rPr>
          <w:rFonts w:ascii="Arial" w:cs="Arial" w:eastAsia="Arial" w:hAnsi="Arial"/>
          <w:sz w:val="16"/>
          <w:szCs w:val="16"/>
          <w:color w:val="auto"/>
        </w:rPr>
        <w:t>August 6,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2015, File No. 0-21392, as Exhibit 10.2</w:t>
      </w:r>
    </w:p>
    <w:p>
      <w:pPr>
        <w:spacing w:after="0" w:line="10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Quarterly Report on Form 10-Q for the period ended</w:t>
      </w:r>
      <w:r>
        <w:rPr>
          <w:sz w:val="20"/>
          <w:szCs w:val="20"/>
          <w:color w:val="auto"/>
        </w:rPr>
        <w:tab/>
      </w:r>
      <w:r>
        <w:rPr>
          <w:rFonts w:ascii="Arial" w:cs="Arial" w:eastAsia="Arial" w:hAnsi="Arial"/>
          <w:sz w:val="16"/>
          <w:szCs w:val="16"/>
          <w:color w:val="auto"/>
        </w:rPr>
        <w:t>August 6,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2015, File No. 0-21392, as Exhibit 10.3</w:t>
      </w:r>
    </w:p>
    <w:p>
      <w:pPr>
        <w:spacing w:after="0" w:line="10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Form S-8, File No. 333-180180, as Exhibit 4.1</w:t>
      </w:r>
      <w:r>
        <w:rPr>
          <w:sz w:val="20"/>
          <w:szCs w:val="20"/>
          <w:color w:val="auto"/>
        </w:rPr>
        <w:tab/>
      </w:r>
      <w:r>
        <w:rPr>
          <w:rFonts w:ascii="Arial" w:cs="Arial" w:eastAsia="Arial" w:hAnsi="Arial"/>
          <w:sz w:val="16"/>
          <w:szCs w:val="16"/>
          <w:color w:val="auto"/>
        </w:rPr>
        <w:t>March 16, 2012</w:t>
      </w:r>
    </w:p>
    <w:p>
      <w:pPr>
        <w:spacing w:after="0" w:line="306"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Form S-8, File No. 333-180180, as Exhibit 4.2</w:t>
      </w:r>
      <w:r>
        <w:rPr>
          <w:sz w:val="20"/>
          <w:szCs w:val="20"/>
          <w:color w:val="auto"/>
        </w:rPr>
        <w:tab/>
      </w:r>
      <w:r>
        <w:rPr>
          <w:rFonts w:ascii="Arial" w:cs="Arial" w:eastAsia="Arial" w:hAnsi="Arial"/>
          <w:sz w:val="16"/>
          <w:szCs w:val="16"/>
          <w:color w:val="auto"/>
        </w:rPr>
        <w:t>March 16, 2012</w:t>
      </w:r>
    </w:p>
    <w:p>
      <w:pPr>
        <w:spacing w:after="0" w:line="33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Registration Statement on Form F-1, File No. 333-</w:t>
      </w:r>
      <w:r>
        <w:rPr>
          <w:sz w:val="20"/>
          <w:szCs w:val="20"/>
          <w:color w:val="auto"/>
        </w:rPr>
        <w:tab/>
      </w:r>
      <w:r>
        <w:rPr>
          <w:rFonts w:ascii="Arial" w:cs="Arial" w:eastAsia="Arial" w:hAnsi="Arial"/>
          <w:sz w:val="16"/>
          <w:szCs w:val="16"/>
          <w:color w:val="auto"/>
        </w:rPr>
        <w:t>December 14,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163704, as Exhibit 4.104</w:t>
      </w:r>
    </w:p>
    <w:p>
      <w:pPr>
        <w:spacing w:after="0" w:line="10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Report of Foreign Private Issuer filed on Form 6-K,</w:t>
      </w:r>
      <w:r>
        <w:rPr>
          <w:sz w:val="20"/>
          <w:szCs w:val="20"/>
          <w:color w:val="auto"/>
        </w:rPr>
        <w:tab/>
      </w:r>
      <w:r>
        <w:rPr>
          <w:rFonts w:ascii="Arial" w:cs="Arial" w:eastAsia="Arial" w:hAnsi="Arial"/>
          <w:sz w:val="16"/>
          <w:szCs w:val="16"/>
          <w:color w:val="auto"/>
        </w:rPr>
        <w:t>January 28,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 No. 0-21392, as Exhibit 99.1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5180" w:space="140"/>
            <w:col w:w="6100"/>
          </w:cols>
          <w:pgMar w:left="240" w:top="343" w:right="2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Exhibit</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40" w:type="dxa"/>
            <w:vAlign w:val="bottom"/>
            <w:gridSpan w:val="16"/>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tcBorders>
          </w:tcPr>
          <w:p>
            <w:pPr>
              <w:jc w:val="right"/>
              <w:ind w:right="545"/>
              <w:spacing w:after="0" w:line="170" w:lineRule="exact"/>
              <w:rPr>
                <w:sz w:val="20"/>
                <w:szCs w:val="20"/>
                <w:color w:val="auto"/>
              </w:rPr>
            </w:pPr>
            <w:r>
              <w:rPr>
                <w:rFonts w:ascii="Arial" w:cs="Arial" w:eastAsia="Arial" w:hAnsi="Arial"/>
                <w:sz w:val="18"/>
                <w:szCs w:val="18"/>
                <w:color w:val="auto"/>
                <w:w w:val="84"/>
              </w:rPr>
              <w:t>10.24</w:t>
            </w:r>
          </w:p>
        </w:tc>
        <w:tc>
          <w:tcPr>
            <w:tcW w:w="140" w:type="dxa"/>
            <w:vAlign w:val="bottom"/>
          </w:tcPr>
          <w:p>
            <w:pPr>
              <w:spacing w:after="0"/>
              <w:rPr>
                <w:sz w:val="14"/>
                <w:szCs w:val="14"/>
                <w:color w:val="auto"/>
              </w:rPr>
            </w:pPr>
          </w:p>
        </w:tc>
        <w:tc>
          <w:tcPr>
            <w:tcW w:w="3820" w:type="dxa"/>
            <w:vAlign w:val="bottom"/>
            <w:tcBorders>
              <w:top w:val="single" w:sz="8" w:color="auto"/>
              <w:bottom w:val="single" w:sz="8" w:color="0000EE"/>
            </w:tcBorders>
            <w:gridSpan w:val="15"/>
          </w:tcPr>
          <w:p>
            <w:pPr>
              <w:spacing w:after="0" w:line="170" w:lineRule="exact"/>
              <w:rPr>
                <w:rFonts w:ascii="Arial" w:cs="Arial" w:eastAsia="Arial" w:hAnsi="Arial"/>
                <w:sz w:val="18"/>
                <w:szCs w:val="18"/>
                <w:color w:val="0000EE"/>
                <w:w w:val="88"/>
              </w:rPr>
            </w:pPr>
            <w:hyperlink r:id="rId147">
              <w:r>
                <w:rPr>
                  <w:rFonts w:ascii="Arial" w:cs="Arial" w:eastAsia="Arial" w:hAnsi="Arial"/>
                  <w:sz w:val="18"/>
                  <w:szCs w:val="18"/>
                  <w:color w:val="0000EE"/>
                  <w:w w:val="88"/>
                </w:rPr>
                <w:t>Letter Agreement, dated December 6, 2007, between</w:t>
              </w:r>
            </w:hyperlink>
          </w:p>
        </w:tc>
        <w:tc>
          <w:tcPr>
            <w:tcW w:w="180" w:type="dxa"/>
            <w:vAlign w:val="bottom"/>
            <w:tcBorders>
              <w:top w:val="single" w:sz="8" w:color="auto"/>
            </w:tcBorders>
            <w:gridSpan w:val="3"/>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w w:val="96"/>
              </w:rPr>
            </w:pPr>
            <w:hyperlink r:id="rId147">
              <w:r>
                <w:rPr>
                  <w:rFonts w:ascii="Arial" w:cs="Arial" w:eastAsia="Arial" w:hAnsi="Arial"/>
                  <w:sz w:val="18"/>
                  <w:szCs w:val="18"/>
                  <w:color w:val="0000EE"/>
                  <w:w w:val="96"/>
                </w:rPr>
                <w:t>the Company and the Sellers’ Representative of the</w:t>
              </w:r>
            </w:hyperlink>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selling shareholders of Ester Neurosciences Limited</w:t>
              </w:r>
            </w:hyperlink>
          </w:p>
        </w:tc>
        <w:tc>
          <w:tcPr>
            <w:tcW w:w="240" w:type="dxa"/>
            <w:vAlign w:val="bottom"/>
            <w:gridSpan w:val="4"/>
          </w:tcPr>
          <w:p>
            <w:pPr>
              <w:spacing w:after="0"/>
              <w:rPr>
                <w:sz w:val="17"/>
                <w:szCs w:val="17"/>
                <w:color w:val="auto"/>
              </w:rPr>
            </w:pPr>
          </w:p>
        </w:tc>
      </w:tr>
      <w:tr>
        <w:trPr>
          <w:trHeight w:val="304"/>
        </w:trPr>
        <w:tc>
          <w:tcPr>
            <w:tcW w:w="1040" w:type="dxa"/>
            <w:vAlign w:val="bottom"/>
            <w:gridSpan w:val="2"/>
          </w:tcPr>
          <w:p>
            <w:pPr>
              <w:jc w:val="right"/>
              <w:ind w:right="545"/>
              <w:spacing w:after="0"/>
              <w:rPr>
                <w:sz w:val="20"/>
                <w:szCs w:val="20"/>
                <w:color w:val="auto"/>
              </w:rPr>
            </w:pPr>
            <w:r>
              <w:rPr>
                <w:rFonts w:ascii="Arial" w:cs="Arial" w:eastAsia="Arial" w:hAnsi="Arial"/>
                <w:sz w:val="18"/>
                <w:szCs w:val="18"/>
                <w:color w:val="auto"/>
                <w:w w:val="88"/>
              </w:rPr>
              <w:t>10.25</w:t>
            </w:r>
          </w:p>
        </w:tc>
        <w:tc>
          <w:tcPr>
            <w:tcW w:w="140" w:type="dxa"/>
            <w:vAlign w:val="bottom"/>
          </w:tcPr>
          <w:p>
            <w:pPr>
              <w:spacing w:after="0"/>
              <w:rPr>
                <w:sz w:val="24"/>
                <w:szCs w:val="24"/>
                <w:color w:val="auto"/>
              </w:rPr>
            </w:pPr>
          </w:p>
        </w:tc>
        <w:tc>
          <w:tcPr>
            <w:tcW w:w="4000" w:type="dxa"/>
            <w:vAlign w:val="bottom"/>
            <w:tcBorders>
              <w:bottom w:val="single" w:sz="8" w:color="0000EE"/>
            </w:tcBorders>
            <w:gridSpan w:val="18"/>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Amendment No. 1 to Stock Purchase Agreement, dated</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w w:val="98"/>
              </w:rPr>
            </w:pPr>
            <w:hyperlink r:id="rId148">
              <w:r>
                <w:rPr>
                  <w:rFonts w:ascii="Arial" w:cs="Arial" w:eastAsia="Arial" w:hAnsi="Arial"/>
                  <w:sz w:val="18"/>
                  <w:szCs w:val="18"/>
                  <w:color w:val="0000EE"/>
                  <w:w w:val="98"/>
                </w:rPr>
                <w:t>April 7, 2008, between the Company and Medica II</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Management L.P.</w:t>
              </w:r>
            </w:hyperlink>
          </w:p>
        </w:tc>
        <w:tc>
          <w:tcPr>
            <w:tcW w:w="280" w:type="dxa"/>
            <w:vAlign w:val="bottom"/>
            <w:gridSpan w:val="5"/>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40" w:type="dxa"/>
            <w:vAlign w:val="bottom"/>
            <w:gridSpan w:val="2"/>
          </w:tcPr>
          <w:p>
            <w:pPr>
              <w:jc w:val="right"/>
              <w:ind w:right="545"/>
              <w:spacing w:after="0"/>
              <w:rPr>
                <w:sz w:val="20"/>
                <w:szCs w:val="20"/>
                <w:color w:val="auto"/>
              </w:rPr>
            </w:pPr>
            <w:r>
              <w:rPr>
                <w:rFonts w:ascii="Arial" w:cs="Arial" w:eastAsia="Arial" w:hAnsi="Arial"/>
                <w:sz w:val="18"/>
                <w:szCs w:val="18"/>
                <w:color w:val="auto"/>
                <w:w w:val="88"/>
              </w:rPr>
              <w:t>10.26</w:t>
            </w:r>
          </w:p>
        </w:tc>
        <w:tc>
          <w:tcPr>
            <w:tcW w:w="140" w:type="dxa"/>
            <w:vAlign w:val="bottom"/>
          </w:tcPr>
          <w:p>
            <w:pPr>
              <w:spacing w:after="0"/>
              <w:rPr>
                <w:sz w:val="24"/>
                <w:szCs w:val="24"/>
                <w:color w:val="auto"/>
              </w:rPr>
            </w:pPr>
          </w:p>
        </w:tc>
        <w:tc>
          <w:tcPr>
            <w:tcW w:w="4000" w:type="dxa"/>
            <w:vAlign w:val="bottom"/>
            <w:gridSpan w:val="18"/>
          </w:tcPr>
          <w:p>
            <w:pPr>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Securities Purchase Agreement, dated May 12, 2008,</w:t>
              </w:r>
            </w:hyperlink>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w w:val="88"/>
              </w:rPr>
            </w:pPr>
            <w:hyperlink r:id="rId149">
              <w:r>
                <w:rPr>
                  <w:rFonts w:ascii="Arial" w:cs="Arial" w:eastAsia="Arial" w:hAnsi="Arial"/>
                  <w:sz w:val="18"/>
                  <w:szCs w:val="18"/>
                  <w:color w:val="0000EE"/>
                  <w:w w:val="88"/>
                </w:rPr>
                <w:t>among the Company and the Purchasers named therein</w:t>
              </w:r>
            </w:hyperlink>
          </w:p>
        </w:tc>
      </w:tr>
      <w:tr>
        <w:trPr>
          <w:trHeight w:val="291"/>
        </w:trPr>
        <w:tc>
          <w:tcPr>
            <w:tcW w:w="1040" w:type="dxa"/>
            <w:vAlign w:val="bottom"/>
            <w:gridSpan w:val="2"/>
          </w:tcPr>
          <w:p>
            <w:pPr>
              <w:jc w:val="right"/>
              <w:ind w:right="545"/>
              <w:spacing w:after="0"/>
              <w:rPr>
                <w:sz w:val="20"/>
                <w:szCs w:val="20"/>
                <w:color w:val="auto"/>
              </w:rPr>
            </w:pPr>
            <w:r>
              <w:rPr>
                <w:rFonts w:ascii="Arial" w:cs="Arial" w:eastAsia="Arial" w:hAnsi="Arial"/>
                <w:sz w:val="18"/>
                <w:szCs w:val="18"/>
                <w:color w:val="auto"/>
                <w:w w:val="88"/>
              </w:rPr>
              <w:t>10.27</w:t>
            </w:r>
          </w:p>
        </w:tc>
        <w:tc>
          <w:tcPr>
            <w:tcW w:w="140" w:type="dxa"/>
            <w:vAlign w:val="bottom"/>
          </w:tcPr>
          <w:p>
            <w:pPr>
              <w:spacing w:after="0"/>
              <w:rPr>
                <w:sz w:val="24"/>
                <w:szCs w:val="24"/>
                <w:color w:val="auto"/>
              </w:rPr>
            </w:pPr>
          </w:p>
        </w:tc>
        <w:tc>
          <w:tcPr>
            <w:tcW w:w="3960" w:type="dxa"/>
            <w:vAlign w:val="bottom"/>
            <w:tcBorders>
              <w:top w:val="single" w:sz="8" w:color="0000EE"/>
            </w:tcBorders>
            <w:gridSpan w:val="16"/>
          </w:tcPr>
          <w:p>
            <w:pPr>
              <w:spacing w:after="0"/>
              <w:rPr>
                <w:rFonts w:ascii="Arial" w:cs="Arial" w:eastAsia="Arial" w:hAnsi="Arial"/>
                <w:sz w:val="18"/>
                <w:szCs w:val="18"/>
                <w:color w:val="0000EE"/>
              </w:rPr>
            </w:pPr>
            <w:hyperlink r:id="rId150">
              <w:r>
                <w:rPr>
                  <w:rFonts w:ascii="Arial" w:cs="Arial" w:eastAsia="Arial" w:hAnsi="Arial"/>
                  <w:sz w:val="18"/>
                  <w:szCs w:val="18"/>
                  <w:color w:val="0000EE"/>
                </w:rPr>
                <w:t>Form of Securities Purchase Agreement, dated</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May 13, 2008, between the Company and the</w:t>
              </w:r>
            </w:hyperlink>
          </w:p>
        </w:tc>
        <w:tc>
          <w:tcPr>
            <w:tcW w:w="80" w:type="dxa"/>
            <w:vAlign w:val="bottom"/>
            <w:tcBorders>
              <w:top w:val="single" w:sz="8" w:color="0000EE"/>
            </w:tcBorders>
            <w:gridSpan w:val="2"/>
          </w:tcPr>
          <w:p>
            <w:pPr>
              <w:spacing w:after="0"/>
              <w:rPr>
                <w:sz w:val="17"/>
                <w:szCs w:val="17"/>
                <w:color w:val="auto"/>
              </w:rPr>
            </w:pPr>
          </w:p>
        </w:tc>
        <w:tc>
          <w:tcPr>
            <w:tcW w:w="64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50">
              <w:r>
                <w:rPr>
                  <w:rFonts w:ascii="Arial" w:cs="Arial" w:eastAsia="Arial" w:hAnsi="Arial"/>
                  <w:sz w:val="18"/>
                  <w:szCs w:val="18"/>
                  <w:color w:val="0000EE"/>
                  <w:w w:val="87"/>
                </w:rPr>
                <w:t>Purchasers named therein ††</w:t>
              </w:r>
            </w:hyperlink>
          </w:p>
        </w:tc>
        <w:tc>
          <w:tcPr>
            <w:tcW w:w="1920" w:type="dxa"/>
            <w:vAlign w:val="bottom"/>
            <w:gridSpan w:val="14"/>
          </w:tcPr>
          <w:p>
            <w:pPr>
              <w:spacing w:after="0"/>
              <w:rPr>
                <w:sz w:val="17"/>
                <w:szCs w:val="17"/>
                <w:color w:val="auto"/>
              </w:rPr>
            </w:pPr>
          </w:p>
        </w:tc>
      </w:tr>
      <w:tr>
        <w:trPr>
          <w:trHeight w:val="291"/>
        </w:trPr>
        <w:tc>
          <w:tcPr>
            <w:tcW w:w="1040" w:type="dxa"/>
            <w:vAlign w:val="bottom"/>
            <w:gridSpan w:val="2"/>
          </w:tcPr>
          <w:p>
            <w:pPr>
              <w:jc w:val="right"/>
              <w:ind w:right="545"/>
              <w:spacing w:after="0"/>
              <w:rPr>
                <w:sz w:val="20"/>
                <w:szCs w:val="20"/>
                <w:color w:val="auto"/>
              </w:rPr>
            </w:pPr>
            <w:r>
              <w:rPr>
                <w:rFonts w:ascii="Arial" w:cs="Arial" w:eastAsia="Arial" w:hAnsi="Arial"/>
                <w:sz w:val="18"/>
                <w:szCs w:val="18"/>
                <w:color w:val="auto"/>
                <w:w w:val="88"/>
              </w:rPr>
              <w:t>10.28</w:t>
            </w:r>
          </w:p>
        </w:tc>
        <w:tc>
          <w:tcPr>
            <w:tcW w:w="140" w:type="dxa"/>
            <w:vAlign w:val="bottom"/>
          </w:tcPr>
          <w:p>
            <w:pPr>
              <w:spacing w:after="0"/>
              <w:rPr>
                <w:sz w:val="24"/>
                <w:szCs w:val="24"/>
                <w:color w:val="auto"/>
              </w:rPr>
            </w:pPr>
          </w:p>
        </w:tc>
        <w:tc>
          <w:tcPr>
            <w:tcW w:w="4000" w:type="dxa"/>
            <w:vAlign w:val="bottom"/>
            <w:gridSpan w:val="18"/>
          </w:tcPr>
          <w:p>
            <w:pPr>
              <w:spacing w:after="0"/>
              <w:rPr>
                <w:rFonts w:ascii="Arial" w:cs="Arial" w:eastAsia="Arial" w:hAnsi="Arial"/>
                <w:sz w:val="18"/>
                <w:szCs w:val="18"/>
                <w:color w:val="0000EE"/>
                <w:w w:val="97"/>
              </w:rPr>
            </w:pPr>
            <w:hyperlink r:id="rId151">
              <w:r>
                <w:rPr>
                  <w:rFonts w:ascii="Arial" w:cs="Arial" w:eastAsia="Arial" w:hAnsi="Arial"/>
                  <w:sz w:val="18"/>
                  <w:szCs w:val="18"/>
                  <w:color w:val="0000EE"/>
                  <w:w w:val="97"/>
                </w:rPr>
                <w:t>Amendment and Waiver Agreement, dated May 25,</w:t>
              </w:r>
            </w:hyperlink>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2009, between Ester Neurosciences Limited, Medica II</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Management L.P. and the Company††</w:t>
              </w:r>
            </w:hyperlink>
          </w:p>
        </w:tc>
      </w:tr>
      <w:tr>
        <w:trPr>
          <w:trHeight w:val="20"/>
        </w:trPr>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gridSpan w:val="2"/>
          </w:tcPr>
          <w:p>
            <w:pPr>
              <w:jc w:val="right"/>
              <w:ind w:right="545"/>
              <w:spacing w:after="0"/>
              <w:rPr>
                <w:sz w:val="20"/>
                <w:szCs w:val="20"/>
                <w:color w:val="auto"/>
              </w:rPr>
            </w:pPr>
            <w:r>
              <w:rPr>
                <w:rFonts w:ascii="Arial" w:cs="Arial" w:eastAsia="Arial" w:hAnsi="Arial"/>
                <w:sz w:val="18"/>
                <w:szCs w:val="18"/>
                <w:color w:val="auto"/>
                <w:w w:val="88"/>
              </w:rPr>
              <w:t>10.29</w:t>
            </w:r>
          </w:p>
        </w:tc>
        <w:tc>
          <w:tcPr>
            <w:tcW w:w="140" w:type="dxa"/>
            <w:vAlign w:val="bottom"/>
          </w:tcPr>
          <w:p>
            <w:pPr>
              <w:spacing w:after="0"/>
              <w:rPr>
                <w:sz w:val="24"/>
                <w:szCs w:val="24"/>
                <w:color w:val="auto"/>
              </w:rPr>
            </w:pPr>
          </w:p>
        </w:tc>
        <w:tc>
          <w:tcPr>
            <w:tcW w:w="3320" w:type="dxa"/>
            <w:vAlign w:val="bottom"/>
            <w:tcBorders>
              <w:bottom w:val="single" w:sz="8" w:color="0000EE"/>
            </w:tcBorders>
            <w:gridSpan w:val="7"/>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Form of Securities Purchase Agreement dated</w:t>
              </w:r>
            </w:hyperlink>
          </w:p>
        </w:tc>
        <w:tc>
          <w:tcPr>
            <w:tcW w:w="68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October 12, 2009 between the Company and the</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52">
              <w:r>
                <w:rPr>
                  <w:rFonts w:ascii="Arial" w:cs="Arial" w:eastAsia="Arial" w:hAnsi="Arial"/>
                  <w:sz w:val="18"/>
                  <w:szCs w:val="18"/>
                  <w:color w:val="0000EE"/>
                  <w:w w:val="87"/>
                </w:rPr>
                <w:t>Purchasers named therein</w:t>
              </w:r>
            </w:hyperlink>
          </w:p>
        </w:tc>
        <w:tc>
          <w:tcPr>
            <w:tcW w:w="1620" w:type="dxa"/>
            <w:vAlign w:val="bottom"/>
            <w:tcBorders>
              <w:top w:val="single" w:sz="8" w:color="0000EE"/>
            </w:tcBorders>
            <w:gridSpan w:val="7"/>
          </w:tcPr>
          <w:p>
            <w:pPr>
              <w:spacing w:after="0"/>
              <w:rPr>
                <w:sz w:val="17"/>
                <w:szCs w:val="17"/>
                <w:color w:val="auto"/>
              </w:rPr>
            </w:pPr>
          </w:p>
        </w:tc>
        <w:tc>
          <w:tcPr>
            <w:tcW w:w="520" w:type="dxa"/>
            <w:vAlign w:val="bottom"/>
            <w:gridSpan w:val="8"/>
          </w:tcPr>
          <w:p>
            <w:pPr>
              <w:spacing w:after="0"/>
              <w:rPr>
                <w:sz w:val="17"/>
                <w:szCs w:val="17"/>
                <w:color w:val="auto"/>
              </w:rPr>
            </w:pPr>
          </w:p>
        </w:tc>
      </w:tr>
      <w:tr>
        <w:trPr>
          <w:trHeight w:val="304"/>
        </w:trPr>
        <w:tc>
          <w:tcPr>
            <w:tcW w:w="1040" w:type="dxa"/>
            <w:vAlign w:val="bottom"/>
            <w:gridSpan w:val="2"/>
          </w:tcPr>
          <w:p>
            <w:pPr>
              <w:jc w:val="right"/>
              <w:ind w:right="545"/>
              <w:spacing w:after="0"/>
              <w:rPr>
                <w:sz w:val="20"/>
                <w:szCs w:val="20"/>
                <w:color w:val="auto"/>
              </w:rPr>
            </w:pPr>
            <w:r>
              <w:rPr>
                <w:rFonts w:ascii="Arial" w:cs="Arial" w:eastAsia="Arial" w:hAnsi="Arial"/>
                <w:sz w:val="18"/>
                <w:szCs w:val="18"/>
                <w:color w:val="auto"/>
                <w:w w:val="88"/>
              </w:rPr>
              <w:t>10.30</w:t>
            </w:r>
          </w:p>
        </w:tc>
        <w:tc>
          <w:tcPr>
            <w:tcW w:w="140" w:type="dxa"/>
            <w:vAlign w:val="bottom"/>
          </w:tcPr>
          <w:p>
            <w:pPr>
              <w:spacing w:after="0"/>
              <w:rPr>
                <w:sz w:val="24"/>
                <w:szCs w:val="24"/>
                <w:color w:val="auto"/>
              </w:rPr>
            </w:pPr>
          </w:p>
        </w:tc>
        <w:tc>
          <w:tcPr>
            <w:tcW w:w="3420" w:type="dxa"/>
            <w:vAlign w:val="bottom"/>
            <w:tcBorders>
              <w:bottom w:val="single" w:sz="8" w:color="0000EE"/>
            </w:tcBorders>
            <w:gridSpan w:val="9"/>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Amendment No. 1, dated December 2, 2009, to</w:t>
              </w:r>
            </w:hyperlink>
          </w:p>
        </w:tc>
        <w:tc>
          <w:tcPr>
            <w:tcW w:w="58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w w:val="88"/>
              </w:rPr>
            </w:pPr>
            <w:hyperlink r:id="rId153">
              <w:r>
                <w:rPr>
                  <w:rFonts w:ascii="Arial" w:cs="Arial" w:eastAsia="Arial" w:hAnsi="Arial"/>
                  <w:sz w:val="18"/>
                  <w:szCs w:val="18"/>
                  <w:color w:val="0000EE"/>
                  <w:w w:val="88"/>
                </w:rPr>
                <w:t>Securities Purchase Agreement dated October 12, 2009</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r:id="rId153">
              <w:r>
                <w:rPr>
                  <w:rFonts w:ascii="Arial" w:cs="Arial" w:eastAsia="Arial" w:hAnsi="Arial"/>
                  <w:sz w:val="18"/>
                  <w:szCs w:val="18"/>
                  <w:color w:val="0000EE"/>
                  <w:w w:val="87"/>
                </w:rPr>
                <w:t>between the Company and the Purchasers named</w:t>
              </w:r>
            </w:hyperlink>
          </w:p>
        </w:tc>
        <w:tc>
          <w:tcPr>
            <w:tcW w:w="44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18"/>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therein</w:t>
              </w:r>
            </w:hyperlink>
          </w:p>
        </w:tc>
      </w:tr>
      <w:tr>
        <w:trPr>
          <w:trHeight w:val="20"/>
        </w:trPr>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320" w:type="dxa"/>
            <w:vAlign w:val="bottom"/>
            <w:gridSpan w:val="1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040" w:type="dxa"/>
            <w:vAlign w:val="bottom"/>
            <w:gridSpan w:val="2"/>
          </w:tcPr>
          <w:p>
            <w:pPr>
              <w:jc w:val="right"/>
              <w:ind w:right="545"/>
              <w:spacing w:after="0"/>
              <w:rPr>
                <w:sz w:val="20"/>
                <w:szCs w:val="20"/>
                <w:color w:val="auto"/>
              </w:rPr>
            </w:pPr>
            <w:r>
              <w:rPr>
                <w:rFonts w:ascii="Arial" w:cs="Arial" w:eastAsia="Arial" w:hAnsi="Arial"/>
                <w:sz w:val="18"/>
                <w:szCs w:val="18"/>
                <w:color w:val="auto"/>
                <w:w w:val="88"/>
              </w:rPr>
              <w:t>10.31</w:t>
            </w:r>
          </w:p>
        </w:tc>
        <w:tc>
          <w:tcPr>
            <w:tcW w:w="140" w:type="dxa"/>
            <w:vAlign w:val="bottom"/>
          </w:tcPr>
          <w:p>
            <w:pPr>
              <w:spacing w:after="0"/>
              <w:rPr>
                <w:sz w:val="24"/>
                <w:szCs w:val="24"/>
                <w:color w:val="auto"/>
              </w:rPr>
            </w:pPr>
          </w:p>
        </w:tc>
        <w:tc>
          <w:tcPr>
            <w:tcW w:w="4000" w:type="dxa"/>
            <w:vAlign w:val="bottom"/>
            <w:gridSpan w:val="18"/>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Amendment Agreement dated October 12, 2009, to the</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Form of Equity Securities Purchase Agreement dated</w:t>
              </w:r>
            </w:hyperlink>
          </w:p>
        </w:tc>
        <w:tc>
          <w:tcPr>
            <w:tcW w:w="40" w:type="dxa"/>
            <w:vAlign w:val="bottom"/>
            <w:gridSpan w:val="2"/>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180" w:right="760"/>
        <w:spacing w:after="0" w:line="277" w:lineRule="auto"/>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May 13, 2008 between the Company and the</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Purchasers named therein</w:t>
        </w:r>
      </w:hyperlink>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2"/>
        </w:trPr>
        <w:tc>
          <w:tcPr>
            <w:tcW w:w="3980" w:type="dxa"/>
            <w:vAlign w:val="bottom"/>
            <w:tcBorders>
              <w:top w:val="single" w:sz="8" w:color="auto"/>
              <w:bottom w:val="single" w:sz="8" w:color="auto"/>
            </w:tcBorders>
          </w:tcPr>
          <w:p>
            <w:pPr>
              <w:ind w:left="182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tcPr>
          <w:p>
            <w:pPr>
              <w:spacing w:after="0"/>
              <w:rPr>
                <w:sz w:val="12"/>
                <w:szCs w:val="12"/>
                <w:color w:val="auto"/>
              </w:rPr>
            </w:pPr>
          </w:p>
        </w:tc>
        <w:tc>
          <w:tcPr>
            <w:tcW w:w="2020" w:type="dxa"/>
            <w:vAlign w:val="bottom"/>
            <w:tcBorders>
              <w:top w:val="single" w:sz="8" w:color="auto"/>
              <w:bottom w:val="single" w:sz="8" w:color="auto"/>
            </w:tcBorders>
          </w:tcPr>
          <w:p>
            <w:pPr>
              <w:ind w:left="880"/>
              <w:spacing w:after="0" w:line="142" w:lineRule="exact"/>
              <w:rPr>
                <w:sz w:val="20"/>
                <w:szCs w:val="20"/>
                <w:color w:val="auto"/>
              </w:rPr>
            </w:pPr>
            <w:r>
              <w:rPr>
                <w:rFonts w:ascii="Arial" w:cs="Arial" w:eastAsia="Arial" w:hAnsi="Arial"/>
                <w:sz w:val="14"/>
                <w:szCs w:val="14"/>
                <w:b w:val="1"/>
                <w:bCs w:val="1"/>
                <w:color w:val="auto"/>
              </w:rPr>
              <w:t>Date</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color w:val="auto"/>
                <w:w w:val="98"/>
              </w:rPr>
              <w:t>Report of Foreign Private Issuer filed on Form 6-K,</w:t>
            </w:r>
          </w:p>
        </w:tc>
        <w:tc>
          <w:tcPr>
            <w:tcW w:w="100" w:type="dxa"/>
            <w:vAlign w:val="bottom"/>
          </w:tcPr>
          <w:p>
            <w:pPr>
              <w:spacing w:after="0"/>
              <w:rPr>
                <w:sz w:val="16"/>
                <w:szCs w:val="16"/>
                <w:color w:val="auto"/>
              </w:rPr>
            </w:pPr>
          </w:p>
        </w:tc>
        <w:tc>
          <w:tcPr>
            <w:tcW w:w="2020" w:type="dxa"/>
            <w:vAlign w:val="bottom"/>
          </w:tcPr>
          <w:p>
            <w:pPr>
              <w:spacing w:after="0" w:line="195" w:lineRule="exact"/>
              <w:rPr>
                <w:sz w:val="20"/>
                <w:szCs w:val="20"/>
                <w:color w:val="auto"/>
              </w:rPr>
            </w:pPr>
            <w:r>
              <w:rPr>
                <w:rFonts w:ascii="Arial" w:cs="Arial" w:eastAsia="Arial" w:hAnsi="Arial"/>
                <w:sz w:val="18"/>
                <w:szCs w:val="18"/>
                <w:color w:val="auto"/>
              </w:rPr>
              <w:t>February 1, 2008</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File No. 0-21392, as Exhibit 99.1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26"/>
        </w:trPr>
        <w:tc>
          <w:tcPr>
            <w:tcW w:w="3980" w:type="dxa"/>
            <w:vAlign w:val="bottom"/>
          </w:tcPr>
          <w:p>
            <w:pPr>
              <w:spacing w:after="0"/>
              <w:rPr>
                <w:sz w:val="20"/>
                <w:szCs w:val="20"/>
                <w:color w:val="auto"/>
              </w:rPr>
            </w:pPr>
            <w:r>
              <w:rPr>
                <w:rFonts w:ascii="Arial" w:cs="Arial" w:eastAsia="Arial" w:hAnsi="Arial"/>
                <w:sz w:val="18"/>
                <w:szCs w:val="18"/>
                <w:color w:val="auto"/>
              </w:rPr>
              <w:t>Annual Report on Form 20-F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May 19, 2008</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2"/>
              </w:rPr>
              <w:t>December 31, 2007, File No. 0-21392, as Exhibit 4.79</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26"/>
        </w:trPr>
        <w:tc>
          <w:tcPr>
            <w:tcW w:w="3980" w:type="dxa"/>
            <w:vAlign w:val="bottom"/>
          </w:tcPr>
          <w:p>
            <w:pPr>
              <w:spacing w:after="0"/>
              <w:rPr>
                <w:sz w:val="20"/>
                <w:szCs w:val="20"/>
                <w:color w:val="auto"/>
              </w:rPr>
            </w:pPr>
            <w:r>
              <w:rPr>
                <w:rFonts w:ascii="Arial" w:cs="Arial" w:eastAsia="Arial" w:hAnsi="Arial"/>
                <w:sz w:val="18"/>
                <w:szCs w:val="18"/>
                <w:color w:val="auto"/>
              </w:rPr>
              <w:t>Annual Report on Form 20-F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October 22, 2009</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2"/>
              </w:rPr>
              <w:t>December 31, 2008, File No. 0-21392, as Exhibit 4.80</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96"/>
        </w:trPr>
        <w:tc>
          <w:tcPr>
            <w:tcW w:w="3980" w:type="dxa"/>
            <w:vAlign w:val="bottom"/>
          </w:tcPr>
          <w:p>
            <w:pPr>
              <w:spacing w:after="0"/>
              <w:rPr>
                <w:sz w:val="20"/>
                <w:szCs w:val="20"/>
                <w:color w:val="auto"/>
              </w:rPr>
            </w:pPr>
            <w:r>
              <w:rPr>
                <w:rFonts w:ascii="Arial" w:cs="Arial" w:eastAsia="Arial" w:hAnsi="Arial"/>
                <w:sz w:val="18"/>
                <w:szCs w:val="18"/>
                <w:color w:val="auto"/>
              </w:rPr>
              <w:t>Annual Report on Form 20-F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May 19, 2008</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2"/>
              </w:rPr>
              <w:t>December 31, 2007, File No. 0-21392, as Exhibit 4.81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12"/>
        </w:trPr>
        <w:tc>
          <w:tcPr>
            <w:tcW w:w="3980" w:type="dxa"/>
            <w:vAlign w:val="bottom"/>
          </w:tcPr>
          <w:p>
            <w:pPr>
              <w:spacing w:after="0"/>
              <w:rPr>
                <w:sz w:val="20"/>
                <w:szCs w:val="20"/>
                <w:color w:val="auto"/>
              </w:rPr>
            </w:pPr>
            <w:r>
              <w:rPr>
                <w:rFonts w:ascii="Arial" w:cs="Arial" w:eastAsia="Arial" w:hAnsi="Arial"/>
                <w:sz w:val="18"/>
                <w:szCs w:val="18"/>
                <w:color w:val="auto"/>
                <w:w w:val="99"/>
              </w:rPr>
              <w:t>Annual Report on Form 20-F/A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December 4, 2009</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2"/>
              </w:rPr>
              <w:t>December 31, 2008, File No. 0-21392, as Exhibit 4.88</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99"/>
        </w:trPr>
        <w:tc>
          <w:tcPr>
            <w:tcW w:w="3980" w:type="dxa"/>
            <w:vAlign w:val="bottom"/>
          </w:tcPr>
          <w:p>
            <w:pPr>
              <w:spacing w:after="0"/>
              <w:rPr>
                <w:sz w:val="20"/>
                <w:szCs w:val="20"/>
                <w:color w:val="auto"/>
              </w:rPr>
            </w:pPr>
            <w:r>
              <w:rPr>
                <w:rFonts w:ascii="Arial" w:cs="Arial" w:eastAsia="Arial" w:hAnsi="Arial"/>
                <w:sz w:val="18"/>
                <w:szCs w:val="18"/>
                <w:color w:val="auto"/>
              </w:rPr>
              <w:t>Annual Report on Form 20-F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October 22, 2009</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2"/>
              </w:rPr>
              <w:t>December 31, 2008, File No. 0-21392, as Exhibit 4.94</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26"/>
        </w:trPr>
        <w:tc>
          <w:tcPr>
            <w:tcW w:w="3980" w:type="dxa"/>
            <w:vAlign w:val="bottom"/>
          </w:tcPr>
          <w:p>
            <w:pPr>
              <w:spacing w:after="0"/>
              <w:rPr>
                <w:sz w:val="20"/>
                <w:szCs w:val="20"/>
                <w:color w:val="auto"/>
              </w:rPr>
            </w:pPr>
            <w:r>
              <w:rPr>
                <w:rFonts w:ascii="Arial" w:cs="Arial" w:eastAsia="Arial" w:hAnsi="Arial"/>
                <w:sz w:val="18"/>
                <w:szCs w:val="18"/>
                <w:color w:val="auto"/>
                <w:w w:val="98"/>
              </w:rPr>
              <w:t>Registration Statement on Form F-1, File No. 333-</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December 14, 2009</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163704, as Exhibit 4.105</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742"/>
        </w:trPr>
        <w:tc>
          <w:tcPr>
            <w:tcW w:w="3980" w:type="dxa"/>
            <w:vAlign w:val="bottom"/>
          </w:tcPr>
          <w:p>
            <w:pPr>
              <w:spacing w:after="0"/>
              <w:rPr>
                <w:sz w:val="20"/>
                <w:szCs w:val="20"/>
                <w:color w:val="auto"/>
              </w:rPr>
            </w:pPr>
            <w:r>
              <w:rPr>
                <w:rFonts w:ascii="Arial" w:cs="Arial" w:eastAsia="Arial" w:hAnsi="Arial"/>
                <w:sz w:val="18"/>
                <w:szCs w:val="18"/>
                <w:color w:val="auto"/>
              </w:rPr>
              <w:t>Annual Report on Form 20-F for the year ended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October 22, 2009</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2"/>
              </w:rPr>
              <w:t>December 31, 2008, File No. 0-21392, as Exhibit 4.97</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508" w:lineRule="exact"/>
        <w:rPr>
          <w:sz w:val="20"/>
          <w:szCs w:val="20"/>
          <w:color w:val="auto"/>
        </w:rPr>
      </w:pPr>
    </w:p>
    <w:p>
      <w:pPr>
        <w:sectPr>
          <w:pgSz w:w="11900" w:h="16838" w:orient="portrait"/>
          <w:cols w:equalWidth="0" w:num="2">
            <w:col w:w="5180" w:space="140"/>
            <w:col w:w="6100"/>
          </w:cols>
          <w:pgMar w:left="240" w:top="343"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10.32</w:t>
            </w:r>
          </w:p>
        </w:tc>
        <w:tc>
          <w:tcPr>
            <w:tcW w:w="3360" w:type="dxa"/>
            <w:vAlign w:val="bottom"/>
            <w:tcBorders>
              <w:bottom w:val="single" w:sz="8" w:color="0000EE"/>
            </w:tcBorders>
            <w:gridSpan w:val="5"/>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Management Rights Deed of Agreement dated</w:t>
              </w:r>
            </w:hyperlink>
          </w:p>
        </w:tc>
        <w:tc>
          <w:tcPr>
            <w:tcW w:w="620" w:type="dxa"/>
            <w:vAlign w:val="bottom"/>
            <w:gridSpan w:val="7"/>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36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October 16, 2009 by and among the Company and</w:t>
              </w:r>
            </w:hyperlink>
          </w:p>
        </w:tc>
        <w:tc>
          <w:tcPr>
            <w:tcW w:w="340" w:type="dxa"/>
            <w:vAlign w:val="bottom"/>
            <w:gridSpan w:val="4"/>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8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55">
              <w:r>
                <w:rPr>
                  <w:rFonts w:ascii="Arial" w:cs="Arial" w:eastAsia="Arial" w:hAnsi="Arial"/>
                  <w:sz w:val="18"/>
                  <w:szCs w:val="18"/>
                  <w:color w:val="0000EE"/>
                  <w:w w:val="87"/>
                </w:rPr>
                <w:t>Purchasers named therein</w:t>
              </w:r>
            </w:hyperlink>
          </w:p>
        </w:tc>
        <w:tc>
          <w:tcPr>
            <w:tcW w:w="2120" w:type="dxa"/>
            <w:vAlign w:val="bottom"/>
            <w:gridSpan w:val="9"/>
          </w:tcPr>
          <w:p>
            <w:pPr>
              <w:spacing w:after="0"/>
              <w:rPr>
                <w:sz w:val="17"/>
                <w:szCs w:val="17"/>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10.33</w:t>
            </w:r>
          </w:p>
        </w:tc>
        <w:tc>
          <w:tcPr>
            <w:tcW w:w="3920" w:type="dxa"/>
            <w:vAlign w:val="bottom"/>
            <w:tcBorders>
              <w:bottom w:val="single" w:sz="8" w:color="0000EE"/>
            </w:tcBorders>
            <w:gridSpan w:val="11"/>
          </w:tcPr>
          <w:p>
            <w:pPr>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Supply Agreement, dated November 1, 2010, between</w:t>
              </w:r>
            </w:hyperlink>
          </w:p>
        </w:tc>
        <w:tc>
          <w:tcPr>
            <w:tcW w:w="6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36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Nisshin Pharma Inc. and Amarin Pharmaceuticals</w:t>
              </w:r>
            </w:hyperlink>
          </w:p>
        </w:tc>
        <w:tc>
          <w:tcPr>
            <w:tcW w:w="380" w:type="dxa"/>
            <w:vAlign w:val="bottom"/>
            <w:gridSpan w:val="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36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Ireland Limited ††</w:t>
              </w:r>
            </w:hyperlink>
          </w:p>
        </w:tc>
        <w:tc>
          <w:tcPr>
            <w:tcW w:w="2620" w:type="dxa"/>
            <w:vAlign w:val="bottom"/>
            <w:gridSpan w:val="11"/>
          </w:tcPr>
          <w:p>
            <w:pPr>
              <w:spacing w:after="0"/>
              <w:rPr>
                <w:sz w:val="17"/>
                <w:szCs w:val="17"/>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10.34</w:t>
            </w:r>
          </w:p>
        </w:tc>
        <w:tc>
          <w:tcPr>
            <w:tcW w:w="3760" w:type="dxa"/>
            <w:vAlign w:val="bottom"/>
            <w:tcBorders>
              <w:bottom w:val="single" w:sz="8" w:color="0000EE"/>
            </w:tcBorders>
            <w:gridSpan w:val="9"/>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API Commercial Supply Agreement, dated May 25,</w:t>
              </w:r>
            </w:hyperlink>
          </w:p>
        </w:tc>
        <w:tc>
          <w:tcPr>
            <w:tcW w:w="22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37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2011, between Amarin Pharmaceuticals Ireland Ltd.</w:t>
              </w:r>
            </w:hyperlink>
          </w:p>
        </w:tc>
        <w:tc>
          <w:tcPr>
            <w:tcW w:w="22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and Chemport Inc. ††</w:t>
              </w:r>
            </w:hyperlink>
          </w:p>
        </w:tc>
        <w:tc>
          <w:tcPr>
            <w:tcW w:w="2400" w:type="dxa"/>
            <w:vAlign w:val="bottom"/>
            <w:gridSpan w:val="10"/>
          </w:tcPr>
          <w:p>
            <w:pPr>
              <w:spacing w:after="0"/>
              <w:rPr>
                <w:sz w:val="17"/>
                <w:szCs w:val="17"/>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10.35</w:t>
            </w:r>
          </w:p>
        </w:tc>
        <w:tc>
          <w:tcPr>
            <w:tcW w:w="3980" w:type="dxa"/>
            <w:vAlign w:val="bottom"/>
            <w:tcBorders>
              <w:bottom w:val="single" w:sz="8" w:color="0000EE"/>
            </w:tcBorders>
            <w:gridSpan w:val="12"/>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Amendment to API Commercial Supply Agreement by</w:t>
              </w:r>
            </w:hyperlink>
          </w:p>
        </w:tc>
      </w:tr>
      <w:tr>
        <w:trPr>
          <w:trHeight w:val="196"/>
        </w:trPr>
        <w:tc>
          <w:tcPr>
            <w:tcW w:w="1180" w:type="dxa"/>
            <w:vAlign w:val="bottom"/>
          </w:tcPr>
          <w:p>
            <w:pPr>
              <w:spacing w:after="0"/>
              <w:rPr>
                <w:sz w:val="17"/>
                <w:szCs w:val="17"/>
                <w:color w:val="auto"/>
              </w:rPr>
            </w:pPr>
          </w:p>
        </w:tc>
        <w:tc>
          <w:tcPr>
            <w:tcW w:w="3980" w:type="dxa"/>
            <w:vAlign w:val="bottom"/>
            <w:gridSpan w:val="12"/>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and between Amarin Pharmaceuticals Ireland Ltd and</w:t>
              </w:r>
            </w:hyperlink>
          </w:p>
        </w:tc>
      </w:tr>
      <w:tr>
        <w:trPr>
          <w:trHeight w:val="196"/>
        </w:trPr>
        <w:tc>
          <w:tcPr>
            <w:tcW w:w="118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Chemport Inc., dated April 4, 2012 ††</w:t>
              </w:r>
            </w:hyperlink>
          </w:p>
        </w:tc>
        <w:tc>
          <w:tcPr>
            <w:tcW w:w="116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10.36</w:t>
            </w:r>
          </w:p>
        </w:tc>
        <w:tc>
          <w:tcPr>
            <w:tcW w:w="3480" w:type="dxa"/>
            <w:vAlign w:val="bottom"/>
            <w:tcBorders>
              <w:bottom w:val="single" w:sz="8" w:color="0000EE"/>
            </w:tcBorders>
            <w:gridSpan w:val="6"/>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Second Amendment to API Commercial Supply</w:t>
              </w:r>
            </w:hyperlink>
          </w:p>
        </w:tc>
        <w:tc>
          <w:tcPr>
            <w:tcW w:w="50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38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Agreement by and between Amarin Pharmaceuticals</w:t>
              </w:r>
            </w:hyperlink>
          </w:p>
        </w:tc>
        <w:tc>
          <w:tcPr>
            <w:tcW w:w="18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3980" w:type="dxa"/>
            <w:vAlign w:val="bottom"/>
            <w:gridSpan w:val="12"/>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Ireland Ltd. and Chemport Inc., dated July 19, 2012††</w:t>
              </w:r>
            </w:hyperlink>
          </w:p>
        </w:tc>
      </w:tr>
      <w:tr>
        <w:trPr>
          <w:trHeight w:val="20"/>
        </w:trPr>
        <w:tc>
          <w:tcPr>
            <w:tcW w:w="11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4060" w:val="left"/>
        </w:tabs>
        <w:rPr>
          <w:sz w:val="20"/>
          <w:szCs w:val="20"/>
          <w:color w:val="auto"/>
        </w:rPr>
      </w:pPr>
      <w:r>
        <w:rPr>
          <w:rFonts w:ascii="Arial" w:cs="Arial" w:eastAsia="Arial" w:hAnsi="Arial"/>
          <w:sz w:val="18"/>
          <w:szCs w:val="18"/>
          <w:color w:val="auto"/>
        </w:rPr>
        <w:t>Annual Report on Form 20-F for the year ended</w:t>
      </w:r>
      <w:r>
        <w:rPr>
          <w:sz w:val="20"/>
          <w:szCs w:val="20"/>
          <w:color w:val="auto"/>
        </w:rPr>
        <w:tab/>
      </w:r>
      <w:r>
        <w:rPr>
          <w:rFonts w:ascii="Arial" w:cs="Arial" w:eastAsia="Arial" w:hAnsi="Arial"/>
          <w:sz w:val="16"/>
          <w:szCs w:val="16"/>
          <w:color w:val="auto"/>
        </w:rPr>
        <w:t>June 25, 2010</w:t>
      </w:r>
    </w:p>
    <w:p>
      <w:pPr>
        <w:spacing w:after="0" w:line="23" w:lineRule="exact"/>
        <w:rPr>
          <w:sz w:val="20"/>
          <w:szCs w:val="20"/>
          <w:color w:val="auto"/>
        </w:rPr>
      </w:pPr>
    </w:p>
    <w:p>
      <w:pPr>
        <w:ind w:right="2540"/>
        <w:spacing w:after="0" w:line="261" w:lineRule="auto"/>
        <w:rPr>
          <w:sz w:val="20"/>
          <w:szCs w:val="20"/>
          <w:color w:val="auto"/>
        </w:rPr>
      </w:pPr>
      <w:r>
        <w:rPr>
          <w:rFonts w:ascii="Arial" w:cs="Arial" w:eastAsia="Arial" w:hAnsi="Arial"/>
          <w:sz w:val="18"/>
          <w:szCs w:val="18"/>
          <w:color w:val="auto"/>
        </w:rPr>
        <w:t>December 31, 2009, File No. 0-21392, as Exhibit 4.100</w:t>
      </w:r>
    </w:p>
    <w:p>
      <w:pPr>
        <w:spacing w:after="0" w:line="76"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23" w:lineRule="exact"/>
        <w:rPr>
          <w:sz w:val="20"/>
          <w:szCs w:val="20"/>
          <w:color w:val="auto"/>
        </w:rPr>
      </w:pPr>
    </w:p>
    <w:p>
      <w:pPr>
        <w:ind w:right="2540"/>
        <w:spacing w:after="0" w:line="261" w:lineRule="auto"/>
        <w:rPr>
          <w:sz w:val="20"/>
          <w:szCs w:val="20"/>
          <w:color w:val="auto"/>
        </w:rPr>
      </w:pPr>
      <w:r>
        <w:rPr>
          <w:rFonts w:ascii="Arial" w:cs="Arial" w:eastAsia="Arial" w:hAnsi="Arial"/>
          <w:sz w:val="18"/>
          <w:szCs w:val="18"/>
          <w:color w:val="auto"/>
        </w:rPr>
        <w:t>December 31, 2010, File No. 0-21392, as Exhibit 10.40</w:t>
      </w:r>
    </w:p>
    <w:p>
      <w:pPr>
        <w:spacing w:after="0" w:line="7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Quarterly Report on Form 10-Q for the period ended August 9, 2011 June 30, 2011, File No. 0-21392, as Exhibit 10.2</w:t>
      </w:r>
    </w:p>
    <w:p>
      <w:pPr>
        <w:spacing w:after="0" w:line="2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Quarterly Report on Form 10-Q for quarterly period August 8, 2008 ended June 30, 2012, File No. 0-21392, as Exhibit 10.6</w:t>
      </w:r>
    </w:p>
    <w:p>
      <w:pPr>
        <w:spacing w:after="0" w:line="279" w:lineRule="exact"/>
        <w:rPr>
          <w:sz w:val="20"/>
          <w:szCs w:val="20"/>
          <w:color w:val="auto"/>
        </w:rPr>
      </w:pPr>
    </w:p>
    <w:p>
      <w:pPr>
        <w:ind w:right="660"/>
        <w:spacing w:after="0" w:line="272" w:lineRule="auto"/>
        <w:rPr>
          <w:sz w:val="20"/>
          <w:szCs w:val="20"/>
          <w:color w:val="auto"/>
        </w:rPr>
      </w:pPr>
      <w:r>
        <w:rPr>
          <w:rFonts w:ascii="Arial" w:cs="Arial" w:eastAsia="Arial" w:hAnsi="Arial"/>
          <w:sz w:val="18"/>
          <w:szCs w:val="18"/>
          <w:color w:val="auto"/>
        </w:rPr>
        <w:t>Quarterly Report on Form 10-Q for quarterly period November 8, 2012 ended September 30, 2012, File No. 0-21392, as Exhibit 10.1</w:t>
      </w:r>
    </w:p>
    <w:p>
      <w:pPr>
        <w:spacing w:after="0" w:line="200" w:lineRule="exact"/>
        <w:rPr>
          <w:sz w:val="20"/>
          <w:szCs w:val="20"/>
          <w:color w:val="auto"/>
        </w:rPr>
      </w:pP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5160" w:space="160"/>
            <w:col w:w="6100"/>
          </w:cols>
          <w:pgMar w:left="240" w:top="343"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Exhibit</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Number</w:t>
            </w:r>
          </w:p>
        </w:tc>
        <w:tc>
          <w:tcPr>
            <w:tcW w:w="1220" w:type="dxa"/>
            <w:vAlign w:val="bottom"/>
          </w:tcPr>
          <w:p>
            <w:pPr>
              <w:spacing w:after="0"/>
              <w:rPr>
                <w:sz w:val="14"/>
                <w:szCs w:val="14"/>
                <w:color w:val="auto"/>
              </w:rPr>
            </w:pPr>
          </w:p>
        </w:tc>
        <w:tc>
          <w:tcPr>
            <w:tcW w:w="2780" w:type="dxa"/>
            <w:vAlign w:val="bottom"/>
            <w:gridSpan w:val="8"/>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tcBorders>
          </w:tcPr>
          <w:p>
            <w:pPr>
              <w:jc w:val="right"/>
              <w:ind w:right="545"/>
              <w:spacing w:after="0" w:line="170" w:lineRule="exact"/>
              <w:rPr>
                <w:sz w:val="20"/>
                <w:szCs w:val="20"/>
                <w:color w:val="auto"/>
              </w:rPr>
            </w:pPr>
            <w:r>
              <w:rPr>
                <w:rFonts w:ascii="Arial" w:cs="Arial" w:eastAsia="Arial" w:hAnsi="Arial"/>
                <w:sz w:val="18"/>
                <w:szCs w:val="18"/>
                <w:color w:val="auto"/>
                <w:w w:val="84"/>
              </w:rPr>
              <w:t>10.37</w:t>
            </w:r>
          </w:p>
        </w:tc>
        <w:tc>
          <w:tcPr>
            <w:tcW w:w="140" w:type="dxa"/>
            <w:vAlign w:val="bottom"/>
          </w:tcPr>
          <w:p>
            <w:pPr>
              <w:spacing w:after="0"/>
              <w:rPr>
                <w:sz w:val="14"/>
                <w:szCs w:val="14"/>
                <w:color w:val="auto"/>
              </w:rPr>
            </w:pPr>
          </w:p>
        </w:tc>
        <w:tc>
          <w:tcPr>
            <w:tcW w:w="4000" w:type="dxa"/>
            <w:vAlign w:val="bottom"/>
            <w:tcBorders>
              <w:top w:val="single" w:sz="8" w:color="auto"/>
            </w:tcBorders>
            <w:gridSpan w:val="9"/>
          </w:tcPr>
          <w:p>
            <w:pPr>
              <w:spacing w:after="0" w:line="170" w:lineRule="exact"/>
              <w:rPr>
                <w:rFonts w:ascii="Arial" w:cs="Arial" w:eastAsia="Arial" w:hAnsi="Arial"/>
                <w:sz w:val="18"/>
                <w:szCs w:val="18"/>
                <w:color w:val="0000EE"/>
                <w:w w:val="97"/>
              </w:rPr>
            </w:pPr>
            <w:hyperlink r:id="rId161">
              <w:r>
                <w:rPr>
                  <w:rFonts w:ascii="Arial" w:cs="Arial" w:eastAsia="Arial" w:hAnsi="Arial"/>
                  <w:sz w:val="18"/>
                  <w:szCs w:val="18"/>
                  <w:color w:val="0000EE"/>
                  <w:w w:val="97"/>
                </w:rPr>
                <w:t>Purchase and Sale Agreement, dated December 6,</w:t>
              </w:r>
            </w:hyperlink>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2012, by and between Amarin Corporation plc, Amarin</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Pharmaceuticals Ireland Limited and BioPharma</w:t>
              </w:r>
            </w:hyperlink>
          </w:p>
        </w:tc>
        <w:tc>
          <w:tcPr>
            <w:tcW w:w="48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9"/>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Secured Debt Fund II Holdings Cayman LP††</w:t>
              </w:r>
            </w:hyperlink>
          </w:p>
        </w:tc>
      </w:tr>
      <w:tr>
        <w:trPr>
          <w:trHeight w:val="20"/>
        </w:trPr>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040" w:type="dxa"/>
            <w:vAlign w:val="bottom"/>
            <w:gridSpan w:val="2"/>
          </w:tcPr>
          <w:p>
            <w:pPr>
              <w:jc w:val="right"/>
              <w:ind w:right="545"/>
              <w:spacing w:after="0"/>
              <w:rPr>
                <w:sz w:val="20"/>
                <w:szCs w:val="20"/>
                <w:color w:val="auto"/>
              </w:rPr>
            </w:pPr>
            <w:r>
              <w:rPr>
                <w:rFonts w:ascii="Arial" w:cs="Arial" w:eastAsia="Arial" w:hAnsi="Arial"/>
                <w:sz w:val="18"/>
                <w:szCs w:val="18"/>
                <w:color w:val="auto"/>
                <w:w w:val="88"/>
              </w:rPr>
              <w:t>10.38</w:t>
            </w:r>
          </w:p>
        </w:tc>
        <w:tc>
          <w:tcPr>
            <w:tcW w:w="140" w:type="dxa"/>
            <w:vAlign w:val="bottom"/>
          </w:tcPr>
          <w:p>
            <w:pPr>
              <w:spacing w:after="0"/>
              <w:rPr>
                <w:sz w:val="24"/>
                <w:szCs w:val="24"/>
                <w:color w:val="auto"/>
              </w:rPr>
            </w:pPr>
          </w:p>
        </w:tc>
        <w:tc>
          <w:tcPr>
            <w:tcW w:w="3780" w:type="dxa"/>
            <w:vAlign w:val="bottom"/>
            <w:tcBorders>
              <w:bottom w:val="single" w:sz="8" w:color="0000EE"/>
            </w:tcBorders>
            <w:gridSpan w:val="7"/>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Co-Promotion Agreement dated March 31, 2014, by</w:t>
              </w:r>
            </w:hyperlink>
          </w:p>
        </w:tc>
        <w:tc>
          <w:tcPr>
            <w:tcW w:w="22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and among the Company and Kowa Pharmaceuticals</w:t>
              </w:r>
            </w:hyperlink>
          </w:p>
        </w:tc>
        <w:tc>
          <w:tcPr>
            <w:tcW w:w="1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America, Inc. ††</w:t>
              </w:r>
            </w:hyperlink>
          </w:p>
        </w:tc>
        <w:tc>
          <w:tcPr>
            <w:tcW w:w="2780" w:type="dxa"/>
            <w:vAlign w:val="bottom"/>
            <w:gridSpan w:val="8"/>
          </w:tcPr>
          <w:p>
            <w:pPr>
              <w:spacing w:after="0"/>
              <w:rPr>
                <w:sz w:val="17"/>
                <w:szCs w:val="17"/>
                <w:color w:val="auto"/>
              </w:rPr>
            </w:pPr>
          </w:p>
        </w:tc>
      </w:tr>
      <w:tr>
        <w:trPr>
          <w:trHeight w:val="304"/>
        </w:trPr>
        <w:tc>
          <w:tcPr>
            <w:tcW w:w="1040" w:type="dxa"/>
            <w:vAlign w:val="bottom"/>
            <w:gridSpan w:val="2"/>
          </w:tcPr>
          <w:p>
            <w:pPr>
              <w:jc w:val="right"/>
              <w:ind w:right="545"/>
              <w:spacing w:after="0"/>
              <w:rPr>
                <w:sz w:val="20"/>
                <w:szCs w:val="20"/>
                <w:color w:val="auto"/>
              </w:rPr>
            </w:pPr>
            <w:r>
              <w:rPr>
                <w:rFonts w:ascii="Arial" w:cs="Arial" w:eastAsia="Arial" w:hAnsi="Arial"/>
                <w:sz w:val="18"/>
                <w:szCs w:val="18"/>
                <w:color w:val="auto"/>
                <w:w w:val="88"/>
              </w:rPr>
              <w:t>10.39</w:t>
            </w:r>
          </w:p>
        </w:tc>
        <w:tc>
          <w:tcPr>
            <w:tcW w:w="14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EE"/>
              </w:rPr>
            </w:pPr>
            <w:hyperlink r:id="rId163">
              <w:r>
                <w:rPr>
                  <w:rFonts w:ascii="Arial" w:cs="Arial" w:eastAsia="Arial" w:hAnsi="Arial"/>
                  <w:sz w:val="18"/>
                  <w:szCs w:val="18"/>
                  <w:color w:val="0000EE"/>
                </w:rPr>
                <w:t>Development, Commercialization and Supply</w:t>
              </w:r>
            </w:hyperlink>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9"/>
          </w:tcPr>
          <w:p>
            <w:pPr>
              <w:spacing w:after="0" w:line="196" w:lineRule="exact"/>
              <w:rPr>
                <w:rFonts w:ascii="Arial" w:cs="Arial" w:eastAsia="Arial" w:hAnsi="Arial"/>
                <w:sz w:val="18"/>
                <w:szCs w:val="18"/>
                <w:color w:val="0000EE"/>
                <w:w w:val="93"/>
              </w:rPr>
            </w:pPr>
            <w:hyperlink r:id="rId163">
              <w:r>
                <w:rPr>
                  <w:rFonts w:ascii="Arial" w:cs="Arial" w:eastAsia="Arial" w:hAnsi="Arial"/>
                  <w:sz w:val="18"/>
                  <w:szCs w:val="18"/>
                  <w:color w:val="0000EE"/>
                  <w:w w:val="93"/>
                </w:rPr>
                <w:t>Agreement dated February 26, 2015, by and between</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r:id="rId163">
              <w:r>
                <w:rPr>
                  <w:rFonts w:ascii="Arial" w:cs="Arial" w:eastAsia="Arial" w:hAnsi="Arial"/>
                  <w:sz w:val="18"/>
                  <w:szCs w:val="18"/>
                  <w:color w:val="0000EE"/>
                  <w:w w:val="98"/>
                </w:rPr>
                <w:t>Amarin Pharmaceuticals Ireland Limited, Amarin</w:t>
              </w:r>
            </w:hyperlink>
          </w:p>
        </w:tc>
        <w:tc>
          <w:tcPr>
            <w:tcW w:w="1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Pharma, Inc. and Eddingpharm (Asia) Macao</w:t>
              </w:r>
            </w:hyperlink>
          </w:p>
        </w:tc>
        <w:tc>
          <w:tcPr>
            <w:tcW w:w="300" w:type="dxa"/>
            <w:vAlign w:val="bottom"/>
            <w:tcBorders>
              <w:top w:val="single" w:sz="8" w:color="0000EE"/>
            </w:tcBorders>
            <w:gridSpan w:val="2"/>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9"/>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Commercial Offshore Limited††</w:t>
              </w:r>
            </w:hyperlink>
          </w:p>
        </w:tc>
      </w:tr>
      <w:tr>
        <w:trPr>
          <w:trHeight w:val="20"/>
        </w:trPr>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277"/>
        </w:trPr>
        <w:tc>
          <w:tcPr>
            <w:tcW w:w="1040" w:type="dxa"/>
            <w:vAlign w:val="bottom"/>
            <w:gridSpan w:val="2"/>
          </w:tcPr>
          <w:p>
            <w:pPr>
              <w:jc w:val="right"/>
              <w:ind w:right="545"/>
              <w:spacing w:after="0"/>
              <w:rPr>
                <w:sz w:val="20"/>
                <w:szCs w:val="20"/>
                <w:color w:val="auto"/>
              </w:rPr>
            </w:pPr>
            <w:r>
              <w:rPr>
                <w:rFonts w:ascii="Arial" w:cs="Arial" w:eastAsia="Arial" w:hAnsi="Arial"/>
                <w:sz w:val="18"/>
                <w:szCs w:val="18"/>
                <w:color w:val="auto"/>
                <w:w w:val="88"/>
              </w:rPr>
              <w:t>10.40</w:t>
            </w:r>
          </w:p>
        </w:tc>
        <w:tc>
          <w:tcPr>
            <w:tcW w:w="14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Securities Subscription Agreement dated March 5,</w:t>
              </w:r>
            </w:hyperlink>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gridSpan w:val="6"/>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2015, by and among Amarin Corporation plc, 667,</w:t>
              </w:r>
            </w:hyperlink>
          </w:p>
        </w:tc>
        <w:tc>
          <w:tcPr>
            <w:tcW w:w="3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9"/>
          </w:tcPr>
          <w:p>
            <w:pPr>
              <w:spacing w:after="0" w:line="196" w:lineRule="exact"/>
              <w:rPr>
                <w:rFonts w:ascii="Arial" w:cs="Arial" w:eastAsia="Arial" w:hAnsi="Arial"/>
                <w:sz w:val="18"/>
                <w:szCs w:val="18"/>
                <w:color w:val="0000EE"/>
                <w:w w:val="97"/>
              </w:rPr>
            </w:pPr>
            <w:hyperlink r:id="rId164">
              <w:r>
                <w:rPr>
                  <w:rFonts w:ascii="Arial" w:cs="Arial" w:eastAsia="Arial" w:hAnsi="Arial"/>
                  <w:sz w:val="18"/>
                  <w:szCs w:val="18"/>
                  <w:color w:val="0000EE"/>
                  <w:w w:val="97"/>
                </w:rPr>
                <w:t>L.P., Baker Brothers Life Sciences, L.P., Stonepine</w:t>
              </w:r>
            </w:hyperlink>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9"/>
          </w:tcPr>
          <w:p>
            <w:pPr>
              <w:spacing w:after="0" w:line="196" w:lineRule="exact"/>
              <w:rPr>
                <w:rFonts w:ascii="Arial" w:cs="Arial" w:eastAsia="Arial" w:hAnsi="Arial"/>
                <w:sz w:val="18"/>
                <w:szCs w:val="18"/>
                <w:color w:val="0000EE"/>
                <w:w w:val="98"/>
              </w:rPr>
            </w:pPr>
            <w:hyperlink r:id="rId164">
              <w:r>
                <w:rPr>
                  <w:rFonts w:ascii="Arial" w:cs="Arial" w:eastAsia="Arial" w:hAnsi="Arial"/>
                  <w:sz w:val="18"/>
                  <w:szCs w:val="18"/>
                  <w:color w:val="0000EE"/>
                  <w:w w:val="98"/>
                </w:rPr>
                <w:t>Capital, L.P. and Broadfin Healthcare Master Fund</w:t>
              </w:r>
            </w:hyperlink>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2"/>
        </w:trPr>
        <w:tc>
          <w:tcPr>
            <w:tcW w:w="3980" w:type="dxa"/>
            <w:vAlign w:val="bottom"/>
            <w:tcBorders>
              <w:top w:val="single" w:sz="8" w:color="auto"/>
              <w:bottom w:val="single" w:sz="8" w:color="auto"/>
            </w:tcBorders>
          </w:tcPr>
          <w:p>
            <w:pPr>
              <w:ind w:left="182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tcPr>
          <w:p>
            <w:pPr>
              <w:spacing w:after="0"/>
              <w:rPr>
                <w:sz w:val="12"/>
                <w:szCs w:val="12"/>
                <w:color w:val="auto"/>
              </w:rPr>
            </w:pPr>
          </w:p>
        </w:tc>
        <w:tc>
          <w:tcPr>
            <w:tcW w:w="2020" w:type="dxa"/>
            <w:vAlign w:val="bottom"/>
            <w:tcBorders>
              <w:top w:val="single" w:sz="8" w:color="auto"/>
              <w:bottom w:val="single" w:sz="8" w:color="auto"/>
            </w:tcBorders>
          </w:tcPr>
          <w:p>
            <w:pPr>
              <w:ind w:left="880"/>
              <w:spacing w:after="0" w:line="142" w:lineRule="exact"/>
              <w:rPr>
                <w:sz w:val="20"/>
                <w:szCs w:val="20"/>
                <w:color w:val="auto"/>
              </w:rPr>
            </w:pPr>
            <w:r>
              <w:rPr>
                <w:rFonts w:ascii="Arial" w:cs="Arial" w:eastAsia="Arial" w:hAnsi="Arial"/>
                <w:sz w:val="14"/>
                <w:szCs w:val="14"/>
                <w:b w:val="1"/>
                <w:bCs w:val="1"/>
                <w:color w:val="auto"/>
              </w:rPr>
              <w:t>Date</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color w:val="auto"/>
              </w:rPr>
              <w:t>Annual Report on Form 10-K for the year ended</w:t>
            </w:r>
          </w:p>
        </w:tc>
        <w:tc>
          <w:tcPr>
            <w:tcW w:w="100" w:type="dxa"/>
            <w:vAlign w:val="bottom"/>
          </w:tcPr>
          <w:p>
            <w:pPr>
              <w:spacing w:after="0"/>
              <w:rPr>
                <w:sz w:val="16"/>
                <w:szCs w:val="16"/>
                <w:color w:val="auto"/>
              </w:rPr>
            </w:pPr>
          </w:p>
        </w:tc>
        <w:tc>
          <w:tcPr>
            <w:tcW w:w="2020" w:type="dxa"/>
            <w:vAlign w:val="bottom"/>
          </w:tcPr>
          <w:p>
            <w:pPr>
              <w:spacing w:after="0" w:line="195" w:lineRule="exact"/>
              <w:rPr>
                <w:sz w:val="20"/>
                <w:szCs w:val="20"/>
                <w:color w:val="auto"/>
              </w:rPr>
            </w:pPr>
            <w:r>
              <w:rPr>
                <w:rFonts w:ascii="Arial" w:cs="Arial" w:eastAsia="Arial" w:hAnsi="Arial"/>
                <w:sz w:val="18"/>
                <w:szCs w:val="18"/>
                <w:color w:val="auto"/>
              </w:rPr>
              <w:t>February 28, 2012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December 31, 2012, File No. 0-21392, as Exhibit</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26"/>
        </w:trPr>
        <w:tc>
          <w:tcPr>
            <w:tcW w:w="3980" w:type="dxa"/>
            <w:vAlign w:val="bottom"/>
          </w:tcPr>
          <w:p>
            <w:pPr>
              <w:spacing w:after="0"/>
              <w:rPr>
                <w:sz w:val="20"/>
                <w:szCs w:val="20"/>
                <w:color w:val="auto"/>
              </w:rPr>
            </w:pPr>
            <w:r>
              <w:rPr>
                <w:rFonts w:ascii="Arial" w:cs="Arial" w:eastAsia="Arial" w:hAnsi="Arial"/>
                <w:sz w:val="18"/>
                <w:szCs w:val="18"/>
                <w:color w:val="auto"/>
                <w:w w:val="97"/>
              </w:rPr>
              <w:t>Quarterly Report on Form 10-Q for quarterly period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May 9, 2014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ended March 31, 2014, File No. 0-21392, 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Exhibit 10.1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rPr>
              <w:t>Quarterly Report on Form 10-Q for the quarterly</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May 8, 2015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7"/>
              </w:rPr>
              <w:t>period ended March 31, 2015, File No. 0-21392, 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Exhibit 10.1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00" w:lineRule="exact"/>
        <w:rPr>
          <w:sz w:val="20"/>
          <w:szCs w:val="20"/>
          <w:color w:val="auto"/>
        </w:rPr>
      </w:pPr>
    </w:p>
    <w:p>
      <w:pPr>
        <w:spacing w:after="0" w:line="29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Current Report on Form 8-K dated March 5, 2015, File March 11, 2015 No. 0-21392, File No. 0-21392, as Exhibit 10.1</w:t>
      </w:r>
    </w:p>
    <w:p>
      <w:pPr>
        <w:spacing w:after="0" w:line="477" w:lineRule="exact"/>
        <w:rPr>
          <w:sz w:val="20"/>
          <w:szCs w:val="20"/>
          <w:color w:val="auto"/>
        </w:rPr>
      </w:pPr>
    </w:p>
    <w:p>
      <w:pPr>
        <w:sectPr>
          <w:pgSz w:w="11900" w:h="16838" w:orient="portrait"/>
          <w:cols w:equalWidth="0" w:num="2">
            <w:col w:w="5180" w:space="140"/>
            <w:col w:w="6100"/>
          </w:cols>
          <w:pgMar w:left="240" w:top="343"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10.41</w:t>
            </w:r>
          </w:p>
        </w:tc>
        <w:tc>
          <w:tcPr>
            <w:tcW w:w="3740" w:type="dxa"/>
            <w:vAlign w:val="bottom"/>
            <w:tcBorders>
              <w:bottom w:val="single" w:sz="8" w:color="0000EE"/>
            </w:tcBorders>
            <w:gridSpan w:val="12"/>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Securities Subscription Agreement dated March 30,</w:t>
              </w:r>
            </w:hyperlink>
          </w:p>
        </w:tc>
        <w:tc>
          <w:tcPr>
            <w:tcW w:w="260" w:type="dxa"/>
            <w:vAlign w:val="bottom"/>
            <w:gridSpan w:val="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w w:val="99"/>
              </w:rPr>
            </w:pPr>
            <w:hyperlink r:id="rId165">
              <w:r>
                <w:rPr>
                  <w:rFonts w:ascii="Arial" w:cs="Arial" w:eastAsia="Arial" w:hAnsi="Arial"/>
                  <w:sz w:val="18"/>
                  <w:szCs w:val="18"/>
                  <w:color w:val="0000EE"/>
                  <w:w w:val="99"/>
                </w:rPr>
                <w:t>2015, by and between Amarin Corporation plc and</w:t>
              </w:r>
            </w:hyperlink>
          </w:p>
        </w:tc>
      </w:tr>
      <w:tr>
        <w:trPr>
          <w:trHeight w:val="196"/>
        </w:trPr>
        <w:tc>
          <w:tcPr>
            <w:tcW w:w="1180" w:type="dxa"/>
            <w:vAlign w:val="bottom"/>
          </w:tcPr>
          <w:p>
            <w:pPr>
              <w:spacing w:after="0"/>
              <w:rPr>
                <w:sz w:val="17"/>
                <w:szCs w:val="17"/>
                <w:color w:val="auto"/>
              </w:rPr>
            </w:pPr>
          </w:p>
        </w:tc>
        <w:tc>
          <w:tcPr>
            <w:tcW w:w="36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Sofinnova Venture Partners VII, L.P.</w:t>
              </w:r>
            </w:hyperlink>
          </w:p>
        </w:tc>
        <w:tc>
          <w:tcPr>
            <w:tcW w:w="340" w:type="dxa"/>
            <w:vAlign w:val="bottom"/>
            <w:gridSpan w:val="7"/>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10.42</w:t>
            </w:r>
          </w:p>
        </w:tc>
        <w:tc>
          <w:tcPr>
            <w:tcW w:w="3940" w:type="dxa"/>
            <w:vAlign w:val="bottom"/>
            <w:tcBorders>
              <w:bottom w:val="single" w:sz="8" w:color="0000EE"/>
            </w:tcBorders>
            <w:gridSpan w:val="15"/>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Letter Agreement, dated May 9, 2016, by and between</w:t>
              </w:r>
            </w:hyperlink>
          </w:p>
        </w:tc>
        <w:tc>
          <w:tcPr>
            <w:tcW w:w="6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31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Amarin Corporation plc and Michael Kalb*</w:t>
              </w:r>
            </w:hyperlink>
          </w:p>
        </w:tc>
        <w:tc>
          <w:tcPr>
            <w:tcW w:w="840" w:type="dxa"/>
            <w:vAlign w:val="bottom"/>
            <w:gridSpan w:val="12"/>
          </w:tcPr>
          <w:p>
            <w:pPr>
              <w:spacing w:after="0"/>
              <w:rPr>
                <w:sz w:val="17"/>
                <w:szCs w:val="17"/>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10.43</w:t>
            </w:r>
          </w:p>
        </w:tc>
        <w:tc>
          <w:tcPr>
            <w:tcW w:w="4000" w:type="dxa"/>
            <w:vAlign w:val="bottom"/>
            <w:gridSpan w:val="17"/>
          </w:tcPr>
          <w:p>
            <w:pPr>
              <w:spacing w:after="0"/>
              <w:rPr>
                <w:rFonts w:ascii="Arial" w:cs="Arial" w:eastAsia="Arial" w:hAnsi="Arial"/>
                <w:sz w:val="18"/>
                <w:szCs w:val="18"/>
                <w:color w:val="0000EE"/>
              </w:rPr>
            </w:pPr>
            <w:hyperlink r:id="rId167">
              <w:r>
                <w:rPr>
                  <w:rFonts w:ascii="Arial" w:cs="Arial" w:eastAsia="Arial" w:hAnsi="Arial"/>
                  <w:sz w:val="18"/>
                  <w:szCs w:val="18"/>
                  <w:color w:val="0000EE"/>
                </w:rPr>
                <w:t>Amendment No. 6 to 2011 Stock Incentive Plan*</w:t>
              </w:r>
            </w:hyperlink>
          </w:p>
        </w:tc>
      </w:tr>
      <w:tr>
        <w:trPr>
          <w:trHeight w:val="736"/>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10.44</w:t>
            </w:r>
          </w:p>
        </w:tc>
        <w:tc>
          <w:tcPr>
            <w:tcW w:w="3540" w:type="dxa"/>
            <w:vAlign w:val="bottom"/>
            <w:tcBorders>
              <w:top w:val="single" w:sz="8" w:color="0000EE"/>
            </w:tcBorders>
            <w:gridSpan w:val="8"/>
          </w:tcPr>
          <w:p>
            <w:pPr>
              <w:spacing w:after="0"/>
              <w:rPr>
                <w:rFonts w:ascii="Arial" w:cs="Arial" w:eastAsia="Arial" w:hAnsi="Arial"/>
                <w:sz w:val="18"/>
                <w:szCs w:val="18"/>
                <w:color w:val="0000EE"/>
              </w:rPr>
            </w:pPr>
            <w:hyperlink r:id="rId168">
              <w:r>
                <w:rPr>
                  <w:rFonts w:ascii="Arial" w:cs="Arial" w:eastAsia="Arial" w:hAnsi="Arial"/>
                  <w:sz w:val="18"/>
                  <w:szCs w:val="18"/>
                  <w:color w:val="0000EE"/>
                </w:rPr>
                <w:t>2017 Employee Stock Purchase Plan*</w:t>
              </w:r>
            </w:hyperlink>
          </w:p>
        </w:tc>
        <w:tc>
          <w:tcPr>
            <w:tcW w:w="460" w:type="dxa"/>
            <w:vAlign w:val="bottom"/>
            <w:gridSpan w:val="9"/>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36"/>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10.45</w:t>
            </w:r>
          </w:p>
        </w:tc>
        <w:tc>
          <w:tcPr>
            <w:tcW w:w="3840" w:type="dxa"/>
            <w:vAlign w:val="bottom"/>
            <w:tcBorders>
              <w:bottom w:val="single" w:sz="8" w:color="0000EE"/>
            </w:tcBorders>
            <w:gridSpan w:val="14"/>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First Amendment to the Co-Promotion Agreement of</w:t>
              </w:r>
            </w:hyperlink>
          </w:p>
        </w:tc>
        <w:tc>
          <w:tcPr>
            <w:tcW w:w="16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March 31, 2014 dated July 25, 2017, by and among</w:t>
              </w:r>
            </w:hyperlink>
          </w:p>
        </w:tc>
        <w:tc>
          <w:tcPr>
            <w:tcW w:w="280" w:type="dxa"/>
            <w:vAlign w:val="bottom"/>
            <w:gridSpan w:val="6"/>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Amarin Pharmaceuticals Ireland Limited, Amarin</w:t>
              </w:r>
            </w:hyperlink>
          </w:p>
        </w:tc>
      </w:tr>
      <w:tr>
        <w:trPr>
          <w:trHeight w:val="20"/>
        </w:trPr>
        <w:tc>
          <w:tcPr>
            <w:tcW w:w="1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0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Pharma, Inc., and Kowa Pharmaceuticals America, Inc.</w:t>
              </w:r>
            </w:hyperlink>
          </w:p>
        </w:tc>
      </w:tr>
      <w:tr>
        <w:trPr>
          <w:trHeight w:val="196"/>
        </w:trPr>
        <w:tc>
          <w:tcPr>
            <w:tcW w:w="118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w:t>
              </w:r>
            </w:hyperlink>
          </w:p>
        </w:tc>
      </w:tr>
      <w:tr>
        <w:trPr>
          <w:trHeight w:val="20"/>
        </w:trPr>
        <w:tc>
          <w:tcPr>
            <w:tcW w:w="1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10.46</w:t>
            </w:r>
          </w:p>
        </w:tc>
        <w:tc>
          <w:tcPr>
            <w:tcW w:w="4000" w:type="dxa"/>
            <w:vAlign w:val="bottom"/>
            <w:gridSpan w:val="17"/>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Consent and Waiver, dated December 20, 2017, by and</w:t>
              </w:r>
            </w:hyperlink>
          </w:p>
        </w:tc>
      </w:tr>
      <w:tr>
        <w:trPr>
          <w:trHeight w:val="196"/>
        </w:trPr>
        <w:tc>
          <w:tcPr>
            <w:tcW w:w="1180" w:type="dxa"/>
            <w:vAlign w:val="bottom"/>
          </w:tcPr>
          <w:p>
            <w:pPr>
              <w:spacing w:after="0"/>
              <w:rPr>
                <w:sz w:val="17"/>
                <w:szCs w:val="17"/>
                <w:color w:val="auto"/>
              </w:rPr>
            </w:pPr>
          </w:p>
        </w:tc>
        <w:tc>
          <w:tcPr>
            <w:tcW w:w="3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among Amarin Pharmaceuticals Ireland Limited,</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w w:val="97"/>
              </w:rPr>
            </w:pPr>
            <w:hyperlink r:id="rId170">
              <w:r>
                <w:rPr>
                  <w:rFonts w:ascii="Arial" w:cs="Arial" w:eastAsia="Arial" w:hAnsi="Arial"/>
                  <w:sz w:val="18"/>
                  <w:szCs w:val="18"/>
                  <w:color w:val="0000EE"/>
                  <w:w w:val="97"/>
                </w:rPr>
                <w:t>Amarin Corporation PLC, BioPharma Secured Debt</w:t>
              </w:r>
            </w:hyperlink>
          </w:p>
        </w:tc>
      </w:tr>
      <w:tr>
        <w:trPr>
          <w:trHeight w:val="196"/>
        </w:trPr>
        <w:tc>
          <w:tcPr>
            <w:tcW w:w="118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Fund II Holdings Cayman LP and Pharmakon</w:t>
              </w:r>
            </w:hyperlink>
          </w:p>
        </w:tc>
        <w:tc>
          <w:tcPr>
            <w:tcW w:w="440" w:type="dxa"/>
            <w:vAlign w:val="bottom"/>
            <w:tcBorders>
              <w:top w:val="single" w:sz="8" w:color="0000EE"/>
            </w:tcBorders>
            <w:gridSpan w:val="7"/>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Advisors LP</w:t>
              </w:r>
            </w:hyperlink>
          </w:p>
        </w:tc>
      </w:tr>
      <w:tr>
        <w:trPr>
          <w:trHeight w:val="20"/>
        </w:trPr>
        <w:tc>
          <w:tcPr>
            <w:tcW w:w="1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860"/>
        <w:spacing w:after="0" w:line="277" w:lineRule="auto"/>
        <w:rPr>
          <w:sz w:val="20"/>
          <w:szCs w:val="20"/>
          <w:color w:val="auto"/>
        </w:rPr>
      </w:pPr>
      <w:r>
        <w:rPr>
          <w:rFonts w:ascii="Arial" w:cs="Arial" w:eastAsia="Arial" w:hAnsi="Arial"/>
          <w:sz w:val="18"/>
          <w:szCs w:val="18"/>
          <w:color w:val="auto"/>
        </w:rPr>
        <w:t>Current Report on Form 8-K dated March 30, 2015, March 30, 2015 File No. 0-21392, as Exhibit 10.1</w:t>
      </w:r>
    </w:p>
    <w:p>
      <w:pPr>
        <w:spacing w:after="0" w:line="27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Current Report on Form 8-K dated June 30, 2016, File June 30, 2016 No. 0-21392, as Exhibit 10.1</w:t>
      </w:r>
    </w:p>
    <w:p>
      <w:pPr>
        <w:spacing w:after="0" w:line="62"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Quarterly Report on Form 10-Q for the quarterly</w:t>
      </w:r>
      <w:r>
        <w:rPr>
          <w:sz w:val="20"/>
          <w:szCs w:val="20"/>
          <w:color w:val="auto"/>
        </w:rPr>
        <w:tab/>
      </w:r>
      <w:r>
        <w:rPr>
          <w:rFonts w:ascii="Arial" w:cs="Arial" w:eastAsia="Arial" w:hAnsi="Arial"/>
          <w:sz w:val="16"/>
          <w:szCs w:val="16"/>
          <w:color w:val="auto"/>
        </w:rPr>
        <w:t>August 2, 2017</w:t>
      </w:r>
    </w:p>
    <w:p>
      <w:pPr>
        <w:spacing w:after="0" w:line="23" w:lineRule="exact"/>
        <w:rPr>
          <w:sz w:val="20"/>
          <w:szCs w:val="20"/>
          <w:color w:val="auto"/>
        </w:rPr>
      </w:pPr>
    </w:p>
    <w:p>
      <w:pPr>
        <w:ind w:right="2560"/>
        <w:spacing w:after="0" w:line="261" w:lineRule="auto"/>
        <w:rPr>
          <w:sz w:val="20"/>
          <w:szCs w:val="20"/>
          <w:color w:val="auto"/>
        </w:rPr>
      </w:pPr>
      <w:r>
        <w:rPr>
          <w:rFonts w:ascii="Arial" w:cs="Arial" w:eastAsia="Arial" w:hAnsi="Arial"/>
          <w:sz w:val="18"/>
          <w:szCs w:val="18"/>
          <w:color w:val="auto"/>
        </w:rPr>
        <w:t>period ended June 30, 2017, File No. 0-21392, as Exhibit 4.1</w:t>
      </w:r>
    </w:p>
    <w:p>
      <w:pPr>
        <w:spacing w:after="0" w:line="76"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February 27, 2018</w:t>
      </w:r>
    </w:p>
    <w:p>
      <w:pPr>
        <w:spacing w:after="0" w:line="23" w:lineRule="exact"/>
        <w:rPr>
          <w:sz w:val="20"/>
          <w:szCs w:val="20"/>
          <w:color w:val="auto"/>
        </w:rPr>
      </w:pPr>
    </w:p>
    <w:p>
      <w:pPr>
        <w:ind w:right="2540"/>
        <w:spacing w:after="0" w:line="261" w:lineRule="auto"/>
        <w:rPr>
          <w:sz w:val="20"/>
          <w:szCs w:val="20"/>
          <w:color w:val="auto"/>
        </w:rPr>
      </w:pPr>
      <w:r>
        <w:rPr>
          <w:rFonts w:ascii="Arial" w:cs="Arial" w:eastAsia="Arial" w:hAnsi="Arial"/>
          <w:sz w:val="18"/>
          <w:szCs w:val="18"/>
          <w:color w:val="auto"/>
        </w:rPr>
        <w:t>December 31, 2017, File No. 0-21392, as Exhibit 10.64</w:t>
      </w:r>
    </w:p>
    <w:p>
      <w:pPr>
        <w:spacing w:after="0" w:line="76"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Quarterly Report on Form 10-Q for the quarterly</w:t>
      </w:r>
      <w:r>
        <w:rPr>
          <w:sz w:val="20"/>
          <w:szCs w:val="20"/>
          <w:color w:val="auto"/>
        </w:rPr>
        <w:tab/>
      </w:r>
      <w:r>
        <w:rPr>
          <w:rFonts w:ascii="Arial" w:cs="Arial" w:eastAsia="Arial" w:hAnsi="Arial"/>
          <w:sz w:val="16"/>
          <w:szCs w:val="16"/>
          <w:color w:val="auto"/>
        </w:rPr>
        <w:t>August 2, 2017</w:t>
      </w:r>
    </w:p>
    <w:p>
      <w:pPr>
        <w:spacing w:after="0" w:line="23" w:lineRule="exact"/>
        <w:rPr>
          <w:sz w:val="20"/>
          <w:szCs w:val="20"/>
          <w:color w:val="auto"/>
        </w:rPr>
      </w:pPr>
    </w:p>
    <w:p>
      <w:pPr>
        <w:ind w:right="2560"/>
        <w:spacing w:after="0" w:line="261" w:lineRule="auto"/>
        <w:rPr>
          <w:sz w:val="20"/>
          <w:szCs w:val="20"/>
          <w:color w:val="auto"/>
        </w:rPr>
      </w:pPr>
      <w:r>
        <w:rPr>
          <w:rFonts w:ascii="Arial" w:cs="Arial" w:eastAsia="Arial" w:hAnsi="Arial"/>
          <w:sz w:val="18"/>
          <w:szCs w:val="18"/>
          <w:color w:val="auto"/>
        </w:rPr>
        <w:t>period ended June 30, 2017, File No. 0-21392, as Exhibit 10.1</w:t>
      </w:r>
    </w:p>
    <w:p>
      <w:pPr>
        <w:spacing w:after="0" w:line="200" w:lineRule="exact"/>
        <w:rPr>
          <w:sz w:val="20"/>
          <w:szCs w:val="20"/>
          <w:color w:val="auto"/>
        </w:rPr>
      </w:pPr>
    </w:p>
    <w:p>
      <w:pPr>
        <w:spacing w:after="0" w:line="308"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February 27, 2018</w:t>
      </w:r>
    </w:p>
    <w:p>
      <w:pPr>
        <w:spacing w:after="0" w:line="23" w:lineRule="exact"/>
        <w:rPr>
          <w:sz w:val="20"/>
          <w:szCs w:val="20"/>
          <w:color w:val="auto"/>
        </w:rPr>
      </w:pPr>
    </w:p>
    <w:p>
      <w:pPr>
        <w:ind w:right="2540"/>
        <w:spacing w:after="0" w:line="261" w:lineRule="auto"/>
        <w:rPr>
          <w:sz w:val="20"/>
          <w:szCs w:val="20"/>
          <w:color w:val="auto"/>
        </w:rPr>
      </w:pPr>
      <w:r>
        <w:rPr>
          <w:rFonts w:ascii="Arial" w:cs="Arial" w:eastAsia="Arial" w:hAnsi="Arial"/>
          <w:sz w:val="18"/>
          <w:szCs w:val="18"/>
          <w:color w:val="auto"/>
        </w:rPr>
        <w:t>December 31, 2017, File No. 0-21392, as Exhibit 10.66</w:t>
      </w:r>
    </w:p>
    <w:p>
      <w:pPr>
        <w:spacing w:after="0" w:line="491" w:lineRule="exact"/>
        <w:rPr>
          <w:sz w:val="20"/>
          <w:szCs w:val="20"/>
          <w:color w:val="auto"/>
        </w:rPr>
      </w:pPr>
    </w:p>
    <w:p>
      <w:pPr>
        <w:sectPr>
          <w:pgSz w:w="11900" w:h="16838" w:orient="portrait"/>
          <w:cols w:equalWidth="0" w:num="2">
            <w:col w:w="5180" w:space="140"/>
            <w:col w:w="6100"/>
          </w:cols>
          <w:pgMar w:left="240" w:top="343"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10.47</w:t>
            </w:r>
          </w:p>
        </w:tc>
        <w:tc>
          <w:tcPr>
            <w:tcW w:w="3880" w:type="dxa"/>
            <w:vAlign w:val="bottom"/>
            <w:tcBorders>
              <w:bottom w:val="single" w:sz="8" w:color="0000EE"/>
            </w:tcBorders>
            <w:gridSpan w:val="6"/>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Distribution Agreement, dated March 8, 2016, by and</w:t>
              </w:r>
            </w:hyperlink>
          </w:p>
        </w:tc>
      </w:tr>
      <w:tr>
        <w:trPr>
          <w:trHeight w:val="196"/>
        </w:trPr>
        <w:tc>
          <w:tcPr>
            <w:tcW w:w="1180" w:type="dxa"/>
            <w:vAlign w:val="bottom"/>
          </w:tcPr>
          <w:p>
            <w:pPr>
              <w:spacing w:after="0"/>
              <w:rPr>
                <w:sz w:val="17"/>
                <w:szCs w:val="17"/>
                <w:color w:val="auto"/>
              </w:rPr>
            </w:pPr>
          </w:p>
        </w:tc>
        <w:tc>
          <w:tcPr>
            <w:tcW w:w="35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among Biologix FZCo, Amarin Pharmaceuticals</w:t>
              </w:r>
            </w:hyperlink>
          </w:p>
        </w:tc>
        <w:tc>
          <w:tcPr>
            <w:tcW w:w="38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32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Ireland Limited and Amarin Pharma, Inc. ††</w:t>
              </w:r>
            </w:hyperlink>
          </w:p>
        </w:tc>
        <w:tc>
          <w:tcPr>
            <w:tcW w:w="660" w:type="dxa"/>
            <w:vAlign w:val="bottom"/>
            <w:gridSpan w:val="4"/>
          </w:tcPr>
          <w:p>
            <w:pPr>
              <w:spacing w:after="0"/>
              <w:rPr>
                <w:sz w:val="17"/>
                <w:szCs w:val="17"/>
                <w:color w:val="auto"/>
              </w:rPr>
            </w:pPr>
          </w:p>
        </w:tc>
      </w:tr>
      <w:tr>
        <w:trPr>
          <w:trHeight w:val="304"/>
        </w:trPr>
        <w:tc>
          <w:tcPr>
            <w:tcW w:w="1180" w:type="dxa"/>
            <w:vAlign w:val="bottom"/>
          </w:tcPr>
          <w:p>
            <w:pPr>
              <w:jc w:val="right"/>
              <w:ind w:right="670"/>
              <w:spacing w:after="0"/>
              <w:rPr>
                <w:sz w:val="20"/>
                <w:szCs w:val="20"/>
                <w:color w:val="auto"/>
              </w:rPr>
            </w:pPr>
            <w:r>
              <w:rPr>
                <w:rFonts w:ascii="Arial" w:cs="Arial" w:eastAsia="Arial" w:hAnsi="Arial"/>
                <w:sz w:val="18"/>
                <w:szCs w:val="18"/>
                <w:color w:val="auto"/>
                <w:w w:val="88"/>
              </w:rPr>
              <w:t>10.48</w:t>
            </w:r>
          </w:p>
        </w:tc>
        <w:tc>
          <w:tcPr>
            <w:tcW w:w="3880" w:type="dxa"/>
            <w:vAlign w:val="bottom"/>
            <w:gridSpan w:val="6"/>
          </w:tcPr>
          <w:p>
            <w:pPr>
              <w:spacing w:after="0"/>
              <w:rPr>
                <w:rFonts w:ascii="Arial" w:cs="Arial" w:eastAsia="Arial" w:hAnsi="Arial"/>
                <w:sz w:val="18"/>
                <w:szCs w:val="18"/>
                <w:color w:val="0000EE"/>
              </w:rPr>
            </w:pPr>
            <w:hyperlink r:id="rId172">
              <w:r>
                <w:rPr>
                  <w:rFonts w:ascii="Arial" w:cs="Arial" w:eastAsia="Arial" w:hAnsi="Arial"/>
                  <w:sz w:val="18"/>
                  <w:szCs w:val="18"/>
                  <w:color w:val="0000EE"/>
                </w:rPr>
                <w:t>Development, Commercialization and Supply</w:t>
              </w:r>
            </w:hyperlink>
          </w:p>
        </w:tc>
      </w:tr>
      <w:tr>
        <w:trPr>
          <w:trHeight w:val="20"/>
        </w:trPr>
        <w:tc>
          <w:tcPr>
            <w:tcW w:w="1180" w:type="dxa"/>
            <w:vAlign w:val="bottom"/>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Agreement, dated September 25, 2017, by and among</w:t>
              </w:r>
            </w:hyperlink>
          </w:p>
        </w:tc>
      </w:tr>
      <w:tr>
        <w:trPr>
          <w:trHeight w:val="196"/>
        </w:trPr>
        <w:tc>
          <w:tcPr>
            <w:tcW w:w="1180" w:type="dxa"/>
            <w:vAlign w:val="bottom"/>
          </w:tcPr>
          <w:p>
            <w:pPr>
              <w:spacing w:after="0"/>
              <w:rPr>
                <w:sz w:val="17"/>
                <w:szCs w:val="17"/>
                <w:color w:val="auto"/>
              </w:rPr>
            </w:pPr>
          </w:p>
        </w:tc>
        <w:tc>
          <w:tcPr>
            <w:tcW w:w="3880" w:type="dxa"/>
            <w:vAlign w:val="bottom"/>
            <w:gridSpan w:val="6"/>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Amarin Pharmaceuticals Ireland Limited, Amarin</w:t>
              </w:r>
            </w:hyperlink>
          </w:p>
        </w:tc>
      </w:tr>
      <w:tr>
        <w:trPr>
          <w:trHeight w:val="196"/>
        </w:trPr>
        <w:tc>
          <w:tcPr>
            <w:tcW w:w="1180" w:type="dxa"/>
            <w:vAlign w:val="bottom"/>
          </w:tcPr>
          <w:p>
            <w:pPr>
              <w:spacing w:after="0"/>
              <w:rPr>
                <w:sz w:val="17"/>
                <w:szCs w:val="17"/>
                <w:color w:val="auto"/>
              </w:rPr>
            </w:pPr>
          </w:p>
        </w:tc>
        <w:tc>
          <w:tcPr>
            <w:tcW w:w="3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Pharma, Inc. and HLS Therapeutics Inc. ††</w:t>
              </w:r>
            </w:hyperlink>
          </w:p>
        </w:tc>
        <w:tc>
          <w:tcPr>
            <w:tcW w:w="400" w:type="dxa"/>
            <w:vAlign w:val="bottom"/>
            <w:tcBorders>
              <w:top w:val="single" w:sz="8" w:color="0000EE"/>
            </w:tcBorders>
            <w:gridSpan w:val="4"/>
          </w:tcPr>
          <w:p>
            <w:pPr>
              <w:spacing w:after="0"/>
              <w:rPr>
                <w:sz w:val="17"/>
                <w:szCs w:val="17"/>
                <w:color w:val="auto"/>
              </w:rPr>
            </w:pPr>
          </w:p>
        </w:tc>
        <w:tc>
          <w:tcPr>
            <w:tcW w:w="3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tabs>
          <w:tab w:leader="none" w:pos="406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February 27, 2018</w:t>
      </w:r>
    </w:p>
    <w:p>
      <w:pPr>
        <w:spacing w:after="0" w:line="23" w:lineRule="exact"/>
        <w:rPr>
          <w:sz w:val="20"/>
          <w:szCs w:val="20"/>
          <w:color w:val="auto"/>
        </w:rPr>
      </w:pPr>
    </w:p>
    <w:p>
      <w:pPr>
        <w:ind w:right="2540"/>
        <w:spacing w:after="0" w:line="261" w:lineRule="auto"/>
        <w:rPr>
          <w:sz w:val="20"/>
          <w:szCs w:val="20"/>
          <w:color w:val="auto"/>
        </w:rPr>
      </w:pPr>
      <w:r>
        <w:rPr>
          <w:rFonts w:ascii="Arial" w:cs="Arial" w:eastAsia="Arial" w:hAnsi="Arial"/>
          <w:sz w:val="18"/>
          <w:szCs w:val="18"/>
          <w:color w:val="auto"/>
        </w:rPr>
        <w:t>December 31, 2017, File No. 0-21392, as Exhibit 10.67</w:t>
      </w:r>
    </w:p>
    <w:p>
      <w:pPr>
        <w:spacing w:after="0" w:line="76"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February 27, 2018</w:t>
      </w:r>
    </w:p>
    <w:p>
      <w:pPr>
        <w:spacing w:after="0" w:line="23" w:lineRule="exact"/>
        <w:rPr>
          <w:sz w:val="20"/>
          <w:szCs w:val="20"/>
          <w:color w:val="auto"/>
        </w:rPr>
      </w:pPr>
    </w:p>
    <w:p>
      <w:pPr>
        <w:ind w:right="2540"/>
        <w:spacing w:after="0" w:line="261" w:lineRule="auto"/>
        <w:rPr>
          <w:sz w:val="20"/>
          <w:szCs w:val="20"/>
          <w:color w:val="auto"/>
        </w:rPr>
      </w:pPr>
      <w:r>
        <w:rPr>
          <w:rFonts w:ascii="Arial" w:cs="Arial" w:eastAsia="Arial" w:hAnsi="Arial"/>
          <w:sz w:val="18"/>
          <w:szCs w:val="18"/>
          <w:color w:val="auto"/>
        </w:rPr>
        <w:t>December 31, 2017, File No. 0-21392, as Exhibit 10.68</w:t>
      </w:r>
    </w:p>
    <w:p>
      <w:pPr>
        <w:spacing w:after="0" w:line="200" w:lineRule="exact"/>
        <w:rPr>
          <w:sz w:val="20"/>
          <w:szCs w:val="20"/>
          <w:color w:val="auto"/>
        </w:rPr>
      </w:pP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5060" w:space="260"/>
            <w:col w:w="6100"/>
          </w:cols>
          <w:pgMar w:left="240" w:top="343" w:right="2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Exhibit</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21"/>
          </w:tcPr>
          <w:p>
            <w:pPr>
              <w:ind w:left="26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10.49</w:t>
            </w:r>
          </w:p>
        </w:tc>
        <w:tc>
          <w:tcPr>
            <w:tcW w:w="140" w:type="dxa"/>
            <w:vAlign w:val="bottom"/>
          </w:tcPr>
          <w:p>
            <w:pPr>
              <w:spacing w:after="0"/>
              <w:rPr>
                <w:sz w:val="14"/>
                <w:szCs w:val="14"/>
                <w:color w:val="auto"/>
              </w:rPr>
            </w:pPr>
          </w:p>
        </w:tc>
        <w:tc>
          <w:tcPr>
            <w:tcW w:w="4000" w:type="dxa"/>
            <w:vAlign w:val="bottom"/>
            <w:tcBorders>
              <w:top w:val="single" w:sz="8" w:color="auto"/>
            </w:tcBorders>
            <w:gridSpan w:val="24"/>
          </w:tcPr>
          <w:p>
            <w:pPr>
              <w:spacing w:after="0" w:line="170" w:lineRule="exact"/>
              <w:rPr>
                <w:rFonts w:ascii="Arial" w:cs="Arial" w:eastAsia="Arial" w:hAnsi="Arial"/>
                <w:sz w:val="18"/>
                <w:szCs w:val="18"/>
                <w:color w:val="0000EE"/>
                <w:w w:val="98"/>
              </w:rPr>
            </w:pPr>
            <w:hyperlink r:id="rId174">
              <w:r>
                <w:rPr>
                  <w:rFonts w:ascii="Arial" w:cs="Arial" w:eastAsia="Arial" w:hAnsi="Arial"/>
                  <w:sz w:val="18"/>
                  <w:szCs w:val="18"/>
                  <w:color w:val="0000EE"/>
                  <w:w w:val="98"/>
                </w:rPr>
                <w:t>Lease Agreement, dated February 5, 2019, by and</w:t>
              </w:r>
            </w:hyperlink>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between 440 Route 22 LLC and Amarin Pharma, Inc.</w:t>
              </w:r>
            </w:hyperlink>
          </w:p>
        </w:tc>
        <w:tc>
          <w:tcPr>
            <w:tcW w:w="120" w:type="dxa"/>
            <w:vAlign w:val="bottom"/>
            <w:gridSpan w:val="5"/>
          </w:tcPr>
          <w:p>
            <w:pPr>
              <w:spacing w:after="0"/>
              <w:rPr>
                <w:sz w:val="17"/>
                <w:szCs w:val="17"/>
                <w:color w:val="auto"/>
              </w:rPr>
            </w:pPr>
          </w:p>
        </w:tc>
      </w:tr>
      <w:tr>
        <w:trPr>
          <w:trHeight w:val="520"/>
        </w:trPr>
        <w:tc>
          <w:tcPr>
            <w:tcW w:w="1040" w:type="dxa"/>
            <w:vAlign w:val="bottom"/>
            <w:gridSpan w:val="2"/>
          </w:tcPr>
          <w:p>
            <w:pPr>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24"/>
                <w:szCs w:val="24"/>
                <w:color w:val="auto"/>
              </w:rPr>
            </w:pPr>
          </w:p>
        </w:tc>
        <w:tc>
          <w:tcPr>
            <w:tcW w:w="3960" w:type="dxa"/>
            <w:vAlign w:val="bottom"/>
            <w:tcBorders>
              <w:bottom w:val="single" w:sz="8" w:color="0000EE"/>
            </w:tcBorders>
            <w:gridSpan w:val="23"/>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Employment Agreement, dated April 20, 2018, by and</w:t>
              </w:r>
            </w:hyperlink>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between Amarin Pharma Inc. and Aaron Berg*</w:t>
              </w:r>
            </w:hyperlink>
          </w:p>
        </w:tc>
        <w:tc>
          <w:tcPr>
            <w:tcW w:w="600" w:type="dxa"/>
            <w:vAlign w:val="bottom"/>
            <w:gridSpan w:val="14"/>
          </w:tcPr>
          <w:p>
            <w:pPr>
              <w:spacing w:after="0"/>
              <w:rPr>
                <w:sz w:val="17"/>
                <w:szCs w:val="17"/>
                <w:color w:val="auto"/>
              </w:rPr>
            </w:pPr>
          </w:p>
        </w:tc>
      </w:tr>
      <w:tr>
        <w:trPr>
          <w:trHeight w:val="534"/>
        </w:trPr>
        <w:tc>
          <w:tcPr>
            <w:tcW w:w="1040" w:type="dxa"/>
            <w:vAlign w:val="bottom"/>
            <w:gridSpan w:val="2"/>
          </w:tcPr>
          <w:p>
            <w:pPr>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24"/>
                <w:szCs w:val="24"/>
                <w:color w:val="auto"/>
              </w:rPr>
            </w:pPr>
          </w:p>
        </w:tc>
        <w:tc>
          <w:tcPr>
            <w:tcW w:w="3900" w:type="dxa"/>
            <w:vAlign w:val="bottom"/>
            <w:tcBorders>
              <w:bottom w:val="single" w:sz="8" w:color="0000EE"/>
            </w:tcBorders>
            <w:gridSpan w:val="20"/>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Sixth Amendment to Lease Agreement, dated April 1,</w:t>
              </w:r>
            </w:hyperlink>
          </w:p>
        </w:tc>
        <w:tc>
          <w:tcPr>
            <w:tcW w:w="10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4"/>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2019, by and between Amarin Pharma, Inc. and</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Bedminster 2 Funding, LLC</w:t>
              </w:r>
            </w:hyperlink>
          </w:p>
        </w:tc>
        <w:tc>
          <w:tcPr>
            <w:tcW w:w="560" w:type="dxa"/>
            <w:vAlign w:val="bottom"/>
            <w:gridSpan w:val="13"/>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10.52</w:t>
            </w:r>
          </w:p>
        </w:tc>
        <w:tc>
          <w:tcPr>
            <w:tcW w:w="140" w:type="dxa"/>
            <w:vAlign w:val="bottom"/>
          </w:tcPr>
          <w:p>
            <w:pPr>
              <w:spacing w:after="0"/>
              <w:rPr>
                <w:sz w:val="24"/>
                <w:szCs w:val="24"/>
                <w:color w:val="auto"/>
              </w:rPr>
            </w:pPr>
          </w:p>
        </w:tc>
        <w:tc>
          <w:tcPr>
            <w:tcW w:w="3860" w:type="dxa"/>
            <w:vAlign w:val="bottom"/>
            <w:tcBorders>
              <w:bottom w:val="single" w:sz="8" w:color="0000EE"/>
            </w:tcBorders>
            <w:gridSpan w:val="18"/>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Online Office Agreement, dated as of April 12, 2019,</w:t>
              </w:r>
            </w:hyperlink>
          </w:p>
        </w:tc>
        <w:tc>
          <w:tcPr>
            <w:tcW w:w="14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4"/>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by and between Amarin Pharmaceuticals Ireland</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77">
              <w:r>
                <w:rPr>
                  <w:rFonts w:ascii="Arial" w:cs="Arial" w:eastAsia="Arial" w:hAnsi="Arial"/>
                  <w:sz w:val="18"/>
                  <w:szCs w:val="18"/>
                  <w:color w:val="0000EE"/>
                  <w:w w:val="93"/>
                </w:rPr>
                <w:t>Limited and Regus CME Ireland Limited</w:t>
              </w:r>
            </w:hyperlink>
          </w:p>
        </w:tc>
        <w:tc>
          <w:tcPr>
            <w:tcW w:w="520" w:type="dxa"/>
            <w:vAlign w:val="bottom"/>
            <w:tcBorders>
              <w:top w:val="single" w:sz="8" w:color="0000EE"/>
            </w:tcBorders>
            <w:gridSpan w:val="6"/>
          </w:tcPr>
          <w:p>
            <w:pPr>
              <w:spacing w:after="0"/>
              <w:rPr>
                <w:sz w:val="17"/>
                <w:szCs w:val="17"/>
                <w:color w:val="auto"/>
              </w:rPr>
            </w:pPr>
          </w:p>
        </w:tc>
        <w:tc>
          <w:tcPr>
            <w:tcW w:w="500" w:type="dxa"/>
            <w:vAlign w:val="bottom"/>
            <w:gridSpan w:val="10"/>
          </w:tcPr>
          <w:p>
            <w:pPr>
              <w:spacing w:after="0"/>
              <w:rPr>
                <w:sz w:val="17"/>
                <w:szCs w:val="17"/>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24"/>
                <w:szCs w:val="24"/>
                <w:color w:val="auto"/>
              </w:rPr>
            </w:pPr>
          </w:p>
        </w:tc>
        <w:tc>
          <w:tcPr>
            <w:tcW w:w="3920" w:type="dxa"/>
            <w:vAlign w:val="bottom"/>
            <w:tcBorders>
              <w:bottom w:val="single" w:sz="8" w:color="0000EE"/>
            </w:tcBorders>
            <w:gridSpan w:val="21"/>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Office Service Agreement, dated as of April 12, 2019,</w:t>
              </w:r>
            </w:hyperlink>
          </w:p>
        </w:tc>
        <w:tc>
          <w:tcPr>
            <w:tcW w:w="8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4"/>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by and between Amarin Pharmaceuticals Ireland</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Limited and Regus CME Ireland Ltd.</w:t>
              </w:r>
            </w:hyperlink>
          </w:p>
        </w:tc>
        <w:tc>
          <w:tcPr>
            <w:tcW w:w="500" w:type="dxa"/>
            <w:vAlign w:val="bottom"/>
            <w:gridSpan w:val="10"/>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10.54</w:t>
            </w:r>
          </w:p>
        </w:tc>
        <w:tc>
          <w:tcPr>
            <w:tcW w:w="140" w:type="dxa"/>
            <w:vAlign w:val="bottom"/>
          </w:tcPr>
          <w:p>
            <w:pPr>
              <w:spacing w:after="0"/>
              <w:rPr>
                <w:sz w:val="24"/>
                <w:szCs w:val="24"/>
                <w:color w:val="auto"/>
              </w:rPr>
            </w:pPr>
          </w:p>
        </w:tc>
        <w:tc>
          <w:tcPr>
            <w:tcW w:w="3920" w:type="dxa"/>
            <w:vAlign w:val="bottom"/>
            <w:tcBorders>
              <w:bottom w:val="single" w:sz="8" w:color="0000EE"/>
            </w:tcBorders>
            <w:gridSpan w:val="21"/>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Online Office Agreement, dated as of July 3, 2019, by</w:t>
              </w:r>
            </w:hyperlink>
          </w:p>
        </w:tc>
        <w:tc>
          <w:tcPr>
            <w:tcW w:w="8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and between Amarin Pharmaceuticals Ireland Limited</w:t>
              </w:r>
            </w:hyperlink>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4"/>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and Regus CME Ireland Ltd.</w:t>
              </w:r>
            </w:hyperlink>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24"/>
                <w:szCs w:val="24"/>
                <w:color w:val="auto"/>
              </w:rPr>
            </w:pPr>
          </w:p>
        </w:tc>
        <w:tc>
          <w:tcPr>
            <w:tcW w:w="10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Code of Ethics</w:t>
              </w:r>
            </w:hyperlink>
          </w:p>
        </w:tc>
        <w:tc>
          <w:tcPr>
            <w:tcW w:w="1000" w:type="dxa"/>
            <w:vAlign w:val="bottom"/>
            <w:tcBorders>
              <w:top w:val="single" w:sz="8" w:color="0000EE"/>
            </w:tcBorders>
            <w:gridSpan w:val="3"/>
          </w:tcPr>
          <w:p>
            <w:pPr>
              <w:spacing w:after="0"/>
              <w:rPr>
                <w:sz w:val="24"/>
                <w:szCs w:val="24"/>
                <w:color w:val="auto"/>
              </w:rPr>
            </w:pPr>
          </w:p>
        </w:tc>
        <w:tc>
          <w:tcPr>
            <w:tcW w:w="1920" w:type="dxa"/>
            <w:vAlign w:val="bottom"/>
            <w:gridSpan w:val="19"/>
          </w:tcPr>
          <w:p>
            <w:pPr>
              <w:spacing w:after="0"/>
              <w:rPr>
                <w:sz w:val="24"/>
                <w:szCs w:val="24"/>
                <w:color w:val="auto"/>
              </w:rPr>
            </w:pPr>
          </w:p>
        </w:tc>
      </w:tr>
      <w:tr>
        <w:trPr>
          <w:trHeight w:val="493"/>
        </w:trPr>
        <w:tc>
          <w:tcPr>
            <w:tcW w:w="1040" w:type="dxa"/>
            <w:vAlign w:val="bottom"/>
            <w:gridSpan w:val="2"/>
          </w:tcPr>
          <w:p>
            <w:pPr>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4"/>
                <w:szCs w:val="24"/>
                <w:color w:val="auto"/>
              </w:rPr>
            </w:pPr>
          </w:p>
        </w:tc>
        <w:tc>
          <w:tcPr>
            <w:tcW w:w="4000" w:type="dxa"/>
            <w:vAlign w:val="bottom"/>
            <w:gridSpan w:val="24"/>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List of Subsidiaries</w:t>
              </w:r>
            </w:hyperlink>
          </w:p>
        </w:tc>
      </w:tr>
      <w:tr>
        <w:trPr>
          <w:trHeight w:val="20"/>
        </w:trPr>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394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52">
              <w:r>
                <w:rPr>
                  <w:rFonts w:ascii="Arial" w:cs="Arial" w:eastAsia="Arial" w:hAnsi="Arial"/>
                  <w:sz w:val="18"/>
                  <w:szCs w:val="18"/>
                  <w:color w:val="0000EE"/>
                  <w:w w:val="90"/>
                </w:rPr>
                <w:t>Consent of Independent Registered Public Accounting</w:t>
              </w:r>
            </w:hyperlink>
          </w:p>
        </w:tc>
        <w:tc>
          <w:tcPr>
            <w:tcW w:w="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152">
              <w:r>
                <w:rPr>
                  <w:rFonts w:ascii="Arial" w:cs="Arial" w:eastAsia="Arial" w:hAnsi="Arial"/>
                  <w:sz w:val="18"/>
                  <w:szCs w:val="18"/>
                  <w:color w:val="0000EE"/>
                  <w:w w:val="94"/>
                </w:rPr>
                <w:t>Firm</w:t>
              </w:r>
            </w:hyperlink>
          </w:p>
        </w:tc>
        <w:tc>
          <w:tcPr>
            <w:tcW w:w="3640" w:type="dxa"/>
            <w:vAlign w:val="bottom"/>
            <w:gridSpan w:val="23"/>
          </w:tcPr>
          <w:p>
            <w:pPr>
              <w:spacing w:after="0"/>
              <w:rPr>
                <w:sz w:val="17"/>
                <w:szCs w:val="17"/>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390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153">
              <w:r>
                <w:rPr>
                  <w:rFonts w:ascii="Arial" w:cs="Arial" w:eastAsia="Arial" w:hAnsi="Arial"/>
                  <w:sz w:val="18"/>
                  <w:szCs w:val="18"/>
                  <w:color w:val="0000EE"/>
                  <w:w w:val="92"/>
                </w:rPr>
                <w:t>Certification of President and Chief Executive Officer</w:t>
              </w:r>
            </w:hyperlink>
          </w:p>
        </w:tc>
        <w:tc>
          <w:tcPr>
            <w:tcW w:w="10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4"/>
          </w:tcPr>
          <w:p>
            <w:pPr>
              <w:spacing w:after="0" w:line="196" w:lineRule="exact"/>
              <w:rPr>
                <w:rFonts w:ascii="Arial" w:cs="Arial" w:eastAsia="Arial" w:hAnsi="Arial"/>
                <w:sz w:val="18"/>
                <w:szCs w:val="18"/>
                <w:color w:val="0000EE"/>
                <w:w w:val="95"/>
              </w:rPr>
            </w:pPr>
            <w:hyperlink w:anchor="page153">
              <w:r>
                <w:rPr>
                  <w:rFonts w:ascii="Arial" w:cs="Arial" w:eastAsia="Arial" w:hAnsi="Arial"/>
                  <w:sz w:val="18"/>
                  <w:szCs w:val="18"/>
                  <w:color w:val="0000EE"/>
                  <w:w w:val="95"/>
                </w:rPr>
                <w:t>(Principal Executive Officer) pursuant to Section 302</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of Sarbanes-Oxley Act of 2002</w:t>
              </w:r>
            </w:hyperlink>
          </w:p>
        </w:tc>
        <w:tc>
          <w:tcPr>
            <w:tcW w:w="1580" w:type="dxa"/>
            <w:vAlign w:val="bottom"/>
            <w:tcBorders>
              <w:top w:val="single" w:sz="8" w:color="0000EE"/>
            </w:tcBorders>
            <w:gridSpan w:val="11"/>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34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54">
              <w:r>
                <w:rPr>
                  <w:rFonts w:ascii="Arial" w:cs="Arial" w:eastAsia="Arial" w:hAnsi="Arial"/>
                  <w:sz w:val="18"/>
                  <w:szCs w:val="18"/>
                  <w:color w:val="0000EE"/>
                  <w:w w:val="92"/>
                </w:rPr>
                <w:t>Certification of Senior Vice President and Chief</w:t>
              </w:r>
            </w:hyperlink>
          </w:p>
        </w:tc>
        <w:tc>
          <w:tcPr>
            <w:tcW w:w="52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Financial Officer (Principal Financial Officer and</w:t>
              </w:r>
            </w:hyperlink>
          </w:p>
        </w:tc>
        <w:tc>
          <w:tcPr>
            <w:tcW w:w="40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Principal Accounting Officer) pursuant to Section 302</w:t>
              </w:r>
            </w:hyperlink>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54">
              <w:r>
                <w:rPr>
                  <w:rFonts w:ascii="Arial" w:cs="Arial" w:eastAsia="Arial" w:hAnsi="Arial"/>
                  <w:sz w:val="18"/>
                  <w:szCs w:val="18"/>
                  <w:color w:val="0000EE"/>
                  <w:w w:val="91"/>
                </w:rPr>
                <w:t>of Sarbanes-Oxley Act of 2002</w:t>
              </w:r>
            </w:hyperlink>
          </w:p>
        </w:tc>
        <w:tc>
          <w:tcPr>
            <w:tcW w:w="1740" w:type="dxa"/>
            <w:vAlign w:val="bottom"/>
            <w:gridSpan w:val="18"/>
          </w:tcPr>
          <w:p>
            <w:pPr>
              <w:spacing w:after="0"/>
              <w:rPr>
                <w:sz w:val="17"/>
                <w:szCs w:val="17"/>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390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155">
              <w:r>
                <w:rPr>
                  <w:rFonts w:ascii="Arial" w:cs="Arial" w:eastAsia="Arial" w:hAnsi="Arial"/>
                  <w:sz w:val="18"/>
                  <w:szCs w:val="18"/>
                  <w:color w:val="0000EE"/>
                  <w:w w:val="92"/>
                </w:rPr>
                <w:t>Certification of President and Chief Executive Officer</w:t>
              </w:r>
            </w:hyperlink>
          </w:p>
        </w:tc>
        <w:tc>
          <w:tcPr>
            <w:tcW w:w="10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55">
              <w:r>
                <w:rPr>
                  <w:rFonts w:ascii="Arial" w:cs="Arial" w:eastAsia="Arial" w:hAnsi="Arial"/>
                  <w:sz w:val="18"/>
                  <w:szCs w:val="18"/>
                  <w:color w:val="0000EE"/>
                  <w:w w:val="92"/>
                </w:rPr>
                <w:t>(Principal Executive Officer) and Senior Vice</w:t>
              </w:r>
            </w:hyperlink>
          </w:p>
        </w:tc>
        <w:tc>
          <w:tcPr>
            <w:tcW w:w="700" w:type="dxa"/>
            <w:vAlign w:val="bottom"/>
            <w:gridSpan w:val="1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55">
              <w:r>
                <w:rPr>
                  <w:rFonts w:ascii="Arial" w:cs="Arial" w:eastAsia="Arial" w:hAnsi="Arial"/>
                  <w:sz w:val="18"/>
                  <w:szCs w:val="18"/>
                  <w:color w:val="0000EE"/>
                  <w:w w:val="92"/>
                </w:rPr>
                <w:t>President and Chief Financial Officer (Principal</w:t>
              </w:r>
            </w:hyperlink>
          </w:p>
        </w:tc>
        <w:tc>
          <w:tcPr>
            <w:tcW w:w="54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55">
              <w:r>
                <w:rPr>
                  <w:rFonts w:ascii="Arial" w:cs="Arial" w:eastAsia="Arial" w:hAnsi="Arial"/>
                  <w:sz w:val="18"/>
                  <w:szCs w:val="18"/>
                  <w:color w:val="0000EE"/>
                  <w:w w:val="93"/>
                </w:rPr>
                <w:t>Financial Officer and Principal Accounting Officer)</w:t>
              </w:r>
            </w:hyperlink>
          </w:p>
        </w:tc>
        <w:tc>
          <w:tcPr>
            <w:tcW w:w="26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4"/>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pursuant to Section 906 of Sarbanes-Oxley Act of</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55">
              <w:r>
                <w:rPr>
                  <w:rFonts w:ascii="Arial" w:cs="Arial" w:eastAsia="Arial" w:hAnsi="Arial"/>
                  <w:sz w:val="18"/>
                  <w:szCs w:val="18"/>
                  <w:color w:val="0000EE"/>
                  <w:w w:val="84"/>
                </w:rPr>
                <w:t>2002</w:t>
              </w:r>
            </w:hyperlink>
          </w:p>
        </w:tc>
        <w:tc>
          <w:tcPr>
            <w:tcW w:w="7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2"/>
        </w:trPr>
        <w:tc>
          <w:tcPr>
            <w:tcW w:w="3980" w:type="dxa"/>
            <w:vAlign w:val="bottom"/>
            <w:tcBorders>
              <w:top w:val="single" w:sz="8" w:color="auto"/>
              <w:bottom w:val="single" w:sz="8" w:color="auto"/>
            </w:tcBorders>
          </w:tcPr>
          <w:p>
            <w:pPr>
              <w:ind w:left="182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tcPr>
          <w:p>
            <w:pPr>
              <w:spacing w:after="0"/>
              <w:rPr>
                <w:sz w:val="12"/>
                <w:szCs w:val="12"/>
                <w:color w:val="auto"/>
              </w:rPr>
            </w:pPr>
          </w:p>
        </w:tc>
        <w:tc>
          <w:tcPr>
            <w:tcW w:w="2020" w:type="dxa"/>
            <w:vAlign w:val="bottom"/>
            <w:tcBorders>
              <w:top w:val="single" w:sz="8" w:color="auto"/>
              <w:bottom w:val="single" w:sz="8" w:color="auto"/>
            </w:tcBorders>
          </w:tcPr>
          <w:p>
            <w:pPr>
              <w:ind w:left="880"/>
              <w:spacing w:after="0" w:line="142" w:lineRule="exact"/>
              <w:rPr>
                <w:sz w:val="20"/>
                <w:szCs w:val="20"/>
                <w:color w:val="auto"/>
              </w:rPr>
            </w:pPr>
            <w:r>
              <w:rPr>
                <w:rFonts w:ascii="Arial" w:cs="Arial" w:eastAsia="Arial" w:hAnsi="Arial"/>
                <w:sz w:val="14"/>
                <w:szCs w:val="14"/>
                <w:b w:val="1"/>
                <w:bCs w:val="1"/>
                <w:color w:val="auto"/>
              </w:rPr>
              <w:t>Date</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color w:val="auto"/>
              </w:rPr>
              <w:t>Annual Report on Form 10-K for the year ended</w:t>
            </w:r>
          </w:p>
        </w:tc>
        <w:tc>
          <w:tcPr>
            <w:tcW w:w="100" w:type="dxa"/>
            <w:vAlign w:val="bottom"/>
          </w:tcPr>
          <w:p>
            <w:pPr>
              <w:spacing w:after="0"/>
              <w:rPr>
                <w:sz w:val="16"/>
                <w:szCs w:val="16"/>
                <w:color w:val="auto"/>
              </w:rPr>
            </w:pPr>
          </w:p>
        </w:tc>
        <w:tc>
          <w:tcPr>
            <w:tcW w:w="2020" w:type="dxa"/>
            <w:vAlign w:val="bottom"/>
          </w:tcPr>
          <w:p>
            <w:pPr>
              <w:spacing w:after="0" w:line="195" w:lineRule="exact"/>
              <w:rPr>
                <w:sz w:val="20"/>
                <w:szCs w:val="20"/>
                <w:color w:val="auto"/>
              </w:rPr>
            </w:pPr>
            <w:r>
              <w:rPr>
                <w:rFonts w:ascii="Arial" w:cs="Arial" w:eastAsia="Arial" w:hAnsi="Arial"/>
                <w:sz w:val="18"/>
                <w:szCs w:val="18"/>
                <w:color w:val="auto"/>
              </w:rPr>
              <w:t>February 27, 2019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December 31, 2018, File No. 0-21392, as Exhibit</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980" w:type="dxa"/>
            <w:vAlign w:val="bottom"/>
          </w:tcPr>
          <w:p>
            <w:pPr>
              <w:spacing w:after="0"/>
              <w:rPr>
                <w:sz w:val="20"/>
                <w:szCs w:val="20"/>
                <w:color w:val="auto"/>
              </w:rPr>
            </w:pPr>
            <w:r>
              <w:rPr>
                <w:rFonts w:ascii="Arial" w:cs="Arial" w:eastAsia="Arial" w:hAnsi="Arial"/>
                <w:sz w:val="18"/>
                <w:szCs w:val="18"/>
                <w:color w:val="auto"/>
              </w:rPr>
              <w:t>Quarterly Report on Form 10-Q for the quarterly</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May 1, 2019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7"/>
              </w:rPr>
              <w:t>period ended March 31, 2019, File No. 0-21392, 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Exhibit 10.1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3"/>
        </w:trPr>
        <w:tc>
          <w:tcPr>
            <w:tcW w:w="3980" w:type="dxa"/>
            <w:vAlign w:val="bottom"/>
          </w:tcPr>
          <w:p>
            <w:pPr>
              <w:spacing w:after="0"/>
              <w:rPr>
                <w:sz w:val="20"/>
                <w:szCs w:val="20"/>
                <w:color w:val="auto"/>
              </w:rPr>
            </w:pPr>
            <w:r>
              <w:rPr>
                <w:rFonts w:ascii="Arial" w:cs="Arial" w:eastAsia="Arial" w:hAnsi="Arial"/>
                <w:sz w:val="18"/>
                <w:szCs w:val="18"/>
                <w:color w:val="auto"/>
              </w:rPr>
              <w:t>Quarterly Report on Form 10-Q for the quarterly</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July 31, 2019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9"/>
              </w:rPr>
              <w:t>period ended June 30, 2019, File No. 0-21392, 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Exhibit 10.1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3"/>
        </w:trPr>
        <w:tc>
          <w:tcPr>
            <w:tcW w:w="3980" w:type="dxa"/>
            <w:vAlign w:val="bottom"/>
          </w:tcPr>
          <w:p>
            <w:pPr>
              <w:spacing w:after="0"/>
              <w:rPr>
                <w:sz w:val="20"/>
                <w:szCs w:val="20"/>
                <w:color w:val="auto"/>
              </w:rPr>
            </w:pPr>
            <w:r>
              <w:rPr>
                <w:rFonts w:ascii="Arial" w:cs="Arial" w:eastAsia="Arial" w:hAnsi="Arial"/>
                <w:sz w:val="18"/>
                <w:szCs w:val="18"/>
                <w:color w:val="auto"/>
              </w:rPr>
              <w:t>Quarterly Report on Form 10-Q for the quarterly</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July 31, 2019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9"/>
              </w:rPr>
              <w:t>period ended June 30, 2019, File No. 0-21392, 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Exhibit 10.2</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3"/>
        </w:trPr>
        <w:tc>
          <w:tcPr>
            <w:tcW w:w="3980" w:type="dxa"/>
            <w:vAlign w:val="bottom"/>
          </w:tcPr>
          <w:p>
            <w:pPr>
              <w:spacing w:after="0"/>
              <w:rPr>
                <w:sz w:val="20"/>
                <w:szCs w:val="20"/>
                <w:color w:val="auto"/>
              </w:rPr>
            </w:pPr>
            <w:r>
              <w:rPr>
                <w:rFonts w:ascii="Arial" w:cs="Arial" w:eastAsia="Arial" w:hAnsi="Arial"/>
                <w:sz w:val="18"/>
                <w:szCs w:val="18"/>
                <w:color w:val="auto"/>
              </w:rPr>
              <w:t>Quarterly Report on Form 10-Q for the quarterly</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July 31, 2019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9"/>
              </w:rPr>
              <w:t>period ended June 30, 2019, File No. 0-21392, 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Exhibit 10.3</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3"/>
        </w:trPr>
        <w:tc>
          <w:tcPr>
            <w:tcW w:w="3980" w:type="dxa"/>
            <w:vAlign w:val="bottom"/>
          </w:tcPr>
          <w:p>
            <w:pPr>
              <w:spacing w:after="0"/>
              <w:rPr>
                <w:sz w:val="20"/>
                <w:szCs w:val="20"/>
                <w:color w:val="auto"/>
              </w:rPr>
            </w:pPr>
            <w:r>
              <w:rPr>
                <w:rFonts w:ascii="Arial" w:cs="Arial" w:eastAsia="Arial" w:hAnsi="Arial"/>
                <w:sz w:val="18"/>
                <w:szCs w:val="18"/>
                <w:color w:val="auto"/>
              </w:rPr>
              <w:t>Quarterly Report on Form 10-Q for the quarterly</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July 31, 2019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9"/>
              </w:rPr>
              <w:t>period ended June 30, 2019, File No. 0-21392, 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Exhibit 10.4</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3"/>
        </w:trPr>
        <w:tc>
          <w:tcPr>
            <w:tcW w:w="3980" w:type="dxa"/>
            <w:vAlign w:val="bottom"/>
          </w:tcPr>
          <w:p>
            <w:pPr>
              <w:spacing w:after="0"/>
              <w:rPr>
                <w:sz w:val="20"/>
                <w:szCs w:val="20"/>
                <w:color w:val="auto"/>
              </w:rPr>
            </w:pPr>
            <w:r>
              <w:rPr>
                <w:rFonts w:ascii="Arial" w:cs="Arial" w:eastAsia="Arial" w:hAnsi="Arial"/>
                <w:sz w:val="18"/>
                <w:szCs w:val="18"/>
                <w:color w:val="auto"/>
                <w:w w:val="98"/>
              </w:rPr>
              <w:t>Registration Statement on Form F-3, File No. 333-</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November 10, 2010</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170505, as Exhibit 99.1</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97"/>
        </w:trPr>
        <w:tc>
          <w:tcPr>
            <w:tcW w:w="3980" w:type="dxa"/>
            <w:vAlign w:val="bottom"/>
          </w:tcPr>
          <w:p>
            <w:pPr>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40"/>
        </w:trPr>
        <w:tc>
          <w:tcPr>
            <w:tcW w:w="3980" w:type="dxa"/>
            <w:vAlign w:val="bottom"/>
          </w:tcPr>
          <w:p>
            <w:pPr>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56"/>
        </w:trPr>
        <w:tc>
          <w:tcPr>
            <w:tcW w:w="3980" w:type="dxa"/>
            <w:vAlign w:val="bottom"/>
          </w:tcPr>
          <w:p>
            <w:pPr>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972"/>
        </w:trPr>
        <w:tc>
          <w:tcPr>
            <w:tcW w:w="3980" w:type="dxa"/>
            <w:vAlign w:val="bottom"/>
          </w:tcPr>
          <w:p>
            <w:pPr>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174" w:lineRule="exact"/>
        <w:rPr>
          <w:sz w:val="20"/>
          <w:szCs w:val="20"/>
          <w:color w:val="auto"/>
        </w:rPr>
      </w:pPr>
    </w:p>
    <w:p>
      <w:pPr>
        <w:sectPr>
          <w:pgSz w:w="11900" w:h="16838" w:orient="portrait"/>
          <w:cols w:equalWidth="0" w:num="2">
            <w:col w:w="5180" w:space="140"/>
            <w:col w:w="6100"/>
          </w:cols>
          <w:pgMar w:left="240" w:top="343" w:right="239" w:bottom="1440" w:gutter="0" w:footer="0" w:header="0"/>
        </w:sectPr>
      </w:pPr>
    </w:p>
    <w:p>
      <w:pPr>
        <w:ind w:left="1180" w:right="5060" w:hanging="1179"/>
        <w:spacing w:after="0" w:line="258"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Filed herewith XBRL with applicable taxonomy extension</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690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4"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portions of this exhibit pursuant to an application requesting confidential treatment under Rule</w:t>
      </w:r>
    </w:p>
    <w:p>
      <w:pPr>
        <w:spacing w:after="0" w:line="46" w:lineRule="exact"/>
        <w:rPr>
          <w:sz w:val="20"/>
          <w:szCs w:val="20"/>
          <w:color w:val="auto"/>
        </w:rPr>
      </w:pPr>
    </w:p>
    <w:p>
      <w:pPr>
        <w:ind w:left="520" w:right="620"/>
        <w:spacing w:after="0" w:line="250" w:lineRule="auto"/>
        <w:rPr>
          <w:sz w:val="20"/>
          <w:szCs w:val="20"/>
          <w:color w:val="auto"/>
        </w:rPr>
      </w:pPr>
      <w:r>
        <w:rPr>
          <w:rFonts w:ascii="Arial" w:cs="Arial" w:eastAsia="Arial" w:hAnsi="Arial"/>
          <w:sz w:val="18"/>
          <w:szCs w:val="18"/>
          <w:color w:val="auto"/>
        </w:rPr>
        <w:t>24b-2 of the Securities Exchange Act of 1934. A complete copy of this exhibit, including the redacted terms, has been separately filed with the Securities and Exchange Commission.</w:t>
      </w:r>
    </w:p>
    <w:p>
      <w:pPr>
        <w:spacing w:after="0" w:line="1"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type w:val="continuous"/>
        </w:sectPr>
      </w:pPr>
    </w:p>
    <w:bookmarkStart w:id="102" w:name="page103"/>
    <w:bookmarkEnd w:id="102"/>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67"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195"/>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John F. Thero</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r>
              <w:rPr>
                <w:rFonts w:ascii="Arial" w:cs="Arial" w:eastAsia="Arial" w:hAnsi="Arial"/>
                <w:sz w:val="18"/>
                <w:szCs w:val="18"/>
                <w:i w:val="1"/>
                <w:iCs w:val="1"/>
                <w:color w:val="auto"/>
              </w:rPr>
              <w:t xml:space="preserve"> Chief Executive Officer</w:t>
            </w:r>
          </w:p>
        </w:tc>
      </w:tr>
      <w:tr>
        <w:trPr>
          <w:trHeight w:val="230"/>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19"/>
        </w:trPr>
        <w:tc>
          <w:tcPr>
            <w:tcW w:w="400" w:type="dxa"/>
            <w:vAlign w:val="bottom"/>
          </w:tcPr>
          <w:p>
            <w:pPr>
              <w:spacing w:after="0"/>
              <w:rPr>
                <w:sz w:val="24"/>
                <w:szCs w:val="24"/>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Date: February 25, 2020</w:t>
            </w:r>
          </w:p>
        </w:tc>
      </w:tr>
    </w:tbl>
    <w:p>
      <w:pPr>
        <w:spacing w:after="0" w:line="148"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jc w:val="center"/>
              <w:ind w:right="2093"/>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392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202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52"/>
        </w:trPr>
        <w:tc>
          <w:tcPr>
            <w:tcW w:w="19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/s/</w:t>
            </w:r>
          </w:p>
        </w:tc>
        <w:tc>
          <w:tcPr>
            <w:tcW w:w="3060" w:type="dxa"/>
            <w:vAlign w:val="bottom"/>
          </w:tcPr>
          <w:p>
            <w:pPr>
              <w:jc w:val="center"/>
              <w:ind w:right="1733"/>
              <w:spacing w:after="0"/>
              <w:rPr>
                <w:sz w:val="20"/>
                <w:szCs w:val="20"/>
                <w:color w:val="auto"/>
              </w:rPr>
            </w:pPr>
            <w:r>
              <w:rPr>
                <w:rFonts w:ascii="Arial" w:cs="Arial" w:eastAsia="Arial" w:hAnsi="Arial"/>
                <w:sz w:val="18"/>
                <w:szCs w:val="18"/>
                <w:color w:val="auto"/>
                <w:w w:val="89"/>
              </w:rPr>
              <w:t>John F. Thero</w:t>
            </w:r>
          </w:p>
        </w:tc>
        <w:tc>
          <w:tcPr>
            <w:tcW w:w="120" w:type="dxa"/>
            <w:vAlign w:val="bottom"/>
          </w:tcPr>
          <w:p>
            <w:pPr>
              <w:spacing w:after="0"/>
              <w:rPr>
                <w:sz w:val="24"/>
                <w:szCs w:val="24"/>
                <w:color w:val="auto"/>
              </w:rPr>
            </w:pPr>
          </w:p>
        </w:tc>
        <w:tc>
          <w:tcPr>
            <w:tcW w:w="3920" w:type="dxa"/>
            <w:vAlign w:val="bottom"/>
          </w:tcPr>
          <w:p>
            <w:pPr>
              <w:jc w:val="center"/>
              <w:ind w:right="52"/>
              <w:spacing w:after="0"/>
              <w:rPr>
                <w:sz w:val="20"/>
                <w:szCs w:val="20"/>
                <w:color w:val="auto"/>
              </w:rPr>
            </w:pPr>
            <w:r>
              <w:rPr>
                <w:rFonts w:ascii="Arial" w:cs="Arial" w:eastAsia="Arial" w:hAnsi="Arial"/>
                <w:sz w:val="18"/>
                <w:szCs w:val="18"/>
                <w:color w:val="auto"/>
                <w:w w:val="90"/>
              </w:rPr>
              <w:t>Director, President and Chief</w:t>
            </w:r>
          </w:p>
        </w:tc>
        <w:tc>
          <w:tcPr>
            <w:tcW w:w="120" w:type="dxa"/>
            <w:vAlign w:val="bottom"/>
          </w:tcPr>
          <w:p>
            <w:pPr>
              <w:spacing w:after="0"/>
              <w:rPr>
                <w:sz w:val="24"/>
                <w:szCs w:val="24"/>
                <w:color w:val="auto"/>
              </w:rPr>
            </w:pPr>
          </w:p>
        </w:tc>
        <w:tc>
          <w:tcPr>
            <w:tcW w:w="2020" w:type="dxa"/>
            <w:vAlign w:val="bottom"/>
          </w:tcPr>
          <w:p>
            <w:pPr>
              <w:ind w:left="280"/>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r>
        <w:trPr>
          <w:trHeight w:val="28"/>
        </w:trPr>
        <w:tc>
          <w:tcPr>
            <w:tcW w:w="1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vMerge w:val="restart"/>
          </w:tcPr>
          <w:p>
            <w:pPr>
              <w:jc w:val="center"/>
              <w:ind w:right="32"/>
              <w:spacing w:after="0"/>
              <w:rPr>
                <w:sz w:val="20"/>
                <w:szCs w:val="20"/>
                <w:color w:val="auto"/>
              </w:rPr>
            </w:pPr>
            <w:r>
              <w:rPr>
                <w:rFonts w:ascii="Arial" w:cs="Arial" w:eastAsia="Arial" w:hAnsi="Arial"/>
                <w:sz w:val="18"/>
                <w:szCs w:val="18"/>
                <w:color w:val="auto"/>
                <w:w w:val="94"/>
              </w:rPr>
              <w:t>Executive Officer (Principal</w:t>
            </w: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3300" w:type="dxa"/>
            <w:vAlign w:val="bottom"/>
            <w:gridSpan w:val="2"/>
            <w:vMerge w:val="restart"/>
          </w:tcPr>
          <w:p>
            <w:pPr>
              <w:jc w:val="center"/>
              <w:ind w:right="1853"/>
              <w:spacing w:after="0"/>
              <w:rPr>
                <w:sz w:val="20"/>
                <w:szCs w:val="20"/>
                <w:color w:val="auto"/>
              </w:rPr>
            </w:pPr>
            <w:r>
              <w:rPr>
                <w:rFonts w:ascii="Arial" w:cs="Arial" w:eastAsia="Arial" w:hAnsi="Arial"/>
                <w:sz w:val="18"/>
                <w:szCs w:val="18"/>
                <w:color w:val="auto"/>
                <w:w w:val="89"/>
              </w:rPr>
              <w:t>John F. Thero</w:t>
            </w:r>
          </w:p>
        </w:tc>
        <w:tc>
          <w:tcPr>
            <w:tcW w:w="120" w:type="dxa"/>
            <w:vAlign w:val="bottom"/>
          </w:tcPr>
          <w:p>
            <w:pPr>
              <w:spacing w:after="0"/>
              <w:rPr>
                <w:sz w:val="14"/>
                <w:szCs w:val="14"/>
                <w:color w:val="auto"/>
              </w:rPr>
            </w:pPr>
          </w:p>
        </w:tc>
        <w:tc>
          <w:tcPr>
            <w:tcW w:w="3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940" w:type="dxa"/>
            <w:vAlign w:val="bottom"/>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920" w:type="dxa"/>
            <w:vAlign w:val="bottom"/>
            <w:vMerge w:val="restart"/>
          </w:tcPr>
          <w:p>
            <w:pPr>
              <w:jc w:val="center"/>
              <w:ind w:right="52"/>
              <w:spacing w:after="0"/>
              <w:rPr>
                <w:sz w:val="20"/>
                <w:szCs w:val="20"/>
                <w:color w:val="auto"/>
              </w:rPr>
            </w:pPr>
            <w:r>
              <w:rPr>
                <w:rFonts w:ascii="Arial" w:cs="Arial" w:eastAsia="Arial" w:hAnsi="Arial"/>
                <w:sz w:val="18"/>
                <w:szCs w:val="18"/>
                <w:color w:val="auto"/>
                <w:w w:val="94"/>
              </w:rPr>
              <w:t>Executive Officer)</w:t>
            </w:r>
          </w:p>
        </w:tc>
        <w:tc>
          <w:tcPr>
            <w:tcW w:w="1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2180" w:type="dxa"/>
            <w:vAlign w:val="bottom"/>
            <w:gridSpan w:val="2"/>
          </w:tcPr>
          <w:p>
            <w:pPr>
              <w:ind w:left="1840"/>
              <w:spacing w:after="0"/>
              <w:rPr>
                <w:sz w:val="20"/>
                <w:szCs w:val="20"/>
                <w:color w:val="auto"/>
              </w:rPr>
            </w:pPr>
            <w:r>
              <w:rPr>
                <w:rFonts w:ascii="Arial" w:cs="Arial" w:eastAsia="Arial" w:hAnsi="Arial"/>
                <w:sz w:val="18"/>
                <w:szCs w:val="18"/>
                <w:color w:val="auto"/>
              </w:rPr>
              <w:t>/s/</w:t>
            </w:r>
          </w:p>
        </w:tc>
        <w:tc>
          <w:tcPr>
            <w:tcW w:w="3060" w:type="dxa"/>
            <w:vAlign w:val="bottom"/>
          </w:tcPr>
          <w:p>
            <w:pPr>
              <w:jc w:val="center"/>
              <w:ind w:right="1733"/>
              <w:spacing w:after="0"/>
              <w:rPr>
                <w:sz w:val="20"/>
                <w:szCs w:val="20"/>
                <w:color w:val="auto"/>
              </w:rPr>
            </w:pPr>
            <w:r>
              <w:rPr>
                <w:rFonts w:ascii="Arial" w:cs="Arial" w:eastAsia="Arial" w:hAnsi="Arial"/>
                <w:sz w:val="18"/>
                <w:szCs w:val="18"/>
                <w:color w:val="auto"/>
                <w:w w:val="95"/>
              </w:rPr>
              <w:t>Michael W. Kalb</w:t>
            </w:r>
          </w:p>
        </w:tc>
        <w:tc>
          <w:tcPr>
            <w:tcW w:w="120" w:type="dxa"/>
            <w:vAlign w:val="bottom"/>
          </w:tcPr>
          <w:p>
            <w:pPr>
              <w:spacing w:after="0"/>
              <w:rPr>
                <w:sz w:val="24"/>
                <w:szCs w:val="24"/>
                <w:color w:val="auto"/>
              </w:rPr>
            </w:pPr>
          </w:p>
        </w:tc>
        <w:tc>
          <w:tcPr>
            <w:tcW w:w="3920" w:type="dxa"/>
            <w:vAlign w:val="bottom"/>
          </w:tcPr>
          <w:p>
            <w:pPr>
              <w:jc w:val="center"/>
              <w:ind w:right="52"/>
              <w:spacing w:after="0"/>
              <w:rPr>
                <w:sz w:val="20"/>
                <w:szCs w:val="20"/>
                <w:color w:val="auto"/>
              </w:rPr>
            </w:pPr>
            <w:r>
              <w:rPr>
                <w:rFonts w:ascii="Arial" w:cs="Arial" w:eastAsia="Arial" w:hAnsi="Arial"/>
                <w:sz w:val="18"/>
                <w:szCs w:val="18"/>
                <w:color w:val="auto"/>
                <w:w w:val="90"/>
              </w:rPr>
              <w:t>Senior Vice President and Chief</w:t>
            </w:r>
          </w:p>
        </w:tc>
        <w:tc>
          <w:tcPr>
            <w:tcW w:w="120" w:type="dxa"/>
            <w:vAlign w:val="bottom"/>
          </w:tcPr>
          <w:p>
            <w:pPr>
              <w:spacing w:after="0"/>
              <w:rPr>
                <w:sz w:val="24"/>
                <w:szCs w:val="24"/>
                <w:color w:val="auto"/>
              </w:rPr>
            </w:pPr>
          </w:p>
        </w:tc>
        <w:tc>
          <w:tcPr>
            <w:tcW w:w="2020" w:type="dxa"/>
            <w:vAlign w:val="bottom"/>
          </w:tcPr>
          <w:p>
            <w:pPr>
              <w:ind w:left="280"/>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r>
        <w:trPr>
          <w:trHeight w:val="28"/>
        </w:trPr>
        <w:tc>
          <w:tcPr>
            <w:tcW w:w="1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vMerge w:val="restart"/>
          </w:tcPr>
          <w:p>
            <w:pPr>
              <w:jc w:val="center"/>
              <w:ind w:right="52"/>
              <w:spacing w:after="0"/>
              <w:rPr>
                <w:sz w:val="20"/>
                <w:szCs w:val="20"/>
                <w:color w:val="auto"/>
              </w:rPr>
            </w:pPr>
            <w:r>
              <w:rPr>
                <w:rFonts w:ascii="Arial" w:cs="Arial" w:eastAsia="Arial" w:hAnsi="Arial"/>
                <w:sz w:val="18"/>
                <w:szCs w:val="18"/>
                <w:color w:val="auto"/>
                <w:w w:val="94"/>
              </w:rPr>
              <w:t>Financial Officer (Principal</w:t>
            </w: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3300" w:type="dxa"/>
            <w:vAlign w:val="bottom"/>
            <w:gridSpan w:val="2"/>
            <w:vMerge w:val="restart"/>
          </w:tcPr>
          <w:p>
            <w:pPr>
              <w:jc w:val="center"/>
              <w:ind w:right="1853"/>
              <w:spacing w:after="0"/>
              <w:rPr>
                <w:sz w:val="20"/>
                <w:szCs w:val="20"/>
                <w:color w:val="auto"/>
              </w:rPr>
            </w:pPr>
            <w:r>
              <w:rPr>
                <w:rFonts w:ascii="Arial" w:cs="Arial" w:eastAsia="Arial" w:hAnsi="Arial"/>
                <w:sz w:val="18"/>
                <w:szCs w:val="18"/>
                <w:color w:val="auto"/>
                <w:w w:val="95"/>
              </w:rPr>
              <w:t>Michael W. Kalb</w:t>
            </w:r>
          </w:p>
        </w:tc>
        <w:tc>
          <w:tcPr>
            <w:tcW w:w="120" w:type="dxa"/>
            <w:vAlign w:val="bottom"/>
          </w:tcPr>
          <w:p>
            <w:pPr>
              <w:spacing w:after="0"/>
              <w:rPr>
                <w:sz w:val="14"/>
                <w:szCs w:val="14"/>
                <w:color w:val="auto"/>
              </w:rPr>
            </w:pPr>
          </w:p>
        </w:tc>
        <w:tc>
          <w:tcPr>
            <w:tcW w:w="3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940" w:type="dxa"/>
            <w:vAlign w:val="bottom"/>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920" w:type="dxa"/>
            <w:vAlign w:val="bottom"/>
            <w:vMerge w:val="restart"/>
          </w:tcPr>
          <w:p>
            <w:pPr>
              <w:jc w:val="center"/>
              <w:ind w:right="52"/>
              <w:spacing w:after="0"/>
              <w:rPr>
                <w:sz w:val="20"/>
                <w:szCs w:val="20"/>
                <w:color w:val="auto"/>
              </w:rPr>
            </w:pPr>
            <w:r>
              <w:rPr>
                <w:rFonts w:ascii="Arial" w:cs="Arial" w:eastAsia="Arial" w:hAnsi="Arial"/>
                <w:sz w:val="18"/>
                <w:szCs w:val="18"/>
                <w:color w:val="auto"/>
                <w:w w:val="92"/>
              </w:rPr>
              <w:t>Financial Officer and Principal</w:t>
            </w:r>
          </w:p>
        </w:tc>
        <w:tc>
          <w:tcPr>
            <w:tcW w:w="1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jc w:val="center"/>
              <w:ind w:right="52"/>
              <w:spacing w:after="0"/>
              <w:rPr>
                <w:sz w:val="20"/>
                <w:szCs w:val="20"/>
                <w:color w:val="auto"/>
              </w:rPr>
            </w:pPr>
            <w:r>
              <w:rPr>
                <w:rFonts w:ascii="Arial" w:cs="Arial" w:eastAsia="Arial" w:hAnsi="Arial"/>
                <w:sz w:val="18"/>
                <w:szCs w:val="18"/>
                <w:color w:val="auto"/>
                <w:w w:val="95"/>
              </w:rPr>
              <w:t>Accounting Officer)</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Lars Ekman, M.D., Ph.D.</w:t>
            </w:r>
          </w:p>
        </w:tc>
        <w:tc>
          <w:tcPr>
            <w:tcW w:w="120" w:type="dxa"/>
            <w:vAlign w:val="bottom"/>
          </w:tcPr>
          <w:p>
            <w:pPr>
              <w:spacing w:after="0"/>
              <w:rPr>
                <w:sz w:val="24"/>
                <w:szCs w:val="24"/>
                <w:color w:val="auto"/>
              </w:rPr>
            </w:pPr>
          </w:p>
        </w:tc>
        <w:tc>
          <w:tcPr>
            <w:tcW w:w="3920" w:type="dxa"/>
            <w:vAlign w:val="bottom"/>
          </w:tcPr>
          <w:p>
            <w:pPr>
              <w:jc w:val="center"/>
              <w:ind w:right="32"/>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20" w:type="dxa"/>
            <w:vAlign w:val="bottom"/>
          </w:tcPr>
          <w:p>
            <w:pPr>
              <w:ind w:left="280"/>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r>
        <w:trPr>
          <w:trHeight w:val="257"/>
        </w:trPr>
        <w:tc>
          <w:tcPr>
            <w:tcW w:w="5240" w:type="dxa"/>
            <w:vAlign w:val="bottom"/>
            <w:gridSpan w:val="3"/>
          </w:tcPr>
          <w:p>
            <w:pPr>
              <w:jc w:val="center"/>
              <w:spacing w:after="0"/>
              <w:rPr>
                <w:sz w:val="20"/>
                <w:szCs w:val="20"/>
                <w:color w:val="auto"/>
              </w:rPr>
            </w:pPr>
            <w:r>
              <w:rPr>
                <w:rFonts w:ascii="Arial" w:cs="Arial" w:eastAsia="Arial" w:hAnsi="Arial"/>
                <w:sz w:val="18"/>
                <w:szCs w:val="18"/>
                <w:color w:val="auto"/>
                <w:w w:val="92"/>
              </w:rPr>
              <w:t>Lars Ekman, M.D., Ph.D.</w:t>
            </w:r>
          </w:p>
        </w:tc>
        <w:tc>
          <w:tcPr>
            <w:tcW w:w="1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4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w w:val="73"/>
              </w:rPr>
              <w:t>/s/</w:t>
            </w:r>
          </w:p>
        </w:tc>
        <w:tc>
          <w:tcPr>
            <w:tcW w:w="3300" w:type="dxa"/>
            <w:vAlign w:val="bottom"/>
            <w:tcBorders>
              <w:bottom w:val="single" w:sz="8" w:color="auto"/>
            </w:tcBorders>
            <w:gridSpan w:val="2"/>
          </w:tcPr>
          <w:p>
            <w:pPr>
              <w:jc w:val="center"/>
              <w:ind w:right="1513"/>
              <w:spacing w:after="0"/>
              <w:rPr>
                <w:sz w:val="20"/>
                <w:szCs w:val="20"/>
                <w:color w:val="auto"/>
              </w:rPr>
            </w:pPr>
            <w:r>
              <w:rPr>
                <w:rFonts w:ascii="Arial" w:cs="Arial" w:eastAsia="Arial" w:hAnsi="Arial"/>
                <w:sz w:val="18"/>
                <w:szCs w:val="18"/>
                <w:color w:val="auto"/>
                <w:w w:val="94"/>
              </w:rPr>
              <w:t>Patrick O’Sullivan</w:t>
            </w:r>
          </w:p>
        </w:tc>
        <w:tc>
          <w:tcPr>
            <w:tcW w:w="120" w:type="dxa"/>
            <w:vAlign w:val="bottom"/>
          </w:tcPr>
          <w:p>
            <w:pPr>
              <w:spacing w:after="0"/>
              <w:rPr>
                <w:sz w:val="24"/>
                <w:szCs w:val="24"/>
                <w:color w:val="auto"/>
              </w:rPr>
            </w:pPr>
          </w:p>
        </w:tc>
        <w:tc>
          <w:tcPr>
            <w:tcW w:w="3920" w:type="dxa"/>
            <w:vAlign w:val="bottom"/>
          </w:tcPr>
          <w:p>
            <w:pPr>
              <w:jc w:val="center"/>
              <w:ind w:right="32"/>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20" w:type="dxa"/>
            <w:vAlign w:val="bottom"/>
          </w:tcPr>
          <w:p>
            <w:pPr>
              <w:ind w:left="280"/>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3300" w:type="dxa"/>
            <w:vAlign w:val="bottom"/>
            <w:gridSpan w:val="2"/>
          </w:tcPr>
          <w:p>
            <w:pPr>
              <w:jc w:val="center"/>
              <w:ind w:right="1853"/>
              <w:spacing w:after="0"/>
              <w:rPr>
                <w:sz w:val="20"/>
                <w:szCs w:val="20"/>
                <w:color w:val="auto"/>
              </w:rPr>
            </w:pPr>
            <w:r>
              <w:rPr>
                <w:rFonts w:ascii="Arial" w:cs="Arial" w:eastAsia="Arial" w:hAnsi="Arial"/>
                <w:sz w:val="18"/>
                <w:szCs w:val="18"/>
                <w:color w:val="auto"/>
                <w:w w:val="96"/>
              </w:rPr>
              <w:t>Patrick O’Sullivan</w:t>
            </w:r>
          </w:p>
        </w:tc>
        <w:tc>
          <w:tcPr>
            <w:tcW w:w="1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218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w w:val="90"/>
              </w:rPr>
              <w:t>Kristine Peterson</w:t>
            </w:r>
          </w:p>
        </w:tc>
        <w:tc>
          <w:tcPr>
            <w:tcW w:w="120" w:type="dxa"/>
            <w:vAlign w:val="bottom"/>
          </w:tcPr>
          <w:p>
            <w:pPr>
              <w:spacing w:after="0"/>
              <w:rPr>
                <w:sz w:val="24"/>
                <w:szCs w:val="24"/>
                <w:color w:val="auto"/>
              </w:rPr>
            </w:pPr>
          </w:p>
        </w:tc>
        <w:tc>
          <w:tcPr>
            <w:tcW w:w="3920" w:type="dxa"/>
            <w:vAlign w:val="bottom"/>
          </w:tcPr>
          <w:p>
            <w:pPr>
              <w:jc w:val="center"/>
              <w:ind w:right="32"/>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20" w:type="dxa"/>
            <w:vAlign w:val="bottom"/>
          </w:tcPr>
          <w:p>
            <w:pPr>
              <w:ind w:left="280"/>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3300" w:type="dxa"/>
            <w:vAlign w:val="bottom"/>
            <w:gridSpan w:val="2"/>
          </w:tcPr>
          <w:p>
            <w:pPr>
              <w:jc w:val="center"/>
              <w:ind w:right="1853"/>
              <w:spacing w:after="0"/>
              <w:rPr>
                <w:sz w:val="20"/>
                <w:szCs w:val="20"/>
                <w:color w:val="auto"/>
              </w:rPr>
            </w:pPr>
            <w:r>
              <w:rPr>
                <w:rFonts w:ascii="Arial" w:cs="Arial" w:eastAsia="Arial" w:hAnsi="Arial"/>
                <w:sz w:val="18"/>
                <w:szCs w:val="18"/>
                <w:color w:val="auto"/>
                <w:w w:val="90"/>
              </w:rPr>
              <w:t>Kristine Peterson</w:t>
            </w:r>
          </w:p>
        </w:tc>
        <w:tc>
          <w:tcPr>
            <w:tcW w:w="1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/s/</w:t>
            </w:r>
          </w:p>
        </w:tc>
        <w:tc>
          <w:tcPr>
            <w:tcW w:w="306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w w:val="91"/>
              </w:rPr>
              <w:t>David Stack</w:t>
            </w:r>
          </w:p>
        </w:tc>
        <w:tc>
          <w:tcPr>
            <w:tcW w:w="120" w:type="dxa"/>
            <w:vAlign w:val="bottom"/>
          </w:tcPr>
          <w:p>
            <w:pPr>
              <w:spacing w:after="0"/>
              <w:rPr>
                <w:sz w:val="24"/>
                <w:szCs w:val="24"/>
                <w:color w:val="auto"/>
              </w:rPr>
            </w:pPr>
          </w:p>
        </w:tc>
        <w:tc>
          <w:tcPr>
            <w:tcW w:w="3920" w:type="dxa"/>
            <w:vAlign w:val="bottom"/>
          </w:tcPr>
          <w:p>
            <w:pPr>
              <w:jc w:val="center"/>
              <w:ind w:right="32"/>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20" w:type="dxa"/>
            <w:vAlign w:val="bottom"/>
          </w:tcPr>
          <w:p>
            <w:pPr>
              <w:ind w:left="280"/>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tcPr>
          <w:p>
            <w:pPr>
              <w:jc w:val="center"/>
              <w:ind w:right="2093"/>
              <w:spacing w:after="0"/>
              <w:rPr>
                <w:sz w:val="20"/>
                <w:szCs w:val="20"/>
                <w:color w:val="auto"/>
              </w:rPr>
            </w:pPr>
            <w:r>
              <w:rPr>
                <w:rFonts w:ascii="Arial" w:cs="Arial" w:eastAsia="Arial" w:hAnsi="Arial"/>
                <w:sz w:val="18"/>
                <w:szCs w:val="18"/>
                <w:color w:val="auto"/>
                <w:w w:val="91"/>
              </w:rPr>
              <w:t>David Stack</w:t>
            </w:r>
          </w:p>
        </w:tc>
        <w:tc>
          <w:tcPr>
            <w:tcW w:w="1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w w:val="87"/>
              </w:rPr>
              <w:t>Jan van Heek</w:t>
            </w:r>
          </w:p>
        </w:tc>
        <w:tc>
          <w:tcPr>
            <w:tcW w:w="120" w:type="dxa"/>
            <w:vAlign w:val="bottom"/>
          </w:tcPr>
          <w:p>
            <w:pPr>
              <w:spacing w:after="0"/>
              <w:rPr>
                <w:sz w:val="24"/>
                <w:szCs w:val="24"/>
                <w:color w:val="auto"/>
              </w:rPr>
            </w:pPr>
          </w:p>
        </w:tc>
        <w:tc>
          <w:tcPr>
            <w:tcW w:w="3920" w:type="dxa"/>
            <w:vAlign w:val="bottom"/>
          </w:tcPr>
          <w:p>
            <w:pPr>
              <w:jc w:val="center"/>
              <w:ind w:right="32"/>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20" w:type="dxa"/>
            <w:vAlign w:val="bottom"/>
          </w:tcPr>
          <w:p>
            <w:pPr>
              <w:ind w:left="280"/>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3300" w:type="dxa"/>
            <w:vAlign w:val="bottom"/>
            <w:gridSpan w:val="2"/>
          </w:tcPr>
          <w:p>
            <w:pPr>
              <w:jc w:val="center"/>
              <w:ind w:right="1853"/>
              <w:spacing w:after="0"/>
              <w:rPr>
                <w:sz w:val="20"/>
                <w:szCs w:val="20"/>
                <w:color w:val="auto"/>
              </w:rPr>
            </w:pPr>
            <w:r>
              <w:rPr>
                <w:rFonts w:ascii="Arial" w:cs="Arial" w:eastAsia="Arial" w:hAnsi="Arial"/>
                <w:sz w:val="18"/>
                <w:szCs w:val="18"/>
                <w:color w:val="auto"/>
                <w:w w:val="87"/>
              </w:rPr>
              <w:t>Jan van Heek</w:t>
            </w:r>
          </w:p>
        </w:tc>
        <w:tc>
          <w:tcPr>
            <w:tcW w:w="1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w w:val="83"/>
              </w:rPr>
              <w:t>/s/</w:t>
            </w:r>
          </w:p>
        </w:tc>
        <w:tc>
          <w:tcPr>
            <w:tcW w:w="3300" w:type="dxa"/>
            <w:vAlign w:val="bottom"/>
            <w:tcBorders>
              <w:bottom w:val="single" w:sz="8" w:color="auto"/>
            </w:tcBorders>
            <w:gridSpan w:val="2"/>
          </w:tcPr>
          <w:p>
            <w:pPr>
              <w:jc w:val="center"/>
              <w:ind w:right="1513"/>
              <w:spacing w:after="0"/>
              <w:rPr>
                <w:sz w:val="20"/>
                <w:szCs w:val="20"/>
                <w:color w:val="auto"/>
              </w:rPr>
            </w:pPr>
            <w:r>
              <w:rPr>
                <w:rFonts w:ascii="Arial" w:cs="Arial" w:eastAsia="Arial" w:hAnsi="Arial"/>
                <w:sz w:val="18"/>
                <w:szCs w:val="18"/>
                <w:color w:val="auto"/>
                <w:w w:val="90"/>
              </w:rPr>
              <w:t>Joseph Zakrzewski</w:t>
            </w:r>
          </w:p>
        </w:tc>
        <w:tc>
          <w:tcPr>
            <w:tcW w:w="120" w:type="dxa"/>
            <w:vAlign w:val="bottom"/>
          </w:tcPr>
          <w:p>
            <w:pPr>
              <w:spacing w:after="0"/>
              <w:rPr>
                <w:sz w:val="24"/>
                <w:szCs w:val="24"/>
                <w:color w:val="auto"/>
              </w:rPr>
            </w:pPr>
          </w:p>
        </w:tc>
        <w:tc>
          <w:tcPr>
            <w:tcW w:w="3920" w:type="dxa"/>
            <w:vAlign w:val="bottom"/>
          </w:tcPr>
          <w:p>
            <w:pPr>
              <w:jc w:val="center"/>
              <w:ind w:right="32"/>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020" w:type="dxa"/>
            <w:vAlign w:val="bottom"/>
          </w:tcPr>
          <w:p>
            <w:pPr>
              <w:ind w:left="280"/>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r>
        <w:trPr>
          <w:trHeight w:val="257"/>
        </w:trPr>
        <w:tc>
          <w:tcPr>
            <w:tcW w:w="5240" w:type="dxa"/>
            <w:vAlign w:val="bottom"/>
            <w:gridSpan w:val="3"/>
          </w:tcPr>
          <w:p>
            <w:pPr>
              <w:jc w:val="center"/>
              <w:spacing w:after="0"/>
              <w:rPr>
                <w:sz w:val="20"/>
                <w:szCs w:val="20"/>
                <w:color w:val="auto"/>
              </w:rPr>
            </w:pPr>
            <w:r>
              <w:rPr>
                <w:rFonts w:ascii="Arial" w:cs="Arial" w:eastAsia="Arial" w:hAnsi="Arial"/>
                <w:sz w:val="18"/>
                <w:szCs w:val="18"/>
                <w:color w:val="auto"/>
                <w:w w:val="88"/>
              </w:rPr>
              <w:t>Joseph Zakrzewski</w:t>
            </w:r>
          </w:p>
        </w:tc>
        <w:tc>
          <w:tcPr>
            <w:tcW w:w="1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ORPORATION PLC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80" w:type="dxa"/>
            <w:vAlign w:val="bottom"/>
            <w:gridSpan w:val="7"/>
            <w:vMerge w:val="restart"/>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Report of Independent Registered Public Accounting Firm</w:t>
              </w:r>
            </w:hyperlink>
          </w:p>
        </w:tc>
        <w:tc>
          <w:tcPr>
            <w:tcW w:w="1160" w:type="dxa"/>
            <w:vAlign w:val="bottom"/>
            <w:gridSpan w:val="2"/>
          </w:tcPr>
          <w:p>
            <w:pPr>
              <w:ind w:left="4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0280" w:type="dxa"/>
            <w:vAlign w:val="bottom"/>
            <w:gridSpan w:val="7"/>
            <w:vMerge w:val="continue"/>
          </w:tcPr>
          <w:p>
            <w:pPr>
              <w:spacing w:after="0"/>
              <w:rPr>
                <w:sz w:val="14"/>
                <w:szCs w:val="14"/>
                <w:color w:val="auto"/>
              </w:rPr>
            </w:pPr>
          </w:p>
        </w:tc>
        <w:tc>
          <w:tcPr>
            <w:tcW w:w="1140" w:type="dxa"/>
            <w:vAlign w:val="bottom"/>
            <w:tcBorders>
              <w:top w:val="single" w:sz="8" w:color="auto"/>
            </w:tcBorders>
          </w:tcPr>
          <w:p>
            <w:pPr>
              <w:ind w:left="90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2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Financial Statements:</w:t>
            </w:r>
          </w:p>
        </w:tc>
        <w:tc>
          <w:tcPr>
            <w:tcW w:w="6060" w:type="dxa"/>
            <w:vAlign w:val="bottom"/>
            <w:gridSpan w:val="5"/>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660" w:type="dxa"/>
            <w:vAlign w:val="bottom"/>
            <w:tcBorders>
              <w:bottom w:val="single" w:sz="8" w:color="0000EE"/>
            </w:tcBorders>
            <w:gridSpan w:val="3"/>
          </w:tcPr>
          <w:p>
            <w:pPr>
              <w:spacing w:after="0" w:line="190" w:lineRule="exact"/>
              <w:rPr>
                <w:rFonts w:ascii="Arial" w:cs="Arial" w:eastAsia="Arial" w:hAnsi="Arial"/>
                <w:sz w:val="18"/>
                <w:szCs w:val="18"/>
                <w:color w:val="0000EE"/>
                <w:w w:val="88"/>
              </w:rPr>
            </w:pPr>
            <w:hyperlink w:anchor="page108">
              <w:r>
                <w:rPr>
                  <w:rFonts w:ascii="Arial" w:cs="Arial" w:eastAsia="Arial" w:hAnsi="Arial"/>
                  <w:sz w:val="18"/>
                  <w:szCs w:val="18"/>
                  <w:color w:val="0000EE"/>
                  <w:w w:val="88"/>
                </w:rPr>
                <w:t>Consolidated Balance Sheets as of December 31, 2019 and 2018</w:t>
              </w:r>
            </w:hyperlink>
          </w:p>
        </w:tc>
        <w:tc>
          <w:tcPr>
            <w:tcW w:w="5620" w:type="dxa"/>
            <w:vAlign w:val="bottom"/>
            <w:gridSpan w:val="4"/>
          </w:tcPr>
          <w:p>
            <w:pPr>
              <w:spacing w:after="0"/>
              <w:rPr>
                <w:sz w:val="16"/>
                <w:szCs w:val="16"/>
                <w:color w:val="auto"/>
              </w:rPr>
            </w:pPr>
          </w:p>
        </w:tc>
        <w:tc>
          <w:tcPr>
            <w:tcW w:w="1160" w:type="dxa"/>
            <w:vAlign w:val="bottom"/>
            <w:gridSpan w:val="2"/>
          </w:tcPr>
          <w:p>
            <w:pPr>
              <w:ind w:left="900"/>
              <w:spacing w:after="0" w:line="190"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0280" w:type="dxa"/>
            <w:vAlign w:val="bottom"/>
            <w:gridSpan w:val="7"/>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Operations for the years ended December 31, 2019, 2018 and 2017</w:t>
              </w:r>
            </w:hyperlink>
          </w:p>
        </w:tc>
        <w:tc>
          <w:tcPr>
            <w:tcW w:w="1160" w:type="dxa"/>
            <w:vAlign w:val="bottom"/>
            <w:gridSpan w:val="2"/>
          </w:tcPr>
          <w:p>
            <w:pPr>
              <w:ind w:left="90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80" w:type="dxa"/>
            <w:vAlign w:val="bottom"/>
            <w:gridSpan w:val="7"/>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Consolidated Statements of Stockholders’ Equity (Deficit) for the years ended December 31, 2019, 2018 and 2017</w:t>
              </w:r>
            </w:hyperlink>
          </w:p>
        </w:tc>
        <w:tc>
          <w:tcPr>
            <w:tcW w:w="1160" w:type="dxa"/>
            <w:vAlign w:val="bottom"/>
            <w:gridSpan w:val="2"/>
          </w:tcPr>
          <w:p>
            <w:pPr>
              <w:ind w:left="90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Consolidated Statements of Cash Flows for the years ended December 31, 2019, 2018 and 2017</w:t>
              </w:r>
            </w:hyperlink>
          </w:p>
        </w:tc>
        <w:tc>
          <w:tcPr>
            <w:tcW w:w="1340" w:type="dxa"/>
            <w:vAlign w:val="bottom"/>
            <w:tcBorders>
              <w:top w:val="single" w:sz="8" w:color="0000EE"/>
            </w:tcBorders>
          </w:tcPr>
          <w:p>
            <w:pPr>
              <w:spacing w:after="0"/>
              <w:rPr>
                <w:sz w:val="17"/>
                <w:szCs w:val="17"/>
                <w:color w:val="auto"/>
              </w:rPr>
            </w:pPr>
          </w:p>
        </w:tc>
        <w:tc>
          <w:tcPr>
            <w:tcW w:w="2020" w:type="dxa"/>
            <w:vAlign w:val="bottom"/>
          </w:tcPr>
          <w:p>
            <w:pPr>
              <w:spacing w:after="0"/>
              <w:rPr>
                <w:sz w:val="17"/>
                <w:szCs w:val="17"/>
                <w:color w:val="auto"/>
              </w:rPr>
            </w:pPr>
          </w:p>
        </w:tc>
        <w:tc>
          <w:tcPr>
            <w:tcW w:w="1160" w:type="dxa"/>
            <w:vAlign w:val="bottom"/>
            <w:gridSpan w:val="2"/>
          </w:tcPr>
          <w:p>
            <w:pPr>
              <w:ind w:left="90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Notes to Consolidated Financial Statements</w:t>
              </w:r>
            </w:hyperlink>
          </w:p>
        </w:tc>
        <w:tc>
          <w:tcPr>
            <w:tcW w:w="7120" w:type="dxa"/>
            <w:vAlign w:val="bottom"/>
            <w:gridSpan w:val="6"/>
          </w:tcPr>
          <w:p>
            <w:pPr>
              <w:spacing w:after="0"/>
              <w:rPr>
                <w:sz w:val="17"/>
                <w:szCs w:val="17"/>
                <w:color w:val="auto"/>
              </w:rPr>
            </w:pPr>
          </w:p>
        </w:tc>
        <w:tc>
          <w:tcPr>
            <w:tcW w:w="1160" w:type="dxa"/>
            <w:vAlign w:val="bottom"/>
            <w:gridSpan w:val="2"/>
          </w:tcPr>
          <w:p>
            <w:pPr>
              <w:ind w:left="90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21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Amarin Corporation plc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the accompanying consolidated balance sheets of Amarin Corporation plc (the Company) as of December 31, 2019 and 2018, the related consolidated statements of operations, stockholders’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88"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Product Return Reserve Estimate</w:t>
      </w:r>
    </w:p>
    <w:p>
      <w:pPr>
        <w:sectPr>
          <w:pgSz w:w="11900" w:h="16838" w:orient="portrait"/>
          <w:cols w:equalWidth="0" w:num="1">
            <w:col w:w="11360"/>
          </w:cols>
          <w:pgMar w:left="240" w:top="337" w:right="299" w:bottom="1440" w:gutter="0" w:footer="0" w:header="0"/>
        </w:sectPr>
      </w:pP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December 31, 2019, the Company recorded a liability for product returns totaling $4.6 million. As discussed in Note 15 of the financial statements, the Company sells its product to distributors that in turn resell the product to retail pharmacies for subsequent sale to patients and healthcare providers. The Company estimates variable consideration resulting from product returns based on quantitative and qualitative data from various internal and external sources.</w:t>
      </w:r>
    </w:p>
    <w:p>
      <w:pPr>
        <w:spacing w:after="0" w:line="171" w:lineRule="exact"/>
        <w:rPr>
          <w:sz w:val="20"/>
          <w:szCs w:val="20"/>
          <w:color w:val="auto"/>
        </w:rPr>
      </w:pPr>
    </w:p>
    <w:p>
      <w:pPr>
        <w:sectPr>
          <w:pgSz w:w="11900" w:h="16838" w:orient="portrait"/>
          <w:cols w:equalWidth="0" w:num="2">
            <w:col w:w="1340" w:space="720"/>
            <w:col w:w="9300"/>
          </w:cols>
          <w:pgMar w:left="240" w:top="337" w:right="299" w:bottom="1440" w:gutter="0" w:footer="0" w:header="0"/>
          <w:type w:val="continuous"/>
        </w:sectPr>
      </w:pPr>
    </w:p>
    <w:p>
      <w:pPr>
        <w:jc w:val="both"/>
        <w:ind w:left="2060" w:right="220"/>
        <w:spacing w:after="0" w:line="264" w:lineRule="auto"/>
        <w:rPr>
          <w:sz w:val="20"/>
          <w:szCs w:val="20"/>
          <w:color w:val="auto"/>
        </w:rPr>
      </w:pPr>
      <w:r>
        <w:rPr>
          <w:rFonts w:ascii="Arial" w:cs="Arial" w:eastAsia="Arial" w:hAnsi="Arial"/>
          <w:sz w:val="18"/>
          <w:szCs w:val="18"/>
          <w:color w:val="auto"/>
        </w:rPr>
        <w:t>Auditing management’s estimate of product returns was complex and judgmental due to the significant estimation required to determine inventory in the distribution channel that will not ultimately be sold to patients and healthcare providers and will be returned. Sales into the distribution channel could exceed market demand.</w:t>
      </w:r>
    </w:p>
    <w:p>
      <w:pPr>
        <w:sectPr>
          <w:pgSz w:w="11900" w:h="16838" w:orient="portrait"/>
          <w:cols w:equalWidth="0" w:num="1">
            <w:col w:w="11360"/>
          </w:cols>
          <w:pgMar w:left="240" w:top="337" w:right="299" w:bottom="1440" w:gutter="0" w:footer="0" w:header="0"/>
          <w:type w:val="continuous"/>
        </w:sectPr>
      </w:pP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the controls over the Company’s estimation process for product returns including inventory in the distribution channel. These procedures included controls over management’s review of the inputs used and assumptions applied in the returns reserve calculation and channel inventory analysis.</w:t>
      </w:r>
    </w:p>
    <w:p>
      <w:pPr>
        <w:spacing w:after="0" w:line="187" w:lineRule="exact"/>
        <w:rPr>
          <w:sz w:val="20"/>
          <w:szCs w:val="20"/>
          <w:color w:val="auto"/>
        </w:rPr>
      </w:pPr>
    </w:p>
    <w:p>
      <w:pPr>
        <w:sectPr>
          <w:pgSz w:w="11900" w:h="16838" w:orient="portrait"/>
          <w:cols w:equalWidth="0" w:num="2">
            <w:col w:w="1660" w:space="400"/>
            <w:col w:w="9300"/>
          </w:cols>
          <w:pgMar w:left="240" w:top="337" w:right="299" w:bottom="1440" w:gutter="0" w:footer="0" w:header="0"/>
          <w:type w:val="continuous"/>
        </w:sectPr>
      </w:pPr>
    </w:p>
    <w:p>
      <w:pPr>
        <w:ind w:left="2060" w:right="20"/>
        <w:spacing w:after="0" w:line="270" w:lineRule="auto"/>
        <w:rPr>
          <w:sz w:val="20"/>
          <w:szCs w:val="20"/>
          <w:color w:val="auto"/>
        </w:rPr>
      </w:pPr>
      <w:r>
        <w:rPr>
          <w:rFonts w:ascii="Arial" w:cs="Arial" w:eastAsia="Arial" w:hAnsi="Arial"/>
          <w:sz w:val="17"/>
          <w:szCs w:val="17"/>
          <w:color w:val="auto"/>
        </w:rPr>
        <w:t>To test the estimated product return reserve, we performed audit procedures that included, among others, testing management’s historical return rate calculation and testing the completeness and accuracy of sales and returns data used in the calculation. We also compared product expiration dates in the calculation to the related quality control documentation. We assessed the historical accuracy of management’s estimate and performed analytical procedures to assess the correlation of monthly sales to distributors and monthly patient prescriptions. In addition, we assessed the Company’s quarterly analysis of inventory held at various stages in the distribution channel. We confirmed prescription data directly with a third party, confirmed contract terms directly with significant customers, and tested credit memos issued subsequent to year-end for recording in the proper period. We read significant customer contracts and performed direct inquiries with management including the sales, legal and contracting departments to identify any terms or conditions not included in customer contracts that could impact the estimate of product returns.</w:t>
      </w:r>
    </w:p>
    <w:p>
      <w:pPr>
        <w:sectPr>
          <w:pgSz w:w="11900" w:h="16838" w:orient="portrait"/>
          <w:cols w:equalWidth="0" w:num="1">
            <w:col w:w="11360"/>
          </w:cols>
          <w:pgMar w:left="240" w:top="337" w:right="299" w:bottom="1440" w:gutter="0" w:footer="0" w:header="0"/>
          <w:type w:val="continuous"/>
        </w:sect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50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644,588</w:t>
            </w:r>
          </w:p>
        </w:tc>
        <w:tc>
          <w:tcPr>
            <w:tcW w:w="280" w:type="dxa"/>
            <w:vAlign w:val="bottom"/>
          </w:tcPr>
          <w:p>
            <w:pPr>
              <w:spacing w:after="0"/>
              <w:rPr>
                <w:sz w:val="19"/>
                <w:szCs w:val="19"/>
                <w:color w:val="auto"/>
              </w:rPr>
            </w:pP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249,227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116,430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855,005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377,997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Intangible asset, net</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882,209</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385,714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49,950</w:t>
            </w:r>
          </w:p>
        </w:tc>
        <w:tc>
          <w:tcPr>
            <w:tcW w:w="2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139,826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Current portion of long-term debt from royalty-bearing instrument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6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Long-term debt from royalty-bearing instrument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500"/>
              <w:spacing w:after="0"/>
              <w:rPr>
                <w:sz w:val="20"/>
                <w:szCs w:val="20"/>
                <w:color w:val="auto"/>
              </w:rPr>
            </w:pPr>
            <w:r>
              <w:rPr>
                <w:rFonts w:ascii="Arial" w:cs="Arial" w:eastAsia="Arial" w:hAnsi="Arial"/>
                <w:sz w:val="18"/>
                <w:szCs w:val="18"/>
                <w:color w:val="auto"/>
              </w:rPr>
              <w:t>Deferred revenue, long-term</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Long-term operating lease liability</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60"/>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500"/>
              <w:spacing w:after="0"/>
              <w:rPr>
                <w:sz w:val="20"/>
                <w:szCs w:val="20"/>
                <w:color w:val="auto"/>
              </w:rPr>
            </w:pPr>
            <w:r>
              <w:rPr>
                <w:rFonts w:ascii="Arial" w:cs="Arial" w:eastAsia="Arial" w:hAnsi="Arial"/>
                <w:sz w:val="18"/>
                <w:szCs w:val="18"/>
                <w:color w:val="auto"/>
                <w:w w:val="92"/>
              </w:rPr>
              <w:t>Series A Convertible Preferred Stock, £0.05 par, unlimited authorized; 289,317,460 shares issued</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640"/>
              <w:spacing w:after="0"/>
              <w:rPr>
                <w:sz w:val="20"/>
                <w:szCs w:val="20"/>
                <w:color w:val="auto"/>
              </w:rPr>
            </w:pPr>
            <w:r>
              <w:rPr>
                <w:rFonts w:ascii="Arial" w:cs="Arial" w:eastAsia="Arial" w:hAnsi="Arial"/>
                <w:sz w:val="18"/>
                <w:szCs w:val="18"/>
                <w:color w:val="auto"/>
                <w:w w:val="94"/>
              </w:rPr>
              <w:t>and outstanding as of December 31, 2019 and December 31, 2018 (equivalent to 28,931,746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640"/>
              <w:spacing w:after="0"/>
              <w:rPr>
                <w:sz w:val="20"/>
                <w:szCs w:val="20"/>
                <w:color w:val="auto"/>
              </w:rPr>
            </w:pPr>
            <w:r>
              <w:rPr>
                <w:rFonts w:ascii="Arial" w:cs="Arial" w:eastAsia="Arial" w:hAnsi="Arial"/>
                <w:sz w:val="18"/>
                <w:szCs w:val="18"/>
                <w:color w:val="auto"/>
              </w:rPr>
              <w:t>ordinary shares upon future consolidation and redesignation at a 10:1 ratio)</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21,850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2"/>
              </w:rPr>
              <w:t>Common stock, £0.50 par, unlimited authorized; 365,014,893 issued, 360,103,901 outstanding as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2"/>
              </w:rPr>
              <w:t>of December 31, 2019; 329,110,863 issued, 325,850,013 outstanding as of December 31, 2018</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269,173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1,764,317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1,282,762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Treasury stock; 4,910,992 shares as of December 31, 2019; 3,260,850 shares as of December 31,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(35,900)</w:t>
            </w: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30"/>
        </w:trPr>
        <w:tc>
          <w:tcPr>
            <w:tcW w:w="768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(1,411,177)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(1,388,532)</w:t>
            </w: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608,263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74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882,209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8" w:name="page109"/>
    <w:bookmarkEnd w:id="108"/>
    <w:p>
      <w:pPr>
        <w:ind w:left="4440"/>
        <w:spacing w:after="0"/>
        <w:rPr>
          <w:sz w:val="20"/>
          <w:szCs w:val="20"/>
          <w:color w:val="auto"/>
        </w:rPr>
      </w:pPr>
      <w:r>
        <w:rPr>
          <w:rFonts w:ascii="Arial" w:cs="Arial" w:eastAsia="Arial" w:hAnsi="Arial"/>
          <w:sz w:val="18"/>
          <w:szCs w:val="18"/>
          <w:b w:val="1"/>
          <w:bCs w:val="1"/>
          <w:color w:val="auto"/>
        </w:rPr>
        <w:t>AMARIN CORPORATION PLC</w:t>
      </w:r>
    </w:p>
    <w:p>
      <w:pPr>
        <w:spacing w:after="0" w:line="7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228,371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revenue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429,755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229,214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333,736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174,671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226,996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358,015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282,896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(108,225)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(6,626)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(8,872)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(9,766)</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Loss from operations before taxes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(116,349)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(13,047)</w:t>
            </w:r>
          </w:p>
        </w:tc>
        <w:tc>
          <w:tcPr>
            <w:tcW w:w="0" w:type="dxa"/>
            <w:vAlign w:val="bottom"/>
          </w:tcPr>
          <w:p>
            <w:pPr>
              <w:spacing w:after="0"/>
              <w:rPr>
                <w:sz w:val="1"/>
                <w:szCs w:val="1"/>
                <w:color w:val="auto"/>
              </w:rPr>
            </w:pPr>
          </w:p>
        </w:tc>
      </w:tr>
      <w:tr>
        <w:trPr>
          <w:trHeight w:val="263"/>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(22,645)</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(116,445)</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Loss per share: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(0.39)</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342,538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297,237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297,237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270,652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9" w:name="page110"/>
    <w:bookmarkEnd w:id="109"/>
    <w:p>
      <w:pPr>
        <w:ind w:left="4440"/>
        <w:spacing w:after="0"/>
        <w:rPr>
          <w:sz w:val="20"/>
          <w:szCs w:val="20"/>
          <w:color w:val="auto"/>
        </w:rPr>
      </w:pPr>
      <w:r>
        <w:rPr>
          <w:rFonts w:ascii="Arial" w:cs="Arial" w:eastAsia="Arial" w:hAnsi="Arial"/>
          <w:sz w:val="18"/>
          <w:szCs w:val="18"/>
          <w:b w:val="1"/>
          <w:bCs w:val="1"/>
          <w:color w:val="auto"/>
        </w:rPr>
        <w:t>AMARIN CORPORATION PLC</w:t>
      </w:r>
    </w:p>
    <w:p>
      <w:pPr>
        <w:spacing w:after="0" w:line="7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02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Treasury</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Preferred</w:t>
            </w:r>
          </w:p>
        </w:tc>
        <w:tc>
          <w:tcPr>
            <w:tcW w:w="9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84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104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December 31, 2016</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328,184,640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270,183,201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(819,505)</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24,364</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3"/>
              </w:rPr>
              <w:t>207,166</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964,914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(1,498</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 (1,204,004</w:t>
            </w:r>
          </w:p>
        </w:tc>
        <w:tc>
          <w:tcPr>
            <w:tcW w:w="20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(9,058</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6"/>
                <w:szCs w:val="16"/>
                <w:color w:val="auto"/>
              </w:rPr>
              <w:t>Exercise of stock options</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vMerge w:val="continue"/>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356,656</w:t>
            </w:r>
          </w:p>
        </w:tc>
        <w:tc>
          <w:tcPr>
            <w:tcW w:w="200" w:type="dxa"/>
            <w:vAlign w:val="bottom"/>
          </w:tcPr>
          <w:p>
            <w:pPr>
              <w:spacing w:after="0"/>
              <w:rPr>
                <w:sz w:val="17"/>
                <w:szCs w:val="17"/>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units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2,179,187</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(877,528)</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(1,409)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(2,731)</w:t>
            </w: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Loss for the period</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(67,865)</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(67,865)</w:t>
            </w:r>
          </w:p>
        </w:tc>
        <w:tc>
          <w:tcPr>
            <w:tcW w:w="0" w:type="dxa"/>
            <w:vAlign w:val="bottom"/>
          </w:tcPr>
          <w:p>
            <w:pPr>
              <w:spacing w:after="0"/>
              <w:rPr>
                <w:sz w:val="1"/>
                <w:szCs w:val="1"/>
                <w:color w:val="auto"/>
              </w:rPr>
            </w:pPr>
          </w:p>
        </w:tc>
      </w:tr>
      <w:tr>
        <w:trPr>
          <w:trHeight w:val="247"/>
        </w:trPr>
        <w:tc>
          <w:tcPr>
            <w:tcW w:w="25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December 31, 2017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328,184,640</w:t>
            </w:r>
          </w:p>
        </w:tc>
        <w:tc>
          <w:tcPr>
            <w:tcW w:w="20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272,719,044</w:t>
            </w:r>
          </w:p>
        </w:tc>
        <w:tc>
          <w:tcPr>
            <w:tcW w:w="200" w:type="dxa"/>
            <w:vAlign w:val="bottom"/>
            <w:tcBorders>
              <w:bottom w:val="single" w:sz="8" w:color="CFF0FC"/>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(1,697,033</w:t>
            </w:r>
          </w:p>
        </w:tc>
        <w:tc>
          <w:tcPr>
            <w:tcW w:w="200" w:type="dxa"/>
            <w:vAlign w:val="bottom"/>
            <w:tcBorders>
              <w:bottom w:val="single" w:sz="8" w:color="CFF0FC"/>
            </w:tcBorders>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24,364</w:t>
            </w:r>
          </w:p>
        </w:tc>
        <w:tc>
          <w:tcPr>
            <w:tcW w:w="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208,768</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977,866</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(4,229</w:t>
            </w:r>
          </w:p>
        </w:tc>
        <w:tc>
          <w:tcPr>
            <w:tcW w:w="120" w:type="dxa"/>
            <w:vAlign w:val="bottom"/>
            <w:tcBorders>
              <w:bottom w:val="single" w:sz="8" w:color="CFF0FC"/>
            </w:tcBorders>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FF0FC"/>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(1,271,869</w:t>
            </w:r>
          </w:p>
        </w:tc>
        <w:tc>
          <w:tcPr>
            <w:tcW w:w="200" w:type="dxa"/>
            <w:vAlign w:val="bottom"/>
            <w:tcBorders>
              <w:bottom w:val="single" w:sz="8" w:color="CFF0FC"/>
            </w:tcBorders>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(65,100</w:t>
            </w:r>
          </w:p>
        </w:tc>
        <w:tc>
          <w:tcPr>
            <w:tcW w:w="100" w:type="dxa"/>
            <w:vAlign w:val="bottom"/>
            <w:tcBorders>
              <w:bottom w:val="single" w:sz="8" w:color="CFF0FC"/>
            </w:tcBorders>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Cumulative-effect adjustment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January 1,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328,184,640</w:t>
            </w:r>
          </w:p>
        </w:tc>
        <w:tc>
          <w:tcPr>
            <w:tcW w:w="2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272,719,044</w:t>
            </w:r>
          </w:p>
        </w:tc>
        <w:tc>
          <w:tcPr>
            <w:tcW w:w="2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(1,697,033)</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24,364</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208,768</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977,866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 (1,272,087)</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net of</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 costs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31,727,550</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21,744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243,096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color w:val="auto"/>
              </w:rPr>
              <w:t>Issuance of common stock under</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120"/>
              <w:spacing w:after="0"/>
              <w:rPr>
                <w:sz w:val="20"/>
                <w:szCs w:val="20"/>
                <w:color w:val="auto"/>
              </w:rPr>
            </w:pPr>
            <w:r>
              <w:rPr>
                <w:rFonts w:ascii="Arial" w:cs="Arial" w:eastAsia="Arial" w:hAnsi="Arial"/>
                <w:sz w:val="16"/>
                <w:szCs w:val="16"/>
                <w:color w:val="auto"/>
              </w:rPr>
              <w:t>employee stock purchase plan</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312,257</w:t>
            </w:r>
          </w:p>
        </w:tc>
        <w:tc>
          <w:tcPr>
            <w:tcW w:w="20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Exchange of exchangeable senior</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notes, net of transaction costs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7,716,046</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24,358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color w:val="auto"/>
              </w:rPr>
              <w:t>Conversion of Series A</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120"/>
              <w:spacing w:after="0"/>
              <w:rPr>
                <w:sz w:val="20"/>
                <w:szCs w:val="20"/>
                <w:color w:val="auto"/>
              </w:rPr>
            </w:pPr>
            <w:r>
              <w:rPr>
                <w:rFonts w:ascii="Arial" w:cs="Arial" w:eastAsia="Arial" w:hAnsi="Arial"/>
                <w:sz w:val="16"/>
                <w:szCs w:val="16"/>
                <w:color w:val="auto"/>
              </w:rPr>
              <w:t>Convertible Preferred Stock, net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(38,867,180)</w:t>
            </w:r>
          </w:p>
        </w:tc>
        <w:tc>
          <w:tcPr>
            <w:tcW w:w="940" w:type="dxa"/>
            <w:vAlign w:val="bottom"/>
          </w:tcPr>
          <w:p>
            <w:pPr>
              <w:jc w:val="right"/>
              <w:spacing w:after="0"/>
              <w:rPr>
                <w:sz w:val="20"/>
                <w:szCs w:val="20"/>
                <w:color w:val="auto"/>
              </w:rPr>
            </w:pPr>
            <w:r>
              <w:rPr>
                <w:rFonts w:ascii="Arial" w:cs="Arial" w:eastAsia="Arial" w:hAnsi="Arial"/>
                <w:sz w:val="16"/>
                <w:szCs w:val="16"/>
                <w:color w:val="auto"/>
              </w:rPr>
              <w:t>3,886,718</w:t>
            </w:r>
          </w:p>
        </w:tc>
        <w:tc>
          <w:tcPr>
            <w:tcW w:w="20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(2,514)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8,138,305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4,610,943</w:t>
            </w:r>
          </w:p>
        </w:tc>
        <w:tc>
          <w:tcPr>
            <w:tcW w:w="20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Arial" w:cs="Arial" w:eastAsia="Arial" w:hAnsi="Arial"/>
                <w:sz w:val="16"/>
                <w:szCs w:val="16"/>
                <w:color w:val="auto"/>
              </w:rPr>
              <w:t>(1,563,817)</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9"/>
              <w:spacing w:after="0"/>
              <w:rPr>
                <w:sz w:val="20"/>
                <w:szCs w:val="20"/>
                <w:color w:val="auto"/>
              </w:rPr>
            </w:pPr>
            <w:r>
              <w:rPr>
                <w:rFonts w:ascii="Arial" w:cs="Arial" w:eastAsia="Arial" w:hAnsi="Arial"/>
                <w:sz w:val="16"/>
                <w:szCs w:val="16"/>
                <w:color w:val="auto"/>
              </w:rPr>
              <w:t>(6,184)</w:t>
            </w:r>
          </w:p>
        </w:tc>
        <w:tc>
          <w:tcPr>
            <w:tcW w:w="8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(6,184)</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color w:val="auto"/>
              </w:rPr>
              <w:t>Loss for the period</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119"/>
              <w:spacing w:after="0"/>
              <w:rPr>
                <w:sz w:val="20"/>
                <w:szCs w:val="20"/>
                <w:color w:val="auto"/>
              </w:rPr>
            </w:pPr>
            <w:r>
              <w:rPr>
                <w:rFonts w:ascii="Arial" w:cs="Arial" w:eastAsia="Arial" w:hAnsi="Arial"/>
                <w:sz w:val="16"/>
                <w:szCs w:val="16"/>
                <w:color w:val="auto"/>
              </w:rPr>
              <w:t>(116,445)</w:t>
            </w:r>
          </w:p>
        </w:tc>
        <w:tc>
          <w:tcPr>
            <w:tcW w:w="100" w:type="dxa"/>
            <w:vAlign w:val="bottom"/>
          </w:tcPr>
          <w:p>
            <w:pPr>
              <w:spacing w:after="0"/>
              <w:rPr>
                <w:sz w:val="18"/>
                <w:szCs w:val="18"/>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w w:val="93"/>
              </w:rPr>
              <w:t>(116,445)</w:t>
            </w:r>
          </w:p>
        </w:tc>
        <w:tc>
          <w:tcPr>
            <w:tcW w:w="0" w:type="dxa"/>
            <w:vAlign w:val="bottom"/>
          </w:tcPr>
          <w:p>
            <w:pPr>
              <w:spacing w:after="0"/>
              <w:rPr>
                <w:sz w:val="1"/>
                <w:szCs w:val="1"/>
                <w:color w:val="auto"/>
              </w:rPr>
            </w:pPr>
          </w:p>
        </w:tc>
      </w:tr>
      <w:tr>
        <w:trPr>
          <w:trHeight w:val="210"/>
        </w:trPr>
        <w:tc>
          <w:tcPr>
            <w:tcW w:w="2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December 31,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289,317,460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329,110,863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(3,260,850</w:t>
            </w:r>
          </w:p>
        </w:tc>
        <w:tc>
          <w:tcPr>
            <w:tcW w:w="20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21,850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3"/>
              </w:rPr>
              <w:t>246,663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1,282,762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(10,413</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 (1,388,532</w:t>
            </w:r>
          </w:p>
        </w:tc>
        <w:tc>
          <w:tcPr>
            <w:tcW w:w="20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152,330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6"/>
                <w:szCs w:val="16"/>
                <w:color w:val="auto"/>
              </w:rPr>
              <w:t>Issuance of common stock, net of</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120"/>
              <w:spacing w:after="0"/>
              <w:rPr>
                <w:sz w:val="20"/>
                <w:szCs w:val="20"/>
                <w:color w:val="auto"/>
              </w:rPr>
            </w:pPr>
            <w:r>
              <w:rPr>
                <w:rFonts w:ascii="Arial" w:cs="Arial" w:eastAsia="Arial" w:hAnsi="Arial"/>
                <w:sz w:val="16"/>
                <w:szCs w:val="16"/>
                <w:color w:val="auto"/>
              </w:rPr>
              <w:t>transaction costs</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25,555,556</w:t>
            </w:r>
          </w:p>
        </w:tc>
        <w:tc>
          <w:tcPr>
            <w:tcW w:w="20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424,229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440,108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employee stock purchase plan</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123,031</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color w:val="auto"/>
              </w:rPr>
              <w:t>Issuance of common stock for</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120"/>
              <w:spacing w:after="0"/>
              <w:rPr>
                <w:sz w:val="20"/>
                <w:szCs w:val="20"/>
                <w:color w:val="auto"/>
              </w:rPr>
            </w:pPr>
            <w:r>
              <w:rPr>
                <w:rFonts w:ascii="Arial" w:cs="Arial" w:eastAsia="Arial" w:hAnsi="Arial"/>
                <w:sz w:val="16"/>
                <w:szCs w:val="16"/>
                <w:color w:val="auto"/>
              </w:rPr>
              <w:t>milestone payment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257,713</w:t>
            </w:r>
          </w:p>
        </w:tc>
        <w:tc>
          <w:tcPr>
            <w:tcW w:w="20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5,997,919</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3,969,811</w:t>
            </w:r>
          </w:p>
        </w:tc>
        <w:tc>
          <w:tcPr>
            <w:tcW w:w="20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Arial" w:cs="Arial" w:eastAsia="Arial" w:hAnsi="Arial"/>
                <w:sz w:val="16"/>
                <w:szCs w:val="16"/>
                <w:color w:val="auto"/>
              </w:rPr>
              <w:t>(1,650,142)</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(2,503)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9"/>
              <w:spacing w:after="0"/>
              <w:rPr>
                <w:sz w:val="20"/>
                <w:szCs w:val="20"/>
                <w:color w:val="auto"/>
              </w:rPr>
            </w:pPr>
            <w:r>
              <w:rPr>
                <w:rFonts w:ascii="Arial" w:cs="Arial" w:eastAsia="Arial" w:hAnsi="Arial"/>
                <w:sz w:val="16"/>
                <w:szCs w:val="16"/>
                <w:color w:val="auto"/>
              </w:rPr>
              <w:t>(25,487)</w:t>
            </w:r>
          </w:p>
        </w:tc>
        <w:tc>
          <w:tcPr>
            <w:tcW w:w="8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(25,487)</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color w:val="auto"/>
              </w:rPr>
              <w:t>Loss for the period</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119"/>
              <w:spacing w:after="0"/>
              <w:rPr>
                <w:sz w:val="20"/>
                <w:szCs w:val="20"/>
                <w:color w:val="auto"/>
              </w:rPr>
            </w:pPr>
            <w:r>
              <w:rPr>
                <w:rFonts w:ascii="Arial" w:cs="Arial" w:eastAsia="Arial" w:hAnsi="Arial"/>
                <w:sz w:val="16"/>
                <w:szCs w:val="16"/>
                <w:color w:val="auto"/>
              </w:rPr>
              <w:t>(22,645)</w:t>
            </w:r>
          </w:p>
        </w:tc>
        <w:tc>
          <w:tcPr>
            <w:tcW w:w="100" w:type="dxa"/>
            <w:vAlign w:val="bottom"/>
          </w:tcPr>
          <w:p>
            <w:pPr>
              <w:spacing w:after="0"/>
              <w:rPr>
                <w:sz w:val="18"/>
                <w:szCs w:val="18"/>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(22,645)</w:t>
            </w:r>
          </w:p>
        </w:tc>
        <w:tc>
          <w:tcPr>
            <w:tcW w:w="0" w:type="dxa"/>
            <w:vAlign w:val="bottom"/>
          </w:tcPr>
          <w:p>
            <w:pPr>
              <w:spacing w:after="0"/>
              <w:rPr>
                <w:sz w:val="1"/>
                <w:szCs w:val="1"/>
                <w:color w:val="auto"/>
              </w:rPr>
            </w:pPr>
          </w:p>
        </w:tc>
      </w:tr>
      <w:tr>
        <w:trPr>
          <w:trHeight w:val="210"/>
        </w:trPr>
        <w:tc>
          <w:tcPr>
            <w:tcW w:w="2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December 31,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289,317,460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365,014,893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(4,910,992</w:t>
            </w:r>
          </w:p>
        </w:tc>
        <w:tc>
          <w:tcPr>
            <w:tcW w:w="20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21,850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3"/>
              </w:rPr>
              <w:t>269,173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1,764,317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(35,900</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 (1,411,177</w:t>
            </w:r>
          </w:p>
        </w:tc>
        <w:tc>
          <w:tcPr>
            <w:tcW w:w="20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608,263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0" w:name="page111"/>
    <w:bookmarkEnd w:id="110"/>
    <w:p>
      <w:pPr>
        <w:ind w:left="4440"/>
        <w:spacing w:after="0"/>
        <w:rPr>
          <w:sz w:val="20"/>
          <w:szCs w:val="20"/>
          <w:color w:val="auto"/>
        </w:rPr>
      </w:pPr>
      <w:r>
        <w:rPr>
          <w:rFonts w:ascii="Arial" w:cs="Arial" w:eastAsia="Arial" w:hAnsi="Arial"/>
          <w:sz w:val="18"/>
          <w:szCs w:val="18"/>
          <w:b w:val="1"/>
          <w:bCs w:val="1"/>
          <w:color w:val="auto"/>
        </w:rPr>
        <w:t>AMARIN CORPORATION PLC</w:t>
      </w:r>
    </w:p>
    <w:p>
      <w:pPr>
        <w:spacing w:after="0" w:line="7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w w:val="91"/>
              </w:rPr>
              <w:t>Year Ended December 31,</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line="143"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line="143"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7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8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ind w:right="707"/>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(22,645)</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(116,445)</w:t>
            </w:r>
          </w:p>
        </w:tc>
        <w:tc>
          <w:tcPr>
            <w:tcW w:w="42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(67,865)</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loss to net cash used in operating activities:</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30,917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18,806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Amortization of debt discount and debt issuance costs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1,644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2,183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intangible asset</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Deferred income taxes</w:t>
            </w:r>
          </w:p>
        </w:tc>
        <w:tc>
          <w:tcPr>
            <w:tcW w:w="8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8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(49,907)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(21,205)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(25,333)</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Inventory</w:t>
            </w: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(18,967)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(27,542)</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(9,753)</w:t>
            </w: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Prepaid and other current assets</w:t>
            </w:r>
          </w:p>
        </w:tc>
        <w:tc>
          <w:tcPr>
            <w:tcW w:w="8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(10,366)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long-term assets</w:t>
            </w: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(900)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Accrued interest payable</w:t>
            </w:r>
          </w:p>
        </w:tc>
        <w:tc>
          <w:tcPr>
            <w:tcW w:w="8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(210)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(6,491)</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Accounts payable and other current liabilities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65,913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37,602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40,267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(5,840)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8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(9,366)</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(94,703)</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(32,837)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Purchases of furniture, fixtures and equipment</w:t>
            </w:r>
          </w:p>
        </w:tc>
        <w:tc>
          <w:tcPr>
            <w:tcW w:w="8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(2,478)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678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investing activities</w:t>
            </w:r>
          </w:p>
        </w:tc>
        <w:tc>
          <w:tcPr>
            <w:tcW w:w="82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(2,478)</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exchangeable debt</w:t>
            </w: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Proceeds from issuance of common stock, net of transaction costs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440,108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264,840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Proceeds from exercise of stock options, net of transaction costs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24,478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26,402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Payment of debt issuance costs</w:t>
            </w: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Payment of transaction costs for conversion of preferred stock</w:t>
            </w:r>
          </w:p>
        </w:tc>
        <w:tc>
          <w:tcPr>
            <w:tcW w:w="8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Repurchase of exchangeable senior notes, including transaction costs</w:t>
            </w: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(15,107)</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Payment on long-term debt from royalty-bearing instrument</w:t>
            </w:r>
          </w:p>
        </w:tc>
        <w:tc>
          <w:tcPr>
            <w:tcW w:w="8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(31,652)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(14,690)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(3,322)</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Transaction costs related to exchange of exchangeable senior notes</w:t>
            </w: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Taxes related to stock-based awards</w:t>
            </w:r>
          </w:p>
        </w:tc>
        <w:tc>
          <w:tcPr>
            <w:tcW w:w="8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(25,487)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(6,184)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(2,767)</w:t>
            </w:r>
          </w:p>
        </w:tc>
        <w:tc>
          <w:tcPr>
            <w:tcW w:w="0" w:type="dxa"/>
            <w:vAlign w:val="bottom"/>
          </w:tcPr>
          <w:p>
            <w:pPr>
              <w:spacing w:after="0"/>
              <w:rPr>
                <w:sz w:val="1"/>
                <w:szCs w:val="1"/>
                <w:color w:val="auto"/>
              </w:rPr>
            </w:pPr>
          </w:p>
        </w:tc>
      </w:tr>
      <w:tr>
        <w:trPr>
          <w:trHeight w:val="156"/>
        </w:trPr>
        <w:tc>
          <w:tcPr>
            <w:tcW w:w="678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8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409,612</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271,251</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8,235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780" w:type="dxa"/>
            <w:vAlign w:val="bottom"/>
          </w:tcPr>
          <w:p>
            <w:pPr>
              <w:spacing w:after="0" w:line="143" w:lineRule="exact"/>
              <w:rPr>
                <w:sz w:val="20"/>
                <w:szCs w:val="20"/>
                <w:color w:val="auto"/>
              </w:rPr>
            </w:pPr>
            <w:r>
              <w:rPr>
                <w:rFonts w:ascii="Arial" w:cs="Arial" w:eastAsia="Arial" w:hAnsi="Arial"/>
                <w:sz w:val="14"/>
                <w:szCs w:val="14"/>
                <w:color w:val="auto"/>
              </w:rPr>
              <w:t>NET INCREASE (DECREASE) IN CASH AND CASH EQUIVALENTS AND RESTRICTED</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80" w:type="dxa"/>
            <w:vAlign w:val="bottom"/>
          </w:tcPr>
          <w:p>
            <w:pPr>
              <w:ind w:left="120"/>
              <w:spacing w:after="0"/>
              <w:rPr>
                <w:sz w:val="20"/>
                <w:szCs w:val="20"/>
                <w:color w:val="auto"/>
              </w:rPr>
            </w:pPr>
            <w:r>
              <w:rPr>
                <w:rFonts w:ascii="Arial" w:cs="Arial" w:eastAsia="Arial" w:hAnsi="Arial"/>
                <w:sz w:val="14"/>
                <w:szCs w:val="14"/>
                <w:color w:val="auto"/>
              </w:rPr>
              <w:t>CASH</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397,768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176,490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(24,614)</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AND RESTRICTED CASH, BEGINNING OF PERIOD</w:t>
            </w:r>
          </w:p>
        </w:tc>
        <w:tc>
          <w:tcPr>
            <w:tcW w:w="8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250,727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74,237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98,851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AND CASH EQUIVALENTS AND RESTRICTED CASH, END OF PERIOD</w:t>
            </w:r>
          </w:p>
        </w:tc>
        <w:tc>
          <w:tcPr>
            <w:tcW w:w="820" w:type="dxa"/>
            <w:vAlign w:val="bottom"/>
            <w:tcBorders>
              <w:bottom w:val="single" w:sz="8" w:color="auto"/>
            </w:tcBorders>
          </w:tcPr>
          <w:p>
            <w:pPr>
              <w:jc w:val="right"/>
              <w:ind w:right="70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648,495</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250,727</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74,237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7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Supplemental disclosure of cash flow information:</w:t>
            </w: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Cash paid during the year for:</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Interest</w:t>
            </w:r>
          </w:p>
        </w:tc>
        <w:tc>
          <w:tcPr>
            <w:tcW w:w="820" w:type="dxa"/>
            <w:vAlign w:val="bottom"/>
            <w:shd w:val="clear" w:color="auto" w:fill="CFF0FC"/>
          </w:tcPr>
          <w:p>
            <w:pPr>
              <w:jc w:val="right"/>
              <w:ind w:right="70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21,527</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4"/>
                <w:szCs w:val="14"/>
                <w:color w:val="auto"/>
              </w:rPr>
              <w:t>Income taxes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80" w:type="dxa"/>
            <w:vAlign w:val="bottom"/>
            <w:tcBorders>
              <w:bottom w:val="single" w:sz="8" w:color="CFF0FC"/>
            </w:tcBorders>
            <w:vMerge w:val="continue"/>
          </w:tcPr>
          <w:p>
            <w:pPr>
              <w:spacing w:after="0"/>
              <w:rPr>
                <w:sz w:val="15"/>
                <w:szCs w:val="15"/>
                <w:color w:val="auto"/>
              </w:rPr>
            </w:pPr>
          </w:p>
        </w:tc>
        <w:tc>
          <w:tcPr>
            <w:tcW w:w="820" w:type="dxa"/>
            <w:vAlign w:val="bottom"/>
            <w:tcBorders>
              <w:bottom w:val="single" w:sz="8" w:color="auto"/>
            </w:tcBorders>
          </w:tcPr>
          <w:p>
            <w:pPr>
              <w:jc w:val="right"/>
              <w:ind w:right="70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850</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1,753</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7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Supplemental disclosure of non-cash transactions:</w:t>
            </w: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780" w:type="dxa"/>
            <w:vAlign w:val="bottom"/>
          </w:tcPr>
          <w:p>
            <w:pPr>
              <w:ind w:left="500"/>
              <w:spacing w:after="0"/>
              <w:rPr>
                <w:sz w:val="20"/>
                <w:szCs w:val="20"/>
                <w:color w:val="auto"/>
              </w:rPr>
            </w:pPr>
            <w:r>
              <w:rPr>
                <w:rFonts w:ascii="Arial" w:cs="Arial" w:eastAsia="Arial" w:hAnsi="Arial"/>
                <w:sz w:val="14"/>
                <w:szCs w:val="14"/>
                <w:color w:val="auto"/>
              </w:rPr>
              <w:t>Laxdale milestone</w:t>
            </w:r>
          </w:p>
        </w:tc>
        <w:tc>
          <w:tcPr>
            <w:tcW w:w="820" w:type="dxa"/>
            <w:vAlign w:val="bottom"/>
          </w:tcPr>
          <w:p>
            <w:pPr>
              <w:jc w:val="right"/>
              <w:ind w:right="707"/>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8,457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2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780" w:type="dxa"/>
            <w:vAlign w:val="bottom"/>
            <w:tcBorders>
              <w:top w:val="single" w:sz="8" w:color="CFF0FC"/>
              <w:bottom w:val="single" w:sz="8" w:color="CFF0FC"/>
            </w:tcBorders>
            <w:shd w:val="clear" w:color="auto" w:fill="CFF0FC"/>
          </w:tcPr>
          <w:p>
            <w:pPr>
              <w:ind w:left="500"/>
              <w:spacing w:after="0" w:line="143" w:lineRule="exact"/>
              <w:rPr>
                <w:sz w:val="20"/>
                <w:szCs w:val="20"/>
                <w:color w:val="auto"/>
              </w:rPr>
            </w:pPr>
            <w:r>
              <w:rPr>
                <w:rFonts w:ascii="Arial" w:cs="Arial" w:eastAsia="Arial" w:hAnsi="Arial"/>
                <w:sz w:val="14"/>
                <w:szCs w:val="14"/>
                <w:color w:val="auto"/>
              </w:rPr>
              <w:t>Initial recognition of operating lease right-of-use asset</w:t>
            </w:r>
          </w:p>
        </w:tc>
        <w:tc>
          <w:tcPr>
            <w:tcW w:w="82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8,995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500"/>
              <w:spacing w:after="0"/>
              <w:rPr>
                <w:sz w:val="20"/>
                <w:szCs w:val="20"/>
                <w:color w:val="auto"/>
              </w:rPr>
            </w:pPr>
            <w:r>
              <w:rPr>
                <w:rFonts w:ascii="Arial" w:cs="Arial" w:eastAsia="Arial" w:hAnsi="Arial"/>
                <w:sz w:val="14"/>
                <w:szCs w:val="14"/>
                <w:color w:val="auto"/>
              </w:rPr>
              <w:t>Exchange of exchangeable senior notes into common stock</w:t>
            </w: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80" w:type="dxa"/>
            <w:vAlign w:val="bottom"/>
            <w:tcBorders>
              <w:bottom w:val="single" w:sz="8" w:color="CFF0FC"/>
            </w:tcBorders>
            <w:vMerge w:val="continue"/>
          </w:tcPr>
          <w:p>
            <w:pPr>
              <w:spacing w:after="0"/>
              <w:rPr>
                <w:sz w:val="15"/>
                <w:szCs w:val="15"/>
                <w:color w:val="auto"/>
              </w:rPr>
            </w:pPr>
          </w:p>
        </w:tc>
        <w:tc>
          <w:tcPr>
            <w:tcW w:w="82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29,490</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780" w:type="dxa"/>
            <w:vAlign w:val="bottom"/>
            <w:tcBorders>
              <w:bottom w:val="single" w:sz="8" w:color="CFF0FC"/>
            </w:tcBorders>
            <w:shd w:val="clear" w:color="auto" w:fill="CFF0FC"/>
          </w:tcPr>
          <w:p>
            <w:pPr>
              <w:ind w:left="500"/>
              <w:spacing w:after="0" w:line="143" w:lineRule="exact"/>
              <w:rPr>
                <w:sz w:val="20"/>
                <w:szCs w:val="20"/>
                <w:color w:val="auto"/>
              </w:rPr>
            </w:pPr>
            <w:r>
              <w:rPr>
                <w:rFonts w:ascii="Arial" w:cs="Arial" w:eastAsia="Arial" w:hAnsi="Arial"/>
                <w:sz w:val="14"/>
                <w:szCs w:val="14"/>
                <w:color w:val="auto"/>
              </w:rPr>
              <w:t>Conversion of Series A Convertible Preferred Stock into common stock</w:t>
            </w:r>
          </w:p>
        </w:tc>
        <w:tc>
          <w:tcPr>
            <w:tcW w:w="82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2,514</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ORPORATION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left="260" w:right="7600" w:hanging="252"/>
        <w:spacing w:after="0" w:line="376" w:lineRule="auto"/>
        <w:tabs>
          <w:tab w:leader="none" w:pos="39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spacing w:after="0" w:line="3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Amarin Corporation plc, or Amarin, or the Company, is a pharmaceutical company with expertise in omega-3 fatty acids and lipid science focused on the commercialization and development of therapeutics to improve cardiovascular health and reduce cardiovascular risk. The Company’s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was first approved by the U.S. Food and Drug Administration, or FDA, in July 2012 for use as an adjunct to diet to reduce triglyceride, or TG, levels in adult patients with severe (≥500 mg/dL) hypertriglyceridemia. On December 13, 2019, the FDA approved a new indication and label expansion for Vascepa based on the landmark results of our cardiovascular outcomes trial, REDUCE-IT</w:t>
      </w:r>
      <w:r>
        <w:rPr>
          <w:rFonts w:ascii="Arial" w:cs="Arial" w:eastAsia="Arial" w:hAnsi="Arial"/>
          <w:sz w:val="13"/>
          <w:szCs w:val="13"/>
          <w:color w:val="auto"/>
        </w:rPr>
        <w:t>®</w:t>
      </w:r>
      <w:r>
        <w:rPr>
          <w:rFonts w:ascii="Arial" w:cs="Arial" w:eastAsia="Arial" w:hAnsi="Arial"/>
          <w:sz w:val="16"/>
          <w:szCs w:val="16"/>
          <w:color w:val="auto"/>
        </w:rPr>
        <w:t>, or Reduction of Cardiovascular Events with EPA – Intervention Trial. Vascepa is the first and only drug approved by the FDA as an adjunct to maximally tolerated statin therapy for reducing persistent cardiovascular risk in select high risk patients. Vascepa is available in the United States, or the U.S., by prescription only. In January 2013, the Company began selling and marketing 1-gram size Vascepa capsules in the United States, and in October 2016, introduced a smaller 0.5-gram capsule size.</w:t>
      </w:r>
    </w:p>
    <w:p>
      <w:pPr>
        <w:spacing w:after="0" w:line="11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The Company, since inception, has devoted substantial resources to research and development efforts, most significantly, the development and conduct of a long-term cardiovascular outcomes study of Vascepa, REDUCE-IT. The Company announced topline results from REDUCE-IT on September 24, 2018. On November 10, 2018, the Company presented primary results of REDUCE-IT at the 2018 Scientific Sessions of the American Heart Association, or AHA, and the results were concurrently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the Company publicly presented the total cardiovascular events results, and the method of calculating such events, of the REDUCE-IT study at the American College of Cardiology’s, or ACC, 68th Annual Scientific Session and such results and methods were concurrently published in the </w:t>
      </w:r>
      <w:r>
        <w:rPr>
          <w:rFonts w:ascii="Arial" w:cs="Arial" w:eastAsia="Arial" w:hAnsi="Arial"/>
          <w:sz w:val="16"/>
          <w:szCs w:val="16"/>
          <w:i w:val="1"/>
          <w:iCs w:val="1"/>
          <w:color w:val="auto"/>
        </w:rPr>
        <w:t>Journal of the American College of Cardiology</w:t>
      </w:r>
      <w:r>
        <w:rPr>
          <w:rFonts w:ascii="Arial" w:cs="Arial" w:eastAsia="Arial" w:hAnsi="Arial"/>
          <w:sz w:val="16"/>
          <w:szCs w:val="16"/>
          <w:color w:val="auto"/>
        </w:rPr>
        <w:t>.</w:t>
      </w:r>
    </w:p>
    <w:p>
      <w:pPr>
        <w:spacing w:after="0" w:line="11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FDA granted Priority Review designation to the Company’s March 2019 supplemental new drug application, or sNDA, seeking an expanded indication for Vascepa in the United States based on the positive results of the REDUCE-IT study. In November 2019, the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related label expansion based on REDUCE-IT.</w:t>
      </w:r>
    </w:p>
    <w:p>
      <w:pPr>
        <w:spacing w:after="0" w:line="11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the United States,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in the United States through its direct sales force. Prior to the REDUCE-IT results topline announcement in September 2018, our commercialization of Vascepa was somewhat limited. Subsequent to learning the positive cardiovascular outcomes results of the REDUCE-IT study, we have increased our promotional efforts. Based on the positive REDUCE-IT results, in early 2019, we increased the size of our sales force to approximately 440 sales professionals, including approximately 400 sales representatives. As a result of the FDA’s newly approved indication and label expansion, we are close to completing the expansion of our direct sales force to approximately 900 sales professionals, including 800 sales representatives, which is expected to be completed in early 2020. Most of the expanded sales management team needed to support this sales force expansion was hired, or internally promoted, and trained prior to December 31, 2019. In addition to promotion of Vascepa in the United States, based on REDUCE-IT, we have increased focus on expansion of our development efforts for Vascepa to major markets outside the United States. We currently have strategic collaborations to develop and commercialize Vascepa in select territories outside the United States. The Company operates in one business segment.</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financial statements included herein have been prepared by the Company in accordance with accounting principles generally accepted in the United States and pursuant to the rules and regulations of the Securities and Exchange Commission, or the SEC.</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2" w:name="page113"/>
    <w:bookmarkEnd w:id="112"/>
    <w:p>
      <w:pPr>
        <w:ind w:right="40"/>
        <w:spacing w:after="0" w:line="297" w:lineRule="auto"/>
        <w:rPr>
          <w:sz w:val="20"/>
          <w:szCs w:val="20"/>
          <w:color w:val="auto"/>
        </w:rPr>
      </w:pPr>
      <w:r>
        <w:rPr>
          <w:rFonts w:ascii="Arial" w:cs="Arial" w:eastAsia="Arial" w:hAnsi="Arial"/>
          <w:sz w:val="16"/>
          <w:szCs w:val="16"/>
          <w:color w:val="auto"/>
        </w:rPr>
        <w:t>the reporting period. The results of operations for the years ended December 31, 2019, 2018 and 2017 are not necessarily indicative of the results for any future period. Certain numbers presented throughout this document may not add precisely to the totals provided due to rounding. Absolute and percentage changes are calculated using the underlying amounts in thousands. Certain prior year balances related to beginning and ending cash and cash equivalents and restricted cash in the consolidated statements of cash flows have been conformed to the current year presentation. The consolidated financial statements include the accounts of the Company and its wholly-owned subsidiaries. All intercompany accounts and transactions have been eliminated in consolidation.</w:t>
      </w:r>
    </w:p>
    <w:p>
      <w:pPr>
        <w:spacing w:after="0" w:line="1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2019, the Company had Current assets of $855.0 million, including Cash and cash equivalents of $644.6 million, Accounts receivable, net, of $116.4 million and Inventory of $76.8 million. The Company’s consolidated balance sheet at December 31, 2019 also includes a royalty-bearing instrument which is expected to be fully paid during 2020 based on the percentage of Vascepa net revenues calculated quarterly. As of December 31, 2019, the Company had no other debt outstanding.</w:t>
      </w:r>
    </w:p>
    <w:p>
      <w:pPr>
        <w:spacing w:after="0" w:line="19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in consolidation.</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consolidated financial statements for continued reasonableness.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use of forecasted financial information is inherent in many of the Company’s accounting estimates including, but not limited to, determining the estimated fair values of derivatives, debt instrument and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accordance with Accounting Standards Codification, or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15—Revenue Recognition.</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03" w:right="299" w:bottom="1440" w:gutter="0" w:footer="0" w:header="0"/>
        </w:sectPr>
      </w:pPr>
    </w:p>
    <w:bookmarkStart w:id="113" w:name="page114"/>
    <w:bookmarkEnd w:id="113"/>
    <w:p>
      <w:pPr>
        <w:ind w:left="26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7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7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w:t>
      </w:r>
    </w:p>
    <w:p>
      <w:pPr>
        <w:spacing w:after="0" w:line="11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 summarizes the impact of accounts receivable reserves on the gross trade accounts receivable balances as of December 31, 2019 and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December 31,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149,567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Trade allowances</w:t>
            </w: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(29,261)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(19,495)</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(3,876)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116,430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66,523</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Intangible asset, net consists of milestone payments to the former shareholders of Laxdale Limited related to the 2004 acquisition of the rights to Vascepa, which is the result of Vascepa receiving marketing approval for the first indication in 2012 and a new indication in 2019 and is amortized over its estimated useful life on a straight-line basis. See Note 8—Commitments and Contingencies for further information regarding other obligations related to the acquisition of Laxdale Limited.</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14" w:name="page115"/>
    <w:bookmarkEnd w:id="114"/>
    <w:p>
      <w:pPr>
        <w:ind w:left="26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 as well as license fees related to the Company’s strategic collaboration with Mochida Pharmaceutical Co., Ltd.</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 as well as co-promotion fees to Kowa Pharmaceuticals America, Inc. which in 2018 included costs for accrual of tail co-promotion fees.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7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December 22, 2017, the U.S. enacted the Tax Cuts and Jobs Act, or the Act, which instituted fundamental changes to the taxation of multinational corporations. The Act includes changes to the taxation of foreign earnings by implementing a dividend exemption system, expansion of the current anti-deferral rules, a minimum tax on low-taxed foreign earnings and new measures to deter base erosion. The Act also includes a permanent reduction in the corporate tax rate to 21%, repeal of the corporate alternative minimum tax, expensing of capital investment, and limitation of the deduction of interest expense. Furthermore, as part of the transition to the new tax system, a one-time transition tax is imposed on a U.S. shareholder's historical undistributed earnings of foreign affiliates. The Company applied the guidance in Staff Accounting Bulletin 118 when accounting for the enactment-date effects of the Act in the prior year. As of December 31, 2017, the Company had recorded provisional amounts to account for the impact of tax effects of the Act related to the change in corporate tax rate from 34% to 21% and the changes to executive compensation deductibility. As of December 31, 2018, the Company completed its accounting for all of the tax effects of the Act. Based on the additional analysis performed, no adjustments to the provisional amounts were made which had an impact to the tax provision or consolidated financial statements.</w:t>
      </w:r>
    </w:p>
    <w:p>
      <w:pPr>
        <w:spacing w:after="0" w:line="15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consolidated balance sheet.</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27"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Excess tax benefits and deficiencies that arise upon vesting or exercise of share-based payments are recognized as an income tax benefit and expense, respectively, in the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Company’s and its subsidiaries’ income tax returns are periodically examined by various tax authorities, including the Internal Revenue Service, or IRS, and states. The Company completed the audit by the IRS for the years 2013 to 2014 in the prior year with no material changes to the filed income tax returns. In addition, the Company was notified by the IRS in January 2020 that it will be auditing the Company’s 2018 U.S. income tax return and the examination is expected to begin in the first quarter of 2020.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15" w:name="page116"/>
    <w:bookmarkEnd w:id="115"/>
    <w:p>
      <w:pPr>
        <w:ind w:left="26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convertible notes using the “if-converted” method. In periods with reported net operating losses, all common stock options are deemed anti-dilutive such that basic net loss per share and diluted net loss per share are equal.</w:t>
      </w:r>
    </w:p>
    <w:p>
      <w:pPr>
        <w:spacing w:after="0" w:line="134"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years ended December 31, 2019, 2018, and 2017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(67,865)</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342,538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297,237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270,652</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1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(0.07)</w:t>
            </w: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(0.39)</w:t>
            </w: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r>
    </w:tbl>
    <w:p>
      <w:pPr>
        <w:spacing w:after="0" w:line="14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For the years ended December 31, 2019, 2018 and 2017, the following potentially dilutive securities were not included in the computation of net loss per share because the effect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15,619</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19,263</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24,108</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6,921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9,633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Exchangeable senior notes (if converted)</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Preferred stock (if converted)</w:t>
            </w:r>
          </w:p>
        </w:tc>
        <w:tc>
          <w:tcPr>
            <w:tcW w:w="1340" w:type="dxa"/>
            <w:vAlign w:val="bottom"/>
          </w:tcPr>
          <w:p>
            <w:pPr>
              <w:jc w:val="right"/>
              <w:spacing w:after="0"/>
              <w:rPr>
                <w:sz w:val="20"/>
                <w:szCs w:val="20"/>
                <w:color w:val="auto"/>
              </w:rPr>
            </w:pPr>
            <w:r>
              <w:rPr>
                <w:rFonts w:ascii="Arial" w:cs="Arial" w:eastAsia="Arial" w:hAnsi="Arial"/>
                <w:sz w:val="18"/>
                <w:szCs w:val="18"/>
                <w:color w:val="auto"/>
              </w:rPr>
              <w:t>28,932</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28,932</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32,818</w:t>
            </w:r>
          </w:p>
        </w:tc>
        <w:tc>
          <w:tcPr>
            <w:tcW w:w="100" w:type="dxa"/>
            <w:vAlign w:val="bottom"/>
          </w:tcPr>
          <w:p>
            <w:pPr>
              <w:spacing w:after="0"/>
              <w:rPr>
                <w:sz w:val="20"/>
                <w:szCs w:val="20"/>
                <w:color w:val="auto"/>
              </w:rPr>
            </w:pP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consolidated statement of operations as interest expense each period in which such instruments are outstanding. The Company records debt issuance costs related to a recognized debt liability in the consolidated balance sheets as a direct deduction from the carrying amount of that debt liability and amortized to interest expense using the effective interest method over the expected term of the related debt. Unamortized debt issuance costs related to the extinguishment of debt are expensed at the time the debt is extinguished and recorded in Other (expense) income, net, in the consolidated statements of operations. If the Company issues shares to discharge the liability, the debt obligation is derecognized and common stock and additional paid-in capital are recognized upon the issuance of those shares.</w:t>
      </w:r>
    </w:p>
    <w:p>
      <w:pPr>
        <w:spacing w:after="0" w:line="1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2017 Notes could only be settled in ADSs upon conversion. The terms of the 2017 Notes also allowed for repurchase in cash by the Company at the option of the holders as well as redemption by the Company for cash at specified times. The conversion feature in the 2017 Notes qualified for the exception from derivative accounting in accordance with ASC 815-40 and was therefore accounted for as part of the debt host. The conversion feature in the 2017 Notes was evaluated on a quarterly basis to determine if it still received an exception from derivative accounting in accordance with ASC 815-40. The 2017 Notes were recognized at par of $30.0 million. The Company also recognized a $1.2 million discount related to placement agent fees and offering expenses. This discount was amortized through interest expense through the date of mandatory exchange.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See Note 7—Debt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16" w:name="page117"/>
    <w:bookmarkEnd w:id="116"/>
    <w:p>
      <w:pPr>
        <w:ind w:left="2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 The Company estimates the level of forfeitures expected to occur based on its historical data and records compensation cost only for those awards that are ultimately expected to vest. See Note 11—Stock Incentive Plans and Stock-Based Compensation for further discussion.</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7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36%, 29%, and 25%, respectively, of gross product sales for the year ended December 31, 2019 and represented 35%, 20%, and 37%, respectively, of the gross accounts receivable balance as of December 31, 2019. Customers A, B, and C accounted for 31%, 30% and 27%, respectively, of gross product sales for the year ended December 31, 2018 and represented 26%, 24%, and 39%, respectively, of the gross accounts receivable balance as of December 31, 2018. The Company has not experienced any significant write-offs of its accounts receivable.</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7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termination of the Company’s current supply chain or its failure to enter into new and similar agreements in a timely fashion, if needed, could have a material adverse effect on its business, condition (financial and other), prospects or results of operations.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currently has manufacturing agreements with multiple independent FDA-approved API manufacturers and several independent FDA-approved API encapsulators and packagers for Vascepa manufacturing. Each of these companies has qualified and validated its manufacturing processes and is capable of manufacturing Vascepa.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anticipated demand for Vascepa.</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 Certain amounts payable pursuant to supply contracts are denominated in currencies other than the U.S. dollar.</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7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2"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117" w:name="page118"/>
    <w:bookmarkEnd w:id="117"/>
    <w:p>
      <w:pPr>
        <w:ind w:right="20" w:firstLine="518"/>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30"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16"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The following tables present information about the Company’s assets and liabilities as of December 31, 2019 and 2018 that are measured at fair value on a recurring basis and indicate the fair value hierarchy of the valuation techniques the Company utilized to determine such fair value: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9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10,078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10,078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9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9,880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9,880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carrying amounts of cash, cash equivalents, accounts payable and accrued liabilities approximate fair value because of their short-term nature. The carrying amounts and the estimated fair values of debt instruments as of December 31, 2019 and 2018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4"/>
                <w:szCs w:val="14"/>
                <w:color w:val="auto"/>
              </w:rPr>
            </w:pPr>
          </w:p>
        </w:tc>
        <w:tc>
          <w:tcPr>
            <w:tcW w:w="248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 2018</w:t>
            </w:r>
          </w:p>
        </w:tc>
      </w:tr>
      <w:tr>
        <w:trPr>
          <w:trHeight w:val="133"/>
        </w:trPr>
        <w:tc>
          <w:tcPr>
            <w:tcW w:w="59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19"/>
              <w:spacing w:after="0" w:line="133"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19"/>
              <w:spacing w:after="0" w:line="133" w:lineRule="exact"/>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r>
      <w:tr>
        <w:trPr>
          <w:trHeight w:val="171"/>
        </w:trPr>
        <w:tc>
          <w:tcPr>
            <w:tcW w:w="5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4"/>
                <w:szCs w:val="14"/>
                <w:color w:val="auto"/>
              </w:rPr>
            </w:pPr>
          </w:p>
        </w:tc>
        <w:tc>
          <w:tcPr>
            <w:tcW w:w="960" w:type="dxa"/>
            <w:vAlign w:val="bottom"/>
          </w:tcPr>
          <w:p>
            <w:pPr>
              <w:jc w:val="right"/>
              <w:ind w:right="319"/>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960" w:type="dxa"/>
            <w:vAlign w:val="bottom"/>
          </w:tcPr>
          <w:p>
            <w:pPr>
              <w:jc w:val="right"/>
              <w:ind w:right="319"/>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long-term debt from royalty-bearing</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 net of accrued interest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debt from royalty-bearing instrument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46,108</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 from royalty-bearing instrument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49,702</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79,710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78,600</w:t>
            </w:r>
          </w:p>
        </w:tc>
        <w:tc>
          <w:tcPr>
            <w:tcW w:w="10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The estimated fair value of the long-term debt from royalty-bearing instrument is calculated utilizing the same Level 3 inputs utilized in valuing the related derivative liability (see Derivative Liabilities below). The carrying value of the long-term debt from royalty-bearing instrument as of both December 31, 2019 and 2018 did not include a debt discount as it had been fully amortized.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7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Derivative financial liabilities are recorded at fair value, with gains and losses arising for changes in fair value recognized in the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Long-Term Debt Redemption Feature</w:t>
      </w:r>
    </w:p>
    <w:p>
      <w:pPr>
        <w:spacing w:after="0" w:line="7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December 2012 royalty-bearing instrument financing arrangement (discussed in Note 7—Debt)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w:t>
      </w:r>
    </w:p>
    <w:p>
      <w:pPr>
        <w:spacing w:after="0" w:line="104"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difference between the two was determined to be the fair value of the embedded derivative. The fair value of this derivative liability is remeasured at each reporting period, with changes in fair value recognized in the consolidated statement of operations. As of December 31, 2019, the fair value of the derivative was determined to be nil, and the debt was valued by comparing debt issues of similar companies with (i) remaining terms of between 1.9 and 7.3 years, (ii) coupon rates of between 6.0% and 11.5% and (iii) market yields of between 5.2% and 16.8%. As of December 31, 2018, the fair value of the derivative was determined to be nil based on underlying assumptions, and the debt was valued by comparing debt issues of similar companies with</w:t>
      </w:r>
    </w:p>
    <w:p>
      <w:pPr>
        <w:spacing w:after="0" w:line="2"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remaining terms of between 1.3 and 4.0 years, (ii) coupon rates of between 5.4% and 10.8% and (iii) market yields of between 6.7% and 15.8%. As such,</w:t>
      </w:r>
    </w:p>
    <w:p>
      <w:pPr>
        <w:spacing w:after="0" w:line="23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the Company recognized no gain or loss on change in fair value of derivative liability for the year ended December 31, 2019 and 2018.</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Certain changes in the assumptions used to value the derivative liability, including the probability of a change in control, could potentially result in a material change to the carrying value of such liability.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7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February 2016, the FASB issued Accounting Standard Update, or ASU, 2016-02, </w:t>
      </w:r>
      <w:r>
        <w:rPr>
          <w:rFonts w:ascii="Arial" w:cs="Arial" w:eastAsia="Arial" w:hAnsi="Arial"/>
          <w:sz w:val="17"/>
          <w:szCs w:val="17"/>
          <w:i w:val="1"/>
          <w:iCs w:val="1"/>
          <w:color w:val="auto"/>
        </w:rPr>
        <w:t>Leases (ASC 842)</w:t>
      </w:r>
      <w:r>
        <w:rPr>
          <w:rFonts w:ascii="Arial" w:cs="Arial" w:eastAsia="Arial" w:hAnsi="Arial"/>
          <w:sz w:val="17"/>
          <w:szCs w:val="17"/>
          <w:color w:val="auto"/>
        </w:rPr>
        <w:t>, which supersedes the existing guidance for lease accounting, Leases (Topic 840). ASU 2016-02 requires lessees to recognize a lease liability and a right-of-use asset for virtually all of their leases (other than leases that meet the definition of a short-term lease). Lessor accounting remains largely unchanged except for changes in the definition and classification of leases. ASU 2016-02 requires a modified retrospective approach for all leases existing at, or entered into after the date of initial adoption, with an option to elect to use certain transition relief. The FASB also proposed a transition method to allow entities to not apply the new leases standard in the comparative periods they present in their financial statements in the year of adoption.</w:t>
      </w:r>
    </w:p>
    <w:p>
      <w:pPr>
        <w:spacing w:after="0" w:line="12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On January 1, 2019, the Company adopted ASC 842 using the modified retrospective method for all leases that existed at or commenced after January 1, 2019. The adoption of ASC 842 did not have a material impact on the Company’s consolidated financial statements as of the effective date. See Note 17 – Leases for further details. The Company elected to apply the practical expedients in ASC 842-10-65-1 (f) and therefore:</w:t>
      </w:r>
    </w:p>
    <w:p>
      <w:pPr>
        <w:spacing w:after="0" w:line="30" w:lineRule="exact"/>
        <w:rPr>
          <w:sz w:val="20"/>
          <w:szCs w:val="20"/>
          <w:color w:val="auto"/>
        </w:rPr>
      </w:pPr>
    </w:p>
    <w:p>
      <w:pPr>
        <w:ind w:left="900" w:right="420" w:hanging="379"/>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Did not reassess expired contracts for the presence of lease components therein and if it was already concluded that such contracts had lease components then the classification of the respective lease components therein was not re-assessed.</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Did not re-assess initial direct costs for any existing leases.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Will not separate the lease and non-lease components.</w:t>
      </w:r>
    </w:p>
    <w:p>
      <w:pPr>
        <w:spacing w:after="0" w:line="19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is intended to simplify the accounting for share-based payments to nonemployees by aligning it with the accounting for share-based payments to employees, with certain exceptions. The Company adopted this standard effective January 1, 2019, which did not have a material impact on the Company’s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considered the following recent accounting pronouncements which were not yet adopted as of December 31, 2019:</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eliminating certain exceptions to the guidance in ASC 740 related to the approach for intraperiod tax allocation, the methodology for calculating income taxes in an interim period, the recognition of deferred tax liabilities for outside basis differences, among other simplifications. The new guidance is effective for fiscal years beginning after December 15, 2021, including interim periods within those fiscal years. Early adoption of all amendments in the same period is permitted. The Company is currently evaluating the impact that this standard will have on the Company’s consolidated financial statements.</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 and Topic</w:t>
      </w:r>
      <w:r>
        <w:rPr>
          <w:rFonts w:ascii="Arial" w:cs="Arial" w:eastAsia="Arial" w:hAnsi="Arial"/>
          <w:sz w:val="18"/>
          <w:szCs w:val="18"/>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 which clarified that in collaborative arrangements where the counterparty is a customer for a good or service that is a distinct unit of account is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accounted for under ASC 606. The new guidance is effective for fiscal years beginning after December 15, 2019, including interim periods within those fiscal years. Early adoption is permitted for entities that have adopted ASC 606. The Company has evaluated the standard and does not expect it to have a material impact on the Company’s consolidated financial statements.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19" w:name="page120"/>
    <w:bookmarkEnd w:id="119"/>
    <w:p>
      <w:pPr>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for Fair Value Measurement</w:t>
      </w:r>
      <w:r>
        <w:rPr>
          <w:rFonts w:ascii="Arial" w:cs="Arial" w:eastAsia="Arial" w:hAnsi="Arial"/>
          <w:sz w:val="17"/>
          <w:szCs w:val="17"/>
          <w:color w:val="auto"/>
        </w:rPr>
        <w:t>, which eliminates, adds and modifies certain disclosure requirements for fair value measurements, including eliminating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to disclose the amount of and reasons for transfers between Level 1 and Level 2 of the fair value hierarchy, and requiring disclosure of the range and weighted average used to develop significant unobservable inputs for Level 3 fair value measurements. The new guidance is effective for fiscal years beginning after December 15, 2019, including interim periods within those fiscal years. Early adoption, either of the entire standard or only the provisions that eliminate or modify requirements, is permitted. The Company has evaluated the disclosure requirements of this standard and does not expect it to have a material impact on the Company’s consolidated financial statements.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earlier recognition of credit losses on loans and other financial instruments held by entities, including trade receivables.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requires entities to measure all expected credit losses for financial assets held at each reporting date based on historical experience, current conditions, and reasonable and supportable forecasts. The new guidance is effective for fiscal years beginning after December 15, 2019, including interim periods within those fiscal years. The Company has evaluated the accounting and disclosure requirements of this standard and does not expect it to have a material impact on the Company’s consolidated financial statements.</w:t>
      </w:r>
    </w:p>
    <w:p>
      <w:pPr>
        <w:spacing w:after="0" w:line="13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1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Intangible Asset</w:t>
      </w:r>
    </w:p>
    <w:p>
      <w:pPr>
        <w:spacing w:after="0" w:line="94"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 xml:space="preserve">Intangible asset consists of the historical acquisition cost of certain technology rights for Vascepa. Upon approval by FDA on December 13, 2019 of a new indication of Vascepa, a milestone for </w:t>
      </w:r>
      <w:r>
        <w:rPr>
          <w:rFonts w:ascii="Arial" w:cs="Arial" w:eastAsia="Arial" w:hAnsi="Arial"/>
          <w:sz w:val="18"/>
          <w:szCs w:val="18"/>
          <w:color w:val="222222"/>
        </w:rPr>
        <w:t>£</w:t>
      </w:r>
      <w:r>
        <w:rPr>
          <w:rFonts w:ascii="Arial" w:cs="Arial" w:eastAsia="Arial" w:hAnsi="Arial"/>
          <w:sz w:val="18"/>
          <w:szCs w:val="18"/>
          <w:color w:val="auto"/>
        </w:rPr>
        <w:t>5 million was achieved, which resulted in the Intangible asset increasing by $8.5 million. Refer to Note 9 — Equity for further discussion of the milestone payment. The Intangible asset has an estimated weighted-average remaining useful life of 10.6 years. The carrying value as of December 31, 2019 and 2018 is as follows:</w:t>
      </w:r>
    </w:p>
    <w:p>
      <w:pPr>
        <w:spacing w:after="0" w:line="16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72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2018</w:t>
            </w:r>
          </w:p>
        </w:tc>
      </w:tr>
      <w:tr>
        <w:trPr>
          <w:trHeight w:val="223"/>
        </w:trPr>
        <w:tc>
          <w:tcPr>
            <w:tcW w:w="7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(4,144)</w:t>
            </w:r>
          </w:p>
        </w:tc>
      </w:tr>
      <w:tr>
        <w:trPr>
          <w:trHeight w:val="223"/>
        </w:trPr>
        <w:tc>
          <w:tcPr>
            <w:tcW w:w="7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Amortization expense for the years ended December 31, 2019 and 2018 was $0.7 million and $0.6 million, respectively. Estimated future amortization expense, based upon the Company’s intangible asset, as of December 31, 2019 is as follows:</w:t>
      </w:r>
    </w:p>
    <w:p>
      <w:pPr>
        <w:spacing w:after="0" w:line="247" w:lineRule="exact"/>
        <w:rPr>
          <w:sz w:val="20"/>
          <w:szCs w:val="20"/>
          <w:color w:val="auto"/>
        </w:rPr>
      </w:pPr>
    </w:p>
    <w:tbl>
      <w:tblPr>
        <w:tblLayout w:type="fixed"/>
        <w:tblInd w:w="1780" w:type="dxa"/>
        <w:tblCellMar>
          <w:top w:w="0" w:type="dxa"/>
          <w:left w:w="0" w:type="dxa"/>
          <w:bottom w:w="0" w:type="dxa"/>
          <w:right w:w="0" w:type="dxa"/>
        </w:tblCellMar>
      </w:tblPr>
      <w:tr>
        <w:trPr>
          <w:trHeight w:val="182"/>
        </w:trPr>
        <w:tc>
          <w:tcPr>
            <w:tcW w:w="6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5"/>
        </w:trPr>
        <w:tc>
          <w:tcPr>
            <w:tcW w:w="63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23"/>
        </w:trPr>
        <w:tc>
          <w:tcPr>
            <w:tcW w:w="6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w:t>
            </w:r>
          </w:p>
        </w:tc>
        <w:tc>
          <w:tcPr>
            <w:tcW w:w="60" w:type="dxa"/>
            <w:vAlign w:val="bottom"/>
          </w:tcPr>
          <w:p>
            <w:pPr>
              <w:spacing w:after="0"/>
              <w:rPr>
                <w:sz w:val="20"/>
                <w:szCs w:val="20"/>
                <w:color w:val="auto"/>
              </w:rPr>
            </w:pPr>
          </w:p>
        </w:tc>
      </w:tr>
      <w:tr>
        <w:trPr>
          <w:trHeight w:val="242"/>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60" w:type="dxa"/>
            <w:vAlign w:val="bottom"/>
            <w:shd w:val="clear" w:color="auto" w:fill="CFF0FC"/>
          </w:tcPr>
          <w:p>
            <w:pPr>
              <w:spacing w:after="0"/>
              <w:rPr>
                <w:sz w:val="21"/>
                <w:szCs w:val="2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w:t>
            </w:r>
          </w:p>
        </w:tc>
        <w:tc>
          <w:tcPr>
            <w:tcW w:w="60" w:type="dxa"/>
            <w:vAlign w:val="bottom"/>
          </w:tcPr>
          <w:p>
            <w:pPr>
              <w:spacing w:after="0"/>
              <w:rPr>
                <w:sz w:val="20"/>
                <w:szCs w:val="20"/>
                <w:color w:val="auto"/>
              </w:rPr>
            </w:pPr>
          </w:p>
        </w:tc>
      </w:tr>
      <w:tr>
        <w:trPr>
          <w:trHeight w:val="242"/>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60" w:type="dxa"/>
            <w:vAlign w:val="bottom"/>
            <w:shd w:val="clear" w:color="auto" w:fill="CFF0FC"/>
          </w:tcPr>
          <w:p>
            <w:pPr>
              <w:spacing w:after="0"/>
              <w:rPr>
                <w:sz w:val="21"/>
                <w:szCs w:val="21"/>
                <w:color w:val="auto"/>
              </w:rPr>
            </w:pPr>
          </w:p>
        </w:tc>
      </w:tr>
      <w:tr>
        <w:trPr>
          <w:trHeight w:val="237"/>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w:t>
            </w:r>
          </w:p>
        </w:tc>
        <w:tc>
          <w:tcPr>
            <w:tcW w:w="60" w:type="dxa"/>
            <w:vAlign w:val="bottom"/>
            <w:tcBorders>
              <w:bottom w:val="single" w:sz="8" w:color="CFF0FC"/>
            </w:tcBorders>
          </w:tcPr>
          <w:p>
            <w:pPr>
              <w:spacing w:after="0"/>
              <w:rPr>
                <w:sz w:val="20"/>
                <w:szCs w:val="20"/>
                <w:color w:val="auto"/>
              </w:rPr>
            </w:pPr>
          </w:p>
        </w:tc>
      </w:tr>
      <w:tr>
        <w:trPr>
          <w:trHeight w:val="229"/>
        </w:trPr>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Company capitalizes its purchases of saleable inventory of Vascepa from suppliers that have been qualified by the FDA. Inventories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2018 consist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Work in process</w:t>
            </w:r>
          </w:p>
        </w:tc>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12,031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8,590</w:t>
            </w:r>
          </w:p>
        </w:tc>
        <w:tc>
          <w:tcPr>
            <w:tcW w:w="12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45,283</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35,357</w:t>
            </w:r>
          </w:p>
        </w:tc>
        <w:tc>
          <w:tcPr>
            <w:tcW w:w="120" w:type="dxa"/>
            <w:vAlign w:val="bottom"/>
            <w:shd w:val="clear" w:color="auto" w:fill="CFF0FC"/>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inventory, gross</w:t>
            </w:r>
          </w:p>
        </w:tc>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76,769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58,089</w:t>
            </w:r>
          </w:p>
        </w:tc>
        <w:tc>
          <w:tcPr>
            <w:tcW w:w="12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Inventory cost adjustment</w:t>
            </w:r>
          </w:p>
        </w:tc>
        <w:tc>
          <w:tcPr>
            <w:tcW w:w="4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Inventory</w:t>
            </w:r>
          </w:p>
        </w:tc>
        <w:tc>
          <w:tcPr>
            <w:tcW w:w="4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76,769</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57,802</w:t>
            </w:r>
          </w:p>
        </w:tc>
        <w:tc>
          <w:tcPr>
            <w:tcW w:w="12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5"/>
        </w:trPr>
        <w:tc>
          <w:tcPr>
            <w:tcW w:w="3720" w:type="dxa"/>
            <w:vAlign w:val="bottom"/>
          </w:tcPr>
          <w:p>
            <w:pPr>
              <w:spacing w:after="0"/>
              <w:rPr>
                <w:sz w:val="24"/>
                <w:szCs w:val="24"/>
                <w:color w:val="auto"/>
              </w:rPr>
            </w:pPr>
          </w:p>
        </w:tc>
        <w:tc>
          <w:tcPr>
            <w:tcW w:w="4300" w:type="dxa"/>
            <w:vAlign w:val="bottom"/>
            <w:gridSpan w:val="2"/>
          </w:tcPr>
          <w:p>
            <w:pPr>
              <w:jc w:val="right"/>
              <w:ind w:right="2050"/>
              <w:spacing w:after="0"/>
              <w:rPr>
                <w:sz w:val="20"/>
                <w:szCs w:val="20"/>
                <w:color w:val="auto"/>
              </w:rPr>
            </w:pPr>
            <w:r>
              <w:rPr>
                <w:rFonts w:ascii="Arial" w:cs="Arial" w:eastAsia="Arial" w:hAnsi="Arial"/>
                <w:sz w:val="18"/>
                <w:szCs w:val="18"/>
                <w:color w:val="auto"/>
              </w:rPr>
              <w:t>F-16</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0" w:name="page121"/>
    <w:bookmarkEnd w:id="120"/>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Plant and Equipment</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as of December 31, 2019 and 2018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Useful Life (in years)</w:t>
            </w:r>
          </w:p>
        </w:tc>
        <w:tc>
          <w:tcPr>
            <w:tcW w:w="18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December 31, 2019</w:t>
            </w: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2018</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1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lesser of useful life or lease term</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2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3 - 5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Computer equipment</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3 - 5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 and amortization</w:t>
            </w:r>
          </w:p>
        </w:tc>
        <w:tc>
          <w:tcPr>
            <w:tcW w:w="2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(1,019)</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(839)</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518"/>
        <w:spacing w:after="0" w:line="291" w:lineRule="auto"/>
        <w:rPr>
          <w:sz w:val="20"/>
          <w:szCs w:val="20"/>
          <w:color w:val="auto"/>
        </w:rPr>
      </w:pPr>
      <w:r>
        <w:rPr>
          <w:rFonts w:ascii="Arial" w:cs="Arial" w:eastAsia="Arial" w:hAnsi="Arial"/>
          <w:sz w:val="16"/>
          <w:szCs w:val="16"/>
          <w:color w:val="auto"/>
        </w:rPr>
        <w:t>The Company provides for depreciation and amortization using the straight-line method by charges to operations in amounts that depreciate the cost of the fixed asset over its estimated useful life. Depreciation expense for the years ended December 31, 2019, 2018, and 2017 were $0.2 million, less than</w:t>
      </w:r>
    </w:p>
    <w:p>
      <w:pPr>
        <w:ind w:right="40"/>
        <w:spacing w:after="0" w:line="255" w:lineRule="auto"/>
        <w:rPr>
          <w:sz w:val="20"/>
          <w:szCs w:val="20"/>
          <w:color w:val="auto"/>
        </w:rPr>
      </w:pPr>
      <w:r>
        <w:rPr>
          <w:rFonts w:ascii="Arial" w:cs="Arial" w:eastAsia="Arial" w:hAnsi="Arial"/>
          <w:sz w:val="18"/>
          <w:szCs w:val="18"/>
          <w:color w:val="auto"/>
        </w:rPr>
        <w:t>$0.1 million, and $0.1 million, respectively. Upon retirement or sale of assets, the cost of the assets disposed and the related accumulated depreciation are removed from the consolidated balance sheet and any resulting gain or loss is credited or expensed to operations. Repairs and maintenance costs are expensed as incurred.</w:t>
      </w:r>
    </w:p>
    <w:p>
      <w:pPr>
        <w:spacing w:after="0" w:line="20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as of December 31, 2019 and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4"/>
                <w:szCs w:val="14"/>
                <w:color w:val="auto"/>
              </w:rPr>
            </w:pPr>
          </w:p>
        </w:tc>
        <w:tc>
          <w:tcPr>
            <w:tcW w:w="20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7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Payroll and payroll-related expenses</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21,204</w:t>
            </w: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Sales and marketing accruals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8,221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20,003</w:t>
            </w:r>
          </w:p>
        </w:tc>
        <w:tc>
          <w:tcPr>
            <w:tcW w:w="10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Accrued revenue allowances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93,815</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44,286</w:t>
            </w:r>
          </w:p>
        </w:tc>
        <w:tc>
          <w:tcPr>
            <w:tcW w:w="100" w:type="dxa"/>
            <w:vAlign w:val="bottom"/>
            <w:shd w:val="clear" w:color="auto" w:fill="CFF0FC"/>
          </w:tcPr>
          <w:p>
            <w:pPr>
              <w:spacing w:after="0"/>
              <w:rPr>
                <w:sz w:val="19"/>
                <w:szCs w:val="19"/>
                <w:color w:val="auto"/>
              </w:rPr>
            </w:pPr>
          </w:p>
        </w:tc>
      </w:tr>
      <w:tr>
        <w:trPr>
          <w:trHeight w:val="230"/>
        </w:trPr>
        <w:tc>
          <w:tcPr>
            <w:tcW w:w="7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16,586</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Borders>
              <w:bottom w:val="single" w:sz="8" w:color="CFF0FC"/>
            </w:tcBorders>
          </w:tcPr>
          <w:p>
            <w:pPr>
              <w:spacing w:after="0"/>
              <w:rPr>
                <w:sz w:val="19"/>
                <w:szCs w:val="19"/>
                <w:color w:val="auto"/>
              </w:rPr>
            </w:pPr>
          </w:p>
        </w:tc>
      </w:tr>
      <w:tr>
        <w:trPr>
          <w:trHeight w:val="223"/>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139,826</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Debt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2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As of December 31, 2019, the remaining amount to be repaid to CPPIB is $52.4 million. During the year ended December 31, 2019, the Company made repayments under the agreement of $36.2 million to CPPIB and an additional $14.2 million was paid in February 2020 for the fourth quarter of 2019. These payments, as well as additional quarterly repayments scheduled in the future, are calculated as 10% of Vascepa net revenues. All such payments reduce the remainder of the $150.0 million in aggregate payments to CPPIB. Except upon a change of control in Amarin, the agreement does not expire until $150.0 million in aggregate has been repaid. The Company can prepay the net remaining amount at any time.</w:t>
      </w:r>
    </w:p>
    <w:p>
      <w:pPr>
        <w:spacing w:after="0" w:line="11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fair value of this derivative liability is remeasured at each reporting period, with changes in fair value recognized in the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years ended December 31, 2019 and 2018.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1" w:name="page122"/>
    <w:bookmarkEnd w:id="121"/>
    <w:p>
      <w:pPr>
        <w:ind w:right="40"/>
        <w:spacing w:after="0" w:line="255" w:lineRule="auto"/>
        <w:rPr>
          <w:sz w:val="20"/>
          <w:szCs w:val="20"/>
          <w:color w:val="auto"/>
        </w:rPr>
      </w:pPr>
      <w:r>
        <w:rPr>
          <w:rFonts w:ascii="Arial" w:cs="Arial" w:eastAsia="Arial" w:hAnsi="Arial"/>
          <w:sz w:val="18"/>
          <w:szCs w:val="18"/>
          <w:color w:val="auto"/>
        </w:rPr>
        <w:t>As of December 31, 2019 and 2018, the carrying value of the royalty-bearing instrument, net of the unamortized debt discount and issuance costs, was $49.7 million and $79.7 million, respectively. During the year ended December 31, 2019, the Company recorded cash and non-cash interest expense of $4.4 million and $1.6 million, respectively, in connection with the royalty-bearing instrument. During the year ended December 31, 2018, the Company recorded $5.6 million and $2.0 million of cash and non-cash interest expense, respectively, in connection with the royalty-bearing instrument. The Company will periodically evaluate the remaining term of the agreement and the effective interest rate is recalculated each period based on the Company’s most current estimate of repayment.</w:t>
      </w:r>
    </w:p>
    <w:p>
      <w:pPr>
        <w:spacing w:after="0" w:line="1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the agreement, the Company is restricted from paying dividends on its common shares, unless it has cash and cash equivalents in excess of a specified amount after such payment.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January 2017 Exchangeable Senior Notes</w:t>
      </w:r>
    </w:p>
    <w:p>
      <w:pPr>
        <w:spacing w:after="0" w:line="90"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On January 20, 2017, the Company and Corsicanto II DAC, or Corsicanto II, a designated activity company formed under the laws of Ireland and a wholly owned subsidiary of the Company, entered into separate, privately negotiated purchase agreements with certain investors pursuant to which Corsicanto II issued and sold $30.0 million in aggregate principal amount of 3.5% exchangeable senior notes due 2047, or the 2017 Notes, at an issue price of 100%. In October 2018, Corsicanto II mandatorily exchanged $30.0 million of aggregate principal amount of the 2017 Notes for equity, such that no 2017 Notes remained outstanding as of December 31, 2019 and 2018.</w:t>
      </w:r>
    </w:p>
    <w:p>
      <w:pPr>
        <w:spacing w:after="0" w:line="190" w:lineRule="exact"/>
        <w:rPr>
          <w:sz w:val="20"/>
          <w:szCs w:val="20"/>
          <w:color w:val="auto"/>
        </w:rPr>
      </w:pPr>
    </w:p>
    <w:p>
      <w:pPr>
        <w:ind w:left="260" w:right="8460" w:hanging="252"/>
        <w:spacing w:after="0" w:line="338" w:lineRule="auto"/>
        <w:tabs>
          <w:tab w:leader="none" w:pos="39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On February 22, 2019, a purported investor in our publicly traded securities filed a putative class action lawsuit against Amarin Corporation plc, our chief executive officer and chief scientific officer in the U.S. District Court for the District of New Jersey, </w:t>
      </w:r>
      <w:r>
        <w:rPr>
          <w:rFonts w:ascii="Arial" w:cs="Arial" w:eastAsia="Arial" w:hAnsi="Arial"/>
          <w:sz w:val="17"/>
          <w:szCs w:val="17"/>
          <w:i w:val="1"/>
          <w:iCs w:val="1"/>
          <w:color w:val="auto"/>
        </w:rPr>
        <w:t>Debendra Sharma v. Amarin Corporation plc, John F.</w:t>
      </w:r>
      <w:r>
        <w:rPr>
          <w:rFonts w:ascii="Arial" w:cs="Arial" w:eastAsia="Arial" w:hAnsi="Arial"/>
          <w:sz w:val="17"/>
          <w:szCs w:val="17"/>
          <w:color w:val="auto"/>
        </w:rPr>
        <w:t xml:space="preserve"> </w:t>
      </w:r>
      <w:r>
        <w:rPr>
          <w:rFonts w:ascii="Arial" w:cs="Arial" w:eastAsia="Arial" w:hAnsi="Arial"/>
          <w:sz w:val="17"/>
          <w:szCs w:val="17"/>
          <w:i w:val="1"/>
          <w:iCs w:val="1"/>
          <w:color w:val="auto"/>
        </w:rPr>
        <w:t>Thero and Steven Ketchum</w:t>
      </w:r>
      <w:r>
        <w:rPr>
          <w:rFonts w:ascii="Arial" w:cs="Arial" w:eastAsia="Arial" w:hAnsi="Arial"/>
          <w:sz w:val="17"/>
          <w:szCs w:val="17"/>
          <w:color w:val="auto"/>
        </w:rPr>
        <w:t>, No. 2:19-cv-06601 (D.N.J. Feb. 22, 2019). On March 12, 2019, another purported investor filed a substantially similar lawsuit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captioned </w:t>
      </w:r>
      <w:r>
        <w:rPr>
          <w:rFonts w:ascii="Arial" w:cs="Arial" w:eastAsia="Arial" w:hAnsi="Arial"/>
          <w:sz w:val="17"/>
          <w:szCs w:val="17"/>
          <w:i w:val="1"/>
          <w:iCs w:val="1"/>
          <w:color w:val="auto"/>
        </w:rPr>
        <w:t>Richard Borghesi v. Amarin Corporation plc, John F. Thero and Steven Ketchum</w:t>
      </w:r>
      <w:r>
        <w:rPr>
          <w:rFonts w:ascii="Arial" w:cs="Arial" w:eastAsia="Arial" w:hAnsi="Arial"/>
          <w:sz w:val="17"/>
          <w:szCs w:val="17"/>
          <w:color w:val="auto"/>
        </w:rPr>
        <w:t xml:space="preserve">, No. 3:19-cv-08423 (D.N.J. March 12, 2019). On May 14, 2019 the court consolidated the cases under the caption </w:t>
      </w:r>
      <w:r>
        <w:rPr>
          <w:rFonts w:ascii="Arial" w:cs="Arial" w:eastAsia="Arial" w:hAnsi="Arial"/>
          <w:sz w:val="17"/>
          <w:szCs w:val="17"/>
          <w:i w:val="1"/>
          <w:iCs w:val="1"/>
          <w:color w:val="auto"/>
        </w:rPr>
        <w:t>In re Amarin Corporation PLC Securities Litigation</w:t>
      </w:r>
      <w:r>
        <w:rPr>
          <w:rFonts w:ascii="Arial" w:cs="Arial" w:eastAsia="Arial" w:hAnsi="Arial"/>
          <w:sz w:val="17"/>
          <w:szCs w:val="17"/>
          <w:color w:val="auto"/>
        </w:rPr>
        <w:t>, No. 3:19-cv-06601 and appointed two other purported shareholders, Dan Kotecki and the Gaetano Cecchini Living Trust, as Co-Lead Plaintiffs.</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Co-Lead Plaintiffs filed a consolidated amended complaint, or Amended Complaint, on July 22, 2019 that adds as defendants our current chief medical officer and our former chief executive officer, who is a current director. The Amended Complaint alleges that from September 24, 2018 to November 9, 2018 the Company misled investors by releasing topline results for the REDUCE-IT study without disclosing data on biomarker increases in the placebo group as compared with baseline measurement. The Amended Complaint alleges that these data suggest that the mineral oil placebo used in the REDUCE-IT study may have interfered with statin absorption in the placebo group, which they allege may have increased adverse outcomes in the placebo group. The Amended Complaint further allege that these purported misrepresentations and omissions inflated our share price. Based on these allegations, the suit asserts claims under the Securities Exchange Act of 1934 and seeks unspecified monetary damages and attorneys’ fees and costs.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22" w:name="page123"/>
    <w:bookmarkEnd w:id="122"/>
    <w:p>
      <w:pPr>
        <w:ind w:right="200"/>
        <w:spacing w:after="0" w:line="286" w:lineRule="auto"/>
        <w:rPr>
          <w:sz w:val="20"/>
          <w:szCs w:val="20"/>
          <w:color w:val="auto"/>
        </w:rPr>
      </w:pPr>
      <w:r>
        <w:rPr>
          <w:rFonts w:ascii="Arial" w:cs="Arial" w:eastAsia="Arial" w:hAnsi="Arial"/>
          <w:sz w:val="17"/>
          <w:szCs w:val="17"/>
          <w:color w:val="auto"/>
        </w:rPr>
        <w:t>The Company believes that it has valid defenses and will vigorously defend against the claims, but cannot predict the outcome. The Company is unable to reasonably estimate the loss exposure, if any, associated with these claims. The Company has insurance coverage that is anticipated to cover any significant loss exposure that may arise from this action after payment by the Company of the associated deductible obligation.</w:t>
      </w:r>
    </w:p>
    <w:p>
      <w:pPr>
        <w:spacing w:after="0" w:line="11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 xml:space="preserve">On August 30, 2017, Amarin Pharma, Inc. and Amarin Pharmaceuticals Ireland Limited, each wholly-owned subsidiaries of Amarin Corporation plc, filed a lawsuit with the United States International Trade Commission, or the ITC, captioned </w:t>
      </w:r>
      <w:r>
        <w:rPr>
          <w:rFonts w:ascii="Arial" w:cs="Arial" w:eastAsia="Arial" w:hAnsi="Arial"/>
          <w:sz w:val="17"/>
          <w:szCs w:val="17"/>
          <w:i w:val="1"/>
          <w:iCs w:val="1"/>
          <w:color w:val="auto"/>
        </w:rPr>
        <w:t>In the Matter of Certain Synthetically Produced, Predominantly EPA</w:t>
      </w:r>
      <w:r>
        <w:rPr>
          <w:rFonts w:ascii="Arial" w:cs="Arial" w:eastAsia="Arial" w:hAnsi="Arial"/>
          <w:sz w:val="17"/>
          <w:szCs w:val="17"/>
          <w:color w:val="auto"/>
        </w:rPr>
        <w:t xml:space="preserve"> </w:t>
      </w:r>
      <w:r>
        <w:rPr>
          <w:rFonts w:ascii="Arial" w:cs="Arial" w:eastAsia="Arial" w:hAnsi="Arial"/>
          <w:sz w:val="17"/>
          <w:szCs w:val="17"/>
          <w:i w:val="1"/>
          <w:iCs w:val="1"/>
          <w:color w:val="auto"/>
        </w:rPr>
        <w:t>Omega-3 Products in Ethyl Ester or Re-esterified Triglyceride Form</w:t>
      </w:r>
      <w:r>
        <w:rPr>
          <w:rFonts w:ascii="Arial" w:cs="Arial" w:eastAsia="Arial" w:hAnsi="Arial"/>
          <w:sz w:val="17"/>
          <w:szCs w:val="17"/>
          <w:color w:val="auto"/>
        </w:rPr>
        <w:t>, USITC Docket 337-3247, against manufacturers, importers, and distributors of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containing synthetically produced omega-3 products in ethyl ester or re-esterified triglyceride form that contain more EPA than DHA or any other single component for use in or as dietary supplements. The lawsuit sought an investigation by the ITC under Section 337 of the Tariff Act of 1930 (19 U.S.C. §1337), which makes unlawful unfair methods of competition and unfair acts involving the importation and sale of articles in the United States that injure or threaten injury to a domestic industry. On October 27, 2017, the ITC determined to not institute our requested investigation. On December 1, 2017, the Company appealed the ITC’s non-institution decision to the United States Court of Appeals for the Federal Circuit (Case Nos. 18-1247, 18-114). That appeal is ongoing. The Company intends to pursue this matter vigorously.</w:t>
      </w:r>
    </w:p>
    <w:p>
      <w:pPr>
        <w:spacing w:after="0" w:line="1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September and October 2016, the Company received paragraph IV certification notices from four companies contending to varying degrees that certain of its patents are invalid, unenforceable and/or will not be infringed by the manufacture, use, sale or offer for sale of a generic form of Vascepa as described in those companies’ abbreviated new drug applications, or ANDAs. The Company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Arial" w:cs="Arial" w:eastAsia="Arial" w:hAnsi="Arial"/>
          <w:sz w:val="17"/>
          <w:szCs w:val="17"/>
          <w:i w:val="1"/>
          <w:iCs w:val="1"/>
          <w:color w:val="auto"/>
        </w:rPr>
        <w:t>Amarin Pharma, Inc. et al. v. Roxane Laboratories, Inc. et al.</w:t>
      </w:r>
      <w:r>
        <w:rPr>
          <w:rFonts w:ascii="Arial" w:cs="Arial" w:eastAsia="Arial" w:hAnsi="Arial"/>
          <w:sz w:val="17"/>
          <w:szCs w:val="17"/>
          <w:color w:val="auto"/>
        </w:rPr>
        <w:t xml:space="preserve">, Civ. A. No. 2:16-cv-02525 (D. Nev.). According to a stipulation filed with the Nevada court, in 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Arial" w:cs="Arial" w:eastAsia="Arial" w:hAnsi="Arial"/>
          <w:sz w:val="17"/>
          <w:szCs w:val="17"/>
          <w:i w:val="1"/>
          <w:iCs w:val="1"/>
          <w:color w:val="auto"/>
        </w:rPr>
        <w:t>Amarin Pharma, Inc. et al. v. West-Ward Pharmaceuticals Corp. et al.</w:t>
      </w:r>
      <w:r>
        <w:rPr>
          <w:rFonts w:ascii="Arial" w:cs="Arial" w:eastAsia="Arial" w:hAnsi="Arial"/>
          <w:sz w:val="17"/>
          <w:szCs w:val="17"/>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Arial" w:cs="Arial" w:eastAsia="Arial" w:hAnsi="Arial"/>
          <w:sz w:val="17"/>
          <w:szCs w:val="17"/>
          <w:i w:val="1"/>
          <w:iCs w:val="1"/>
          <w:color w:val="auto"/>
        </w:rPr>
        <w:t>Amarin Pharma, Inc. et al. v. Dr. Reddy’s Laboratories, Inc. et al.</w:t>
      </w:r>
      <w:r>
        <w:rPr>
          <w:rFonts w:ascii="Arial" w:cs="Arial" w:eastAsia="Arial" w:hAnsi="Arial"/>
          <w:sz w:val="17"/>
          <w:szCs w:val="17"/>
          <w:color w:val="auto"/>
        </w:rPr>
        <w:t xml:space="preserve">, Civ. A. No. 2:16-cv-02562 (D. Nev.). In November 2016, Amarin filed a lawsuit against Teva Pharmaceuticals USA, Inc. and Teva Pharmaceuticals Industries Limited (collectively, “Teva”) in the U.S. District Court for the District of Nevada. The case against Teva is captioned </w:t>
      </w:r>
      <w:r>
        <w:rPr>
          <w:rFonts w:ascii="Arial" w:cs="Arial" w:eastAsia="Arial" w:hAnsi="Arial"/>
          <w:sz w:val="17"/>
          <w:szCs w:val="17"/>
          <w:i w:val="1"/>
          <w:iCs w:val="1"/>
          <w:color w:val="auto"/>
        </w:rPr>
        <w:t>Amarin Pharma, Inc. et al. v.</w:t>
      </w:r>
      <w:r>
        <w:rPr>
          <w:rFonts w:ascii="Arial" w:cs="Arial" w:eastAsia="Arial" w:hAnsi="Arial"/>
          <w:sz w:val="17"/>
          <w:szCs w:val="17"/>
          <w:color w:val="auto"/>
        </w:rPr>
        <w:t xml:space="preserve"> </w:t>
      </w:r>
      <w:r>
        <w:rPr>
          <w:rFonts w:ascii="Arial" w:cs="Arial" w:eastAsia="Arial" w:hAnsi="Arial"/>
          <w:sz w:val="17"/>
          <w:szCs w:val="17"/>
          <w:i w:val="1"/>
          <w:iCs w:val="1"/>
          <w:color w:val="auto"/>
        </w:rPr>
        <w:t>Teva Pharmaceuticals USA, Inc. et al.</w:t>
      </w:r>
      <w:r>
        <w:rPr>
          <w:rFonts w:ascii="Arial" w:cs="Arial" w:eastAsia="Arial" w:hAnsi="Arial"/>
          <w:sz w:val="17"/>
          <w:szCs w:val="17"/>
          <w:color w:val="auto"/>
        </w:rPr>
        <w:t>, Civ. A. No. 2:16-cv-02658. In all three lawsuits, Amarin is seeking, among other remedies, an order enjoining each</w:t>
      </w:r>
      <w:r>
        <w:rPr>
          <w:rFonts w:ascii="Arial" w:cs="Arial" w:eastAsia="Arial" w:hAnsi="Arial"/>
          <w:sz w:val="17"/>
          <w:szCs w:val="17"/>
          <w:i w:val="1"/>
          <w:iCs w:val="1"/>
          <w:color w:val="auto"/>
        </w:rPr>
        <w:t xml:space="preserve"> </w:t>
      </w:r>
      <w:r>
        <w:rPr>
          <w:rFonts w:ascii="Arial" w:cs="Arial" w:eastAsia="Arial" w:hAnsi="Arial"/>
          <w:sz w:val="17"/>
          <w:szCs w:val="17"/>
          <w:color w:val="auto"/>
        </w:rPr>
        <w:t>defendant from marketing generic versions of Vascepa before the last to expire of the asserted patents in 2030. The three lawsuits have been consolidated for pretrial proceedings. As a result of the statutory stay associated with the filing of these lawsuits under the Hatch-Waxman Act, the FDA cannot grant final approval to West-Ward, DRL, or Teva’s respective ANDA before January 2020, unless there is an earlier court decision holding that the subject patents are not infringed and/or are invalid.</w:t>
      </w:r>
    </w:p>
    <w:p>
      <w:pPr>
        <w:spacing w:after="0" w:line="13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fourth ANDA applicant referenced above is Apotex Inc., or Apotex, which sent Amarin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Act.</w:t>
      </w:r>
    </w:p>
    <w:p>
      <w:pPr>
        <w:spacing w:after="0" w:line="1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October 2016, the Company introduced to the market a 0.5-gram dose strength of Vascepa. In August 2017, as anticipated, the Company received a paragraph IV certification notice from Teva contending that certain of its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the Company filed a patent infringement lawsuit against Teva in the U.S. District Court for the District of Nevada. The case is captioned </w:t>
      </w:r>
      <w:r>
        <w:rPr>
          <w:rFonts w:ascii="Arial" w:cs="Arial" w:eastAsia="Arial" w:hAnsi="Arial"/>
          <w:sz w:val="17"/>
          <w:szCs w:val="17"/>
          <w:i w:val="1"/>
          <w:iCs w:val="1"/>
          <w:color w:val="auto"/>
        </w:rPr>
        <w:t>Amarin Pharma, Inc. et al. v. Teva Pharmaceuticals USA, Inc. et al.,</w:t>
      </w:r>
      <w:r>
        <w:rPr>
          <w:rFonts w:ascii="Arial" w:cs="Arial" w:eastAsia="Arial" w:hAnsi="Arial"/>
          <w:sz w:val="17"/>
          <w:szCs w:val="17"/>
          <w:color w:val="auto"/>
        </w:rPr>
        <w:t xml:space="preserve"> Civ. A. No. 2:17-cv-2641 (D. Nev.). In this lawsuit, the Company sought, among other remedies, an order enjoining Teva from marketing generic versions of the 0.5-gram dose strength of Vascepa before the last to expire of the asserted patents in 2030.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3" w:name="page124"/>
    <w:bookmarkEnd w:id="123"/>
    <w:p>
      <w:pPr>
        <w:ind w:right="120"/>
        <w:spacing w:after="0" w:line="276" w:lineRule="auto"/>
        <w:rPr>
          <w:sz w:val="20"/>
          <w:szCs w:val="20"/>
          <w:color w:val="auto"/>
        </w:rPr>
      </w:pPr>
      <w:r>
        <w:rPr>
          <w:rFonts w:ascii="Arial" w:cs="Arial" w:eastAsia="Arial" w:hAnsi="Arial"/>
          <w:sz w:val="17"/>
          <w:szCs w:val="17"/>
          <w:color w:val="auto"/>
        </w:rPr>
        <w:t>On May 24, 2018, the Company entered into a settlement agreement with Teva that resolves its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the Company certain royalties on its generic Vascepa products. The ANDA patent litigation continues in the United States District Court for the District of Nevada with parties West-Ward and DRL.</w:t>
      </w:r>
    </w:p>
    <w:p>
      <w:pPr>
        <w:spacing w:after="0" w:line="1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July 2018, as anticipated, the Company received a paragraph IV certification notice from DRL contending that certain of its patents are invalid, unenforceable and/or will not be infringed by the manufacture, use, sale or offer for sale of a generic form of the 0.5-gram dose strength of Vascepa, as described in the DRL ANDA. This DRL ANDA was filed as an amendment to the 1-gram DRL ANADA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lawsuit against DRL in the U.S. District Court for the District of Nevada. The case is captioned </w:t>
      </w:r>
      <w:r>
        <w:rPr>
          <w:rFonts w:ascii="Arial" w:cs="Arial" w:eastAsia="Arial" w:hAnsi="Arial"/>
          <w:sz w:val="17"/>
          <w:szCs w:val="17"/>
          <w:i w:val="1"/>
          <w:iCs w:val="1"/>
          <w:color w:val="auto"/>
        </w:rPr>
        <w:t>Amarin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 Inc. et al. v. Dr. Reddy’s Laboratories, Inc. et al., </w:t>
      </w:r>
      <w:r>
        <w:rPr>
          <w:rFonts w:ascii="Arial" w:cs="Arial" w:eastAsia="Arial" w:hAnsi="Arial"/>
          <w:sz w:val="17"/>
          <w:szCs w:val="17"/>
          <w:color w:val="auto"/>
        </w:rPr>
        <w:t>Civ. A. No. 2:18-cv-01596 (D. Nev.). In this lawsuit, the Company is seeking, among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remedies, an order enjoining DRL from marketing 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w:t>
      </w:r>
    </w:p>
    <w:p>
      <w:pPr>
        <w:spacing w:after="0" w:line="1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intends to vigorously enforce its intellectual property rights relating to Vascepa, but cannot predict the outcome of these lawsuits or any subsequently filed lawsuits.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200" w:lineRule="exact"/>
        <w:rPr>
          <w:sz w:val="20"/>
          <w:szCs w:val="20"/>
          <w:color w:val="auto"/>
        </w:rPr>
      </w:pPr>
    </w:p>
    <w:p>
      <w:pPr>
        <w:spacing w:after="0" w:line="254"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9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w:t>
      </w:r>
    </w:p>
    <w:p>
      <w:pPr>
        <w:spacing w:after="0" w:line="9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These agreements include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supply agreements, there is a total of approximately $192.4 million that is potentially payable over the term of such agreements based on minimum purchase obligations. The Company continues to meet its contractual purchase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Under the 2004 share repurchase agreement with Laxdale Limited, or Laxdale, upon receipt of marketing approval in Europe for the first indication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Vascepa (or first indication of any product containing Amarin Neuroscience Limited intellectual property acquired from Laxdale in 2004), the Company must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make an aggregate stock or cash payment to the former shareholders of Laxdale (at the sole option of each of the sellers) of £7.5 million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$9.9 million as of December 31, 2019). Also under the Laxdale agreement, upon receipt of a marketing approval in Europe for a further indication of Vascepa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further indication of any other product using Amarin Neuroscience Limited intellectual property), the Company must make an aggregate stock or cash</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payment (at the sole option of each of the sellers) of £5 million (approximately $6.6 million as of December 31, 2019) for the potential market approval .</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 obligations above since the amounts are either not paid or payable as of December 31, 2019.</w:t>
      </w:r>
    </w:p>
    <w:p>
      <w:pPr>
        <w:spacing w:after="0" w:line="235" w:lineRule="exact"/>
        <w:rPr>
          <w:sz w:val="20"/>
          <w:szCs w:val="20"/>
          <w:color w:val="auto"/>
        </w:rPr>
      </w:pPr>
    </w:p>
    <w:p>
      <w:pPr>
        <w:ind w:left="260" w:right="10040" w:hanging="252"/>
        <w:spacing w:after="0" w:line="381" w:lineRule="auto"/>
        <w:tabs>
          <w:tab w:leader="none" w:pos="39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Preferred Stock</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or the Purchasers, including both existing and new investors, for the private placement of 352,150,790 restricted American Depositary Shares, each representing one (1) share of Amarin’s Series A Convertible Preference Shares, par value £0.05 per share, in the capital of the Company, or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4" w:name="page125"/>
    <w:bookmarkEnd w:id="124"/>
    <w:p>
      <w:pPr>
        <w:jc w:val="both"/>
        <w:ind w:right="24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consolidated balance sheets.</w:t>
      </w:r>
    </w:p>
    <w:p>
      <w:pPr>
        <w:spacing w:after="0" w:line="1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or ADSs, provided that consolidation will be prohibited if, as a result, the holder of such Series A Preference Shares and its affiliates would beneficially own more than 4.99% of the total number of Amarin ordinary shares or ADSs outstanding following such redesignation, or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w:t>
      </w:r>
    </w:p>
    <w:p>
      <w:pPr>
        <w:spacing w:after="0" w:line="12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4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3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3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were sold in a transaction exempt from the registration requirements under the Securities Act of 1933, as amended, or the Securities Act. The Company filed a registration statement with the SEC covering the resale of the restricted American Depositary Shares and the ADSs representing ordinary shares created by the consolidation and redesignation of the Series A Preference Shares’ or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spacing w:after="0" w:line="5" w:lineRule="exact"/>
        <w:rPr>
          <w:sz w:val="20"/>
          <w:szCs w:val="20"/>
          <w:color w:val="auto"/>
        </w:rPr>
      </w:pPr>
    </w:p>
    <w:p>
      <w:pPr>
        <w:ind w:right="240" w:firstLine="8"/>
        <w:spacing w:after="0" w:line="261" w:lineRule="auto"/>
        <w:tabs>
          <w:tab w:leader="none" w:pos="2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Series A Preference Shares contain a contingent beneficial conversion feature, or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or Sofinnova, for the purchase of an additional $5.8 million of restricted American Depositary Shares, each representing one (1) share of the Company’s Series A Preference Shares, at the same price per share and otherwise on substantially the same terms as the initial private placement, or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could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5" w:name="page126"/>
    <w:bookmarkEnd w:id="125"/>
    <w:p>
      <w:pPr>
        <w:spacing w:after="0" w:line="255" w:lineRule="auto"/>
        <w:rPr>
          <w:sz w:val="20"/>
          <w:szCs w:val="20"/>
          <w:color w:val="auto"/>
        </w:rPr>
      </w:pPr>
      <w:r>
        <w:rPr>
          <w:rFonts w:ascii="Arial" w:cs="Arial" w:eastAsia="Arial" w:hAnsi="Arial"/>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or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 Subsequent to approval of the Second Private Placement at the Company’s Annual General Meeting of Shareholders in July 2015,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 in the year ended December 31, 2015.</w:t>
      </w:r>
    </w:p>
    <w:p>
      <w:pPr>
        <w:spacing w:after="0" w:line="128"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During the years ended December 31, 2015 and 2018, the Company issued 6,283,333 and 3,886,718 ADSs, respectively, upon consolidation and redesignation of Series A Preference Shares at the request of the holders, such that a maximum of 28,931,746 ordinary shares remain issuable upon future consolidation and redesignation of the remaining Series A Preference Shares as of December 31, 2019, subject to certain adjustments for dilutive events.</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December 13, 2019, in connection with approval by the FDA for a new indication of Vascepa, the Company was required to make an aggregate milestone payment of £5 million (in either stock or cash at the sole option of each of the sellers) to Laxdale’s former shareholders. One of the shareholders’ elected to receive payment in stock, resulting in the issuance of 257,713 shares at a price of $24.12 per share. The Company recorded a liability of $2.2 million in Accrued expenses and other current liabilities on the consolidated balance sheet as of December 31, 2019.</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July 18, 2019, the Company completed a public offering of 22,222,223 ADSs with each ADS representing one ordinary share of the Company, at a price of $18.00 per ADS, $17.235 per ADS after commission. In addition, the Company granted the underwriters a 30-day option to purchase up to an additional 3,333,333 ADSs at the same price per ADS. On July 29, 2019, the underwriters exercised the full option. This public offering, including the exercised option, resulted in gross proceeds of approximately $460.0 million and, after deducting customary commissions and offering expenses, net proceeds to the Company of approximately $440.1 million.</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November 29, 2018, the Company completed a public offering of 11,111,112 ADSs, with each ADS representing one ordinary share of the Company. The underwriters purchased the ADSs from the Company at a price of $17.575 per ADS after commission, resulting in net proceeds to the Company of approximately $194.8 million, after deducting customary commissions and offering expenses.</w:t>
      </w:r>
    </w:p>
    <w:p>
      <w:pPr>
        <w:spacing w:after="0" w:line="12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 February 1, 2018, the Company completed a public offering of 19,178,082 ADSs, with each ADS representing one ordinary share of the Company. The Company also granted the underwriters a 30-day option to purchase an additional 2,876,712 ADSs, which was partially exercised on March 5, 2018 for issuance of 1,438,356 ADSs. The underwriters purchased the ADSs from the Company at a price of $3.41 per ADS after commission, resulting in net proceeds to the Company of approximately $70.0 million, after deducting customary commissions and offering expenses.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11—Stock Incentive Plans and Stock Based Compensation for discussion of shares issued under the Company’s employee stock purchase plan.</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7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of December 31, 2019, there were an aggregate of 15,619,123 stock options and 6,921,071 restricted stock units, or RSUs, outstanding, representing approximately 4% and 2%, respectively, of outstanding shares (including common and preferred shares) on a fully diluted basis.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6" w:name="page127"/>
    <w:bookmarkEnd w:id="126"/>
    <w:p>
      <w:pPr>
        <w:ind w:right="40"/>
        <w:spacing w:after="0" w:line="264" w:lineRule="auto"/>
        <w:rPr>
          <w:sz w:val="20"/>
          <w:szCs w:val="20"/>
          <w:color w:val="auto"/>
        </w:rPr>
      </w:pPr>
      <w:r>
        <w:rPr>
          <w:rFonts w:ascii="Arial" w:cs="Arial" w:eastAsia="Arial" w:hAnsi="Arial"/>
          <w:sz w:val="18"/>
          <w:szCs w:val="18"/>
          <w:color w:val="auto"/>
        </w:rPr>
        <w:t>During the years ended December 31, 2019 and 2018, the Company issued 5,997,919 and 8,138,305 shares, respectively, as a result of the exercise of stock options, resulting in gross and net proceeds of $24.5 million during the year ended December 31, 2019 and $26.4 million during the year ended December 31, 2018.</w:t>
      </w:r>
    </w:p>
    <w:p>
      <w:pPr>
        <w:spacing w:after="0" w:line="12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October 2019, in connection with achievement of a predetermined performance-based formula tied to company cash flow, the Company issued 2,436,750 shares upon vesting of performance-based RSUs granted in 2015, of which 1,069,377 shares were retained as treasury shares as settlement of employee tax obligations.</w:t>
      </w:r>
    </w:p>
    <w:p>
      <w:pPr>
        <w:spacing w:after="0" w:line="1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May 20, 2019, the Company granted a total of 45,163 RSUs and 58,721 stock options to members of the Company’s Board of Directors under the Amarin Corporation plc Stock Incentive Plan, or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on May 20, 2019, the Company granted an additional 20,000 RSUs to employees under the 2011 Plan that vest upon the achievement of a specified sales performance condition.</w:t>
      </w:r>
    </w:p>
    <w:p>
      <w:pPr>
        <w:spacing w:after="0" w:line="116" w:lineRule="exact"/>
        <w:rPr>
          <w:sz w:val="20"/>
          <w:szCs w:val="20"/>
          <w:color w:val="auto"/>
        </w:rPr>
      </w:pPr>
    </w:p>
    <w:p>
      <w:pPr>
        <w:jc w:val="both"/>
        <w:ind w:right="20"/>
        <w:spacing w:after="0" w:line="303" w:lineRule="auto"/>
        <w:rPr>
          <w:sz w:val="20"/>
          <w:szCs w:val="20"/>
          <w:color w:val="auto"/>
        </w:rPr>
      </w:pPr>
      <w:r>
        <w:rPr>
          <w:rFonts w:ascii="Arial" w:cs="Arial" w:eastAsia="Arial" w:hAnsi="Arial"/>
          <w:sz w:val="17"/>
          <w:szCs w:val="17"/>
          <w:color w:val="auto"/>
        </w:rPr>
        <w:t>On February 1, 2019, the Company granted a total of 757,800 RSUs and 1,193,400 stock options to employees under the 2011 Plan. The RSUs vest annually over a three-year period and the stock options vest quarterly over a four-year period. Also on February 1, 2019, the Company granted a total of 580,000 RSUs to employees under the 2011 Plan that vest upon the achievement of a specified sales performance condition.</w:t>
      </w:r>
    </w:p>
    <w:p>
      <w:pPr>
        <w:spacing w:after="0" w:line="9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September 2018, in connection with positive REDUCE-IT results, the Company issued 2,499,750 shares upon vesting of performance-based RSUs granted in 2015, of which 764,819 shares were retained as treasury shares as settlement of employee tax obligations.</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14, 2018, the Company granted a total of 190,034 RSUs and 286,536 stock options to members of the Company’s Board of Directors under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3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March 12, 2018, and November 1, 2018, the Company granted a total of 970,000 RSUs and 90,000 RSUs, respectively, to employees under the 2011 Plan that vest over three years commencing after REDUCE-IT results upon the achievement of certain regulatory and sales performance conditions associated with the REDUCE-IT clinical trial and subsequent revenue growth.</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February 1, 2018, the Company granted a total of 1,305,575 RSUs and 2,205,075 stock options to employees under the 2011 Plan. The RSUs vest annually over a three-year period and the stock options vest monthly over a four-year period. During the year ended December 31, 2019, the Company issued 387,715 common shares related to the vesting of these RSUs, of which 139,928 shares were retained as treasury shares as settlement of employee tax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11—Stock Incentive Plans and Stock Based Compensation for further information regarding the Company’s incentive equity awards.</w:t>
      </w:r>
    </w:p>
    <w:p>
      <w:pPr>
        <w:spacing w:after="0" w:line="24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Interest and penalties related to any uncertain tax positions have historically been insignificant. The Company recognizes interest and penalties related to uncertain tax positions within the provision for income taxes. The total amount of unrecognized tax benefits that would affect the Company’s effective tax rate if recognized is nil as of both December 31, 2019 and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The following is a reconciliation of the total amounts of unrecognized tax benefits for the years ended December 31, 2019,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Beginning uncertain tax benefits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Prior year—increases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Prior year—decreases</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year—increases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19,633</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uncertain tax benefits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26,743</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files income tax returns in the United States, Ireland and United Kingdom, or UK. The Company remains subject to tax examinations in the following jurisdictions as of 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w:t>
            </w:r>
          </w:p>
        </w:tc>
        <w:tc>
          <w:tcPr>
            <w:tcW w:w="2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Tax Years</w:t>
            </w: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United States—Federal</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4"/>
              <w:spacing w:after="0"/>
              <w:rPr>
                <w:sz w:val="20"/>
                <w:szCs w:val="20"/>
                <w:color w:val="auto"/>
              </w:rPr>
            </w:pPr>
            <w:r>
              <w:rPr>
                <w:rFonts w:ascii="Arial" w:cs="Arial" w:eastAsia="Arial" w:hAnsi="Arial"/>
                <w:sz w:val="18"/>
                <w:szCs w:val="18"/>
                <w:color w:val="auto"/>
              </w:rPr>
              <w:t>2016-2019</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United States—State</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14"/>
              <w:spacing w:after="0"/>
              <w:rPr>
                <w:sz w:val="20"/>
                <w:szCs w:val="20"/>
                <w:color w:val="auto"/>
              </w:rPr>
            </w:pPr>
            <w:r>
              <w:rPr>
                <w:rFonts w:ascii="Arial" w:cs="Arial" w:eastAsia="Arial" w:hAnsi="Arial"/>
                <w:sz w:val="18"/>
                <w:szCs w:val="18"/>
                <w:color w:val="auto"/>
              </w:rPr>
              <w:t>2012-2019</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Ireland</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4"/>
              <w:spacing w:after="0"/>
              <w:rPr>
                <w:sz w:val="20"/>
                <w:szCs w:val="20"/>
                <w:color w:val="auto"/>
              </w:rPr>
            </w:pPr>
            <w:r>
              <w:rPr>
                <w:rFonts w:ascii="Arial" w:cs="Arial" w:eastAsia="Arial" w:hAnsi="Arial"/>
                <w:sz w:val="18"/>
                <w:szCs w:val="18"/>
                <w:color w:val="auto"/>
              </w:rPr>
              <w:t>2015-2019</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United Kingdom</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14"/>
              <w:spacing w:after="0"/>
              <w:rPr>
                <w:sz w:val="20"/>
                <w:szCs w:val="20"/>
                <w:color w:val="auto"/>
              </w:rPr>
            </w:pPr>
            <w:r>
              <w:rPr>
                <w:rFonts w:ascii="Arial" w:cs="Arial" w:eastAsia="Arial" w:hAnsi="Arial"/>
                <w:sz w:val="18"/>
                <w:szCs w:val="18"/>
                <w:color w:val="auto"/>
              </w:rPr>
              <w:t>2018-2019</w:t>
            </w:r>
          </w:p>
        </w:tc>
        <w:tc>
          <w:tcPr>
            <w:tcW w:w="100" w:type="dxa"/>
            <w:vAlign w:val="bottom"/>
          </w:tcPr>
          <w:p>
            <w:pPr>
              <w:spacing w:after="0"/>
              <w:rPr>
                <w:sz w:val="20"/>
                <w:szCs w:val="20"/>
                <w:color w:val="auto"/>
              </w:rPr>
            </w:pPr>
          </w:p>
        </w:tc>
      </w:tr>
      <w:tr>
        <w:trPr>
          <w:trHeight w:val="377"/>
        </w:trPr>
        <w:tc>
          <w:tcPr>
            <w:tcW w:w="8040" w:type="dxa"/>
            <w:vAlign w:val="bottom"/>
            <w:gridSpan w:val="5"/>
          </w:tcPr>
          <w:p>
            <w:pPr>
              <w:spacing w:after="0"/>
              <w:rPr>
                <w:sz w:val="20"/>
                <w:szCs w:val="20"/>
                <w:color w:val="auto"/>
              </w:rPr>
            </w:pPr>
            <w:r>
              <w:rPr>
                <w:rFonts w:ascii="Arial" w:cs="Arial" w:eastAsia="Arial" w:hAnsi="Arial"/>
                <w:sz w:val="18"/>
                <w:szCs w:val="18"/>
                <w:color w:val="auto"/>
                <w:w w:val="96"/>
              </w:rPr>
              <w:t>The Company does not expect any gross liabilities to expire in 2020 based on statutory lapses or audits.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9660" w:type="dxa"/>
            <w:vAlign w:val="bottom"/>
            <w:gridSpan w:val="9"/>
          </w:tcPr>
          <w:p>
            <w:pPr>
              <w:spacing w:after="0"/>
              <w:rPr>
                <w:sz w:val="20"/>
                <w:szCs w:val="20"/>
                <w:color w:val="auto"/>
              </w:rPr>
            </w:pPr>
            <w:r>
              <w:rPr>
                <w:rFonts w:ascii="Arial" w:cs="Arial" w:eastAsia="Arial" w:hAnsi="Arial"/>
                <w:sz w:val="18"/>
                <w:szCs w:val="18"/>
                <w:color w:val="auto"/>
                <w:w w:val="95"/>
              </w:rPr>
              <w:t>The components of loss from operations before taxes were as follows for the years ended December 31, 2019, 2018 and 2017: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41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8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4"/>
                <w:szCs w:val="24"/>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(13,583)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Ireland and United Kingdom</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(32,750)</w:t>
            </w:r>
          </w:p>
        </w:tc>
        <w:tc>
          <w:tcPr>
            <w:tcW w:w="3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(102,766)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(52,743)</w:t>
            </w:r>
          </w:p>
        </w:tc>
      </w:tr>
      <w:tr>
        <w:trPr>
          <w:trHeight w:val="223"/>
        </w:trPr>
        <w:tc>
          <w:tcPr>
            <w:tcW w:w="4160" w:type="dxa"/>
            <w:vAlign w:val="bottom"/>
            <w:tcBorders>
              <w:top w:val="single" w:sz="8" w:color="CFF0FC"/>
              <w:bottom w:val="single" w:sz="8" w:color="CFF0FC"/>
            </w:tcBorders>
            <w:shd w:val="clear" w:color="auto" w:fill="CFF0FC"/>
          </w:tcPr>
          <w:p>
            <w:pPr>
              <w:spacing w:after="0"/>
              <w:rPr>
                <w:sz w:val="19"/>
                <w:szCs w:val="19"/>
                <w:color w:val="auto"/>
              </w:rPr>
            </w:pP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(116,349)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shown in the accompanying consolidated statements of operations consists of the following for fiscal 2019, 2018 and 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Pr>
          <w:p>
            <w:pPr>
              <w:ind w:left="260"/>
              <w:spacing w:after="0"/>
              <w:rPr>
                <w:sz w:val="20"/>
                <w:szCs w:val="20"/>
                <w:color w:val="auto"/>
              </w:rPr>
            </w:pPr>
            <w:r>
              <w:rPr>
                <w:rFonts w:ascii="Arial" w:cs="Arial" w:eastAsia="Arial" w:hAnsi="Arial"/>
                <w:sz w:val="18"/>
                <w:szCs w:val="18"/>
                <w:color w:val="auto"/>
              </w:rPr>
              <w:t>United States—Federal</w:t>
            </w:r>
          </w:p>
        </w:tc>
        <w:tc>
          <w:tcPr>
            <w:tcW w:w="2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States—State</w:t>
            </w:r>
          </w:p>
        </w:tc>
        <w:tc>
          <w:tcPr>
            <w:tcW w:w="2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w:t>
            </w:r>
          </w:p>
        </w:tc>
        <w:tc>
          <w:tcPr>
            <w:tcW w:w="2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FF0FC"/>
            </w:tcBorders>
          </w:tcPr>
          <w:p>
            <w:pPr>
              <w:spacing w:after="0"/>
              <w:rPr>
                <w:sz w:val="19"/>
                <w:szCs w:val="19"/>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Pr>
          <w:p>
            <w:pPr>
              <w:ind w:left="260"/>
              <w:spacing w:after="0"/>
              <w:rPr>
                <w:sz w:val="20"/>
                <w:szCs w:val="20"/>
                <w:color w:val="auto"/>
              </w:rPr>
            </w:pPr>
            <w:r>
              <w:rPr>
                <w:rFonts w:ascii="Arial" w:cs="Arial" w:eastAsia="Arial" w:hAnsi="Arial"/>
                <w:sz w:val="18"/>
                <w:szCs w:val="18"/>
                <w:color w:val="auto"/>
              </w:rPr>
              <w:t>United States—Federal</w:t>
            </w: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States—State</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(914)</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(487)</w:t>
            </w:r>
          </w:p>
        </w:tc>
      </w:tr>
      <w:tr>
        <w:trPr>
          <w:trHeight w:val="230"/>
        </w:trPr>
        <w:tc>
          <w:tcPr>
            <w:tcW w:w="4020" w:type="dxa"/>
            <w:vAlign w:val="bottom"/>
          </w:tcPr>
          <w:p>
            <w:pPr>
              <w:ind w:left="260"/>
              <w:spacing w:after="0"/>
              <w:rPr>
                <w:sz w:val="20"/>
                <w:szCs w:val="20"/>
                <w:color w:val="auto"/>
              </w:rPr>
            </w:pPr>
            <w:r>
              <w:rPr>
                <w:rFonts w:ascii="Arial" w:cs="Arial" w:eastAsia="Arial" w:hAnsi="Arial"/>
                <w:sz w:val="18"/>
                <w:szCs w:val="18"/>
                <w:color w:val="auto"/>
              </w:rPr>
              <w:t>Ireland and United Kingdom</w:t>
            </w: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(5,435)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(16,306)</w:t>
            </w: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valuation allowance</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(2,141)</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22,115</w:t>
            </w: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w:t>
            </w:r>
          </w:p>
        </w:tc>
        <w:tc>
          <w:tcPr>
            <w:tcW w:w="2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11,082</w:t>
            </w:r>
          </w:p>
        </w:tc>
        <w:tc>
          <w:tcPr>
            <w:tcW w:w="10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4020" w:type="dxa"/>
            <w:vAlign w:val="bottom"/>
          </w:tcPr>
          <w:p>
            <w:pPr>
              <w:spacing w:after="0"/>
              <w:rPr>
                <w:sz w:val="24"/>
                <w:szCs w:val="24"/>
                <w:color w:val="auto"/>
              </w:rPr>
            </w:pPr>
          </w:p>
        </w:tc>
        <w:tc>
          <w:tcPr>
            <w:tcW w:w="2580" w:type="dxa"/>
            <w:vAlign w:val="bottom"/>
            <w:gridSpan w:val="2"/>
          </w:tcPr>
          <w:p>
            <w:pPr>
              <w:jc w:val="right"/>
              <w:ind w:right="630"/>
              <w:spacing w:after="0"/>
              <w:rPr>
                <w:sz w:val="20"/>
                <w:szCs w:val="20"/>
                <w:color w:val="auto"/>
              </w:rPr>
            </w:pPr>
            <w:r>
              <w:rPr>
                <w:rFonts w:ascii="Arial" w:cs="Arial" w:eastAsia="Arial" w:hAnsi="Arial"/>
                <w:sz w:val="18"/>
                <w:szCs w:val="18"/>
                <w:color w:val="auto"/>
              </w:rPr>
              <w:t>F-24</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8" w:name="page129"/>
    <w:bookmarkEnd w:id="128"/>
    <w:p>
      <w:pPr>
        <w:ind w:right="220"/>
        <w:spacing w:after="0" w:line="277" w:lineRule="auto"/>
        <w:rPr>
          <w:sz w:val="20"/>
          <w:szCs w:val="20"/>
          <w:color w:val="auto"/>
        </w:rPr>
      </w:pPr>
      <w:r>
        <w:rPr>
          <w:rFonts w:ascii="Arial" w:cs="Arial" w:eastAsia="Arial" w:hAnsi="Arial"/>
          <w:sz w:val="18"/>
          <w:szCs w:val="18"/>
          <w:color w:val="auto"/>
        </w:rPr>
        <w:t>The provision for income taxes differs from the amount computed by applying the statutory income tax rate to income before taxes due to the following for fiscal 2019, 2018 and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Benefits from taxes at statutory rate</w:t>
            </w:r>
          </w:p>
        </w:tc>
        <w:tc>
          <w:tcPr>
            <w:tcW w:w="13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(5,620)</w:t>
            </w:r>
          </w:p>
        </w:tc>
        <w:tc>
          <w:tcPr>
            <w:tcW w:w="3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(29,087)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Rate differential</w:t>
            </w: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3,009</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reserves</w:t>
            </w:r>
          </w:p>
        </w:tc>
        <w:tc>
          <w:tcPr>
            <w:tcW w:w="1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(2,141)</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22,115</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employee compensation</w:t>
            </w:r>
          </w:p>
        </w:tc>
        <w:tc>
          <w:tcPr>
            <w:tcW w:w="1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Stock option/RSU windfall</w:t>
            </w: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(14,342)</w:t>
            </w:r>
          </w:p>
        </w:tc>
        <w:tc>
          <w:tcPr>
            <w:tcW w:w="9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(7,684)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(1,182)</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ISO Disqualifying Disposition Windfall</w:t>
            </w:r>
          </w:p>
        </w:tc>
        <w:tc>
          <w:tcPr>
            <w:tcW w:w="1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(2,849)</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(1,607)</w:t>
            </w:r>
          </w:p>
        </w:tc>
        <w:tc>
          <w:tcPr>
            <w:tcW w:w="9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Tax return to provision adjustments</w:t>
            </w:r>
          </w:p>
        </w:tc>
        <w:tc>
          <w:tcPr>
            <w:tcW w:w="1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(3,222)</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5,788</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U.S. rate change—tax reform</w:t>
            </w: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7,398</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1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(12,554)</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Permanent and other</w:t>
            </w: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(443)</w:t>
            </w:r>
          </w:p>
        </w:tc>
        <w:tc>
          <w:tcPr>
            <w:tcW w:w="9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Non-deductible interest expense</w:t>
            </w:r>
          </w:p>
        </w:tc>
        <w:tc>
          <w:tcPr>
            <w:tcW w:w="1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Tax reserves</w:t>
            </w: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18,799</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Corscianto Liquidation</w:t>
            </w:r>
          </w:p>
        </w:tc>
        <w:tc>
          <w:tcPr>
            <w:tcW w:w="1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Long-term debt from royalty-bearing instrument</w:t>
            </w: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(644)</w:t>
            </w:r>
          </w:p>
        </w:tc>
        <w:tc>
          <w:tcPr>
            <w:tcW w:w="9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subject to a corporate tax rate in Ireland of 25% for non-trading activities and 12.5% for trading activities. For the years ended December 31, 2019, 2018, and 2017,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 In the table above, the Company used Amarin Corporation plc’s 25% tax rate as the starting point for the reconciliation since it is the parent entity of the business.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U.S. enacted the Act that instituted fundamental changes to the taxation of multinational corporations. The Act includes changes to the taxation of foreign earnings by implementing a dividend exemption system, expansion of the current anti-deferral rules, a minimum tax on low-taxed foreign earnings and new measures to deter base erosion. The Act also includes a permanent reduction in the corporate tax rate to 21%, repeal of the corporate alternative minimum tax, expensing of capital investment, and limitation of the deduction of interest expense. Furthermore, as part of the transition to the new tax system, a one-time transition tax is imposed on a U.S. shareholder's historical undistributed earnings of foreign affiliates. Although the Act was generally effective January 1, 2018, U.S. GAAP required recognition of the tax effects of new legislation during the reporting period that included the enactment date, which was December 22, 2017.</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result of the financial reporting implications of the Act, the SEC provided guidance that allowed the Company to record provisional amounts for those impacts, with the requirement that the accounting be completed in a period not to exceed one year from the date of enactment. As of December 31, 2018, the Company has finalized the amounts related to tax reform to account for the impact of the Act. No adjustments to the financial statements were recorded in connection with the finalization of the accounting.</w:t>
      </w:r>
    </w:p>
    <w:p>
      <w:pPr>
        <w:spacing w:after="0" w:line="13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primary impact of the Act on the Company related to the re-measurement of deferred tax assets and liabilities resulting from the change in the corporate tax rate from 34% to 21%. At the date of enactment, the Company had net deferred tax assets for the excess of the net tax value over the book basis of its U.S. assets and liabilities which will generate future tax deductions in excess of book expense. As a result of the Act, future tax deductions will result in a decreased reduction in tax expense. Consequently, the Company reduced the amount of the U.S. subsidiary’s net deferred tax assets as of the date of enactment and recorded a non-cash charge of $2.4 million in the provision for income taxes for the year ended December 31, 2017 due to the decrease in the corporate tax rate. In addition, based on the Company’s evaluation of available evidence, the Company recognized non-cash tax expense during the year ended December 31, 2017 of $8.7 million related to the recording of additional valuation allowance to reduce the deferred tax assets on the balance sheet to zero as the Company concluded that it is not more likely than not that certain of the deferred tax benefits resulting from deferred tax assets generated from the U.S. subsidiary operations will be realized.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9" w:name="page130"/>
    <w:bookmarkEnd w:id="129"/>
    <w:p>
      <w:pPr>
        <w:ind w:right="60"/>
        <w:spacing w:after="0" w:line="270" w:lineRule="auto"/>
        <w:rPr>
          <w:sz w:val="20"/>
          <w:szCs w:val="20"/>
          <w:color w:val="auto"/>
        </w:rPr>
      </w:pPr>
      <w:r>
        <w:rPr>
          <w:rFonts w:ascii="Arial" w:cs="Arial" w:eastAsia="Arial" w:hAnsi="Arial"/>
          <w:sz w:val="17"/>
          <w:szCs w:val="17"/>
          <w:color w:val="auto"/>
        </w:rPr>
        <w:t xml:space="preserve">In April 2016, the Company adopted ASU No. 2016-09, </w:t>
      </w:r>
      <w:r>
        <w:rPr>
          <w:rFonts w:ascii="Arial" w:cs="Arial" w:eastAsia="Arial" w:hAnsi="Arial"/>
          <w:sz w:val="17"/>
          <w:szCs w:val="17"/>
          <w:i w:val="1"/>
          <w:iCs w:val="1"/>
          <w:color w:val="auto"/>
        </w:rPr>
        <w:t>Compensation-Stock Compensation (Topic 718): Improvements to Share-Based Payment Accounting</w:t>
      </w:r>
      <w:r>
        <w:rPr>
          <w:rFonts w:ascii="Arial" w:cs="Arial" w:eastAsia="Arial" w:hAnsi="Arial"/>
          <w:sz w:val="17"/>
          <w:szCs w:val="17"/>
          <w:color w:val="auto"/>
        </w:rPr>
        <w:t xml:space="preserve"> which changes the accounting for certain aspects of share-based payments to employees. One aspect of the standard requires that excess tax 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provisions for income taxes for the years ended December 31, 2019, 2018 and 2017 includes $21.9 million, $7.7 million and $1.3 million of excess tax benefits, respectively, arising from share-based payments during the period of adoption. Additionally, the new standard requires that historical excess tax benefits that were not previously recognized because the related tax deduction had not reduced current taxes should be recognized on a modified retrospective basis as a cumulative-effect adjustment to retained earnings as of the beginning of the annual period of adoption. Consequently, the Company recognized deferred tax assets of approximately $1.6 million relating to excess tax benefits on stock-based compensation during the year of adoption, with a corresponding cumulative-effect adjustment to accumulated deficit.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effect of each type of temporary difference comprising the net deferred tax asset as of December 31, 2019 and 2018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4"/>
                <w:szCs w:val="14"/>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December 31, 2019</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2018</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Net operating losses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118,220</w:t>
            </w:r>
          </w:p>
        </w:tc>
        <w:tc>
          <w:tcPr>
            <w:tcW w:w="3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119,355</w:t>
            </w:r>
          </w:p>
        </w:tc>
        <w:tc>
          <w:tcPr>
            <w:tcW w:w="10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8,113</w:t>
            </w:r>
          </w:p>
        </w:tc>
        <w:tc>
          <w:tcPr>
            <w:tcW w:w="100" w:type="dxa"/>
            <w:vAlign w:val="bottom"/>
            <w:shd w:val="clear" w:color="auto" w:fill="CFF0FC"/>
          </w:tcPr>
          <w:p>
            <w:pPr>
              <w:spacing w:after="0"/>
              <w:rPr>
                <w:sz w:val="19"/>
                <w:szCs w:val="19"/>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Tax credits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9,149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reserves and accrued liabilities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Borders>
              <w:bottom w:val="single" w:sz="8" w:color="CFF0FC"/>
            </w:tcBorders>
          </w:tcPr>
          <w:p>
            <w:pPr>
              <w:spacing w:after="0"/>
              <w:rPr>
                <w:sz w:val="19"/>
                <w:szCs w:val="19"/>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Gross deferred tax assets</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142,775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141,628</w:t>
            </w:r>
          </w:p>
        </w:tc>
        <w:tc>
          <w:tcPr>
            <w:tcW w:w="10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0" w:type="dxa"/>
            <w:vAlign w:val="bottom"/>
          </w:tcPr>
          <w:p>
            <w:pPr>
              <w:spacing w:after="0"/>
              <w:rPr>
                <w:sz w:val="19"/>
                <w:szCs w:val="19"/>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(137,976)</w:t>
            </w: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(140,117)</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4,799</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(2,544)</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(1,011)</w:t>
            </w: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Lease Asset</w:t>
            </w:r>
          </w:p>
        </w:tc>
        <w:tc>
          <w:tcPr>
            <w:tcW w:w="200" w:type="dxa"/>
            <w:vAlign w:val="bottom"/>
          </w:tcPr>
          <w:p>
            <w:pPr>
              <w:spacing w:after="0"/>
              <w:rPr>
                <w:sz w:val="19"/>
                <w:szCs w:val="19"/>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(2,242)</w:t>
            </w:r>
          </w:p>
        </w:tc>
        <w:tc>
          <w:tcPr>
            <w:tcW w:w="2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w:t>
            </w:r>
          </w:p>
        </w:tc>
      </w:tr>
      <w:tr>
        <w:trPr>
          <w:trHeight w:val="223"/>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3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FF0FC"/>
            </w:tcBorders>
          </w:tcPr>
          <w:p>
            <w:pPr>
              <w:spacing w:after="0"/>
              <w:rPr>
                <w:sz w:val="19"/>
                <w:szCs w:val="19"/>
                <w:color w:val="auto"/>
              </w:rPr>
            </w:pP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assesses whether it is more-likely-than-not that the Company will realize its deferred tax assets. The Company determined that it was more-likely-than-not that the Irish, U.S., UK, and Israeli net operating losses and the related deferred tax assets would not be realized in future periods and a full valuation allowance has been provided for all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activity in the valuation allowance for the years ended December 31, 2019 and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Beginning valuation allowance</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140,117</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131,389</w:t>
            </w:r>
          </w:p>
        </w:tc>
        <w:tc>
          <w:tcPr>
            <w:tcW w:w="10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Increase as reflected in income tax expense</w:t>
            </w:r>
          </w:p>
        </w:tc>
        <w:tc>
          <w:tcPr>
            <w:tcW w:w="42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13,609</w:t>
            </w:r>
          </w:p>
        </w:tc>
        <w:tc>
          <w:tcPr>
            <w:tcW w:w="10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4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(2,027)</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(4,881)</w:t>
            </w: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Ending valuation allowance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137,976</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140,117</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2019, the Company recorded adjustments to its deferred tax accounts related to the impact of foreign exchange rate changes and to reconcile the financial statement accounts to the amounts expected to result in future income and deductions under local law, primarily as it relates to Irish net operating losses and deferred taxes for stock compensation. These adjustments were fully offset with valuation allowances based on the Company’s position with respect to the realizability of its recorded deferred tax assets in non-U.S. entities.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combined U.S., Irish, UK, and Israeli net operating loss carryforwards of $861.8 million, which do not expire. The total net operating loss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carryforwards increased by approximately $73.1 million from the prior year primarily as a result of current year losses generated by the Company’s U.S.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Irish subsidiaries, the impact of foreign exchange rate changes, and adjustments to reconcile the financial statement accounts to the amounts reported on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filed 2018 foreign tax returns. In addition, the Company has U.S. Federal tax credit carryforwards of $8.4 million and state tax credit carryforwards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$2.4 million. These amounts exclude the impact of any unrecognized tax benefits and valuation allowances. These carryforwards, which will expire between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2024 and 2039, may be used to offset future taxable income, if 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0" w:name="page131"/>
    <w:bookmarkEnd w:id="130"/>
    <w:p>
      <w:pPr>
        <w:ind w:right="120"/>
        <w:spacing w:after="0" w:line="264" w:lineRule="auto"/>
        <w:rPr>
          <w:sz w:val="20"/>
          <w:szCs w:val="20"/>
          <w:color w:val="auto"/>
        </w:rPr>
      </w:pPr>
      <w:r>
        <w:rPr>
          <w:rFonts w:ascii="Arial" w:cs="Arial" w:eastAsia="Arial" w:hAnsi="Arial"/>
          <w:sz w:val="18"/>
          <w:szCs w:val="18"/>
          <w:color w:val="auto"/>
        </w:rPr>
        <w:t>As of December 31, 2019, there are no earnings that have been retained indefinitely for reinvestment by foreign subsidiary; therefore, no provision has been made for income taxes that would be payable upon the distribution of such earnings or the recovery of the Company’s investment in its subsidiaries as the amount of the related unrecognized deferred income tax liability is zero.</w:t>
      </w:r>
    </w:p>
    <w:p>
      <w:pPr>
        <w:spacing w:after="0" w:line="12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and its subsidiaries' income tax returns are periodically examined by various taxing authorities. The Company is currently under audit by the New Jersey Department of Treasury for the years 2012 to 2015. In addition, the Company was notified by the IRS in January 2020 that it will be auditing the Company’s 2018 US income tax return and the examination is expected to begin in the first quarter of fiscal year 2020.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18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Stock Incentive Plans and Stock-Based Compensation</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April 29, 2011 the Board, upon the recommendation of the Remuneration Committee, adopted the 2011 Stock Incentive Plan, or 2011 Plan, which was approved by the Company’s shareholders on July 12, 2011. The 2011 Plan replaced the Company’s 2002 Stock Option Plan, or 2002 Plan, which expired on January 1, 2012. The maximum number of the Company’s Ordinary Shares of £0.50 each or any ADS’s, as to be issued under the 2011 Plan, as amended, shall not exceed the sum of (i) 51.5 million newly authorized Shares available for award and (ii) the number of Shares that remained available for grants under the Company’s 2002 Plan and (iii) the number of Shares underlying then outstanding awards under the 2002 Plan that could be subsequently forfeited, cancelled, expire or are otherwise terminated. The award of stock options (both incentive and non-qualified options) and restricted stock units, and awards of unrestricted Shares to Directors are permitted. The 2011 Plan is administered by the Remuneration Committee of the Company’s Board of Directors and expires on July 12, 2021.</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grants under the 2011 Plan, the Company grants non-qualified stock options to employees to purchase the Company’s ordinary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grants are made pursuant to employment agreements on terms consistent with the 2011 Plan.</w:t>
      </w:r>
    </w:p>
    <w:p>
      <w:pPr>
        <w:spacing w:after="0" w:line="1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 the terms of the 2011 Plan, and grants made pursuant to employment agreements, options typically vest over a four-year period, expire after a ten-year term and are granted at an exercise price equal to the closing price of the Company’s American Depositary Shares on the grant date. The following table summarizes all stock option activity for the year ended December 31,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5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06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per share amounts and years)</w:t>
            </w: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6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19,263</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2,648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17.07</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Expired</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(5,998)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as of December 31, 2019</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4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w w:val="86"/>
              </w:rPr>
              <w:t>6.5 years</w:t>
            </w:r>
          </w:p>
        </w:tc>
        <w:tc>
          <w:tcPr>
            <w:tcW w:w="28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234,499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December 31, 2019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10,310</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w w:val="86"/>
              </w:rPr>
              <w:t>5.4 years</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182,417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Vested and expected to vest as of December 31, 2019</w:t>
            </w: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vMerge w:val="restart"/>
          </w:tcPr>
          <w:p>
            <w:pPr>
              <w:ind w:left="680"/>
              <w:spacing w:after="0"/>
              <w:rPr>
                <w:sz w:val="20"/>
                <w:szCs w:val="20"/>
                <w:color w:val="auto"/>
              </w:rPr>
            </w:pPr>
            <w:r>
              <w:rPr>
                <w:rFonts w:ascii="Arial" w:cs="Arial" w:eastAsia="Arial" w:hAnsi="Arial"/>
                <w:sz w:val="18"/>
                <w:szCs w:val="18"/>
                <w:color w:val="auto"/>
                <w:w w:val="86"/>
              </w:rPr>
              <w:t>6.4 years</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231,895</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FF0FC"/>
            </w:tcBorders>
            <w:vMerge w:val="continue"/>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15,354</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vMerge w:val="continue"/>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8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grant as of December 31, 2019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grant date fair value of stock options granted during the years ended December 31, 2019, 2018, and 2017 was $17.07, $7.82, and $3.09, respectively. The total grant date fair value of options vested during the years ended December 31, 2019, 2018, and 2017 was $14.5 million, $7.7 million, and $7.1 million, respectively.</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years ended December 31, 2019, 2018 and 2017, the Company received proceeds from the exercise of options of $24.5 million, $26.4 million, and $0.6 million, respectively. The total intrinsic value of options exercised during the years ended December 31, 2019, 2018, and 2017 was $90.5 million, $69.7 million, and $0.5 million, respectively, calculated as the difference between the quoted stock price of the Company’s common stock as of the reporting date and the exercise prices of the underlying awards.</w:t>
      </w:r>
    </w:p>
    <w:p>
      <w:pPr>
        <w:spacing w:after="0" w:line="13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2019, there was $40.5 million of unrecognized stock-based compensation expense related to unvested stock option share-based compensation arrangements granted under the Company’s stock award plans. This expense is expected to be recognized over a weighted-average period of approximately 2.6 years. The Company recognizes compensation expense for the fair values of those awards which have graded vesting on a straight-line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31" w:name="page132"/>
    <w:bookmarkEnd w:id="131"/>
    <w:p>
      <w:pPr>
        <w:ind w:right="200"/>
        <w:spacing w:after="0" w:line="293" w:lineRule="auto"/>
        <w:rPr>
          <w:sz w:val="20"/>
          <w:szCs w:val="20"/>
          <w:color w:val="auto"/>
        </w:rPr>
      </w:pPr>
      <w:r>
        <w:rPr>
          <w:rFonts w:ascii="Arial" w:cs="Arial" w:eastAsia="Arial" w:hAnsi="Arial"/>
          <w:sz w:val="16"/>
          <w:szCs w:val="16"/>
          <w:color w:val="auto"/>
        </w:rPr>
        <w:t>The fair value of stock options on the date of grant was estimated using the Black-Scholes option pricing model. Use of a valuation model requires management to make certain assumptions with respect to selected model inputs. Expected stock price volatility was calculated based on the historical volatility of the Company’s common stock over the expected life of the option. The expected life was determined using the simplified method based on the term and vesting period. The risk-free interest rate is based on zero-coupon U.S. Treasury securities with a maturity term approximating the expected life of the option at the date of grant. No dividend yield has been assumed as the Company does not currently pay dividends on its common stock and does not anticipate doing so in the foreseeable future. Estimated forfeitures are based on the Company’s historical forfeiture activity.</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Employee stock options generally vest over a four-year service period and all stock options are settled by the issuance of new shares. Compensation expense recognized for all option grants is net of estimated forfeitures and is recognized over the awards’ respective requisite service periods. The vesting of certain stock options is contingent upon the attainment of performance criteria. The probability that such criteria will be achieved is assessed by management and compensation expense for such awards is only recorded to the extent that the attainment of the performance criteria is deemed to be probable. The Company recorded compensation expense in relation to stock options of $16.3 million, $8.2 million, and $7.0 million for the years ended December 31, 2019, 2018, and 2017,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2019, 2018, and 2017, the Company used the following assumptions to estimate the fair value of share-based payment awards: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- 2.95%</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- 3.00%</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- 2.01%</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1"/>
              </w:rPr>
              <w:t>6.25</w:t>
            </w: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1"/>
              </w:rPr>
              <w:t>6.25</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1"/>
              </w:rPr>
              <w:t>6.25</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760" w:type="dxa"/>
            <w:vAlign w:val="bottom"/>
          </w:tcPr>
          <w:p>
            <w:pPr>
              <w:ind w:left="20"/>
              <w:spacing w:after="0"/>
              <w:rPr>
                <w:sz w:val="20"/>
                <w:szCs w:val="20"/>
                <w:color w:val="auto"/>
              </w:rPr>
            </w:pPr>
            <w:r>
              <w:rPr>
                <w:rFonts w:ascii="Arial" w:cs="Arial" w:eastAsia="Arial" w:hAnsi="Arial"/>
                <w:sz w:val="18"/>
                <w:szCs w:val="18"/>
                <w:color w:val="auto"/>
              </w:rPr>
              <w:t>- 94%</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780" w:type="dxa"/>
            <w:vAlign w:val="bottom"/>
          </w:tcPr>
          <w:p>
            <w:pPr>
              <w:ind w:left="20"/>
              <w:spacing w:after="0"/>
              <w:rPr>
                <w:sz w:val="20"/>
                <w:szCs w:val="20"/>
                <w:color w:val="auto"/>
              </w:rPr>
            </w:pPr>
            <w:r>
              <w:rPr>
                <w:rFonts w:ascii="Arial" w:cs="Arial" w:eastAsia="Arial" w:hAnsi="Arial"/>
                <w:sz w:val="18"/>
                <w:szCs w:val="18"/>
                <w:color w:val="auto"/>
              </w:rPr>
              <w:t>- 92%</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740" w:type="dxa"/>
            <w:vAlign w:val="bottom"/>
          </w:tcPr>
          <w:p>
            <w:pPr>
              <w:ind w:left="20"/>
              <w:spacing w:after="0"/>
              <w:rPr>
                <w:sz w:val="20"/>
                <w:szCs w:val="20"/>
                <w:color w:val="auto"/>
              </w:rPr>
            </w:pPr>
            <w:r>
              <w:rPr>
                <w:rFonts w:ascii="Arial" w:cs="Arial" w:eastAsia="Arial" w:hAnsi="Arial"/>
                <w:sz w:val="18"/>
                <w:szCs w:val="18"/>
                <w:color w:val="auto"/>
              </w:rPr>
              <w:t>- 82%</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2011 Plan also allows for granting of restricted stock unit awards under the terms of the Plan. The restricted stock units vest based upon a time-based service condition, a performance condition, or both. The probability that any performance criteria will be achieved is assessed by management and compensation expense for such awards is only recorded to the extent that the attainment of the performance criteria is deemed to be probable. Restricted stock units are recorded as compensation expense based on fair value, representing the market value of the Company’s common stock on the date of grant. The fair value of restricted stock units is amortized on a straight-line basis through the statement of operations over the service period until the shares have vested. The following table presents the restricted stock unit activity for the years ended December 31, 2019 and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4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1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2018</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2,633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(4,611)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1,473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(3,970)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recorded compensation expense in relation to restricted stock units of $14.6 million, $10.6 million, and $7.0 million for the years ended December 31, 2019, 2018, and 2017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stock-based compensation expense related to stock-based awards for the years ended December 31, 2019,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FF0FC"/>
          </w:tcPr>
          <w:p>
            <w:pPr>
              <w:spacing w:after="0"/>
              <w:rPr>
                <w:sz w:val="19"/>
                <w:szCs w:val="19"/>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24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26,302</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12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4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30,917</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18,806</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2780" w:type="dxa"/>
            <w:vAlign w:val="bottom"/>
            <w:gridSpan w:val="2"/>
          </w:tcPr>
          <w:p>
            <w:pPr>
              <w:jc w:val="right"/>
              <w:ind w:right="885"/>
              <w:spacing w:after="0"/>
              <w:rPr>
                <w:sz w:val="20"/>
                <w:szCs w:val="20"/>
                <w:color w:val="auto"/>
              </w:rPr>
            </w:pPr>
            <w:r>
              <w:rPr>
                <w:rFonts w:ascii="Arial" w:cs="Arial" w:eastAsia="Arial" w:hAnsi="Arial"/>
                <w:sz w:val="18"/>
                <w:szCs w:val="18"/>
                <w:color w:val="auto"/>
              </w:rPr>
              <w:t>F-28</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2" w:name="page133"/>
    <w:bookmarkEnd w:id="132"/>
    <w:p>
      <w:pPr>
        <w:ind w:left="26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March 13, 2017, the Board adopted, subject to shareholder approval, the Amarin Corporation plc 2017 Employee Stock Purchase Plan, or the ESPP, which was approved by the Company’s shareholders on May 15, 2017. The ESPP is intended to qualify as an “employee stock purchase plan” within the meaning of Section 423 of the Internal Revenue Code. The maximum fair market value of stock which can be purchased by a participant in a calendar year is $25,000. Under the ESPP, an aggregate of 3,000,000 ordinary shares (each ordinary share to be represented by one ADS) are reserved and available for issuance, which were registered with the SEC on August 2, 2017, for sale to eligible employees. Subject to certain exclusions, any employee of the Company’s U.S. subsidiary, Amarin Pharma, Inc., who works at least 20 hours per week and has been employed for at least six months as of the first day of the applicable offering period is eligible to participate in the ESPP. Eligible employees may authorize payroll deductions of up to 15 percent of their base pay to be withheld to purchase ordinary shares, subject to terms and limitations of the plan, at a price equal to 85 percent of the lower of the fair market values of the Company’s ordinary shares as of the beginning or the end of six-month offering periods.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the offering periods ended on the last business day on or before each of May 31, 2019 and November 30, 2019, the Company issued 47,358 shares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75,673 shares, respectively, at a purchase price of $15.02 per share and $14.92 per share, respectively. For the offering periods ended on the last business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before each of May 31, 2018 and November 30, 2018, the Company issued 127,872 shares and 184,385 shares, respectively, at a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$2.81 per share and $2.86 per share, respectively. No shares were issued under the ESPP during the year ended December 31, 2017 as the initial enrollment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offering periods commenced in 2018. As of December 31, 2019, 2,564,712 shares were reserved for future issuance under the ESPP.</w:t>
      </w:r>
    </w:p>
    <w:p>
      <w:pPr>
        <w:spacing w:after="0" w:line="22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Defined Contribution Plan</w:t>
      </w:r>
    </w:p>
    <w:p>
      <w:pPr>
        <w:spacing w:after="0" w:line="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makes available a 401(k) plan for its U.S. employees. Under the 401(k) plan, employees may make contributions which are eligible for a discretionary percentage match, in cash, as defined in the 401(k) plan and determined by the Board of Directors. The Company recognized $1.1 million, $0.7 million and $0.4 million of related compensation expense for the year ended December 31, 2019, 2018 and 2017, respectively.</w:t>
      </w:r>
    </w:p>
    <w:p>
      <w:pPr>
        <w:spacing w:after="0" w:line="200" w:lineRule="exact"/>
        <w:rPr>
          <w:sz w:val="20"/>
          <w:szCs w:val="20"/>
          <w:color w:val="auto"/>
        </w:rPr>
      </w:pPr>
    </w:p>
    <w:p>
      <w:pPr>
        <w:spacing w:after="0" w:line="29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Quarterly Summarized Financial Information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Fiscal years ended December 31, 2019 and 2018</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w w:val="78"/>
              </w:rPr>
              <w:t>1st</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2nd</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3rd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jc w:val="right"/>
              <w:ind w:right="174"/>
              <w:spacing w:after="0" w:line="133" w:lineRule="exact"/>
              <w:rPr>
                <w:sz w:val="20"/>
                <w:szCs w:val="20"/>
                <w:color w:val="auto"/>
              </w:rPr>
            </w:pPr>
            <w:r>
              <w:rPr>
                <w:rFonts w:ascii="Arial" w:cs="Arial" w:eastAsia="Arial" w:hAnsi="Arial"/>
                <w:sz w:val="14"/>
                <w:szCs w:val="14"/>
                <w:b w:val="1"/>
                <w:bCs w:val="1"/>
                <w:color w:val="auto"/>
              </w:rPr>
              <w:t>4th</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Quarter</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Quarter</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Quarter</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7"/>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Total revenue, net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73,278</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43,919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100,792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52,643</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37"/>
              <w:spacing w:after="0"/>
              <w:rPr>
                <w:sz w:val="20"/>
                <w:szCs w:val="20"/>
                <w:color w:val="auto"/>
              </w:rPr>
            </w:pPr>
            <w:r>
              <w:rPr>
                <w:rFonts w:ascii="Arial" w:cs="Arial" w:eastAsia="Arial" w:hAnsi="Arial"/>
                <w:sz w:val="18"/>
                <w:szCs w:val="18"/>
                <w:color w:val="auto"/>
                <w:w w:val="98"/>
              </w:rPr>
              <w:t>112,408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55,323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143,277</w:t>
            </w:r>
          </w:p>
        </w:tc>
        <w:tc>
          <w:tcPr>
            <w:tcW w:w="5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77,330</w:t>
            </w:r>
          </w:p>
        </w:tc>
        <w:tc>
          <w:tcPr>
            <w:tcW w:w="100" w:type="dxa"/>
            <w:vAlign w:val="bottom"/>
            <w:shd w:val="clear" w:color="auto" w:fill="CFF0FC"/>
          </w:tcPr>
          <w:p>
            <w:pPr>
              <w:spacing w:after="0"/>
              <w:rPr>
                <w:sz w:val="19"/>
                <w:szCs w:val="19"/>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56,138</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33,271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39"/>
              <w:spacing w:after="0"/>
              <w:rPr>
                <w:sz w:val="20"/>
                <w:szCs w:val="20"/>
                <w:color w:val="auto"/>
              </w:rPr>
            </w:pPr>
            <w:r>
              <w:rPr>
                <w:rFonts w:ascii="Arial" w:cs="Arial" w:eastAsia="Arial" w:hAnsi="Arial"/>
                <w:sz w:val="18"/>
                <w:szCs w:val="18"/>
                <w:color w:val="auto"/>
              </w:rPr>
              <w:t>78,022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39,797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237"/>
              <w:spacing w:after="0"/>
              <w:rPr>
                <w:sz w:val="20"/>
                <w:szCs w:val="20"/>
                <w:color w:val="auto"/>
              </w:rPr>
            </w:pPr>
            <w:r>
              <w:rPr>
                <w:rFonts w:ascii="Arial" w:cs="Arial" w:eastAsia="Arial" w:hAnsi="Arial"/>
                <w:sz w:val="18"/>
                <w:szCs w:val="18"/>
                <w:color w:val="auto"/>
              </w:rPr>
              <w:t>86,964</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41,782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112,612</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59,821</w:t>
            </w:r>
          </w:p>
        </w:tc>
        <w:tc>
          <w:tcPr>
            <w:tcW w:w="100" w:type="dxa"/>
            <w:vAlign w:val="bottom"/>
          </w:tcPr>
          <w:p>
            <w:pPr>
              <w:spacing w:after="0"/>
              <w:rPr>
                <w:sz w:val="19"/>
                <w:szCs w:val="19"/>
                <w:color w:val="auto"/>
              </w:rPr>
            </w:pPr>
          </w:p>
        </w:tc>
      </w:tr>
      <w:tr>
        <w:trPr>
          <w:trHeight w:val="230"/>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(24,431)</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(24,095)</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(1,820)</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(34,210)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7"/>
              <w:spacing w:after="0"/>
              <w:rPr>
                <w:sz w:val="20"/>
                <w:szCs w:val="20"/>
                <w:color w:val="auto"/>
              </w:rPr>
            </w:pPr>
            <w:r>
              <w:rPr>
                <w:rFonts w:ascii="Arial" w:cs="Arial" w:eastAsia="Arial" w:hAnsi="Arial"/>
                <w:sz w:val="18"/>
                <w:szCs w:val="18"/>
                <w:color w:val="auto"/>
              </w:rPr>
              <w:t>(3,462)</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8"/>
              </w:rPr>
              <w:t>(24,471)</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5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(33,670)</w:t>
            </w: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w w:val="98"/>
              </w:rPr>
              <w:t>(Loss) earnings per share: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(0.12)</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77"/>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(0.11)</w:t>
            </w:r>
          </w:p>
        </w:tc>
      </w:tr>
      <w:tr>
        <w:trPr>
          <w:trHeight w:val="230"/>
        </w:trPr>
        <w:tc>
          <w:tcPr>
            <w:tcW w:w="2100" w:type="dxa"/>
            <w:vAlign w:val="bottom"/>
          </w:tcPr>
          <w:p>
            <w:pPr>
              <w:ind w:left="26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(0.01)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(0.01)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(0.08)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bl>
    <w:p>
      <w:pPr>
        <w:spacing w:after="0" w:line="251" w:lineRule="exact"/>
        <w:rPr>
          <w:sz w:val="20"/>
          <w:szCs w:val="20"/>
          <w:color w:val="auto"/>
        </w:rPr>
      </w:pPr>
    </w:p>
    <w:p>
      <w:pPr>
        <w:ind w:left="540" w:hanging="532"/>
        <w:spacing w:after="0"/>
        <w:tabs>
          <w:tab w:leader="none" w:pos="5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March 31, 2014, the Company entered into a Co-Promotion Agreement, or the Agreement, with Kowa Pharmaceuticals America, Inc. related to the commercialization of Vascepa capsules in the United States. Under the terms of the Agreement, the Company granted to Kowa Pharmaceuticals America, Inc. the right to be the sole co-promoter, together with the Company, of Vascepa in the United States during the term. The Agreement was amended on July 25, 2017 to reflect evolving promotional needs, including refinement of target lists. The Company and Kowa Pharmaceuticals America, Inc. intentionally designed the co-promotion to naturally end as of December 31, 2018 and mutually agreed not to renew the agreement.</w:t>
      </w:r>
    </w:p>
    <w:p>
      <w:pPr>
        <w:spacing w:after="0" w:line="119"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During 2018, which was the last year of the Agreement, as amended, the Company incurred expense for co-promotion tail payments which are calculated as a percentage of the 2018 co-promotion fee, which was eighteen and a half percent (18.5%) of Vascepa gross margin. The accrued tail payments are paid over three years with declining amounts each year. Kowa Pharmaceuticals America, Inc. is eligible to receive $17.8 million in co-promotion tail payments, the present value of which $16.6 million, was fully accrued as of December 31, 2018. There were $7.3 million in tail payments made as of December 31, 2019.</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3" w:name="page134"/>
    <w:bookmarkEnd w:id="133"/>
    <w:p>
      <w:pPr>
        <w:jc w:val="both"/>
        <w:ind w:right="60"/>
        <w:spacing w:after="0" w:line="286" w:lineRule="auto"/>
        <w:rPr>
          <w:sz w:val="20"/>
          <w:szCs w:val="20"/>
          <w:color w:val="auto"/>
        </w:rPr>
      </w:pPr>
      <w:r>
        <w:rPr>
          <w:rFonts w:ascii="Arial" w:cs="Arial" w:eastAsia="Arial" w:hAnsi="Arial"/>
          <w:sz w:val="17"/>
          <w:szCs w:val="17"/>
          <w:color w:val="auto"/>
        </w:rPr>
        <w:t>As of December 31, 2019 and 2018, the Company had a net payable to Kowa Pharmaceuticals America, Inc. of $10.0 million and $27.6 million, respectively, of which $6.5 million and $18.1 million, respectively, was classified as current on the consolidated balance sheets, representing co-promotion fees, including accrual of the tail payments, net of reimbursable amounts incurred for samples and other marketing expenses.</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Revenue Recognition</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 The Company calculates gross product revenues generally based on the wholesale acquisition cost that the Company charges its distributors for Vascepa.</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Reserves for Variable Consideration</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The Company generally provides invoice discounts on Vascepa sales to its distributors for prompt payment and fees for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Medicare, other government agencies and various private organizations,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4" w:name="page135"/>
    <w:bookmarkEnd w:id="134"/>
    <w:p>
      <w:pPr>
        <w:ind w:right="60"/>
        <w:spacing w:after="0" w:line="284"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 six months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w:t>
      </w:r>
    </w:p>
    <w:p>
      <w:pPr>
        <w:spacing w:after="0" w:line="5" w:lineRule="exact"/>
        <w:rPr>
          <w:sz w:val="20"/>
          <w:szCs w:val="20"/>
          <w:color w:val="auto"/>
        </w:rPr>
      </w:pPr>
    </w:p>
    <w:p>
      <w:pPr>
        <w:ind w:right="100" w:firstLine="8"/>
        <w:spacing w:after="0" w:line="252" w:lineRule="auto"/>
        <w:tabs>
          <w:tab w:leader="none" w:pos="2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consolidated balance sheets.</w:t>
      </w:r>
    </w:p>
    <w:p>
      <w:pPr>
        <w:spacing w:after="0" w:line="140"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Other incentives that the Company offers to indirect customers include co-pay mitigation rebates provided by the Company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consolidated balance sheets. The Company adjusts its accruals for co-pay mitigation rebates based on actual redemption activity and estimates regarding the portion of issued co-pay mitigation rebates that it estimates will be redeemed.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activity in each of the net product revenue allowance and reserve categories described above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Trade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Rebates,</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4"/>
                <w:szCs w:val="14"/>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Allowances</w:t>
            </w: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and Discounts</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Incentives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January 1, 2018</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12,035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32,064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48,093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190,329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(1,845)</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(29,202)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(148,857)</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(19,307)</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(197,366)</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(9,340)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(30,057)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(2,296)</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(41,843)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41,634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2,948</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1,167</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403,865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545,842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(63,288)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(312,790)</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(43,416)</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(419,489)</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(19,324)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(41,388)</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(62,716)</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29,261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90,997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128,557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below.</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7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Company enters into licensing agreements which are within the scope of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5" w:name="page136"/>
    <w:bookmarkEnd w:id="135"/>
    <w:p>
      <w:pPr>
        <w:ind w:right="120"/>
        <w:spacing w:after="0" w:line="257"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3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the Company’s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2" w:lineRule="exact"/>
        <w:rPr>
          <w:sz w:val="20"/>
          <w:szCs w:val="20"/>
          <w:color w:val="auto"/>
        </w:rPr>
      </w:pPr>
    </w:p>
    <w:p>
      <w:pPr>
        <w:ind w:right="6460" w:firstLine="8"/>
        <w:spacing w:after="0" w:line="338" w:lineRule="auto"/>
        <w:tabs>
          <w:tab w:leader="none" w:pos="4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Development, Commercialization and Supply Agreements </w:t>
      </w:r>
      <w:r>
        <w:rPr>
          <w:rFonts w:ascii="Arial" w:cs="Arial" w:eastAsia="Arial" w:hAnsi="Arial"/>
          <w:sz w:val="18"/>
          <w:szCs w:val="18"/>
          <w:i w:val="1"/>
          <w:iCs w:val="1"/>
          <w:u w:val="single" w:color="auto"/>
          <w:color w:val="auto"/>
        </w:rPr>
        <w:t>In-licenses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Mochida Pharmaceutical Co., Ltd.</w:t>
      </w:r>
    </w:p>
    <w:p>
      <w:pPr>
        <w:spacing w:after="0" w:line="7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which was recorded in research and development expense in the consolidated statement of operations for the year ended December 31, 2018. In addition, the agreement provides for the Company to pay milestone payments upon the achievement of certain product development milestones and royalties on net sales of future products arising from the collaboration, if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u w:val="single" w:color="auto"/>
          <w:color w:val="auto"/>
        </w:rPr>
        <w:t>Out-licenses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7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February 2015, the Company entered into a Development, Commercialization and Supply Agreement, or the DCS Agreement, with Eddingpharm (Asia) Macao Commercial Offshore Limited, or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1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Under the DCS Agreement, Eddingpharm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Eddingpharm agreed to certain restrictions regarding the commercialization of competitive products globally and the Company agreed to certain restrictions regarding the commercialization of competitive products in the China Territory.</w:t>
      </w:r>
    </w:p>
    <w:p>
      <w:pPr>
        <w:spacing w:after="0" w:line="10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 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closing of the DCS Agreement, the Company received a non-refundable $15.0 million up-front payment. In March 2016, Eddingpharm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w:t>
      </w:r>
    </w:p>
    <w:p>
      <w:pPr>
        <w:spacing w:after="0" w:line="13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4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137" w:name="page138"/>
    <w:bookmarkEnd w:id="137"/>
    <w:p>
      <w:pPr>
        <w:ind w:right="180"/>
        <w:spacing w:after="0" w:line="255" w:lineRule="auto"/>
        <w:rPr>
          <w:sz w:val="20"/>
          <w:szCs w:val="20"/>
          <w:color w:val="auto"/>
        </w:rPr>
      </w:pPr>
      <w:r>
        <w:rPr>
          <w:rFonts w:ascii="Arial" w:cs="Arial" w:eastAsia="Arial" w:hAnsi="Arial"/>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years ended December 31, 2019 and 2018, the Company recognized $0.3 million and $0.1 million, respectively, as licensing revenue related to the up-front and milestone payments received in connection with the Eddingpharm agreement. From contract inception through December 31, 2019 and 2018, the Company recognized $3.0 million and $2.8 million, respectively, as licensing revenue under the DCS Agreement concurrent with the support provided by Amarin to Eddingpharm in achieving the combined development and regulatory performance obligation, which in the Company’s judgment is the best measure of progress towards satisfying this performance obligation. The remaining transaction price of $13.0 million and $13.2 million is recorded in deferred revenue as of December 31, 2019 and 2018, respectively, on the consolidated balance sheets and will be recognized as revenue over the remaining period of 15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24"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In March 2018 and July 2018, the Company received approval for Vascepa as a prescription medication for use in Lebanon and United Arab Emirates, respectively, as an adjunct to diet to reduce triglyceride levels in adult patients with severe hypertriglyceridemia. The Company recognized net product revenue of approximately $0.7 million and $0.1 million as of December 31, 2019 and 2018,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7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to the non-refundable, up-front and regulatory milestone payments just described, the Company is entitled to receive certain sales-based milestone payments of up to an additional $53.8 million, as well as tiered double-digit royalties on net sales of Vascepa in Canada.</w:t>
      </w:r>
    </w:p>
    <w:p>
      <w:pPr>
        <w:spacing w:after="0" w:line="13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38" w:name="page139"/>
    <w:bookmarkEnd w:id="138"/>
    <w:p>
      <w:pPr>
        <w:ind w:right="40"/>
        <w:spacing w:after="0" w:line="293" w:lineRule="auto"/>
        <w:rPr>
          <w:sz w:val="20"/>
          <w:szCs w:val="20"/>
          <w:color w:val="auto"/>
        </w:rPr>
      </w:pPr>
      <w:r>
        <w:rPr>
          <w:rFonts w:ascii="Arial" w:cs="Arial" w:eastAsia="Arial" w:hAnsi="Arial"/>
          <w:sz w:val="16"/>
          <w:szCs w:val="16"/>
          <w:color w:val="auto"/>
        </w:rPr>
        <w:t>The transaction price includes the $5.0 million up-front consideration, the $2.5 million milestone related to the achievement of the REDUCE-IT trial primary endpoint and the $2.5 million milestone related to obtaining approval from Health Canada. The other regulatory milestone has not been included in the transaction price, as it was fully constrained. As part of its evaluation of the constraint, the Company considered numerous factors, including that receipt of the milestone is outside the control of the Company and contingent upon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years ended December 31, 2019 and 2018, the Company recognized $2.1 million and $0.6 million, respectively, as licensing revenue related to up-front and milestone payments received in connection with the HLS agreement. From the contract’s inception through December 31, 2019 and 2018, the Company has recognized $2.9 million and $0.9 million, respectively, as licensing revenue is recognized under the agreement concurrent with the support provided by Amarin to HLS in achieving this performance obligation, which in the Company’s judgment is the best measure of progress towards satisfying the combined development and regulatory performance obligation. The remaining transaction price of $7.1 million and $6.6 million is recorded in deferred revenue as of December 31, 2019 and 2018, respectively, on the consolidated balance sheets and will be recognized as revenue over the remaining period of 11 years.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balances of the Company’s contract assets and liabilities for years ended December 31,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2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Deductions</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3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1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Contract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20,710</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2019 and 2018, the Company recognized the following revenues as a result of changes in the contract asset and contract liability balances in the respective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80" w:type="dxa"/>
            <w:vAlign w:val="bottom"/>
            <w:gridSpan w:val="5"/>
          </w:tcPr>
          <w:p>
            <w:pPr>
              <w:ind w:left="360"/>
              <w:spacing w:after="0"/>
              <w:rPr>
                <w:sz w:val="20"/>
                <w:szCs w:val="20"/>
                <w:color w:val="auto"/>
              </w:rPr>
            </w:pPr>
            <w:r>
              <w:rPr>
                <w:rFonts w:ascii="Arial" w:cs="Arial" w:eastAsia="Arial" w:hAnsi="Arial"/>
                <w:sz w:val="14"/>
                <w:szCs w:val="14"/>
                <w:b w:val="1"/>
                <w:bCs w:val="1"/>
                <w:color w:val="auto"/>
              </w:rPr>
              <w:t>Twelve Months Ended December 31,</w:t>
            </w:r>
          </w:p>
        </w:tc>
      </w:tr>
      <w:tr>
        <w:trPr>
          <w:trHeight w:val="223"/>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13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r>
      <w:tr>
        <w:trPr>
          <w:trHeight w:val="22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7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299</w:t>
            </w:r>
          </w:p>
        </w:tc>
        <w:tc>
          <w:tcPr>
            <w:tcW w:w="360" w:type="dxa"/>
            <w:vAlign w:val="bottom"/>
          </w:tcPr>
          <w:p>
            <w:pPr>
              <w:spacing w:after="0"/>
              <w:rPr>
                <w:sz w:val="20"/>
                <w:szCs w:val="20"/>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Leases</w:t>
      </w:r>
    </w:p>
    <w:p>
      <w:pPr>
        <w:spacing w:after="0" w:line="8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9" w:name="page140"/>
    <w:bookmarkEnd w:id="139"/>
    <w:p>
      <w:pPr>
        <w:ind w:right="60"/>
        <w:spacing w:after="0" w:line="257" w:lineRule="auto"/>
        <w:rPr>
          <w:sz w:val="20"/>
          <w:szCs w:val="20"/>
          <w:color w:val="auto"/>
        </w:rPr>
      </w:pPr>
      <w:r>
        <w:rPr>
          <w:rFonts w:ascii="Arial" w:cs="Arial" w:eastAsia="Arial" w:hAnsi="Arial"/>
          <w:sz w:val="18"/>
          <w:szCs w:val="18"/>
          <w:color w:val="auto"/>
        </w:rPr>
        <w:t>On September 30, 2011, the Company entered into an agreement for office space in Dublin, Ireland which terminated on May 1, 2019. On April 12, 2019 and July 4, 2019, the Company entered into Office Centre Sharing Agreements effective May 1, 2019 and October 1, 2019, respectively, to replace the office space with new office space in Dublin, Ireland which terminates on April 30, 2020 and September 30, 2020, respectively, and can be extended automatically for successive one year periods. These leases have been determined to be short-term leases and the Company is committed to making nominal payments during the next twelve months.</w:t>
      </w:r>
    </w:p>
    <w:p>
      <w:pPr>
        <w:spacing w:after="0" w:line="13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July 1, 2011, the Company leased office space in Bedminster, New Jersey. The lease, as amended, terminated on September 15, 2019. On January 26, 2019, the Company leased additional space in another building in Bedminster, New Jersey, effective February 1, 2019 which also terminated on September 15, 2019.</w:t>
      </w:r>
    </w:p>
    <w:p>
      <w:pPr>
        <w:spacing w:after="0" w:line="1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February 5, 2019, the Company entered into a lease agreement for new office space in Bridgewater, New Jersey, or the Lease. The Lease commenced on August 15, 2019, or the Commencement Date, for an 11 year period, with two five year renewal options. Subject to the terms of the Lease, Amarin will have a one-time option to terminate the agreement effective on the first day of the ninety-seventh month after the Commencement Date upon advance written notice and a termination payment specified in the Lease. Under the Lease, the Company pays monthly rent of approximately $0.1 million for the first year following the Commencement Date, and such rent will increase by a nominal percentage every year following the first anniversary of the Commencement Date. In addition, Amarin receives certain abatements subject to the limitations in the Lease. The operating lease liability is $9.8 million and the operating lease right-of-use asset is $8.5 million, as of December 31, 2019. The lease expense for the twelve months ended December 31, 2019 is approximately $1.5 million.</w:t>
      </w:r>
    </w:p>
    <w:p>
      <w:pPr>
        <w:spacing w:after="0" w:line="13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Undiscounted</w:t>
            </w:r>
          </w:p>
        </w:tc>
      </w:tr>
      <w:tr>
        <w:trPr>
          <w:trHeight w:val="149"/>
        </w:trPr>
        <w:tc>
          <w:tcPr>
            <w:tcW w:w="38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lease</w:t>
            </w:r>
          </w:p>
        </w:tc>
      </w:tr>
      <w:tr>
        <w:trPr>
          <w:trHeight w:val="149"/>
        </w:trPr>
        <w:tc>
          <w:tcPr>
            <w:tcW w:w="38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payments</w:t>
            </w:r>
          </w:p>
        </w:tc>
      </w:tr>
      <w:tr>
        <w:trPr>
          <w:trHeight w:val="171"/>
        </w:trPr>
        <w:tc>
          <w:tcPr>
            <w:tcW w:w="38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($000s)</w:t>
            </w:r>
          </w:p>
        </w:tc>
      </w:tr>
      <w:tr>
        <w:trPr>
          <w:trHeight w:val="223"/>
        </w:trPr>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5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2021</w:t>
            </w:r>
          </w:p>
        </w:tc>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12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2023</w:t>
            </w:r>
          </w:p>
        </w:tc>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FF0FC"/>
          </w:tcPr>
          <w:p>
            <w:pPr>
              <w:spacing w:after="0"/>
              <w:rPr>
                <w:sz w:val="19"/>
                <w:szCs w:val="19"/>
                <w:color w:val="auto"/>
              </w:rPr>
            </w:pPr>
          </w:p>
        </w:tc>
      </w:tr>
      <w:tr>
        <w:trPr>
          <w:trHeight w:val="230"/>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53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10,910</w:t>
            </w:r>
          </w:p>
        </w:tc>
        <w:tc>
          <w:tcPr>
            <w:tcW w:w="120" w:type="dxa"/>
            <w:vAlign w:val="bottom"/>
            <w:tcBorders>
              <w:bottom w:val="single" w:sz="8" w:color="CFF0FC"/>
            </w:tcBorders>
          </w:tcPr>
          <w:p>
            <w:pPr>
              <w:spacing w:after="0"/>
              <w:rPr>
                <w:sz w:val="19"/>
                <w:szCs w:val="19"/>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payments</w:t>
            </w:r>
          </w:p>
        </w:tc>
        <w:tc>
          <w:tcPr>
            <w:tcW w:w="5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18,223</w:t>
            </w:r>
          </w:p>
        </w:tc>
        <w:tc>
          <w:tcPr>
            <w:tcW w:w="120" w:type="dxa"/>
            <w:vAlign w:val="bottom"/>
            <w:shd w:val="clear" w:color="auto" w:fill="CFF0FC"/>
          </w:tcPr>
          <w:p>
            <w:pPr>
              <w:spacing w:after="0"/>
              <w:rPr>
                <w:sz w:val="19"/>
                <w:szCs w:val="19"/>
                <w:color w:val="auto"/>
              </w:rPr>
            </w:pPr>
          </w:p>
        </w:tc>
      </w:tr>
      <w:tr>
        <w:trPr>
          <w:trHeight w:val="223"/>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Discount Adjustments</w:t>
            </w:r>
          </w:p>
        </w:tc>
        <w:tc>
          <w:tcPr>
            <w:tcW w:w="53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120" w:type="dxa"/>
            <w:vAlign w:val="bottom"/>
            <w:tcBorders>
              <w:bottom w:val="single" w:sz="8" w:color="CFF0FC"/>
            </w:tcBorders>
          </w:tcPr>
          <w:p>
            <w:pPr>
              <w:spacing w:after="0"/>
              <w:rPr>
                <w:sz w:val="19"/>
                <w:szCs w:val="19"/>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w:t>
            </w:r>
          </w:p>
        </w:tc>
        <w:tc>
          <w:tcPr>
            <w:tcW w:w="5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9,833</w:t>
            </w:r>
          </w:p>
        </w:tc>
        <w:tc>
          <w:tcPr>
            <w:tcW w:w="120" w:type="dxa"/>
            <w:vAlign w:val="bottom"/>
            <w:shd w:val="clear" w:color="auto" w:fill="CFF0FC"/>
          </w:tcPr>
          <w:p>
            <w:pPr>
              <w:spacing w:after="0"/>
              <w:rPr>
                <w:sz w:val="19"/>
                <w:szCs w:val="19"/>
                <w:color w:val="auto"/>
              </w:rPr>
            </w:pPr>
          </w:p>
        </w:tc>
      </w:tr>
      <w:tr>
        <w:trPr>
          <w:trHeight w:val="635"/>
        </w:trPr>
        <w:tc>
          <w:tcPr>
            <w:tcW w:w="3820" w:type="dxa"/>
            <w:vAlign w:val="bottom"/>
          </w:tcPr>
          <w:p>
            <w:pPr>
              <w:spacing w:after="0"/>
              <w:rPr>
                <w:sz w:val="24"/>
                <w:szCs w:val="24"/>
                <w:color w:val="auto"/>
              </w:rPr>
            </w:pPr>
          </w:p>
        </w:tc>
        <w:tc>
          <w:tcPr>
            <w:tcW w:w="5860" w:type="dxa"/>
            <w:vAlign w:val="bottom"/>
            <w:gridSpan w:val="3"/>
          </w:tcPr>
          <w:p>
            <w:pPr>
              <w:jc w:val="right"/>
              <w:ind w:right="3710"/>
              <w:spacing w:after="0"/>
              <w:rPr>
                <w:sz w:val="20"/>
                <w:szCs w:val="20"/>
                <w:color w:val="auto"/>
              </w:rPr>
            </w:pPr>
            <w:r>
              <w:rPr>
                <w:rFonts w:ascii="Arial" w:cs="Arial" w:eastAsia="Arial" w:hAnsi="Arial"/>
                <w:sz w:val="18"/>
                <w:szCs w:val="18"/>
                <w:color w:val="auto"/>
              </w:rPr>
              <w:t>F-36</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140" w:name="page141"/>
    <w:bookmarkEnd w:id="140"/>
    <w:p>
      <w:pPr>
        <w:ind w:left="10580"/>
        <w:spacing w:after="0"/>
        <w:rPr>
          <w:sz w:val="20"/>
          <w:szCs w:val="20"/>
          <w:color w:val="auto"/>
        </w:rPr>
      </w:pPr>
      <w:r>
        <w:rPr>
          <w:rFonts w:ascii="Arial" w:cs="Arial" w:eastAsia="Arial" w:hAnsi="Arial"/>
          <w:sz w:val="16"/>
          <w:szCs w:val="16"/>
          <w:b w:val="1"/>
          <w:bCs w:val="1"/>
          <w:color w:val="auto"/>
        </w:rPr>
        <w:t>Exhibit 4.7</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REGISTRANT’S SECURITIES REGISTERED PURSUANT TO SECTION 12 OF THE SECURITIES EXCHANGE ACT OF 1934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Ordinary Shares</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the following summary, a “shareholder” is the person registered in our register of members as the holder of the relevant securities, including ordinary shares that have been deposited in our American Depositary Share, or ADS, facility with Citibank, N.A., or the Depositary.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Holders of ordinary shares are entitled to receive such dividends as may be declared by the board of directors. All dividends are declared and paid according to the amounts paid up on the shares in respect of which the dividend is paid. To date there have been no dividends paid to holders of ordinary shares.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dividend unclaimed after a period of twelve years from the date of declaration of such dividend shall be forfeited and shall revert to us. In addition, the payment by the board of directors of any unclaimed dividend, interest or other sum payable on or in respect of an ordinary share into a separate account shall not constitute us as a trustee in respect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in a Liquidation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Holders of ordinary shares are entitled to participate in any distribution of assets upon a liquidation, subject to prior satisfaction of the claims of creditors and preferential payments to holders of outstanding preference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Voting at any general meeting of shareholders is by a show of hands, unless a poll is demanded. A poll may be demanded by:</w:t>
      </w:r>
    </w:p>
    <w:p>
      <w:pPr>
        <w:spacing w:after="0" w:line="117" w:lineRule="exact"/>
        <w:rPr>
          <w:sz w:val="20"/>
          <w:szCs w:val="20"/>
          <w:color w:val="auto"/>
        </w:rPr>
      </w:pPr>
    </w:p>
    <w:p>
      <w:pPr>
        <w:ind w:left="820" w:hanging="407"/>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chairman of the meeting;</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two shareholders entitled to vote at the meeting;</w:t>
      </w:r>
    </w:p>
    <w:p>
      <w:pPr>
        <w:spacing w:after="0" w:line="117" w:lineRule="exact"/>
        <w:rPr>
          <w:rFonts w:ascii="Arial" w:cs="Arial" w:eastAsia="Arial" w:hAnsi="Arial"/>
          <w:sz w:val="18"/>
          <w:szCs w:val="18"/>
          <w:color w:val="auto"/>
        </w:rPr>
      </w:pPr>
    </w:p>
    <w:p>
      <w:pPr>
        <w:ind w:left="820" w:right="40" w:hanging="407"/>
        <w:spacing w:after="0" w:line="277"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shareholder or shareholders representing in the aggregate not less than one-tenth of the total voting rights of all shareholders entitled to vote at the meeting; or</w:t>
      </w:r>
    </w:p>
    <w:p>
      <w:pPr>
        <w:spacing w:after="0" w:line="62" w:lineRule="exact"/>
        <w:rPr>
          <w:rFonts w:ascii="Arial" w:cs="Arial" w:eastAsia="Arial" w:hAnsi="Arial"/>
          <w:sz w:val="18"/>
          <w:szCs w:val="18"/>
          <w:color w:val="auto"/>
        </w:rPr>
      </w:pPr>
    </w:p>
    <w:p>
      <w:pPr>
        <w:ind w:left="820" w:right="240" w:hanging="407"/>
        <w:spacing w:after="0" w:line="277"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shareholder or shareholders holding shares conferring a right to vote at the meeting on which there have been paid up sums in the aggregate equal to not less than one-tenth of the total sum paid up on all the shares conferring that right.</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 vote by a show of hands, every shareholder who is present in person or by proxy at a general meeting has one vote. In a vote on a poll, every shareholder who is present in person or by proxy shall have one vote for every share of which they are registered as the holder. No shareholder shall have more than one vote on a show of hands notwithstanding that he may have appointed more than one proxy to vote on his behalf. The quorum for a shareholders’ meeting is a minimum of two persons entitled to vote at the meeting, present in person or by proxy. To the extent our Articles of Association provide for a vote by a show of hands in which each shareholder has one vote, this differs from U.S. law, under which each shareholder typically is entitled to one vote per share at all meetings.</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Unless otherwise required by law or our Articles of Association, voting in a general meeting is by ordinary resolution. An ordinary resolution is approved by a majority vote of the shareholders present at a meeting at which there is a quorum. Examples of matters that can be approved by an ordinary resolution include:</w:t>
      </w:r>
    </w:p>
    <w:p>
      <w:pPr>
        <w:spacing w:after="0" w:line="73" w:lineRule="exact"/>
        <w:rPr>
          <w:sz w:val="20"/>
          <w:szCs w:val="20"/>
          <w:color w:val="auto"/>
        </w:rPr>
      </w:pPr>
    </w:p>
    <w:p>
      <w:pPr>
        <w:ind w:left="820" w:hanging="407"/>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election of directors;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approval of financial statements;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declaration of final dividends;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appointment of auditors; or</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grant of authority to issue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ind w:right="140"/>
        <w:spacing w:after="0" w:line="264" w:lineRule="auto"/>
        <w:rPr>
          <w:sz w:val="20"/>
          <w:szCs w:val="20"/>
          <w:color w:val="auto"/>
        </w:rPr>
      </w:pPr>
      <w:r>
        <w:rPr>
          <w:rFonts w:ascii="Arial" w:cs="Arial" w:eastAsia="Arial" w:hAnsi="Arial"/>
          <w:sz w:val="18"/>
          <w:szCs w:val="18"/>
          <w:color w:val="auto"/>
        </w:rPr>
        <w:t>A special resolution requires the affirmative vote of not less than three-fourths of the eligible votes of shareholders present at the meeting. Examples of matters that must be approved by a special resolution include modifications to the rights of any class of shares, changes to the Articles of Association, or our winding-up.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Calls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has the authority to make calls upon the shareholders in respect of any money unpaid on their shares and each shareholder shall pay to us as required by such notice the amount called on his shares. If a call remains unpaid after it has become due and payable, and the fourteen clear days’ notice provided by the board of directors has not been complied with, any share in respect of which such notice was given may be forfeited by a resolution of the 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Ownership</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English law and our Articles of Association, there are no limitations on the right of nonresidents of the United Kingdom or owners who are not citizens of the United Kingdom to hold or vote our ordinary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American Depositary Shares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Citibank, N.A. acts as the depositary bank for ADSs, which we also refer to as the Depositary.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having its principal office at Citigroup Centre, Canada Square, Canary Wharf, London E14 5LB, England.</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have appointed Citibank as Depositary pursuant to an amended and restated deposit agreement, dated as of November 4, 2011. A copy of the deposit agreement is on file with the SEC under cover of a Registration Statement on Form F-6 filed on September 16, 2011. A copy of the deposit agreement may be obtained from the SEC’s website (www.sec.gov). Please refer to Registration Number 333-176898 when retrieving such copy.</w:t>
      </w:r>
    </w:p>
    <w:p>
      <w:pPr>
        <w:spacing w:after="0" w:line="16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are providing a summary description of the material terms of the ADSs and of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all investors to review the deposit agreement in its entirety.</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Each ADS represents the right to receive one ordinary share on deposit with the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by the registered holders of the ADSs (on behalf of the applicable ADS owners) only through the Depositary, and by the Depositary (on behalf of the owners of the corresponding ADSs) directly, or indirectly through the custodian or their respective nominees, in each case upon the terms of the deposit agreement.</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an owner of our ADSs, such holders will become a party to the deposit agreement and therefore will be bound to its terms and to the terms of any ADR that represents such ADSs. The deposit agreement and the ADR specify our rights and obligations as well as rights of the holders of our ADSs and obligations as owner of ADSs and those of the Depositary. Holders of our ADSs appoint the Depositary to act on such holders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2" w:name="page143"/>
    <w:bookmarkEnd w:id="142"/>
    <w:p>
      <w:pPr>
        <w:spacing w:after="0" w:line="286" w:lineRule="auto"/>
        <w:rPr>
          <w:sz w:val="20"/>
          <w:szCs w:val="20"/>
          <w:color w:val="auto"/>
        </w:rPr>
      </w:pPr>
      <w:r>
        <w:rPr>
          <w:rFonts w:ascii="Arial" w:cs="Arial" w:eastAsia="Arial" w:hAnsi="Arial"/>
          <w:sz w:val="16"/>
          <w:szCs w:val="16"/>
          <w:color w:val="auto"/>
        </w:rPr>
        <w:t>The manner in which holders own the ADSs (e.g., in a brokerage account vs. as registered holder, or as holder of certificated vs. uncertificated ADSs) may affect holders of our ADSs’ rights and obligations, and the manner in which, and extent to which, the Depositary’s services are made available to such holders. Owners of our ADSs may hold ADSs either by means of an ADR registered in such holders name, through a brokerage or safekeeping account, or through an account established by the Depositary in such holders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holders of our ADSs decide to hold such ADSs through a brokerage or safekeeping account, such holders must rely on the procedures of a broker or bank to assert rights as ADS owner. Banks and brokers typically hold securities such as the ADSs through clearing and settlement systems such as DTC. The procedures of such clearing and settlement systems may limit the ability of holders of our ADSs to exercise rights as an owner of ADSs. Please consult a broker or bank with any questions concerning these limitations and procedures. All ADSs held through DTC will be registered in the name of a nominee of DTC. This summary description assumes holders of our ADSs have opted to own the ADSs directly by means of an ADS registered in such holders name.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Holders of our ADSs generally have the right to receive the distributions we make on the securities deposited with the custodian. Receipt of these distributions may be limited, however, by practical considerations and legal limitations. Holders of ADSs will receive such distributions under the terms of the deposit agreement in proportion to the number of ADSs held as of a specified record date, after deduction the applicable fees, taxes and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English laws and regulations.</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2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Whenever we make a free distribution of shares for the securities on deposit with the custodian, we will deposit the applicable number of shares with the custodian. Upon receipt of confirmation of such deposit, the Depositary will either distribute to holders new ADSs representing the ordinary shares deposited or modify the ADS-to-shares ratio, in which case each ADS held by such holder will represent rights and interests in the additional ordinary shares or preference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or preference shares will be made net of the fees, expenses, taxes and governmental charges payable by holders under the terms of the deposit agreement. In order to pay such taxes or governmental charges, the Depositary may sell all or a portion of the new ordinary shares so distributed. No such distribution of new ADSs will be made if it would violate a law (i.e., the U.S. securities laws) or if it is not operationally practicable. If the Depositary does not distribute new ADSs as described above, it may sell the shares received upon the terms described in the deposit agreement and will distribute the proceeds of the sale as in the case of a distribution of cash.</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3" w:name="page144"/>
    <w:bookmarkEnd w:id="143"/>
    <w:p>
      <w:pPr>
        <w:spacing w:after="0" w:line="276" w:lineRule="auto"/>
        <w:rPr>
          <w:sz w:val="20"/>
          <w:szCs w:val="20"/>
          <w:color w:val="auto"/>
        </w:rPr>
      </w:pPr>
      <w:r>
        <w:rPr>
          <w:rFonts w:ascii="Arial" w:cs="Arial" w:eastAsia="Arial" w:hAnsi="Arial"/>
          <w:sz w:val="17"/>
          <w:szCs w:val="17"/>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of our ADSs may have to pay fees, expenses, taxes and other governmental charges to subscribe for the new ADSs upon the exercise of the rights of the holders of our ADSs. The Depositary is not obligated to establish procedures to facilitate the distribution and exercise by holders of rights to purchase new ordinary shares other than in the form of ADSs.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will not distribute the rights to holders of our ADSs if:</w:t>
      </w:r>
    </w:p>
    <w:p>
      <w:pPr>
        <w:spacing w:after="0" w:line="117" w:lineRule="exact"/>
        <w:rPr>
          <w:sz w:val="20"/>
          <w:szCs w:val="20"/>
          <w:color w:val="auto"/>
        </w:rPr>
      </w:pPr>
    </w:p>
    <w:p>
      <w:pPr>
        <w:ind w:left="820" w:right="400" w:hanging="407"/>
        <w:spacing w:after="0" w:line="277"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holders of our ADSs or we request that the rights not be distributed to holders of our ADSs; or</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holders of our ADSs. In such case, we will assist the Depositary in determining whether such distribution is lawful and reasonably practicable.</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Depositary will make the election available to holders of our ADSs only if it is reasonably practicable and if we have provided all of the documentation contemplated in the deposit agreement. In such case, the Depositary will establish procedures to enable holders of our ADSs to elect to receive either cash or additional ADSs, in each case as described in the deposit agreement.</w:t>
      </w:r>
    </w:p>
    <w:p>
      <w:pPr>
        <w:spacing w:after="0" w:line="18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If the election is not made available to holders of our ADSs, such holder will receive either cash or additional ADSs, depending on what a shareholder under English law would receive upon failing to make an election, as more fully described in the deposit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holders of our ADSs. If so, we will assist the Depositary in determining whether such distribution to holders is lawful and reasonably practicable. If it is reasonably practicable to distribute such property to holders of our ADSs and if we provide all of the documentation contemplated in the deposit agreement, the Depositary will distribute the property to the holders in a manner it deems practicable.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holders of our ADSs and will sell the property if:</w:t>
      </w:r>
    </w:p>
    <w:p>
      <w:pPr>
        <w:spacing w:after="0" w:line="117" w:lineRule="exact"/>
        <w:rPr>
          <w:sz w:val="20"/>
          <w:szCs w:val="20"/>
          <w:color w:val="auto"/>
        </w:rPr>
      </w:pPr>
    </w:p>
    <w:p>
      <w:pPr>
        <w:ind w:left="820" w:right="120" w:hanging="407"/>
        <w:spacing w:after="0" w:line="277" w:lineRule="auto"/>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holders of our ADSs or if we ask that the property not be distributed to holders of our ADSs; or</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holders of our ADSs is not reasonably practicable.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Holders of our ADSs may have to pay fees, expenses, taxes and other governmental charges upon the redemption of such holder’s ADSs. If less than all ADSs are being redeemed, the ADSs to be retired will be selected by lot or on a pro rata basis, as the Depositary may determine.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affecting ordinary shares and preference shares</w:t>
      </w:r>
    </w:p>
    <w:p>
      <w:pPr>
        <w:spacing w:after="0" w:line="117"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ordinary shares held on deposit for each holder’s ADSs may change from time to time. For example, there may be a change in nominal or par value, a split-up, cancellation, consolidation or reclassification of such ordinary shares or a recapitalization, reorganization, merger, consolidation or sale of assets.</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any such change were to occur, such holder’s ADSs would, to the extent permitted by law, represent the right to receive the property received or exchanged in respect of the new ordinary shares held on deposit. The Depositary may in such circumstances deliver new ADSs to such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such holder, the Depositary may sell such property and distribute the net proceeds to such holder as in the case of a cash distribution.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ADSs upon deposit of ordinary shares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Depositary may create ADSs on each holder’s behalf if such holder or such holder’s broker deposit ordinary shares with the custodian. The Depositary will deliver these ADSs to the person such holder indicates only after any applicable issuance fees are paid and any charges and taxes payable for the transfer of the ordinary shares to the custodian. A holder’s ability to deposit ordinary shares and receive ADSs may be limited by U.S. and U.K. legal considerations applicable at the time of deposit.</w:t>
      </w:r>
    </w:p>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issuance of ADSs may be delayed until the Depositary or the custodian receives confirmation that all required approvals have been given and that the ordinary shares or preference shares have been duly transferred to the custodian. The Depositary will only issue ADSs in whole numbers.</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When a holders of our ADSs make a deposit of ordinary shares such holders will be responsible for transferring good and valid title to the Depositary. As such, holders of our ADSs will be deemed to represent and warrant that:</w:t>
      </w:r>
    </w:p>
    <w:p>
      <w:pPr>
        <w:spacing w:after="0" w:line="62" w:lineRule="exact"/>
        <w:rPr>
          <w:sz w:val="20"/>
          <w:szCs w:val="20"/>
          <w:color w:val="auto"/>
        </w:rPr>
      </w:pPr>
    </w:p>
    <w:p>
      <w:pPr>
        <w:ind w:left="820" w:hanging="407"/>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holder is duly authorized to deposit the ordinary shares;</w:t>
      </w:r>
    </w:p>
    <w:p>
      <w:pPr>
        <w:spacing w:after="0" w:line="117" w:lineRule="exact"/>
        <w:rPr>
          <w:rFonts w:ascii="Arial" w:cs="Arial" w:eastAsia="Arial" w:hAnsi="Arial"/>
          <w:sz w:val="18"/>
          <w:szCs w:val="18"/>
          <w:color w:val="auto"/>
        </w:rPr>
      </w:pPr>
    </w:p>
    <w:p>
      <w:pPr>
        <w:ind w:left="820" w:right="40" w:hanging="407"/>
        <w:spacing w:after="0" w:line="308" w:lineRule="auto"/>
        <w:tabs>
          <w:tab w:leader="none" w:pos="8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ordinary shares presented for deposit are free and clear of any lien, encumbrance, security interest, charge, mortgage or adverse claim, and the ADSs issuable upon such deposit will not be, “restricted securities” (as defined in the deposit agreement); and</w:t>
      </w:r>
    </w:p>
    <w:p>
      <w:pPr>
        <w:spacing w:after="0" w:line="38" w:lineRule="exact"/>
        <w:rPr>
          <w:rFonts w:ascii="Arial" w:cs="Arial" w:eastAsia="Arial" w:hAnsi="Arial"/>
          <w:sz w:val="17"/>
          <w:szCs w:val="17"/>
          <w:color w:val="auto"/>
        </w:rPr>
      </w:pPr>
    </w:p>
    <w:p>
      <w:pPr>
        <w:ind w:left="820" w:hanging="407"/>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such holder’s cost and expense, take any and all actions necessary to correct the consequences of the misrepresentations.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i w:val="1"/>
          <w:iCs w:val="1"/>
          <w:color w:val="auto"/>
        </w:rPr>
        <w:t>Transfer, combination and split up of ADRs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Holders of our ADRs will be entitled to transfer, combine or split up such ADRs and the ADSs evidenced thereby. For transfers of ADRs, holders will have to surrender the ADRs to be transferred to the Depositary and also must:</w:t>
      </w:r>
    </w:p>
    <w:p>
      <w:pPr>
        <w:spacing w:after="0" w:line="62" w:lineRule="exact"/>
        <w:rPr>
          <w:sz w:val="20"/>
          <w:szCs w:val="20"/>
          <w:color w:val="auto"/>
        </w:rPr>
      </w:pPr>
    </w:p>
    <w:p>
      <w:pPr>
        <w:ind w:left="820" w:hanging="407"/>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17" w:lineRule="exact"/>
        <w:rPr>
          <w:rFonts w:ascii="Arial" w:cs="Arial" w:eastAsia="Arial" w:hAnsi="Arial"/>
          <w:sz w:val="18"/>
          <w:szCs w:val="18"/>
          <w:color w:val="auto"/>
        </w:rPr>
      </w:pPr>
    </w:p>
    <w:p>
      <w:pPr>
        <w:ind w:left="820" w:right="540" w:hanging="407"/>
        <w:spacing w:after="0" w:line="277"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To have such ADRs either combined or split up, holders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Withdrawal of ordinary shares upon cancellation of ADSs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Holders of our ADSs are entitled to present ADSs to the Depositary for cancellation and then receive the corresponding number of underlying ordinary shares at the custodian’s offices. The ability of holders of our ADSs to withdraw the ordinary shares may be limited by U.S. and U.K. legal considerations applicable at the time of withdrawal. In order to withdraw the ordinary shares represented by such ADSs, holders of our ADSs will be required to pay to the Depositary the fees for cancellation of ADSs and any charges and taxes payable upon the transfer of the ordinary shares being withdrawn. Holders of our ADSs assume the risk for delivery of all funds and securities upon withdrawal. Once canceled, the ADSs will not have any rights under the deposit agreement.</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Depositary may ask holders of our ADSs to provide proof of identity and genuineness of any signature and such other documents as the Depositary may deem appropriate before it will cancel such ADSs. The withdrawal of the ordinary shares represented by such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ADSs will have the right to withdraw the securities represented by such ADSs at any time except for:</w:t>
      </w:r>
    </w:p>
    <w:p>
      <w:pPr>
        <w:spacing w:after="0" w:line="117" w:lineRule="exact"/>
        <w:rPr>
          <w:sz w:val="20"/>
          <w:szCs w:val="20"/>
          <w:color w:val="auto"/>
        </w:rPr>
      </w:pPr>
    </w:p>
    <w:p>
      <w:pPr>
        <w:ind w:left="820" w:right="100" w:hanging="407"/>
        <w:spacing w:after="0" w:line="277"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Outstanding obligations to pay fees, taxes and similar charges.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deposit agreement may not be modified to impair the right of holders of our ADSs to withdraw the securities represented by such ADSs except to comply with mandatory provisions of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Holders of our ADSs representing ordinary shares generally have the right under the deposit agreement to instruct the Depositary to exercise the voting rights for the ordinary shares represented by such ADSs. The voting rights of holders of ordinary shares are described under the heading “Description of Securities —Description of Ordinary Shares” in this prospectus.</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our request, the Depositary will distribute to holders of our ADSs any notice of shareholders’ meeting received from us together with information explaining how to instruct the Depositary to exercise the voting rights of the securities represented by ADSs.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in accordance with such voting instructions.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note that the ability of the Depositary to carry out voting instructions may be limited by practical and legal limitations and the terms of the securities on deposit. We cannot assure that holders of our ADSs will receive voting materials in time to enable such holders to return voting instructions to the Depositary in a timely manner. Securities for which no voting instructions have been received will not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Fees and charges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Holders of our ADSs will be required to pay the following service fees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tabs>
          <w:tab w:leader="none" w:pos="6040" w:val="left"/>
        </w:tabs>
        <w:rPr>
          <w:sz w:val="20"/>
          <w:szCs w:val="20"/>
          <w:color w:val="auto"/>
        </w:rPr>
      </w:pPr>
      <w:r>
        <w:rPr>
          <w:rFonts w:ascii="Arial" w:cs="Arial" w:eastAsia="Arial" w:hAnsi="Arial"/>
          <w:sz w:val="16"/>
          <w:szCs w:val="16"/>
          <w:b w:val="1"/>
          <w:bCs w:val="1"/>
          <w:color w:val="auto"/>
        </w:rPr>
        <w:t>Service</w:t>
      </w:r>
      <w:r>
        <w:rPr>
          <w:sz w:val="20"/>
          <w:szCs w:val="20"/>
          <w:color w:val="auto"/>
        </w:rPr>
        <w:tab/>
      </w:r>
      <w:r>
        <w:rPr>
          <w:rFonts w:ascii="Arial" w:cs="Arial" w:eastAsia="Arial" w:hAnsi="Arial"/>
          <w:sz w:val="16"/>
          <w:szCs w:val="16"/>
          <w:b w:val="1"/>
          <w:bCs w:val="1"/>
          <w:color w:val="auto"/>
        </w:rPr>
        <w:t>Fees</w:t>
      </w:r>
    </w:p>
    <w:p>
      <w:pPr>
        <w:sectPr>
          <w:pgSz w:w="11900" w:h="16838" w:orient="portrait"/>
          <w:cols w:equalWidth="0" w:num="1">
            <w:col w:w="11400"/>
          </w:cols>
          <w:pgMar w:left="240" w:top="449" w:right="259" w:bottom="1440" w:gutter="0" w:footer="0" w:header="0"/>
        </w:sectPr>
      </w:pPr>
    </w:p>
    <w:p>
      <w:pPr>
        <w:spacing w:after="0" w:line="50" w:lineRule="exact"/>
        <w:rPr>
          <w:sz w:val="20"/>
          <w:szCs w:val="20"/>
          <w:color w:val="auto"/>
        </w:rPr>
      </w:pPr>
    </w:p>
    <w:p>
      <w:pPr>
        <w:ind w:left="220" w:hanging="212"/>
        <w:spacing w:after="0" w:line="276" w:lineRule="auto"/>
        <w:tabs>
          <w:tab w:leader="none" w:pos="1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Issuance of ADSs upon deposit of Shares (excluding issuances as a result of distributions described in paragraph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Up to U.S. $5.00 per 100 ADSs (or fraction thereof) issued.</w:t>
      </w:r>
    </w:p>
    <w:p>
      <w:pPr>
        <w:spacing w:after="0" w:line="369" w:lineRule="exact"/>
        <w:rPr>
          <w:sz w:val="20"/>
          <w:szCs w:val="20"/>
          <w:color w:val="auto"/>
        </w:rPr>
      </w:pPr>
    </w:p>
    <w:p>
      <w:pPr>
        <w:sectPr>
          <w:pgSz w:w="11900" w:h="16838" w:orient="portrait"/>
          <w:cols w:equalWidth="0" w:num="2">
            <w:col w:w="5660" w:space="400"/>
            <w:col w:w="5340"/>
          </w:cols>
          <w:pgMar w:left="240" w:top="449" w:right="259" w:bottom="1440" w:gutter="0" w:footer="0" w:header="0"/>
          <w:type w:val="continuous"/>
        </w:sect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Delivery of Deposited Securities against surrender of ADSs.</w:t>
      </w:r>
    </w:p>
    <w:p>
      <w:pPr>
        <w:spacing w:after="0" w:line="130" w:lineRule="exact"/>
        <w:rPr>
          <w:rFonts w:ascii="Arial" w:cs="Arial" w:eastAsia="Arial" w:hAnsi="Arial"/>
          <w:sz w:val="18"/>
          <w:szCs w:val="18"/>
          <w:color w:val="auto"/>
        </w:rPr>
      </w:pPr>
    </w:p>
    <w:p>
      <w:pPr>
        <w:ind w:left="220" w:hanging="212"/>
        <w:spacing w:after="0" w:line="277" w:lineRule="auto"/>
        <w:tabs>
          <w:tab w:leader="none" w:pos="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Distribution of cash dividends or other cash distributions (</w:t>
      </w:r>
      <w:r>
        <w:rPr>
          <w:rFonts w:ascii="Arial" w:cs="Arial" w:eastAsia="Arial" w:hAnsi="Arial"/>
          <w:sz w:val="18"/>
          <w:szCs w:val="18"/>
          <w:i w:val="1"/>
          <w:iCs w:val="1"/>
          <w:color w:val="auto"/>
        </w:rPr>
        <w:t>i.e.</w:t>
      </w:r>
      <w:r>
        <w:rPr>
          <w:rFonts w:ascii="Arial" w:cs="Arial" w:eastAsia="Arial" w:hAnsi="Arial"/>
          <w:sz w:val="18"/>
          <w:szCs w:val="18"/>
          <w:color w:val="auto"/>
        </w:rPr>
        <w:t>, sale of rights and other entitlements).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$5.00 per 100 ADSs (or fraction thereof) surrendered.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Up to U.S. $5.00 per 100 ADSs (or fraction thereof) held.</w:t>
      </w:r>
    </w:p>
    <w:p>
      <w:pPr>
        <w:spacing w:after="0" w:line="346" w:lineRule="exact"/>
        <w:rPr>
          <w:sz w:val="20"/>
          <w:szCs w:val="20"/>
          <w:color w:val="auto"/>
        </w:rPr>
      </w:pPr>
    </w:p>
    <w:p>
      <w:pPr>
        <w:sectPr>
          <w:pgSz w:w="11900" w:h="16838" w:orient="portrait"/>
          <w:cols w:equalWidth="0" w:num="2">
            <w:col w:w="5620" w:space="440"/>
            <w:col w:w="5340"/>
          </w:cols>
          <w:pgMar w:left="240" w:top="449" w:right="259" w:bottom="1440" w:gutter="0" w:footer="0" w:header="0"/>
          <w:type w:val="continuous"/>
        </w:sectPr>
      </w:pPr>
    </w:p>
    <w:p>
      <w:pPr>
        <w:ind w:left="220" w:right="40" w:hanging="212"/>
        <w:spacing w:after="0" w:line="342" w:lineRule="auto"/>
        <w:tabs>
          <w:tab w:leader="none" w:pos="168" w:val="left"/>
        </w:tabs>
        <w:numPr>
          <w:ilvl w:val="0"/>
          <w:numId w:val="77"/>
        </w:numPr>
        <w:rPr>
          <w:rFonts w:ascii="Arial" w:cs="Arial" w:eastAsia="Arial" w:hAnsi="Arial"/>
          <w:sz w:val="16"/>
          <w:szCs w:val="16"/>
          <w:color w:val="auto"/>
        </w:rPr>
      </w:pPr>
      <w:r>
        <w:rPr>
          <w:rFonts w:ascii="Arial" w:cs="Arial" w:eastAsia="Arial" w:hAnsi="Arial"/>
          <w:sz w:val="16"/>
          <w:szCs w:val="16"/>
          <w:color w:val="auto"/>
        </w:rPr>
        <w:t>Distribution of ADSs pursuant to (i) stock dividends or other free stock distributions, or (ii) exercise of rights to purchase additional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$5.00 per 100 ADSs (or fraction thereof) held.</w:t>
      </w:r>
    </w:p>
    <w:p>
      <w:pPr>
        <w:spacing w:after="0" w:line="369" w:lineRule="exact"/>
        <w:rPr>
          <w:sz w:val="20"/>
          <w:szCs w:val="20"/>
          <w:color w:val="auto"/>
        </w:rPr>
      </w:pPr>
    </w:p>
    <w:p>
      <w:pPr>
        <w:sectPr>
          <w:pgSz w:w="11900" w:h="16838" w:orient="portrait"/>
          <w:cols w:equalWidth="0" w:num="2">
            <w:col w:w="5340" w:space="720"/>
            <w:col w:w="5340"/>
          </w:cols>
          <w:pgMar w:left="240" w:top="449" w:right="259" w:bottom="1440" w:gutter="0" w:footer="0" w:header="0"/>
          <w:type w:val="continuous"/>
        </w:sectPr>
      </w:pPr>
    </w:p>
    <w:p>
      <w:pPr>
        <w:ind w:left="220" w:hanging="212"/>
        <w:spacing w:after="0" w:line="277" w:lineRule="auto"/>
        <w:tabs>
          <w:tab w:leader="none" w:pos="168"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Distribution of securities other than ADSs or rights to purchase additional ADSs (</w:t>
      </w:r>
      <w:r>
        <w:rPr>
          <w:rFonts w:ascii="Arial" w:cs="Arial" w:eastAsia="Arial" w:hAnsi="Arial"/>
          <w:sz w:val="18"/>
          <w:szCs w:val="18"/>
          <w:i w:val="1"/>
          <w:iCs w:val="1"/>
          <w:color w:val="auto"/>
        </w:rPr>
        <w:t>i.e.</w:t>
      </w:r>
      <w:r>
        <w:rPr>
          <w:rFonts w:ascii="Arial" w:cs="Arial" w:eastAsia="Arial" w:hAnsi="Arial"/>
          <w:sz w:val="18"/>
          <w:szCs w:val="18"/>
          <w:color w:val="auto"/>
        </w:rPr>
        <w:t>, spin-off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$5.00 per 100 ADSs (or fraction thereof) held.</w:t>
      </w:r>
    </w:p>
    <w:p>
      <w:pPr>
        <w:spacing w:after="0" w:line="369" w:lineRule="exact"/>
        <w:rPr>
          <w:sz w:val="20"/>
          <w:szCs w:val="20"/>
          <w:color w:val="auto"/>
        </w:rPr>
      </w:pPr>
    </w:p>
    <w:p>
      <w:pPr>
        <w:sectPr>
          <w:pgSz w:w="11900" w:h="16838" w:orient="portrait"/>
          <w:cols w:equalWidth="0" w:num="2">
            <w:col w:w="5500" w:space="560"/>
            <w:col w:w="5340"/>
          </w:cols>
          <w:pgMar w:left="240" w:top="449" w:right="259" w:bottom="1440" w:gutter="0" w:footer="0" w:header="0"/>
          <w:type w:val="continuous"/>
        </w:sectPr>
      </w:pPr>
    </w:p>
    <w:p>
      <w:pPr>
        <w:spacing w:after="0"/>
        <w:tabs>
          <w:tab w:leader="none" w:pos="6040" w:val="left"/>
        </w:tabs>
        <w:rPr>
          <w:sz w:val="20"/>
          <w:szCs w:val="20"/>
          <w:color w:val="auto"/>
        </w:rPr>
      </w:pPr>
      <w:r>
        <w:rPr>
          <w:rFonts w:ascii="Arial" w:cs="Arial" w:eastAsia="Arial" w:hAnsi="Arial"/>
          <w:sz w:val="18"/>
          <w:szCs w:val="18"/>
          <w:color w:val="auto"/>
        </w:rPr>
        <w:t>• Depositary Services.</w:t>
      </w:r>
      <w:r>
        <w:rPr>
          <w:sz w:val="20"/>
          <w:szCs w:val="20"/>
          <w:color w:val="auto"/>
        </w:rPr>
        <w:tab/>
      </w:r>
      <w:r>
        <w:rPr>
          <w:rFonts w:ascii="Arial" w:cs="Arial" w:eastAsia="Arial" w:hAnsi="Arial"/>
          <w:sz w:val="16"/>
          <w:szCs w:val="16"/>
          <w:color w:val="auto"/>
        </w:rPr>
        <w:t>Up to U.S. $5.00 per 100 ADSs (or fraction thereof) held on the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applicable record date(s) established by the Depositary.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Holders of our ADSs will also be responsible to pay certain fees and expenses incurred by the Depositary and certain taxes and governmental charges such as:</w:t>
      </w:r>
    </w:p>
    <w:p>
      <w:pPr>
        <w:spacing w:after="0" w:line="140" w:lineRule="exact"/>
        <w:rPr>
          <w:sz w:val="20"/>
          <w:szCs w:val="20"/>
          <w:color w:val="auto"/>
        </w:rPr>
      </w:pPr>
    </w:p>
    <w:p>
      <w:pPr>
        <w:ind w:left="820" w:right="200" w:hanging="407"/>
        <w:spacing w:after="0" w:line="277"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or preference shares in England (</w:t>
      </w:r>
      <w:r>
        <w:rPr>
          <w:rFonts w:ascii="Arial" w:cs="Arial" w:eastAsia="Arial" w:hAnsi="Arial"/>
          <w:sz w:val="18"/>
          <w:szCs w:val="18"/>
          <w:i w:val="1"/>
          <w:iCs w:val="1"/>
          <w:color w:val="auto"/>
        </w:rPr>
        <w:t>i.e.</w:t>
      </w:r>
      <w:r>
        <w:rPr>
          <w:rFonts w:ascii="Arial" w:cs="Arial" w:eastAsia="Arial" w:hAnsi="Arial"/>
          <w:sz w:val="18"/>
          <w:szCs w:val="18"/>
          <w:color w:val="auto"/>
        </w:rPr>
        <w:t>, upon deposit and withdrawal of ordinary shares or preference shares).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Taxes and duties upon the transfer of securities (</w:t>
      </w:r>
      <w:r>
        <w:rPr>
          <w:rFonts w:ascii="Arial" w:cs="Arial" w:eastAsia="Arial" w:hAnsi="Arial"/>
          <w:sz w:val="18"/>
          <w:szCs w:val="18"/>
          <w:i w:val="1"/>
          <w:iCs w:val="1"/>
          <w:color w:val="auto"/>
        </w:rPr>
        <w:t>i.e.</w:t>
      </w:r>
      <w:r>
        <w:rPr>
          <w:rFonts w:ascii="Arial" w:cs="Arial" w:eastAsia="Arial" w:hAnsi="Arial"/>
          <w:sz w:val="18"/>
          <w:szCs w:val="18"/>
          <w:color w:val="auto"/>
        </w:rPr>
        <w:t>, when ordinary shares are deposited or withdrawn from deposit).</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Depositary fees payable upon the issuance and cancellation of ADSs are typically paid to the Depositary by the brokers (on behalf of their clients) receiving the newly issued ADSs from the Depositary and by the brokers (on behalf of their clients) delivering the ADSs to the Depositary for cancellation.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Depositary fees payable for cash distributions are generally deducted from the cash being distributed. In the case of distributions other than cash (i.e., stock dividend, rights), the Depositary charges the applicable fee to the ADS record date holders concurrent with the distribution. In the case of ADSs registered in the name of the investor (whether certificated or uncertificated in direct registration), the Depositary sends invoices to the applicable record date ADS holders. In the case of ADSs held in brokerage and custodian accounts (via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that the fees and charges that holders of our ADSs may be required to pay may vary over time and may be changed by us and by the Depositary. Holders of our ADSs will receive prior notice of such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147" w:name="page148"/>
    <w:bookmarkEnd w:id="147"/>
    <w:p>
      <w:pPr>
        <w:ind w:right="520"/>
        <w:spacing w:after="0" w:line="264" w:lineRule="auto"/>
        <w:rPr>
          <w:sz w:val="20"/>
          <w:szCs w:val="20"/>
          <w:color w:val="auto"/>
        </w:rPr>
      </w:pPr>
      <w:r>
        <w:rPr>
          <w:rFonts w:ascii="Arial" w:cs="Arial" w:eastAsia="Arial" w:hAnsi="Arial"/>
          <w:sz w:val="18"/>
          <w:szCs w:val="18"/>
          <w:color w:val="auto"/>
        </w:rPr>
        <w:t>The Depositary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may agree from time to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and termination</w:t>
      </w:r>
    </w:p>
    <w:p>
      <w:pPr>
        <w:spacing w:after="0" w:line="117"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We may agree with the Depositary to modify the deposit agreement at any time without the consent of the holders of our ADSs. We undertake to give holders 30 days’ prior notice of any modifications that would materially prejudice any of their substantial rights under the deposit agreement. We will not consider to be materially prejudicial to the substantial rights of the holders of our ADSs any modifications or supplements that are reasonably necessary for the ADSs to be registered under the Securities Act or to be eligible for book-entry settlement, in each case without imposing or increasing the fees and charges holders of our ADSs are required to pay. In addition, we may not be able to provide holders of our ADSs with prior notice of any modifications or supplements that are required to accommodate compliance with applicable provisions of law.</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Holders of our ADSs will be bound by the modifications to the deposit agreement if holders continue to hold such ADSs after the modifications to the deposit agreement become effective. The deposit agreement cannot be amended to prevent holders of our ADS from withdrawing the ordinary shares represented by such ADSs (except in order to comply with applicable by law).</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rights of the holders of our ADSs under the deposit agreement will be unaffected.</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holders of our ADSs request the cancellation of such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Books of depositary</w:t>
      </w:r>
    </w:p>
    <w:p>
      <w:pPr>
        <w:spacing w:after="0" w:line="117"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The Depositary will maintain ADS holder records at its depositary office. Holders of our ADSs may inspect such records at such office during regular business hours but solely for the purpose of communicating with other holders in the interest of business matters relating to the ADSs and the deposit agreement.</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obligations and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our obligations and the Depositary’s obligations to holders of our ADSs. Please note the following:</w:t>
      </w:r>
    </w:p>
    <w:p>
      <w:pPr>
        <w:spacing w:after="0" w:line="117" w:lineRule="exact"/>
        <w:rPr>
          <w:sz w:val="20"/>
          <w:szCs w:val="20"/>
          <w:color w:val="auto"/>
        </w:rPr>
      </w:pPr>
    </w:p>
    <w:p>
      <w:pPr>
        <w:ind w:left="820" w:hanging="407"/>
        <w:spacing w:after="0"/>
        <w:tabs>
          <w:tab w:leader="none" w:pos="8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and the Depositary are obligated only to take the actions specifically stated in the deposit agreement without negligence or bad faith.</w:t>
      </w:r>
    </w:p>
    <w:p>
      <w:pPr>
        <w:spacing w:after="0" w:line="128" w:lineRule="exact"/>
        <w:rPr>
          <w:rFonts w:ascii="Arial" w:cs="Arial" w:eastAsia="Arial" w:hAnsi="Arial"/>
          <w:sz w:val="17"/>
          <w:szCs w:val="17"/>
          <w:color w:val="auto"/>
        </w:rPr>
      </w:pPr>
    </w:p>
    <w:p>
      <w:pPr>
        <w:ind w:left="820" w:hanging="407"/>
        <w:spacing w:after="0" w:line="277" w:lineRule="auto"/>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2" w:lineRule="exact"/>
        <w:rPr>
          <w:rFonts w:ascii="Arial" w:cs="Arial" w:eastAsia="Arial" w:hAnsi="Arial"/>
          <w:sz w:val="18"/>
          <w:szCs w:val="18"/>
          <w:color w:val="auto"/>
        </w:rPr>
      </w:pPr>
    </w:p>
    <w:p>
      <w:pPr>
        <w:ind w:left="820" w:right="40" w:hanging="407"/>
        <w:spacing w:after="0" w:line="257" w:lineRule="auto"/>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of our ADSs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80" w:lineRule="exact"/>
        <w:rPr>
          <w:rFonts w:ascii="Arial" w:cs="Arial" w:eastAsia="Arial" w:hAnsi="Arial"/>
          <w:sz w:val="18"/>
          <w:szCs w:val="18"/>
          <w:color w:val="auto"/>
        </w:rPr>
      </w:pPr>
    </w:p>
    <w:p>
      <w:pPr>
        <w:ind w:left="820" w:hanging="407"/>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8" w:name="page149"/>
    <w:bookmarkEnd w:id="148"/>
    <w:p>
      <w:pPr>
        <w:ind w:left="820" w:right="60" w:hanging="407"/>
        <w:spacing w:after="0" w:line="302" w:lineRule="auto"/>
        <w:tabs>
          <w:tab w:leader="none" w:pos="8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46" w:lineRule="exact"/>
        <w:rPr>
          <w:rFonts w:ascii="Arial" w:cs="Arial" w:eastAsia="Arial" w:hAnsi="Arial"/>
          <w:sz w:val="16"/>
          <w:szCs w:val="16"/>
          <w:color w:val="auto"/>
        </w:rPr>
      </w:pPr>
    </w:p>
    <w:p>
      <w:pPr>
        <w:ind w:left="820" w:right="680" w:hanging="407"/>
        <w:spacing w:after="0" w:line="277" w:lineRule="auto"/>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62" w:lineRule="exact"/>
        <w:rPr>
          <w:rFonts w:ascii="Arial" w:cs="Arial" w:eastAsia="Arial" w:hAnsi="Arial"/>
          <w:sz w:val="18"/>
          <w:szCs w:val="18"/>
          <w:color w:val="auto"/>
        </w:rPr>
      </w:pPr>
    </w:p>
    <w:p>
      <w:pPr>
        <w:ind w:left="820" w:hanging="407"/>
        <w:spacing w:after="0" w:line="264" w:lineRule="auto"/>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3" w:lineRule="exact"/>
        <w:rPr>
          <w:rFonts w:ascii="Arial" w:cs="Arial" w:eastAsia="Arial" w:hAnsi="Arial"/>
          <w:sz w:val="18"/>
          <w:szCs w:val="18"/>
          <w:color w:val="auto"/>
        </w:rPr>
      </w:pPr>
    </w:p>
    <w:p>
      <w:pPr>
        <w:ind w:left="820" w:right="300" w:hanging="407"/>
        <w:spacing w:after="0" w:line="308" w:lineRule="auto"/>
        <w:tabs>
          <w:tab w:leader="none" w:pos="8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such holder.</w:t>
      </w:r>
    </w:p>
    <w:p>
      <w:pPr>
        <w:spacing w:after="0" w:line="38" w:lineRule="exact"/>
        <w:rPr>
          <w:rFonts w:ascii="Arial" w:cs="Arial" w:eastAsia="Arial" w:hAnsi="Arial"/>
          <w:sz w:val="17"/>
          <w:szCs w:val="17"/>
          <w:color w:val="auto"/>
        </w:rPr>
      </w:pPr>
    </w:p>
    <w:p>
      <w:pPr>
        <w:ind w:left="820" w:right="100" w:hanging="407"/>
        <w:spacing w:after="0" w:line="277" w:lineRule="auto"/>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any consequential or punitive damages for any breach of the terms of the deposit agreement.</w:t>
      </w:r>
    </w:p>
    <w:p>
      <w:pPr>
        <w:spacing w:after="0" w:line="140" w:lineRule="exact"/>
        <w:rPr>
          <w:rFonts w:ascii="Arial" w:cs="Arial" w:eastAsia="Arial" w:hAnsi="Arial"/>
          <w:sz w:val="16"/>
          <w:szCs w:val="16"/>
          <w:color w:val="auto"/>
        </w:rPr>
      </w:pPr>
    </w:p>
    <w:p>
      <w:pPr>
        <w:ind w:left="820" w:hanging="407"/>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Pre-release transactions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number of ADSs outstanding) and imposes a number of conditions on such transactions (i.e., the need to receive collateral, the type of collateral required, the representations required from brokers, etc.). The Depositary may retain the compensation received from the pre-release transactions.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Holders of our ADSs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of our ADSs will be liable for any deficiency if the sale proceeds do not cover the taxes that are due.</w:t>
      </w:r>
    </w:p>
    <w:p>
      <w:pPr>
        <w:spacing w:after="0" w:line="187"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such holders behalf. However, holders of our ADSs may be required to provide to the Depositary and to the custodian proof of taxpayer status and residence and such other information as the Depositary and the custodian may require to fulfill legal obligations. Holders of our ADSs are required to indemnify us, the Depositary and the custodian for any claims with respect to taxes based on any tax benefit obtained for such holders.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conversion</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Holders of our ADSs may have to pay fees and expenses incurred in converting foreign currency, such as fees and expenses incurred in complying with currency exchange controls and other governmental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9" w:name="page150"/>
    <w:bookmarkEnd w:id="149"/>
    <w:p>
      <w:pPr>
        <w:ind w:right="36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2" w:lineRule="exact"/>
        <w:rPr>
          <w:sz w:val="20"/>
          <w:szCs w:val="20"/>
          <w:color w:val="auto"/>
        </w:rPr>
      </w:pPr>
    </w:p>
    <w:p>
      <w:pPr>
        <w:ind w:left="820" w:right="560" w:hanging="407"/>
        <w:spacing w:after="0" w:line="277" w:lineRule="auto"/>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Law/Waiver of Jury Trial</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deposit agreement, the ADRs and the ADSs will be interpreted in accordance with the laws of the State of New York. The rights of holders of ordinary shares and preference shares (including ordinary shares and preference shares represented by ADSs) are governed by the laws of England and Wales.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Holders of our ADSs irrevocably agree that any legal action arising out of the Deposit Agreement, the ADSs or the ADRs, involving the Company or the Depositary, may only be instituted in a state or federal court in the city of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ADSs representing our ordinary shares are listed on the NASDAQ Capital Market under the symbol “AMRN.”</w:t>
      </w:r>
    </w:p>
    <w:p>
      <w:pPr>
        <w:sectPr>
          <w:pgSz w:w="11900" w:h="16838" w:orient="portrait"/>
          <w:cols w:equalWidth="0" w:num="1">
            <w:col w:w="11240"/>
          </w:cols>
          <w:pgMar w:left="240" w:top="341" w:right="4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Subsidiaries of the Registrant as of December 31,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Jurisdiction</w:t>
            </w:r>
          </w:p>
        </w:tc>
      </w:tr>
      <w:tr>
        <w:trPr>
          <w:trHeight w:val="242"/>
        </w:trPr>
        <w:tc>
          <w:tcPr>
            <w:tcW w:w="6740" w:type="dxa"/>
            <w:vAlign w:val="bottom"/>
          </w:tcPr>
          <w:p>
            <w:pPr>
              <w:spacing w:after="0"/>
              <w:rPr>
                <w:sz w:val="20"/>
                <w:szCs w:val="20"/>
                <w:color w:val="auto"/>
              </w:rPr>
            </w:pPr>
            <w:r>
              <w:rPr>
                <w:rFonts w:ascii="Arial" w:cs="Arial" w:eastAsia="Arial" w:hAnsi="Arial"/>
                <w:sz w:val="18"/>
                <w:szCs w:val="18"/>
                <w:color w:val="auto"/>
              </w:rPr>
              <w:t>Amarin Pharmaceuticals Ireland Limited</w:t>
            </w:r>
          </w:p>
        </w:tc>
        <w:tc>
          <w:tcPr>
            <w:tcW w:w="12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Amarin Pharma, Inc.</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Amarin Neuroscience Limited</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Scotland</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Corsicanto II DAC (placed into liquidation in September 2019)</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Ireland</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Ester Neurosciences Limited</w:t>
            </w: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Israel</w:t>
            </w:r>
          </w:p>
        </w:tc>
      </w:tr>
    </w:tbl>
    <w:p>
      <w:pPr>
        <w:sectPr>
          <w:pgSz w:w="11900" w:h="16838" w:orient="portrait"/>
          <w:cols w:equalWidth="0" w:num="1">
            <w:col w:w="10560"/>
          </w:cols>
          <w:pgMar w:left="1100" w:top="337"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77"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F-1 No. 333-163704) of Amarin Corporation plc,</w:t>
      </w:r>
    </w:p>
    <w:p>
      <w:pPr>
        <w:spacing w:after="0" w:line="76" w:lineRule="exact"/>
        <w:rPr>
          <w:rFonts w:ascii="Arial" w:cs="Arial" w:eastAsia="Arial" w:hAnsi="Arial"/>
          <w:sz w:val="18"/>
          <w:szCs w:val="18"/>
          <w:color w:val="auto"/>
        </w:rPr>
      </w:pPr>
    </w:p>
    <w:p>
      <w:pPr>
        <w:ind w:left="520" w:right="380" w:hanging="512"/>
        <w:spacing w:after="0" w:line="277"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Nos. 333-146839, 333-143358, 333-132520, 333-110704, 333-101775, and 333-168055) pertaining to the 2002 Stock Option Plan of Amarin Corporation plc,</w:t>
      </w:r>
    </w:p>
    <w:p>
      <w:pPr>
        <w:spacing w:after="0" w:line="21"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 333-168054) pertaining to the 2008 Long Term Incentive Award dated May 20, 2008 issued to Mr. Tom Maher, Mr. Alan Cooke, and Dr. Declan Doogan of Amarin Corporation plc</w:t>
      </w:r>
    </w:p>
    <w:p>
      <w:pPr>
        <w:spacing w:after="0" w:line="21"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Nos. 333-176877, 333-183160, 333-205863 and 333-219644) pertaining to the 2011 Stock Incentive Plan of Amarin Corporation plc,</w:t>
      </w:r>
    </w:p>
    <w:p>
      <w:pPr>
        <w:spacing w:after="0" w:line="21" w:lineRule="exact"/>
        <w:rPr>
          <w:rFonts w:ascii="Arial" w:cs="Arial" w:eastAsia="Arial" w:hAnsi="Arial"/>
          <w:sz w:val="18"/>
          <w:szCs w:val="18"/>
          <w:color w:val="auto"/>
        </w:rPr>
      </w:pPr>
    </w:p>
    <w:p>
      <w:pPr>
        <w:ind w:left="520" w:hanging="512"/>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 333-180180) pertaining to the Employment Inducement Award of Amarin Corporation plc,</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 333-84152) of Amarin Corporation plc,</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S-3 No. 333-216384) of Amarin Corporation plc, 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(Form S-3 No. 333-216385) of Amarin Corporation plc;</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(8)Registration Statement (Form S-3 No. 333-216385) of Amarin Corporation plc;</w:t>
      </w:r>
    </w:p>
    <w:p>
      <w:pPr>
        <w:spacing w:after="0" w:line="21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of our reports dated February 25, 2020, with respect to the consolidated financial statements of Amarin Corporation plc, and the effectiveness of internal control over financial reporting of Amarin Corporation plc included in this Annual Report (Form 10-K) of Amarin Corporation plc for the year ended December 31, 2019.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337"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77"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76"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520" w:right="400" w:hanging="512"/>
        <w:spacing w:after="0" w:line="306" w:lineRule="auto"/>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1040" w:right="420" w:hanging="519"/>
        <w:spacing w:after="0" w:line="264" w:lineRule="auto"/>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040" w:right="660" w:hanging="519"/>
        <w:spacing w:after="0" w:line="325" w:lineRule="auto"/>
        <w:tabs>
          <w:tab w:leader="none" w:pos="10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520" w:right="320" w:hanging="512"/>
        <w:spacing w:after="0" w:line="306" w:lineRule="auto"/>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color w:val="auto"/>
        </w:rPr>
        <w:t>Date: February 25, 2020</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23495</wp:posOffset>
            </wp:positionV>
            <wp:extent cx="37992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57" w:lineRule="exact"/>
        <w:rPr>
          <w:sz w:val="20"/>
          <w:szCs w:val="20"/>
          <w:color w:val="auto"/>
        </w:rPr>
      </w:pPr>
    </w:p>
    <w:p>
      <w:pPr>
        <w:jc w:val="center"/>
        <w:ind w:left="5300"/>
        <w:spacing w:after="0"/>
        <w:rPr>
          <w:sz w:val="20"/>
          <w:szCs w:val="20"/>
          <w:color w:val="auto"/>
        </w:rPr>
      </w:pPr>
      <w:r>
        <w:rPr>
          <w:rFonts w:ascii="Arial" w:cs="Arial" w:eastAsia="Arial" w:hAnsi="Arial"/>
          <w:sz w:val="18"/>
          <w:szCs w:val="18"/>
          <w:color w:val="auto"/>
        </w:rPr>
        <w:t>John F. Thero</w:t>
      </w:r>
    </w:p>
    <w:p>
      <w:pPr>
        <w:spacing w:after="0" w:line="23" w:lineRule="exact"/>
        <w:rPr>
          <w:sz w:val="20"/>
          <w:szCs w:val="20"/>
          <w:color w:val="auto"/>
        </w:rPr>
      </w:pPr>
    </w:p>
    <w:p>
      <w:pPr>
        <w:jc w:val="center"/>
        <w:ind w:left="53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53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77"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76"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520" w:right="400" w:hanging="512"/>
        <w:spacing w:after="0" w:line="306"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040" w:right="660" w:hanging="519"/>
        <w:spacing w:after="0" w:line="325" w:lineRule="auto"/>
        <w:tabs>
          <w:tab w:leader="none" w:pos="10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520" w:right="320" w:hanging="512"/>
        <w:spacing w:after="0" w:line="306"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Date: February 25, 2020</w:t>
            </w:r>
          </w:p>
        </w:tc>
        <w:tc>
          <w:tcPr>
            <w:tcW w:w="612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/s/ Michael W. Kalb</w:t>
            </w:r>
          </w:p>
        </w:tc>
      </w:tr>
      <w:tr>
        <w:trPr>
          <w:trHeight w:val="195"/>
        </w:trPr>
        <w:tc>
          <w:tcPr>
            <w:tcW w:w="5300" w:type="dxa"/>
            <w:vAlign w:val="bottom"/>
          </w:tcPr>
          <w:p>
            <w:pPr>
              <w:spacing w:after="0"/>
              <w:rPr>
                <w:sz w:val="16"/>
                <w:szCs w:val="16"/>
                <w:color w:val="auto"/>
              </w:rPr>
            </w:pPr>
          </w:p>
        </w:tc>
        <w:tc>
          <w:tcPr>
            <w:tcW w:w="6120" w:type="dxa"/>
            <w:vAlign w:val="bottom"/>
          </w:tcPr>
          <w:p>
            <w:pPr>
              <w:jc w:val="center"/>
              <w:spacing w:after="0" w:line="195" w:lineRule="exact"/>
              <w:rPr>
                <w:sz w:val="20"/>
                <w:szCs w:val="20"/>
                <w:color w:val="auto"/>
              </w:rPr>
            </w:pPr>
            <w:r>
              <w:rPr>
                <w:rFonts w:ascii="Arial" w:cs="Arial" w:eastAsia="Arial" w:hAnsi="Arial"/>
                <w:sz w:val="18"/>
                <w:szCs w:val="18"/>
                <w:color w:val="auto"/>
                <w:w w:val="95"/>
              </w:rPr>
              <w:t>Michael W. Kalb</w:t>
            </w:r>
          </w:p>
        </w:tc>
      </w:tr>
      <w:tr>
        <w:trPr>
          <w:trHeight w:val="216"/>
        </w:trPr>
        <w:tc>
          <w:tcPr>
            <w:tcW w:w="5300" w:type="dxa"/>
            <w:vAlign w:val="bottom"/>
          </w:tcPr>
          <w:p>
            <w:pPr>
              <w:spacing w:after="0"/>
              <w:rPr>
                <w:sz w:val="18"/>
                <w:szCs w:val="18"/>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Financial Officer</w:t>
            </w:r>
          </w:p>
        </w:tc>
      </w:tr>
      <w:tr>
        <w:trPr>
          <w:trHeight w:val="230"/>
        </w:trPr>
        <w:tc>
          <w:tcPr>
            <w:tcW w:w="530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and Principal Accounting Officer)</w:t>
            </w:r>
          </w:p>
        </w:tc>
      </w:tr>
    </w:tbl>
    <w:p>
      <w:pPr>
        <w:sectPr>
          <w:pgSz w:w="11900" w:h="16838" w:orient="portrait"/>
          <w:cols w:equalWidth="0" w:num="1">
            <w:col w:w="11420"/>
          </w:cols>
          <w:pgMar w:left="240" w:top="338"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38" w:lineRule="exact"/>
        <w:rPr>
          <w:sz w:val="20"/>
          <w:szCs w:val="20"/>
          <w:color w:val="auto"/>
        </w:rPr>
      </w:pPr>
    </w:p>
    <w:p>
      <w:pPr>
        <w:ind w:left="520" w:right="380" w:hanging="512"/>
        <w:spacing w:after="0" w:line="306" w:lineRule="auto"/>
        <w:tabs>
          <w:tab w:leader="none" w:pos="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Company’s Annual Report on Form 10-K for the period ended December 31, 2019, to which this Certification is attached as Exhibit 32.1 (the “Annual Report”) fully complies with the requirements of Section 13(a) or 15(d) of the Securities Exchange Act of 1934; and</w:t>
      </w:r>
    </w:p>
    <w:p>
      <w:pPr>
        <w:spacing w:after="0" w:line="1" w:lineRule="exact"/>
        <w:rPr>
          <w:rFonts w:ascii="Arial" w:cs="Arial" w:eastAsia="Arial" w:hAnsi="Arial"/>
          <w:sz w:val="17"/>
          <w:szCs w:val="17"/>
          <w:color w:val="auto"/>
        </w:rPr>
      </w:pPr>
    </w:p>
    <w:p>
      <w:pPr>
        <w:ind w:left="520" w:right="660" w:hanging="512"/>
        <w:spacing w:after="0" w:line="277" w:lineRule="auto"/>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at the end of such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2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42"/>
        </w:trPr>
        <w:tc>
          <w:tcPr>
            <w:tcW w:w="5820" w:type="dxa"/>
            <w:vAlign w:val="bottom"/>
          </w:tcPr>
          <w:p>
            <w:pPr>
              <w:spacing w:after="0"/>
              <w:rPr>
                <w:sz w:val="20"/>
                <w:szCs w:val="20"/>
                <w:color w:val="auto"/>
              </w:rPr>
            </w:pPr>
            <w:r>
              <w:rPr>
                <w:rFonts w:ascii="Arial" w:cs="Arial" w:eastAsia="Arial" w:hAnsi="Arial"/>
                <w:sz w:val="18"/>
                <w:szCs w:val="18"/>
                <w:color w:val="auto"/>
              </w:rPr>
              <w:t>Date: February 25, 2020</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439"/>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 Kalb</w:t>
            </w:r>
          </w:p>
        </w:tc>
      </w:tr>
      <w:tr>
        <w:trPr>
          <w:trHeight w:val="242"/>
        </w:trPr>
        <w:tc>
          <w:tcPr>
            <w:tcW w:w="5820" w:type="dxa"/>
            <w:vAlign w:val="bottom"/>
          </w:tcPr>
          <w:p>
            <w:pPr>
              <w:spacing w:after="0"/>
              <w:rPr>
                <w:sz w:val="20"/>
                <w:szCs w:val="20"/>
                <w:color w:val="auto"/>
              </w:rPr>
            </w:pPr>
            <w:r>
              <w:rPr>
                <w:rFonts w:ascii="Arial" w:cs="Arial" w:eastAsia="Arial" w:hAnsi="Arial"/>
                <w:sz w:val="18"/>
                <w:szCs w:val="18"/>
                <w:color w:val="auto"/>
              </w:rPr>
              <w:t>Date: February 25, 2020</w:t>
            </w:r>
          </w:p>
        </w:tc>
        <w:tc>
          <w:tcPr>
            <w:tcW w:w="5600" w:type="dxa"/>
            <w:vAlign w:val="bottom"/>
          </w:tcPr>
          <w:p>
            <w:pPr>
              <w:spacing w:after="0"/>
              <w:rPr>
                <w:sz w:val="20"/>
                <w:szCs w:val="20"/>
                <w:color w:val="auto"/>
              </w:rPr>
            </w:pPr>
            <w:r>
              <w:rPr>
                <w:rFonts w:ascii="Arial" w:cs="Arial" w:eastAsia="Arial" w:hAnsi="Arial"/>
                <w:sz w:val="18"/>
                <w:szCs w:val="18"/>
                <w:color w:val="auto"/>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4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55" w:name="page156"/>
    <w:bookmarkEnd w:id="1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upperLetter"/>
      <w:start w:val="70"/>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1"/>
      <w:numFmt w:val="upperLetter"/>
      <w:start w:val="35"/>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1)"/>
      <w:numFmt w:val="lowerRoman"/>
      <w:start w:val="1"/>
    </w:lvl>
  </w:abstractNum>
  <w:abstractNum w:abstractNumId="10">
    <w:nsid w:val="32FFF902"/>
    <w:multiLevelType w:val="hybridMultilevel"/>
    <w:lvl w:ilvl="0">
      <w:lvlJc w:val="left"/>
      <w:lvlText w:val="(%1)"/>
      <w:numFmt w:val="lowerRoman"/>
      <w:start w:val="4"/>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upperLetter"/>
      <w:start w:val="9"/>
    </w:lvl>
  </w:abstractNum>
  <w:abstractNum w:abstractNumId="18">
    <w:nsid w:val="12E685FB"/>
    <w:multiLevelType w:val="hybridMultilevel"/>
    <w:lvl w:ilvl="0">
      <w:lvlJc w:val="left"/>
      <w:lvlText w:val="(%1)"/>
      <w:numFmt w:val="upperLetter"/>
      <w:start w:val="35"/>
    </w:lvl>
  </w:abstractNum>
  <w:abstractNum w:abstractNumId="19">
    <w:nsid w:val="70C6A529"/>
    <w:multiLevelType w:val="hybridMultilevel"/>
    <w:lvl w:ilvl="0">
      <w:lvlJc w:val="left"/>
      <w:lvlText w:val="(%1)"/>
      <w:numFmt w:val="upperLetter"/>
      <w:start w:val="6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lowerRoman"/>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lowerRoman"/>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4"/>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1)"/>
      <w:numFmt w:val="decimal"/>
      <w:start w:val="3"/>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lowerRoman"/>
      <w:start w:val="1"/>
    </w:lvl>
  </w:abstractNum>
  <w:abstractNum w:abstractNumId="60">
    <w:nsid w:val="661E3F1E"/>
    <w:multiLevelType w:val="hybridMultilevel"/>
    <w:lvl w:ilvl="0">
      <w:lvlJc w:val="left"/>
      <w:lvlText w:val="%1)"/>
      <w:numFmt w:val="decimal"/>
      <w:start w:val="1"/>
    </w:lvl>
  </w:abstractNum>
  <w:abstractNum w:abstractNumId="61">
    <w:nsid w:val="5DC79EA8"/>
    <w:multiLevelType w:val="hybridMultilevel"/>
    <w:lvl w:ilvl="0">
      <w:lvlJc w:val="left"/>
      <w:lvlText w:val="(%1)"/>
      <w:numFmt w:val="decimal"/>
      <w:start w:val="8"/>
    </w:lvl>
  </w:abstractNum>
  <w:abstractNum w:abstractNumId="62">
    <w:nsid w:val="540A471C"/>
    <w:multiLevelType w:val="hybridMultilevel"/>
    <w:lvl w:ilvl="0">
      <w:lvlJc w:val="left"/>
      <w:lvlText w:val="(%1)"/>
      <w:numFmt w:val="decimal"/>
      <w:start w:val="9"/>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1)"/>
      <w:numFmt w:val="decimal"/>
      <w:start w:val="14"/>
    </w:lvl>
  </w:abstractNum>
  <w:abstractNum w:abstractNumId="65">
    <w:nsid w:val="613EFDC5"/>
    <w:multiLevelType w:val="hybridMultilevel"/>
    <w:lvl w:ilvl="0">
      <w:lvlJc w:val="left"/>
      <w:lvlText w:val="(%1)"/>
      <w:numFmt w:val="lowerRoman"/>
      <w:start w:val="2"/>
    </w:lvl>
  </w:abstractNum>
  <w:abstractNum w:abstractNumId="66">
    <w:nsid w:val="BF72B14"/>
    <w:multiLevelType w:val="hybridMultilevel"/>
    <w:lvl w:ilvl="0">
      <w:lvlJc w:val="left"/>
      <w:lvlText w:val="(%1)"/>
      <w:numFmt w:val="decimal"/>
      <w:start w:val="16"/>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9" Type="http://schemas.openxmlformats.org/officeDocument/2006/relationships/image" Target="media/image109.png"/><Relationship Id="rId146" Type="http://schemas.openxmlformats.org/officeDocument/2006/relationships/image" Target="media/image110.png"/><Relationship Id="rId160" Type="http://schemas.openxmlformats.org/officeDocument/2006/relationships/image" Target="media/image111.png"/><Relationship Id="rId173" Type="http://schemas.openxmlformats.org/officeDocument/2006/relationships/image" Target="media/image112.png"/><Relationship Id="rId181" Type="http://schemas.openxmlformats.org/officeDocument/2006/relationships/image" Target="media/image113.png"/><Relationship Id="rId182" Type="http://schemas.openxmlformats.org/officeDocument/2006/relationships/image" Target="media/image114.png"/><Relationship Id="rId183" Type="http://schemas.openxmlformats.org/officeDocument/2006/relationships/image" Target="media/image115.png"/><Relationship Id="rId184" Type="http://schemas.openxmlformats.org/officeDocument/2006/relationships/image" Target="media/image116.png"/><Relationship Id="rId185" Type="http://schemas.openxmlformats.org/officeDocument/2006/relationships/image" Target="media/image117.png"/><Relationship Id="rId186" Type="http://schemas.openxmlformats.org/officeDocument/2006/relationships/image" Target="media/image118.png"/><Relationship Id="rId187" Type="http://schemas.openxmlformats.org/officeDocument/2006/relationships/image" Target="media/image119.png"/><Relationship Id="rId188" Type="http://schemas.openxmlformats.org/officeDocument/2006/relationships/image" Target="media/image120.png"/><Relationship Id="rId189" Type="http://schemas.openxmlformats.org/officeDocument/2006/relationships/image" Target="media/image121.png"/><Relationship Id="rId190" Type="http://schemas.openxmlformats.org/officeDocument/2006/relationships/image" Target="media/image122.png"/><Relationship Id="rId191" Type="http://schemas.openxmlformats.org/officeDocument/2006/relationships/image" Target="media/image123.png"/><Relationship Id="rId192" Type="http://schemas.openxmlformats.org/officeDocument/2006/relationships/image" Target="media/image124.png"/><Relationship Id="rId193" Type="http://schemas.openxmlformats.org/officeDocument/2006/relationships/image" Target="media/image125.png"/><Relationship Id="rId194" Type="http://schemas.openxmlformats.org/officeDocument/2006/relationships/image" Target="media/image126.png"/><Relationship Id="rId195" Type="http://schemas.openxmlformats.org/officeDocument/2006/relationships/image" Target="media/image127.png"/><Relationship Id="rId196" Type="http://schemas.openxmlformats.org/officeDocument/2006/relationships/image" Target="media/image128.png"/><Relationship Id="rId197" Type="http://schemas.openxmlformats.org/officeDocument/2006/relationships/image" Target="media/image129.png"/><Relationship Id="rId198" Type="http://schemas.openxmlformats.org/officeDocument/2006/relationships/image" Target="media/image130.png"/><Relationship Id="rId199" Type="http://schemas.openxmlformats.org/officeDocument/2006/relationships/image" Target="media/image131.png"/><Relationship Id="rId200" Type="http://schemas.openxmlformats.org/officeDocument/2006/relationships/image" Target="media/image132.png"/><Relationship Id="rId201" Type="http://schemas.openxmlformats.org/officeDocument/2006/relationships/image" Target="media/image133.png"/><Relationship Id="rId202" Type="http://schemas.openxmlformats.org/officeDocument/2006/relationships/image" Target="media/image134.png"/><Relationship Id="rId203" Type="http://schemas.openxmlformats.org/officeDocument/2006/relationships/image" Target="media/image135.png"/><Relationship Id="rId204" Type="http://schemas.openxmlformats.org/officeDocument/2006/relationships/image" Target="media/image136.png"/><Relationship Id="rId205" Type="http://schemas.openxmlformats.org/officeDocument/2006/relationships/image" Target="media/image137.png"/><Relationship Id="rId206" Type="http://schemas.openxmlformats.org/officeDocument/2006/relationships/image" Target="media/image138.png"/><Relationship Id="rId207" Type="http://schemas.openxmlformats.org/officeDocument/2006/relationships/image" Target="media/image139.png"/><Relationship Id="rId208" Type="http://schemas.openxmlformats.org/officeDocument/2006/relationships/image" Target="media/image140.png"/><Relationship Id="rId209" Type="http://schemas.openxmlformats.org/officeDocument/2006/relationships/image" Target="media/image141.png"/><Relationship Id="rId210" Type="http://schemas.openxmlformats.org/officeDocument/2006/relationships/image" Target="media/image142.png"/><Relationship Id="rId211" Type="http://schemas.openxmlformats.org/officeDocument/2006/relationships/image" Target="media/image143.png"/><Relationship Id="rId212" Type="http://schemas.openxmlformats.org/officeDocument/2006/relationships/image" Target="media/image144.png"/><Relationship Id="rId213" Type="http://schemas.openxmlformats.org/officeDocument/2006/relationships/image" Target="media/image145.png"/><Relationship Id="rId214"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3" Type="http://schemas.openxmlformats.org/officeDocument/2006/relationships/image" Target="media/image165.png"/><Relationship Id="rId234" Type="http://schemas.openxmlformats.org/officeDocument/2006/relationships/image" Target="media/image166.png"/><Relationship Id="rId116" Type="http://schemas.openxmlformats.org/officeDocument/2006/relationships/hyperlink" Target="http://www.sec.gov/Archives/edgar/data/0000897448/000119312513326829/d543388dex31.htm" TargetMode="External"/><Relationship Id="rId117" Type="http://schemas.openxmlformats.org/officeDocument/2006/relationships/hyperlink" Target="http://www.sec.gov/Archives/edgar/data/897448/000119312512089181/d264858dex41.htm" TargetMode="External"/><Relationship Id="rId118" Type="http://schemas.openxmlformats.org/officeDocument/2006/relationships/hyperlink" Target="http://www.sec.gov/Archives/edgar/data/897448/000115697303000610/u46086exv2w4.txt" TargetMode="External"/><Relationship Id="rId119" Type="http://schemas.openxmlformats.org/officeDocument/2006/relationships/hyperlink" Target="http://www.sec.gov/Archives/edgar/data/897448/000119312512089181/d264858dex44.htm" TargetMode="External"/><Relationship Id="rId120" Type="http://schemas.openxmlformats.org/officeDocument/2006/relationships/hyperlink" Target="http://www.sec.gov/Archives/edgar/data/897448/000119312515086411/d885575dex41.htm" TargetMode="External"/><Relationship Id="rId121" Type="http://schemas.openxmlformats.org/officeDocument/2006/relationships/hyperlink" Target="http://www.sec.gov/Archives/edgar/data/897448/000119312515111848/d899900dex41.htm" TargetMode="External"/><Relationship Id="rId122" Type="http://schemas.openxmlformats.org/officeDocument/2006/relationships/hyperlink" Target="http://www.sec.gov/Archives/edgar/data/897448/000115697307000341/u51347exv4w17.htm" TargetMode="External"/><Relationship Id="rId123" Type="http://schemas.openxmlformats.org/officeDocument/2006/relationships/hyperlink" Target="http://www.sec.gov/Archives/edgar/data/897448/000119312511216699/dex104.htm" TargetMode="External"/><Relationship Id="rId124" Type="http://schemas.openxmlformats.org/officeDocument/2006/relationships/hyperlink" Target="http://www.sec.gov/Archives/edgar/data/897448/000119312512344051/d361109dex101.htm" TargetMode="External"/><Relationship Id="rId125" Type="http://schemas.openxmlformats.org/officeDocument/2006/relationships/hyperlink" Target="http://www.sec.gov/Archives/edgar/data/897448/000119312512344051/d361109dex102.htm" TargetMode="External"/><Relationship Id="rId126" Type="http://schemas.openxmlformats.org/officeDocument/2006/relationships/hyperlink" Target="http://www.sec.gov/Archives/edgar/data/897448/000119312513084191/d456797dex105.htm" TargetMode="External"/><Relationship Id="rId127" Type="http://schemas.openxmlformats.org/officeDocument/2006/relationships/hyperlink" Target="http://www.sec.gov/Archives/edgar/data/897448/000119312515280984/d945909dex41.htm" TargetMode="External"/><Relationship Id="rId128" Type="http://schemas.openxmlformats.org/officeDocument/2006/relationships/hyperlink" Target="http://www.sec.gov/Archives/edgar/data/897448/000119312515280984/d945909dex42.htm" TargetMode="External"/><Relationship Id="rId130" Type="http://schemas.openxmlformats.org/officeDocument/2006/relationships/hyperlink" Target="http://www.sec.gov/Archives/edgar/data/897448/000119312511068866/dex1044.htm" TargetMode="External"/><Relationship Id="rId131" Type="http://schemas.openxmlformats.org/officeDocument/2006/relationships/hyperlink" Target="http://www.sec.gov/Archives/edgar/data/897448/000119312512089181/d264858dex103.htm" TargetMode="External"/><Relationship Id="rId132" Type="http://schemas.openxmlformats.org/officeDocument/2006/relationships/hyperlink" Target="http://www.sec.gov/Archives/edgar/data/897448/000119312512089181/d264858dex104.htm" TargetMode="External"/><Relationship Id="rId133" Type="http://schemas.openxmlformats.org/officeDocument/2006/relationships/hyperlink" Target="http://www.sec.gov/Archives/edgar/data/897448/000119312512089181/d264858dex105.htm" TargetMode="External"/><Relationship Id="rId134" Type="http://schemas.openxmlformats.org/officeDocument/2006/relationships/hyperlink" Target="http://www.sec.gov/Archives/edgar/data/897448/000119312511068866/dex1042.htm" TargetMode="External"/><Relationship Id="rId135" Type="http://schemas.openxmlformats.org/officeDocument/2006/relationships/hyperlink" Target="http://www.sec.gov/Archives/edgar/data/897448/000119312511351925/d273062dex105.htm" TargetMode="External"/><Relationship Id="rId136" Type="http://schemas.openxmlformats.org/officeDocument/2006/relationships/hyperlink" Target="http://www.sec.gov/Archives/edgar/data/897448/000119312511351925/d273062dex101.htm" TargetMode="External"/><Relationship Id="rId137" Type="http://schemas.openxmlformats.org/officeDocument/2006/relationships/hyperlink" Target="http://www.sec.gov/Archives/edgar/data/897448/000119312512064391/d302169dex101.htm" TargetMode="External"/><Relationship Id="rId138" Type="http://schemas.openxmlformats.org/officeDocument/2006/relationships/hyperlink" Target="http://www.sec.gov/Archives/edgar/data/897448/000119312514008154/d659029dex101.htm" TargetMode="External"/><Relationship Id="rId139" Type="http://schemas.openxmlformats.org/officeDocument/2006/relationships/hyperlink" Target="http://www.sec.gov/Archives/edgar/data/897448/000119312515280984/d945909dex101.htm" TargetMode="External"/><Relationship Id="rId140" Type="http://schemas.openxmlformats.org/officeDocument/2006/relationships/hyperlink" Target="http://www.sec.gov/Archives/edgar/data/897448/000119312515280984/d945909dex102.htm" TargetMode="External"/><Relationship Id="rId141" Type="http://schemas.openxmlformats.org/officeDocument/2006/relationships/hyperlink" Target="http://www.sec.gov/Archives/edgar/data/897448/000119312515280984/d945909dex103.htm" TargetMode="External"/><Relationship Id="rId142" Type="http://schemas.openxmlformats.org/officeDocument/2006/relationships/hyperlink" Target="http://www.sec.gov/Archives/edgar/data/897448/000119312512119766/d317347dex41.htm" TargetMode="External"/><Relationship Id="rId143" Type="http://schemas.openxmlformats.org/officeDocument/2006/relationships/hyperlink" Target="http://www.sec.gov/Archives/edgar/data/897448/000119312512119766/d317347dex42.htm" TargetMode="External"/><Relationship Id="rId144" Type="http://schemas.openxmlformats.org/officeDocument/2006/relationships/hyperlink" Target="http://www.sec.gov/Archives/edgar/data/897448/000095016209000505/ex4_104.htm" TargetMode="External"/><Relationship Id="rId145" Type="http://schemas.openxmlformats.org/officeDocument/2006/relationships/hyperlink" Target="http://www.sec.gov/Archives/edgar/data/897448/000095016208000052/ex99_1.htm" TargetMode="External"/><Relationship Id="rId147" Type="http://schemas.openxmlformats.org/officeDocument/2006/relationships/hyperlink" Target="http://www.sec.gov/Archives/edgar/data/897448/000095016208000056/ex99_1.htm" TargetMode="External"/><Relationship Id="rId148" Type="http://schemas.openxmlformats.org/officeDocument/2006/relationships/hyperlink" Target="http://www.sec.gov/Archives/edgar/data/897448/000095016208000232/ex4_79.htm" TargetMode="External"/><Relationship Id="rId149" Type="http://schemas.openxmlformats.org/officeDocument/2006/relationships/hyperlink" Target="http://www.sec.gov/Archives/edgar/data/897448/000095016209000453/ex4_80.htm" TargetMode="External"/><Relationship Id="rId150" Type="http://schemas.openxmlformats.org/officeDocument/2006/relationships/hyperlink" Target="http://www.sec.gov/Archives/edgar/data/897448/000095016208000232/ex4_81.htm" TargetMode="External"/><Relationship Id="rId151" Type="http://schemas.openxmlformats.org/officeDocument/2006/relationships/hyperlink" Target="http://www.sec.gov/Archives/edgar/data/897448/000095016209000491/ex4_88.htm" TargetMode="External"/><Relationship Id="rId152" Type="http://schemas.openxmlformats.org/officeDocument/2006/relationships/hyperlink" Target="http://www.sec.gov/Archives/edgar/data/897448/000095016209000453/ex4_94.htm" TargetMode="External"/><Relationship Id="rId153" Type="http://schemas.openxmlformats.org/officeDocument/2006/relationships/hyperlink" Target="http://www.sec.gov/Archives/edgar/data/897448/000095016209000505/ex4_105.htm" TargetMode="External"/><Relationship Id="rId154" Type="http://schemas.openxmlformats.org/officeDocument/2006/relationships/hyperlink" Target="http://www.sec.gov/Archives/edgar/data/897448/000095016209000453/ex4_97.htm" TargetMode="External"/><Relationship Id="rId155" Type="http://schemas.openxmlformats.org/officeDocument/2006/relationships/hyperlink" Target="http://www.sec.gov/Archives/edgar/data/897448/000119312510146179/dex4100.htm" TargetMode="External"/><Relationship Id="rId156" Type="http://schemas.openxmlformats.org/officeDocument/2006/relationships/hyperlink" Target="http://www.sec.gov/Archives/edgar/data/897448/000119312511068866/dex1040.htm" TargetMode="External"/><Relationship Id="rId157" Type="http://schemas.openxmlformats.org/officeDocument/2006/relationships/hyperlink" Target="http://www.sec.gov/Archives/edgar/data/897448/000119312511216699/dex102.htm" TargetMode="External"/><Relationship Id="rId158" Type="http://schemas.openxmlformats.org/officeDocument/2006/relationships/hyperlink" Target="http://www.sec.gov/Archives/edgar/data/897448/000119312512344051/d361109dex106.htm" TargetMode="External"/><Relationship Id="rId159" Type="http://schemas.openxmlformats.org/officeDocument/2006/relationships/hyperlink" Target="http://www.sec.gov/Archives/edgar/data/897448/000119312512460371/d403426dex101.htm" TargetMode="External"/><Relationship Id="rId161" Type="http://schemas.openxmlformats.org/officeDocument/2006/relationships/hyperlink" Target="http://www.sec.gov/Archives/edgar/data/897448/000119312513084191/d456797dex1076.htm" TargetMode="External"/><Relationship Id="rId162" Type="http://schemas.openxmlformats.org/officeDocument/2006/relationships/hyperlink" Target="http://www.sec.gov/Archives/edgar/data/897448/000119312514191000/d708097dex101.htm" TargetMode="External"/><Relationship Id="rId163" Type="http://schemas.openxmlformats.org/officeDocument/2006/relationships/hyperlink" Target="http://www.sec.gov/Archives/edgar/data/897448/000119312515178199/d911115dex101.htm" TargetMode="External"/><Relationship Id="rId164" Type="http://schemas.openxmlformats.org/officeDocument/2006/relationships/hyperlink" Target="http://www.sec.gov/Archives/edgar/data/897448/000119312515086411/d885575dex101.htm" TargetMode="External"/><Relationship Id="rId165" Type="http://schemas.openxmlformats.org/officeDocument/2006/relationships/hyperlink" Target="http://www.sec.gov/Archives/edgar/data/897448/000119312515111848/d899900dex101.htm" TargetMode="External"/><Relationship Id="rId166" Type="http://schemas.openxmlformats.org/officeDocument/2006/relationships/hyperlink" Target="http://www.sec.gov/Archives/edgar/data/897448/000119312516638222/d217819dex101.htm" TargetMode="External"/><Relationship Id="rId167" Type="http://schemas.openxmlformats.org/officeDocument/2006/relationships/hyperlink" Target="http://www.sec.gov/Archives/edgar/data/0000897448/000156459017014760/amrn-ex41_111.htm" TargetMode="External"/><Relationship Id="rId168" Type="http://schemas.openxmlformats.org/officeDocument/2006/relationships/hyperlink" Target="http://www.sec.gov/Archives/edgar/data/0000897448/000156459018003389/amrn-ex1064_140.htm" TargetMode="External"/><Relationship Id="rId169" Type="http://schemas.openxmlformats.org/officeDocument/2006/relationships/hyperlink" Target="http://www.sec.gov/Archives/edgar/data/0000897448/000156459017014760/amrn-ex101_312.htm" TargetMode="External"/><Relationship Id="rId170" Type="http://schemas.openxmlformats.org/officeDocument/2006/relationships/hyperlink" Target="http://www.sec.gov/Archives/edgar/data/0000897448/000156459018003389/amrn-ex1066_210.htm" TargetMode="External"/><Relationship Id="rId171" Type="http://schemas.openxmlformats.org/officeDocument/2006/relationships/hyperlink" Target="http://www.sec.gov/Archives/edgar/data/0000897448/000156459018003389/amrn-ex1067_469.htm" TargetMode="External"/><Relationship Id="rId172" Type="http://schemas.openxmlformats.org/officeDocument/2006/relationships/hyperlink" Target="http://www.sec.gov/Archives/edgar/data/0000897448/000156459018003389/amrn-ex1068_470.htm" TargetMode="External"/><Relationship Id="rId174" Type="http://schemas.openxmlformats.org/officeDocument/2006/relationships/hyperlink" Target="http://www.sec.gov/Archives/edgar/data/0000897448/000156459019004655/amrn-ex1069_187.htm" TargetMode="External"/><Relationship Id="rId175" Type="http://schemas.openxmlformats.org/officeDocument/2006/relationships/hyperlink" Target="http://www.sec.gov/Archives/edgar/data/0000897448/000156459019014555/amrn-ex101_224.htm" TargetMode="External"/><Relationship Id="rId176" Type="http://schemas.openxmlformats.org/officeDocument/2006/relationships/hyperlink" Target="http://www.sec.gov/Archives/edgar/data/0000897448/000156459019027188/amrn-ex101_101.htm" TargetMode="External"/><Relationship Id="rId177" Type="http://schemas.openxmlformats.org/officeDocument/2006/relationships/hyperlink" Target="http://www.sec.gov/Archives/edgar/data/0000897448/000156459019027188/amrn-ex102_257.htm" TargetMode="External"/><Relationship Id="rId178" Type="http://schemas.openxmlformats.org/officeDocument/2006/relationships/hyperlink" Target="http://www.sec.gov/Archives/edgar/data/0000897448/000156459019027188/amrn-ex103_324.htm" TargetMode="External"/><Relationship Id="rId179" Type="http://schemas.openxmlformats.org/officeDocument/2006/relationships/hyperlink" Target="http://www.sec.gov/Archives/edgar/data/0000897448/000156459019027188/amrn-ex104_258.htm" TargetMode="External"/><Relationship Id="rId180" Type="http://schemas.openxmlformats.org/officeDocument/2006/relationships/hyperlink" Target="http://www.sec.gov/Archives/edgar/data/897448/00011931251025541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2020-02-25T15:19:57Z</dcterms:created>
  <dcterms:modified xsi:type="dcterms:W3CDTF">2020-02-25T15:19:57Z</dcterms:modified>
</cp:coreProperties>
</file>