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6995795" cy="4857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5775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Berg Aaron</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AMARIN PHARMA,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US HIGHWAY 22</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AMARIN CORP PLC\UK</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AMRN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54"/>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84"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Pr>
          <w:p>
            <w:pPr>
              <w:ind w:left="300"/>
              <w:spacing w:after="0"/>
              <w:rPr>
                <w:sz w:val="20"/>
                <w:szCs w:val="20"/>
                <w:color w:val="auto"/>
              </w:rPr>
            </w:pPr>
            <w:r>
              <w:rPr>
                <w:rFonts w:ascii="Arial" w:cs="Arial" w:eastAsia="Arial" w:hAnsi="Arial"/>
                <w:sz w:val="13"/>
                <w:szCs w:val="13"/>
                <w:color w:val="auto"/>
                <w:w w:val="97"/>
              </w:rPr>
              <w:t>6. Individual or Joint/Group Filing (Check Applicable</w:t>
            </w:r>
          </w:p>
        </w:tc>
        <w:tc>
          <w:tcPr>
            <w:tcW w:w="0" w:type="dxa"/>
            <w:vAlign w:val="bottom"/>
          </w:tcPr>
          <w:p>
            <w:pPr>
              <w:spacing w:after="0"/>
              <w:rPr>
                <w:sz w:val="1"/>
                <w:szCs w:val="1"/>
                <w:color w:val="auto"/>
              </w:rPr>
            </w:pPr>
          </w:p>
        </w:tc>
      </w:tr>
      <w:tr>
        <w:trPr>
          <w:trHeight w:val="167"/>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20" w:type="dxa"/>
            <w:vAlign w:val="bottom"/>
          </w:tcPr>
          <w:p>
            <w:pPr>
              <w:ind w:left="30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89"/>
        </w:trPr>
        <w:tc>
          <w:tcPr>
            <w:tcW w:w="196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220" w:type="dxa"/>
            <w:vAlign w:val="bottom"/>
            <w:vMerge w:val="restart"/>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70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color w:val="0000FF"/>
              </w:rPr>
              <w:t>08807</w:t>
            </w:r>
          </w:p>
        </w:tc>
        <w:tc>
          <w:tcPr>
            <w:tcW w:w="36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3680" w:type="dxa"/>
            <w:vAlign w:val="bottom"/>
          </w:tcPr>
          <w:p>
            <w:pPr>
              <w:spacing w:after="0"/>
              <w:rPr>
                <w:sz w:val="9"/>
                <w:szCs w:val="9"/>
                <w:color w:val="auto"/>
              </w:rPr>
            </w:pPr>
          </w:p>
        </w:tc>
        <w:tc>
          <w:tcPr>
            <w:tcW w:w="3220" w:type="dxa"/>
            <w:vAlign w:val="bottom"/>
            <w:vMerge w:val="restart"/>
          </w:tcPr>
          <w:p>
            <w:pPr>
              <w:ind w:left="8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68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4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680" w:type="dxa"/>
            <w:vAlign w:val="bottom"/>
          </w:tcPr>
          <w:p>
            <w:pPr>
              <w:spacing w:after="0"/>
              <w:rPr>
                <w:sz w:val="5"/>
                <w:szCs w:val="5"/>
                <w:color w:val="auto"/>
              </w:rPr>
            </w:pPr>
          </w:p>
        </w:tc>
        <w:tc>
          <w:tcPr>
            <w:tcW w:w="3220" w:type="dxa"/>
            <w:vAlign w:val="bottom"/>
            <w:vMerge w:val="restart"/>
          </w:tcPr>
          <w:p>
            <w:pPr>
              <w:ind w:left="8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68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40" w:type="dxa"/>
            <w:vAlign w:val="bottom"/>
            <w:tcBorders>
              <w:bottom w:val="single" w:sz="8" w:color="2C2C2C"/>
            </w:tcBorders>
            <w:gridSpan w:val="2"/>
          </w:tcPr>
          <w:p>
            <w:pPr>
              <w:jc w:val="center"/>
              <w:ind w:left="674"/>
              <w:spacing w:after="0"/>
              <w:rPr>
                <w:sz w:val="20"/>
                <w:szCs w:val="20"/>
                <w:color w:val="auto"/>
              </w:rPr>
            </w:pPr>
            <w:r>
              <w:rPr>
                <w:rFonts w:ascii="Times New Roman" w:cs="Times New Roman" w:eastAsia="Times New Roman" w:hAnsi="Times New Roman"/>
                <w:sz w:val="17"/>
                <w:szCs w:val="17"/>
                <w:color w:val="0000FF"/>
                <w:w w:val="95"/>
              </w:rPr>
              <w:t>06/26/2026</w:t>
            </w: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5"/>
              <w:spacing w:after="0"/>
              <w:rPr>
                <w:sz w:val="20"/>
                <w:szCs w:val="20"/>
                <w:color w:val="auto"/>
              </w:rPr>
            </w:pPr>
            <w:r>
              <w:rPr>
                <w:rFonts w:ascii="Times New Roman" w:cs="Times New Roman" w:eastAsia="Times New Roman" w:hAnsi="Times New Roman"/>
                <w:sz w:val="25"/>
                <w:szCs w:val="25"/>
                <w:color w:val="0000FF"/>
                <w:w w:val="79"/>
                <w:vertAlign w:val="subscript"/>
              </w:rPr>
              <w:t>M</w:t>
            </w:r>
            <w:r>
              <w:rPr>
                <w:rFonts w:ascii="Times New Roman" w:cs="Times New Roman" w:eastAsia="Times New Roman" w:hAnsi="Times New Roman"/>
                <w:sz w:val="11"/>
                <w:szCs w:val="11"/>
                <w:color w:val="008000"/>
                <w:w w:val="79"/>
              </w:rPr>
              <w:t>(2)</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right"/>
              <w:ind w:right="121"/>
              <w:spacing w:after="0"/>
              <w:rPr>
                <w:sz w:val="20"/>
                <w:szCs w:val="20"/>
                <w:color w:val="auto"/>
              </w:rPr>
            </w:pPr>
            <w:r>
              <w:rPr>
                <w:rFonts w:ascii="Times New Roman" w:cs="Times New Roman" w:eastAsia="Times New Roman" w:hAnsi="Times New Roman"/>
                <w:sz w:val="17"/>
                <w:szCs w:val="17"/>
                <w:color w:val="0000FF"/>
              </w:rPr>
              <w:t>6,250</w:t>
            </w:r>
            <w:r>
              <w:rPr>
                <w:rFonts w:ascii="Times New Roman" w:cs="Times New Roman" w:eastAsia="Times New Roman" w:hAnsi="Times New Roman"/>
                <w:sz w:val="21"/>
                <w:szCs w:val="21"/>
                <w:color w:val="008000"/>
                <w:vertAlign w:val="superscript"/>
              </w:rPr>
              <w:t>(1)</w:t>
            </w:r>
          </w:p>
        </w:tc>
        <w:tc>
          <w:tcPr>
            <w:tcW w:w="44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88,845</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40" w:type="dxa"/>
            <w:vAlign w:val="bottom"/>
            <w:tcBorders>
              <w:bottom w:val="single" w:sz="8" w:color="2C2C2C"/>
            </w:tcBorders>
            <w:gridSpan w:val="2"/>
          </w:tcPr>
          <w:p>
            <w:pPr>
              <w:jc w:val="center"/>
              <w:ind w:left="674"/>
              <w:spacing w:after="0"/>
              <w:rPr>
                <w:sz w:val="20"/>
                <w:szCs w:val="20"/>
                <w:color w:val="auto"/>
              </w:rPr>
            </w:pPr>
            <w:r>
              <w:rPr>
                <w:rFonts w:ascii="Times New Roman" w:cs="Times New Roman" w:eastAsia="Times New Roman" w:hAnsi="Times New Roman"/>
                <w:sz w:val="17"/>
                <w:szCs w:val="17"/>
                <w:color w:val="0000FF"/>
                <w:w w:val="95"/>
              </w:rPr>
              <w:t>06/26/2026</w:t>
            </w: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5"/>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right"/>
              <w:ind w:right="121"/>
              <w:spacing w:after="0"/>
              <w:rPr>
                <w:sz w:val="20"/>
                <w:szCs w:val="20"/>
                <w:color w:val="auto"/>
              </w:rPr>
            </w:pPr>
            <w:r>
              <w:rPr>
                <w:rFonts w:ascii="Times New Roman" w:cs="Times New Roman" w:eastAsia="Times New Roman" w:hAnsi="Times New Roman"/>
                <w:sz w:val="17"/>
                <w:szCs w:val="17"/>
                <w:color w:val="0000FF"/>
              </w:rPr>
              <w:t>3,197</w:t>
            </w:r>
            <w:r>
              <w:rPr>
                <w:rFonts w:ascii="Times New Roman" w:cs="Times New Roman" w:eastAsia="Times New Roman" w:hAnsi="Times New Roman"/>
                <w:sz w:val="21"/>
                <w:szCs w:val="21"/>
                <w:color w:val="008000"/>
                <w:vertAlign w:val="superscript"/>
              </w:rPr>
              <w:t>(1)</w:t>
            </w:r>
          </w:p>
        </w:tc>
        <w:tc>
          <w:tcPr>
            <w:tcW w:w="44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16.35</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85,648</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of 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44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6,250</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3"/>
                <w:szCs w:val="13"/>
                <w:color w:val="0000FF"/>
              </w:rPr>
              <w:t>American</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87"/>
              </w:rPr>
              <w:t>6,250</w:t>
            </w:r>
            <w:r>
              <w:rPr>
                <w:rFonts w:ascii="Times New Roman" w:cs="Times New Roman" w:eastAsia="Times New Roman" w:hAnsi="Times New Roman"/>
                <w:sz w:val="21"/>
                <w:szCs w:val="21"/>
                <w:color w:val="008000"/>
                <w:w w:val="87"/>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6,250</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06/26/2026</w:t>
            </w:r>
          </w:p>
        </w:tc>
        <w:tc>
          <w:tcPr>
            <w:tcW w:w="1080" w:type="dxa"/>
            <w:vAlign w:val="bottom"/>
          </w:tcPr>
          <w:p>
            <w:pPr>
              <w:spacing w:after="0"/>
              <w:rPr>
                <w:sz w:val="13"/>
                <w:szCs w:val="13"/>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center"/>
              <w:ind w:right="25"/>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3"/>
                <w:szCs w:val="13"/>
                <w:color w:val="auto"/>
              </w:rPr>
            </w:pPr>
          </w:p>
        </w:tc>
        <w:tc>
          <w:tcPr>
            <w:tcW w:w="480" w:type="dxa"/>
            <w:vAlign w:val="bottom"/>
          </w:tcPr>
          <w:p>
            <w:pPr>
              <w:jc w:val="right"/>
              <w:ind w:right="235"/>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Depositary</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3"/>
                <w:szCs w:val="13"/>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ind w:left="60"/>
              <w:spacing w:after="0" w:line="216"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(5)</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gridSpan w:val="2"/>
          </w:tcPr>
          <w:p>
            <w:pPr>
              <w:ind w:left="100"/>
              <w:spacing w:after="0" w:line="216"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-1835150</wp:posOffset>
            </wp:positionV>
            <wp:extent cx="28575" cy="1840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408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6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April 11, 2025, the Issuer implemented a ratio change that one (1) American Depositary Share ("ADS") currently represents twenty (20) Ordinary Shares ("ADS Ratio Change"). Proportionate adjustments were made to the Issuer's outstanding equity awards. The amount of securities reported on this Form 4 reflect the ADS Ratio Change.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26, 2025, the Reporting Person was granted 12,500 RSUs that vests in two equal installments on the first anniversary of the grant date and the remaining balance to vest eighteen months after grant date.</w:t>
      </w:r>
    </w:p>
    <w:p>
      <w:pPr>
        <w:spacing w:after="0" w:line="52"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by the Issuer of shares in respect of tax liability incident to the vesting of a security issued in accordance with Rule 16b-3, and not a market sale of securities.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twenty Ordinary Shares or cash in lieu thereof at the Issuer's discretion.</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Jonathan Provoost, by power </w:t>
      </w:r>
      <w:r>
        <w:rPr>
          <w:rFonts w:ascii="Times New Roman" w:cs="Times New Roman" w:eastAsia="Times New Roman" w:hAnsi="Times New Roman"/>
          <w:sz w:val="33"/>
          <w:szCs w:val="33"/>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-22225</wp:posOffset>
            </wp:positionV>
            <wp:extent cx="457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7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0259" TargetMode="External"/><Relationship Id="rId14" Type="http://schemas.openxmlformats.org/officeDocument/2006/relationships/hyperlink" Target="http://www.sec.gov/cgi-bin/browse-edgar?action=getcompany&amp;CIK=0000897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2026-06-30T17:47:57Z</dcterms:created>
  <dcterms:modified xsi:type="dcterms:W3CDTF">2026-06-30T17:47:57Z</dcterms:modified>
</cp:coreProperties>
</file>