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8" w:lineRule="exact"/>
        <w:rPr>
          <w:sz w:val="24"/>
          <w:szCs w:val="24"/>
          <w:color w:val="auto"/>
        </w:rPr>
      </w:pPr>
    </w:p>
    <w:p>
      <w:pPr>
        <w:ind w:left="3660" w:right="1620" w:hanging="3652"/>
        <w:spacing w:after="0" w:line="262" w:lineRule="auto"/>
        <w:tabs>
          <w:tab w:leader="none" w:pos="44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7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438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3240" w:type="dxa"/>
            <w:vAlign w:val="bottom"/>
          </w:tcPr>
          <w:p>
            <w:pPr>
              <w:jc w:val="center"/>
              <w:ind w:left="184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51"/>
        </w:trPr>
        <w:tc>
          <w:tcPr>
            <w:tcW w:w="4380" w:type="dxa"/>
            <w:vAlign w:val="bottom"/>
          </w:tcPr>
          <w:p>
            <w:pPr>
              <w:jc w:val="center"/>
              <w:ind w:right="183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40" w:type="dxa"/>
            <w:vAlign w:val="bottom"/>
          </w:tcPr>
          <w:p>
            <w:pPr>
              <w:jc w:val="center"/>
              <w:ind w:left="184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8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4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438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rPr>
              <w:t>One Central Plaza, 5th Floor,</w:t>
            </w:r>
          </w:p>
        </w:tc>
        <w:tc>
          <w:tcPr>
            <w:tcW w:w="3240" w:type="dxa"/>
            <w:vAlign w:val="bottom"/>
          </w:tcPr>
          <w:p>
            <w:pPr>
              <w:jc w:val="center"/>
              <w:ind w:left="1841"/>
              <w:spacing w:after="0"/>
              <w:rPr>
                <w:sz w:val="20"/>
                <w:szCs w:val="20"/>
                <w:color w:val="auto"/>
              </w:rPr>
            </w:pPr>
            <w:r>
              <w:rPr>
                <w:rFonts w:ascii="Times New Roman" w:cs="Times New Roman" w:eastAsia="Times New Roman" w:hAnsi="Times New Roman"/>
                <w:sz w:val="18"/>
                <w:szCs w:val="18"/>
                <w:b w:val="1"/>
                <w:bCs w:val="1"/>
                <w:color w:val="auto"/>
                <w:w w:val="99"/>
              </w:rPr>
              <w:t>Dublin 2, Ireland</w:t>
            </w:r>
          </w:p>
        </w:tc>
      </w:tr>
      <w:tr>
        <w:trPr>
          <w:trHeight w:val="238"/>
        </w:trPr>
        <w:tc>
          <w:tcPr>
            <w:tcW w:w="438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36 Dame Street</w:t>
            </w:r>
          </w:p>
        </w:tc>
        <w:tc>
          <w:tcPr>
            <w:tcW w:w="3240" w:type="dxa"/>
            <w:vAlign w:val="bottom"/>
          </w:tcPr>
          <w:p>
            <w:pPr>
              <w:spacing w:after="0"/>
              <w:rPr>
                <w:sz w:val="20"/>
                <w:szCs w:val="20"/>
                <w:color w:val="auto"/>
              </w:rPr>
            </w:pPr>
          </w:p>
        </w:tc>
      </w:tr>
      <w:tr>
        <w:trPr>
          <w:trHeight w:val="193"/>
        </w:trPr>
        <w:tc>
          <w:tcPr>
            <w:tcW w:w="438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4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0"/>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12"/>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226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r>
      <w:tr>
        <w:trPr>
          <w:trHeight w:val="203"/>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representing the right to receive one (1) Ordinary Share of</w:t>
            </w:r>
          </w:p>
        </w:tc>
        <w:tc>
          <w:tcPr>
            <w:tcW w:w="226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r>
      <w:tr>
        <w:trPr>
          <w:trHeight w:val="210"/>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Amarin Corporation plc</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4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8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411,338,131 common shares were outstanding as of October 25, 2024, including 402,503,967 shares held as American Depositary Shares (ADSs), each representing one Ordinary Share, 50 pence par value per share, and 8,834,164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00" w:type="dxa"/>
            <w:vAlign w:val="bottom"/>
            <w:gridSpan w:val="13"/>
          </w:tcPr>
          <w:p>
            <w:pPr>
              <w:jc w:val="center"/>
              <w:ind w:right="18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020" w:type="dxa"/>
            <w:vAlign w:val="bottom"/>
          </w:tcPr>
          <w:p>
            <w:pPr>
              <w:spacing w:after="0"/>
              <w:rPr>
                <w:sz w:val="24"/>
                <w:szCs w:val="24"/>
                <w:color w:val="auto"/>
              </w:rPr>
            </w:pPr>
          </w:p>
        </w:tc>
      </w:tr>
      <w:tr>
        <w:trPr>
          <w:trHeight w:val="41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460" w:type="dxa"/>
            <w:vAlign w:val="bottom"/>
            <w:tcBorders>
              <w:top w:val="single" w:sz="8" w:color="0000FF"/>
            </w:tcBorders>
            <w:gridSpan w:val="6"/>
          </w:tcPr>
          <w:p>
            <w:pPr>
              <w:spacing w:after="0"/>
              <w:rPr>
                <w:sz w:val="24"/>
                <w:szCs w:val="24"/>
                <w:color w:val="auto"/>
              </w:rPr>
            </w:pPr>
          </w:p>
        </w:tc>
        <w:tc>
          <w:tcPr>
            <w:tcW w:w="326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6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1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 of Changes in Stockholders’ Equity for the nine months ended September 30,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40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and 2023</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7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40" w:type="dxa"/>
            <w:vAlign w:val="bottom"/>
            <w:gridSpan w:val="11"/>
          </w:tcPr>
          <w:p>
            <w:pPr>
              <w:jc w:val="center"/>
              <w:ind w:right="336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1020" w:type="dxa"/>
            <w:vAlign w:val="bottom"/>
          </w:tcPr>
          <w:p>
            <w:pPr>
              <w:spacing w:after="0"/>
              <w:rPr>
                <w:sz w:val="24"/>
                <w:szCs w:val="24"/>
                <w:color w:val="auto"/>
              </w:rPr>
            </w:pPr>
          </w:p>
        </w:tc>
      </w:tr>
      <w:tr>
        <w:trPr>
          <w:trHeight w:val="371"/>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280" w:type="dxa"/>
            <w:vAlign w:val="bottom"/>
            <w:tcBorders>
              <w:top w:val="single" w:sz="8" w:color="0000FF"/>
            </w:tcBorders>
            <w:gridSpan w:val="4"/>
          </w:tcPr>
          <w:p>
            <w:pPr>
              <w:spacing w:after="0"/>
              <w:rPr>
                <w:sz w:val="24"/>
                <w:szCs w:val="24"/>
                <w:color w:val="auto"/>
              </w:rPr>
            </w:pPr>
          </w:p>
        </w:tc>
        <w:tc>
          <w:tcPr>
            <w:tcW w:w="336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7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68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10"/>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156,944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199,252</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148,788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121,407</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133,563</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258,616</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100" w:type="dxa"/>
            <w:vAlign w:val="bottom"/>
          </w:tcPr>
          <w:p>
            <w:pPr>
              <w:spacing w:after="0"/>
              <w:rPr>
                <w:sz w:val="20"/>
                <w:szCs w:val="20"/>
                <w:color w:val="auto"/>
              </w:rPr>
            </w:pPr>
          </w:p>
        </w:tc>
      </w:tr>
      <w:tr>
        <w:trPr>
          <w:trHeight w:val="237"/>
        </w:trPr>
        <w:tc>
          <w:tcPr>
            <w:tcW w:w="75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650,216</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724,981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inventory</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74,023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77,615</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 net</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100" w:type="dxa"/>
            <w:vAlign w:val="bottom"/>
          </w:tcPr>
          <w:p>
            <w:pPr>
              <w:spacing w:after="0"/>
              <w:rPr>
                <w:sz w:val="20"/>
                <w:szCs w:val="20"/>
                <w:color w:val="auto"/>
              </w:rPr>
            </w:pPr>
          </w:p>
        </w:tc>
      </w:tr>
      <w:tr>
        <w:trPr>
          <w:trHeight w:val="278"/>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750,615</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40,507</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52,762</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161,047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204,174</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deferred revenue</w:t>
            </w:r>
          </w:p>
        </w:tc>
        <w:tc>
          <w:tcPr>
            <w:tcW w:w="14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20"/>
                <w:szCs w:val="20"/>
                <w:color w:val="auto"/>
              </w:rPr>
            </w:pPr>
          </w:p>
        </w:tc>
      </w:tr>
      <w:tr>
        <w:trPr>
          <w:trHeight w:val="236"/>
        </w:trPr>
        <w:tc>
          <w:tcPr>
            <w:tcW w:w="75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201,554</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219,240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279,587</w:t>
            </w:r>
          </w:p>
        </w:tc>
        <w:tc>
          <w:tcPr>
            <w:tcW w:w="100" w:type="dxa"/>
            <w:vAlign w:val="bottom"/>
          </w:tcPr>
          <w:p>
            <w:pPr>
              <w:spacing w:after="0"/>
              <w:rPr>
                <w:sz w:val="20"/>
                <w:szCs w:val="20"/>
                <w:color w:val="auto"/>
              </w:rPr>
            </w:pPr>
          </w:p>
        </w:tc>
      </w:tr>
      <w:tr>
        <w:trPr>
          <w:trHeight w:val="241"/>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£0.50 par, unlimited authorized; 421,994,431 shares issued, 411,261,678 shares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as of September 30, 2024; 418,141,295 shares issued, 408,824,093 shares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305,202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302,756</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1,911,445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1,899,456</w:t>
            </w:r>
          </w:p>
        </w:tc>
        <w:tc>
          <w:tcPr>
            <w:tcW w:w="100" w:type="dxa"/>
            <w:vAlign w:val="bottom"/>
          </w:tcPr>
          <w:p>
            <w:pPr>
              <w:spacing w:after="0"/>
              <w:rPr>
                <w:sz w:val="20"/>
                <w:szCs w:val="20"/>
                <w:color w:val="auto"/>
              </w:rPr>
            </w:pPr>
          </w:p>
        </w:tc>
      </w:tr>
      <w:tr>
        <w:trPr>
          <w:trHeight w:val="215"/>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stock; 10,732,753 shares as of September 30, 2024; 9,317,202 shares as of December</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31, 2023</w:t>
            </w:r>
          </w:p>
        </w:tc>
        <w:tc>
          <w:tcPr>
            <w:tcW w:w="1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(65,344 )</w:t>
            </w:r>
          </w:p>
        </w:tc>
        <w:tc>
          <w:tcPr>
            <w:tcW w:w="2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(63,752 )</w:t>
            </w:r>
          </w:p>
        </w:tc>
      </w:tr>
      <w:tr>
        <w:trPr>
          <w:trHeight w:val="239"/>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(1,619,928 )</w:t>
            </w:r>
          </w:p>
        </w:tc>
        <w:tc>
          <w:tcPr>
            <w:tcW w:w="22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(1,586,363 )</w:t>
            </w:r>
          </w:p>
        </w:tc>
      </w:tr>
      <w:tr>
        <w:trPr>
          <w:trHeight w:val="237"/>
        </w:trPr>
        <w:tc>
          <w:tcPr>
            <w:tcW w:w="75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531,375</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750,615</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831,684</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-4388485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-4388485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-3445510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-3428365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-2485390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-1859280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144,522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214,744</w:t>
            </w: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21,786</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17,454</w:t>
            </w:r>
          </w:p>
        </w:tc>
        <w:tc>
          <w:tcPr>
            <w:tcW w:w="100" w:type="dxa"/>
            <w:vAlign w:val="bottom"/>
          </w:tcPr>
          <w:p>
            <w:pPr>
              <w:spacing w:after="0"/>
              <w:rPr>
                <w:sz w:val="20"/>
                <w:szCs w:val="20"/>
                <w:color w:val="auto"/>
              </w:rPr>
            </w:pPr>
          </w:p>
        </w:tc>
      </w:tr>
      <w:tr>
        <w:trPr>
          <w:trHeight w:val="241"/>
        </w:trPr>
        <w:tc>
          <w:tcPr>
            <w:tcW w:w="4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 net</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66,056</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166,308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232,198</w:t>
            </w: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72,553</w:t>
            </w:r>
          </w:p>
        </w:tc>
        <w:tc>
          <w:tcPr>
            <w:tcW w:w="100" w:type="dxa"/>
            <w:vAlign w:val="bottom"/>
          </w:tcPr>
          <w:p>
            <w:pPr>
              <w:spacing w:after="0"/>
              <w:rPr>
                <w:sz w:val="20"/>
                <w:szCs w:val="20"/>
                <w:color w:val="auto"/>
              </w:rPr>
            </w:pPr>
          </w:p>
        </w:tc>
      </w:tr>
      <w:tr>
        <w:trPr>
          <w:trHeight w:val="24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Cost of goods sold - restructuring inventory</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39,228</w:t>
            </w:r>
          </w:p>
        </w:tc>
        <w:tc>
          <w:tcPr>
            <w:tcW w:w="100" w:type="dxa"/>
            <w:vAlign w:val="bottom"/>
            <w:shd w:val="clear" w:color="auto" w:fill="CFF0FC"/>
          </w:tcPr>
          <w:p>
            <w:pPr>
              <w:spacing w:after="0"/>
              <w:rPr>
                <w:sz w:val="21"/>
                <w:szCs w:val="21"/>
                <w:color w:val="auto"/>
              </w:rPr>
            </w:pPr>
          </w:p>
        </w:tc>
      </w:tr>
      <w:tr>
        <w:trPr>
          <w:trHeight w:val="237"/>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90,949</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120,417</w:t>
            </w:r>
          </w:p>
        </w:tc>
        <w:tc>
          <w:tcPr>
            <w:tcW w:w="100" w:type="dxa"/>
            <w:vAlign w:val="bottom"/>
            <w:tcBorders>
              <w:top w:val="single" w:sz="8" w:color="CFF0FC"/>
            </w:tcBorders>
          </w:tcPr>
          <w:p>
            <w:pPr>
              <w:spacing w:after="0"/>
              <w:rPr>
                <w:sz w:val="20"/>
                <w:szCs w:val="20"/>
                <w:color w:val="auto"/>
              </w:rPr>
            </w:pPr>
          </w:p>
        </w:tc>
      </w:tr>
      <w:tr>
        <w:trPr>
          <w:trHeight w:val="241"/>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155,997</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16,428</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00" w:type="dxa"/>
            <w:vAlign w:val="bottom"/>
          </w:tcPr>
          <w:p>
            <w:pPr>
              <w:spacing w:after="0"/>
              <w:rPr>
                <w:sz w:val="20"/>
                <w:szCs w:val="20"/>
                <w:color w:val="auto"/>
              </w:rPr>
            </w:pPr>
          </w:p>
        </w:tc>
      </w:tr>
      <w:tr>
        <w:trPr>
          <w:trHeight w:val="237"/>
        </w:trPr>
        <w:tc>
          <w:tcPr>
            <w:tcW w:w="48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41,444</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51,273</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130,224</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(25,168 )</w:t>
            </w: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(21,451 )</w:t>
            </w:r>
          </w:p>
        </w:tc>
        <w:tc>
          <w:tcPr>
            <w:tcW w:w="2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(39,275 )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(62,751 )</w:t>
            </w: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(575 )</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(21,529 )</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(18,810 )</w:t>
            </w:r>
          </w:p>
        </w:tc>
        <w:tc>
          <w:tcPr>
            <w:tcW w:w="2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(27,293 )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(51,221 )</w:t>
            </w: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(3,605 )</w:t>
            </w: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(501 )</w:t>
            </w:r>
          </w:p>
        </w:tc>
        <w:tc>
          <w:tcPr>
            <w:tcW w:w="2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(6,272 )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(2,110 )</w:t>
            </w:r>
          </w:p>
        </w:tc>
      </w:tr>
      <w:tr>
        <w:trPr>
          <w:trHeight w:val="20"/>
        </w:trPr>
        <w:tc>
          <w:tcPr>
            <w:tcW w:w="4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(25,134 )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(19,311 )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(33,565 )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(53,331 )</w:t>
            </w:r>
          </w:p>
        </w:tc>
      </w:tr>
      <w:tr>
        <w:trPr>
          <w:trHeight w:val="223"/>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(0.13 )</w:t>
            </w: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(0.06 )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(0.13 )</w:t>
            </w: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411,150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408,417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407,489</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411,150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408,417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410,786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407,489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-2853690</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-2853690</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-2853690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-2853690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-1902460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-1902460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-1902460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-1902460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-950595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-933450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-950595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-933450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-950595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-933450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-950595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-933450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81"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40" w:type="dxa"/>
            <w:vAlign w:val="bottom"/>
          </w:tcPr>
          <w:p>
            <w:pPr>
              <w:spacing w:after="0"/>
              <w:rPr>
                <w:sz w:val="12"/>
                <w:szCs w:val="12"/>
                <w:color w:val="auto"/>
              </w:rPr>
            </w:pP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tcPr>
          <w:p>
            <w:pPr>
              <w:spacing w:after="0"/>
              <w:rPr>
                <w:sz w:val="12"/>
                <w:szCs w:val="12"/>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2"/>
                <w:szCs w:val="12"/>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2840" w:type="dxa"/>
            <w:vAlign w:val="bottom"/>
          </w:tcPr>
          <w:p>
            <w:pPr>
              <w:spacing w:after="0"/>
              <w:rPr>
                <w:sz w:val="15"/>
                <w:szCs w:val="15"/>
                <w:color w:val="auto"/>
              </w:rPr>
            </w:pPr>
          </w:p>
        </w:tc>
        <w:tc>
          <w:tcPr>
            <w:tcW w:w="11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5"/>
                <w:szCs w:val="15"/>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r>
      <w:tr>
        <w:trPr>
          <w:trHeight w:val="16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418,141,295</w:t>
            </w:r>
          </w:p>
        </w:tc>
        <w:tc>
          <w:tcPr>
            <w:tcW w:w="1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(9,317,202 )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302,756</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1,899,456</w:t>
            </w: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(63,752 )</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(1,586,363 )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552,097</w:t>
            </w:r>
          </w:p>
        </w:tc>
        <w:tc>
          <w:tcPr>
            <w:tcW w:w="100" w:type="dxa"/>
            <w:vAlign w:val="bottom"/>
            <w:shd w:val="clear" w:color="auto" w:fill="CFF0FC"/>
          </w:tcPr>
          <w:p>
            <w:pPr>
              <w:spacing w:after="0"/>
              <w:rPr>
                <w:sz w:val="14"/>
                <w:szCs w:val="14"/>
                <w:color w:val="auto"/>
              </w:rPr>
            </w:pP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26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3,119,637</w:t>
            </w:r>
          </w:p>
        </w:tc>
        <w:tc>
          <w:tcPr>
            <w:tcW w:w="1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(1,217,450 )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(1,980 )</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(1,436 )</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(1,436 )</w:t>
            </w: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5,218</w:t>
            </w:r>
          </w:p>
        </w:tc>
        <w:tc>
          <w:tcPr>
            <w:tcW w:w="2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5,218</w:t>
            </w:r>
          </w:p>
        </w:tc>
        <w:tc>
          <w:tcPr>
            <w:tcW w:w="100" w:type="dxa"/>
            <w:vAlign w:val="bottom"/>
          </w:tcPr>
          <w:p>
            <w:pPr>
              <w:spacing w:after="0"/>
              <w:rPr>
                <w:sz w:val="15"/>
                <w:szCs w:val="15"/>
                <w:color w:val="auto"/>
              </w:rPr>
            </w:pPr>
          </w:p>
        </w:tc>
      </w:tr>
      <w:tr>
        <w:trPr>
          <w:trHeight w:val="176"/>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(9,953 )</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(9,953 )</w:t>
            </w: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421,270,432</w:t>
            </w:r>
          </w:p>
        </w:tc>
        <w:tc>
          <w:tcPr>
            <w:tcW w:w="26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(10,534,652 )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304,742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1,902,698</w:t>
            </w: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(65,188 )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(1,596,316 )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545,936</w:t>
            </w:r>
          </w:p>
        </w:tc>
        <w:tc>
          <w:tcPr>
            <w:tcW w:w="100" w:type="dxa"/>
            <w:vAlign w:val="bottom"/>
          </w:tcPr>
          <w:p>
            <w:pPr>
              <w:spacing w:after="0"/>
              <w:rPr>
                <w:sz w:val="14"/>
                <w:szCs w:val="14"/>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-144780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-144780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-144780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-144780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-144780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-144780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ind w:left="20" w:right="220"/>
        <w:spacing w:after="0" w:line="244" w:lineRule="auto"/>
        <w:rPr>
          <w:sz w:val="20"/>
          <w:szCs w:val="20"/>
          <w:color w:val="auto"/>
        </w:rPr>
      </w:pPr>
      <w:r>
        <w:rPr>
          <w:rFonts w:ascii="Times New Roman" w:cs="Times New Roman" w:eastAsia="Times New Roman" w:hAnsi="Times New Roman"/>
          <w:sz w:val="14"/>
          <w:szCs w:val="14"/>
          <w:color w:val="auto"/>
        </w:rPr>
        <w:t>Issuance of common stock under employee stock purchase plan</w:t>
      </w:r>
    </w:p>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for the period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139,982</w:t>
            </w:r>
          </w:p>
        </w:tc>
        <w:tc>
          <w:tcPr>
            <w:tcW w:w="140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89</w:t>
            </w:r>
          </w:p>
        </w:tc>
        <w:tc>
          <w:tcPr>
            <w:tcW w:w="12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33</w:t>
            </w:r>
          </w:p>
        </w:tc>
        <w:tc>
          <w:tcPr>
            <w:tcW w:w="108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340,936</w:t>
            </w: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(102,928 )</w:t>
            </w: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215</w:t>
            </w: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(215 )</w:t>
            </w:r>
          </w:p>
        </w:tc>
        <w:tc>
          <w:tcPr>
            <w:tcW w:w="10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(88 )</w:t>
            </w:r>
          </w:p>
        </w:tc>
        <w:tc>
          <w:tcPr>
            <w:tcW w:w="12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175"/>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4,387</w:t>
            </w:r>
          </w:p>
        </w:tc>
        <w:tc>
          <w:tcPr>
            <w:tcW w:w="10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4,387</w:t>
            </w:r>
          </w:p>
        </w:tc>
        <w:tc>
          <w:tcPr>
            <w:tcW w:w="0" w:type="dxa"/>
            <w:vAlign w:val="bottom"/>
          </w:tcPr>
          <w:p>
            <w:pPr>
              <w:spacing w:after="0"/>
              <w:rPr>
                <w:sz w:val="1"/>
                <w:szCs w:val="1"/>
                <w:color w:val="auto"/>
              </w:rPr>
            </w:pPr>
          </w:p>
        </w:tc>
      </w:tr>
      <w:tr>
        <w:trPr>
          <w:trHeight w:val="185"/>
        </w:trPr>
        <w:tc>
          <w:tcPr>
            <w:tcW w:w="8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1,522</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-222250</wp:posOffset>
            </wp:positionV>
            <wp:extent cx="7132320" cy="111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40" w:space="720"/>
            <w:col w:w="778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421,751,350</w:t>
            </w:r>
          </w:p>
        </w:tc>
        <w:tc>
          <w:tcPr>
            <w:tcW w:w="260" w:type="dxa"/>
            <w:vAlign w:val="bottom"/>
            <w:shd w:val="clear" w:color="auto" w:fill="CFF0FC"/>
          </w:tcPr>
          <w:p>
            <w:pPr>
              <w:spacing w:after="0"/>
              <w:rPr>
                <w:sz w:val="14"/>
                <w:szCs w:val="14"/>
                <w:color w:val="auto"/>
              </w:rPr>
            </w:pPr>
          </w:p>
        </w:tc>
        <w:tc>
          <w:tcPr>
            <w:tcW w:w="1320" w:type="dxa"/>
            <w:vAlign w:val="bottom"/>
            <w:tcBorders>
              <w:right w:val="single" w:sz="8" w:color="CFF0FC"/>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(10,637,580 )</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305,046</w:t>
            </w: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1,906,903</w:t>
            </w: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(65,276 )</w:t>
            </w:r>
          </w:p>
        </w:tc>
        <w:tc>
          <w:tcPr>
            <w:tcW w:w="10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(1,594,794 )</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551,879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243,081</w:t>
            </w:r>
          </w:p>
        </w:tc>
        <w:tc>
          <w:tcPr>
            <w:tcW w:w="260" w:type="dxa"/>
            <w:vAlign w:val="bottom"/>
          </w:tcPr>
          <w:p>
            <w:pPr>
              <w:spacing w:after="0"/>
              <w:rPr>
                <w:sz w:val="13"/>
                <w:szCs w:val="13"/>
                <w:color w:val="auto"/>
              </w:rPr>
            </w:pPr>
          </w:p>
        </w:tc>
        <w:tc>
          <w:tcPr>
            <w:tcW w:w="132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(95,173 )</w:t>
            </w:r>
          </w:p>
        </w:tc>
        <w:tc>
          <w:tcPr>
            <w:tcW w:w="14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4"/>
                <w:szCs w:val="14"/>
                <w:color w:val="auto"/>
              </w:rPr>
              <w:t>(156 )</w:t>
            </w:r>
          </w:p>
        </w:tc>
        <w:tc>
          <w:tcPr>
            <w:tcW w:w="120" w:type="dxa"/>
            <w:vAlign w:val="bottom"/>
          </w:tcPr>
          <w:p>
            <w:pPr>
              <w:spacing w:after="0"/>
              <w:rPr>
                <w:sz w:val="13"/>
                <w:szCs w:val="13"/>
                <w:color w:val="auto"/>
              </w:rPr>
            </w:pPr>
          </w:p>
        </w:tc>
        <w:tc>
          <w:tcPr>
            <w:tcW w:w="98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4"/>
                <w:szCs w:val="14"/>
                <w:color w:val="auto"/>
              </w:rPr>
              <w:t>(68 )</w:t>
            </w:r>
          </w:p>
        </w:tc>
        <w:tc>
          <w:tcPr>
            <w:tcW w:w="100" w:type="dxa"/>
            <w:vAlign w:val="bottom"/>
          </w:tcPr>
          <w:p>
            <w:pPr>
              <w:spacing w:after="0"/>
              <w:rPr>
                <w:sz w:val="13"/>
                <w:szCs w:val="13"/>
                <w:color w:val="auto"/>
              </w:rPr>
            </w:pPr>
          </w:p>
        </w:tc>
        <w:tc>
          <w:tcPr>
            <w:tcW w:w="1100" w:type="dxa"/>
            <w:vAlign w:val="bottom"/>
            <w:gridSpan w:val="2"/>
          </w:tcPr>
          <w:p>
            <w:pPr>
              <w:jc w:val="right"/>
              <w:ind w:right="2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(68 )</w:t>
            </w: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3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4,698</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(25,134 )</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(25,134 )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421,994,431</w:t>
            </w:r>
          </w:p>
        </w:tc>
        <w:tc>
          <w:tcPr>
            <w:tcW w:w="26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(10,732,753 )</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305,202</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1,911,445</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(65,344 )</w:t>
            </w:r>
          </w:p>
        </w:tc>
        <w:tc>
          <w:tcPr>
            <w:tcW w:w="10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(1,619,928 )</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531,375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84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tcPr>
          <w:p>
            <w:pPr>
              <w:spacing w:after="0"/>
              <w:rPr>
                <w:sz w:val="12"/>
                <w:szCs w:val="12"/>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40" w:type="dxa"/>
            <w:vAlign w:val="bottom"/>
          </w:tcPr>
          <w:p>
            <w:pPr>
              <w:spacing w:after="0"/>
              <w:rPr>
                <w:sz w:val="12"/>
                <w:szCs w:val="12"/>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2"/>
                <w:szCs w:val="12"/>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40" w:type="dxa"/>
            <w:vAlign w:val="bottom"/>
          </w:tcPr>
          <w:p>
            <w:pPr>
              <w:spacing w:after="0"/>
              <w:rPr>
                <w:sz w:val="15"/>
                <w:szCs w:val="15"/>
                <w:color w:val="auto"/>
              </w:rPr>
            </w:pPr>
          </w:p>
        </w:tc>
        <w:tc>
          <w:tcPr>
            <w:tcW w:w="11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5"/>
                <w:szCs w:val="15"/>
                <w:color w:val="auto"/>
              </w:rPr>
            </w:pPr>
          </w:p>
        </w:tc>
        <w:tc>
          <w:tcPr>
            <w:tcW w:w="10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412,333,087</w:t>
            </w:r>
          </w:p>
        </w:tc>
        <w:tc>
          <w:tcPr>
            <w:tcW w:w="15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(7,986,831 )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299,002</w:t>
            </w: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1,885,352</w:t>
            </w:r>
          </w:p>
        </w:tc>
        <w:tc>
          <w:tcPr>
            <w:tcW w:w="26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(61,770 )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(1,527,251 )</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595,333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1,232,263</w:t>
            </w:r>
          </w:p>
        </w:tc>
        <w:tc>
          <w:tcPr>
            <w:tcW w:w="2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2,514,948</w:t>
            </w:r>
          </w:p>
        </w:tc>
        <w:tc>
          <w:tcPr>
            <w:tcW w:w="15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(827,523 )</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(1,539 )</w:t>
            </w:r>
          </w:p>
        </w:tc>
        <w:tc>
          <w:tcPr>
            <w:tcW w:w="12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(1,507 )</w:t>
            </w: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(1,507 )</w:t>
            </w: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left w:val="single" w:sz="8" w:color="CFF0FC"/>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(16,460 )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(16,460 )</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416,080,298</w:t>
            </w:r>
          </w:p>
        </w:tc>
        <w:tc>
          <w:tcPr>
            <w:tcW w:w="26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(8,814,354 )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301,285</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1,890,496</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(63,277 )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(1,543,711 )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584,793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84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Issuance of common stock under employee</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205,861</w:t>
            </w:r>
          </w:p>
        </w:tc>
        <w:tc>
          <w:tcPr>
            <w:tcW w:w="260" w:type="dxa"/>
            <w:vAlign w:val="bottom"/>
            <w:shd w:val="clear" w:color="auto" w:fill="CFF0FC"/>
          </w:tcPr>
          <w:p>
            <w:pPr>
              <w:spacing w:after="0"/>
              <w:rPr>
                <w:sz w:val="10"/>
                <w:szCs w:val="10"/>
                <w:color w:val="auto"/>
              </w:rPr>
            </w:pPr>
          </w:p>
        </w:tc>
        <w:tc>
          <w:tcPr>
            <w:tcW w:w="132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10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11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tcBorders>
              <w:right w:val="single" w:sz="8" w:color="CFF0FC"/>
            </w:tcBorders>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tcBorders>
              <w:right w:val="single" w:sz="8" w:color="CFF0FC"/>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tcBorders>
              <w:right w:val="single" w:sz="8" w:color="CFF0FC"/>
            </w:tcBorders>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2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800,242</w:t>
            </w:r>
          </w:p>
        </w:tc>
        <w:tc>
          <w:tcPr>
            <w:tcW w:w="158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(144,240 )</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(490 )</w:t>
            </w:r>
          </w:p>
        </w:tc>
        <w:tc>
          <w:tcPr>
            <w:tcW w:w="12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(187 )</w:t>
            </w: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(187 )</w:t>
            </w: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left w:val="single" w:sz="8" w:color="CFF0FC"/>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(17,560 )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(17,560 )</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417,092,401</w:t>
            </w:r>
          </w:p>
        </w:tc>
        <w:tc>
          <w:tcPr>
            <w:tcW w:w="26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(8,958,594 )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301,906</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1,891,957</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(63,464 )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(1,561,271 )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569,128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1,500</w:t>
            </w:r>
          </w:p>
        </w:tc>
        <w:tc>
          <w:tcPr>
            <w:tcW w:w="260" w:type="dxa"/>
            <w:vAlign w:val="bottom"/>
            <w:shd w:val="clear" w:color="auto" w:fill="CFF0FC"/>
          </w:tcPr>
          <w:p>
            <w:pPr>
              <w:spacing w:after="0"/>
              <w:rPr>
                <w:sz w:val="13"/>
                <w:szCs w:val="13"/>
                <w:color w:val="auto"/>
              </w:rPr>
            </w:pPr>
          </w:p>
        </w:tc>
        <w:tc>
          <w:tcPr>
            <w:tcW w:w="1320" w:type="dxa"/>
            <w:vAlign w:val="bottom"/>
            <w:tcBorders>
              <w:right w:val="single" w:sz="8" w:color="CFF0FC"/>
            </w:tcBorders>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left w:val="single" w:sz="8" w:color="CFF0FC"/>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left w:val="single" w:sz="8" w:color="CFF0FC"/>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tcBorders>
              <w:right w:val="single" w:sz="8" w:color="CFF0FC"/>
            </w:tcBorders>
            <w:gridSpan w:val="2"/>
            <w:shd w:val="clear" w:color="auto" w:fill="CFF0FC"/>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1100" w:type="dxa"/>
            <w:vAlign w:val="bottom"/>
            <w:tcBorders>
              <w:right w:val="single" w:sz="8" w:color="CFF0FC"/>
            </w:tcBorders>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651,057</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(235,344 )</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(411 )</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(279 )</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(279 )</w:t>
            </w:r>
          </w:p>
        </w:tc>
        <w:tc>
          <w:tcPr>
            <w:tcW w:w="0" w:type="dxa"/>
            <w:vAlign w:val="bottom"/>
          </w:tcPr>
          <w:p>
            <w:pPr>
              <w:spacing w:after="0"/>
              <w:rPr>
                <w:sz w:val="1"/>
                <w:szCs w:val="1"/>
                <w:color w:val="auto"/>
              </w:rPr>
            </w:pPr>
          </w:p>
        </w:tc>
      </w:tr>
      <w:tr>
        <w:trPr>
          <w:trHeight w:val="175"/>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3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3,608</w:t>
            </w:r>
          </w:p>
        </w:tc>
        <w:tc>
          <w:tcPr>
            <w:tcW w:w="260" w:type="dxa"/>
            <w:vAlign w:val="bottom"/>
            <w:tcBorders>
              <w:left w:val="single" w:sz="8" w:color="CFF0FC"/>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(19,311 )</w:t>
            </w:r>
          </w:p>
        </w:tc>
        <w:tc>
          <w:tcPr>
            <w:tcW w:w="2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(19,311 )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417,744,958</w:t>
            </w:r>
          </w:p>
        </w:tc>
        <w:tc>
          <w:tcPr>
            <w:tcW w:w="260" w:type="dxa"/>
            <w:vAlign w:val="bottom"/>
            <w:shd w:val="clear" w:color="auto" w:fill="CFF0FC"/>
          </w:tcPr>
          <w:p>
            <w:pPr>
              <w:spacing w:after="0"/>
              <w:rPr>
                <w:sz w:val="16"/>
                <w:szCs w:val="16"/>
                <w:color w:val="auto"/>
              </w:rPr>
            </w:pPr>
          </w:p>
        </w:tc>
        <w:tc>
          <w:tcPr>
            <w:tcW w:w="13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(9,193,938 )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302,318</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1,895,155</w:t>
            </w:r>
          </w:p>
        </w:tc>
        <w:tc>
          <w:tcPr>
            <w:tcW w:w="260" w:type="dxa"/>
            <w:vAlign w:val="bottom"/>
            <w:tcBorders>
              <w:left w:val="single" w:sz="8" w:color="CFF0FC"/>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(63,743 )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(1,580,582 )</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553,148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-3042285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-3025140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-3042285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-3025140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-3042285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-3025140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-3042285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-3025140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-3042285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-3025140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-3042285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-3025140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-2562225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-2545080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-2562225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-2545080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-2562225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-2545080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-2562225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-2545080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-2562225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-2545080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-2562225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-2545080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-1533525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-1533525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-1533525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-1533525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-1533525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-1533525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-736600</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-736600</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-736600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-736600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-736600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-736600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-24765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70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(33,565 )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(53,331 )</w:t>
            </w: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 of investments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(4,163 )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(2,583 )</w:t>
            </w: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(250 )</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(4,850 )</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(10,372 )</w:t>
            </w: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(55,382 )</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(1,413 )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(17,710 )</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 of furniture, fixtures and equipment</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 of securities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185,800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Purchases of securities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(208,937 )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(115,496 )</w:t>
            </w:r>
          </w:p>
        </w:tc>
        <w:tc>
          <w:tcPr>
            <w:tcW w:w="0" w:type="dxa"/>
            <w:vAlign w:val="bottom"/>
          </w:tcPr>
          <w:p>
            <w:pPr>
              <w:spacing w:after="0"/>
              <w:rPr>
                <w:sz w:val="1"/>
                <w:szCs w:val="1"/>
                <w:color w:val="auto"/>
              </w:rPr>
            </w:pPr>
          </w:p>
        </w:tc>
      </w:tr>
      <w:tr>
        <w:trPr>
          <w:trHeight w:val="20"/>
        </w:trPr>
        <w:tc>
          <w:tcPr>
            <w:tcW w:w="70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(23,137 )</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common stock</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2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(1,592 )</w:t>
            </w:r>
          </w:p>
        </w:tc>
        <w:tc>
          <w:tcPr>
            <w:tcW w:w="3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(1,973 )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(1,460 )</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 AND</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(42,307 )</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w:t>
            </w:r>
          </w:p>
        </w:tc>
        <w:tc>
          <w:tcPr>
            <w:tcW w:w="28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199,777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w:t>
            </w: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157,470</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(2,045 )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(1,103 )</w:t>
            </w:r>
          </w:p>
        </w:tc>
        <w:tc>
          <w:tcPr>
            <w:tcW w:w="0" w:type="dxa"/>
            <w:vAlign w:val="bottom"/>
          </w:tcPr>
          <w:p>
            <w:pPr>
              <w:spacing w:after="0"/>
              <w:rPr>
                <w:sz w:val="1"/>
                <w:szCs w:val="1"/>
                <w:color w:val="auto"/>
              </w:rPr>
            </w:pPr>
          </w:p>
        </w:tc>
      </w:tr>
      <w:tr>
        <w:trPr>
          <w:trHeight w:val="224"/>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recognition of furniture, fixtures and equipment lease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-3325495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-3325495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-2699385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-2699385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-1748155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-1748155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-1165225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-1165225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-513715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-496570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-513715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-496570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473075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Nature of Business and Basis of Presentation</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121"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The Company is commercialized in the United States, or the U.S., under the brand name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or VASCEPA. The Company is also commercialized in various European countries, including the United Kingdom, or the UK, and Spain, under the brand name VAZKEPA, hereinafter along with VASCEPA, collectively referred to as VASCEPA. The Company’s operations outside of the U.S. and Europe are in varying stages of development and commercialization with reliance on third-party commercial partners in select geographies, including China, Australia and Canada.</w:t>
      </w:r>
    </w:p>
    <w:p>
      <w:pPr>
        <w:spacing w:after="0" w:line="90"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VASCEPA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or the MARINE indication. In January 2013, the Company launched 1-gram size VASCEPA in the U.S. and in October 2016, introduced a 0.5-gram capsule size. On December 13, 2019, the U.S. FDA approved another indication and label expansion for VASCEPA based on the results of the Company’s long-term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cardiovascular risk in select high risk patients, or the REDUCE-IT indication.</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MARINE indication. The Company sought appeals of the Nevada Court judgment up to the United States Supreme Court, but the Company was unsuccessful. As a result, the following generic versions of icosapent ethyl have obtained U.S. FDA approval with labeling consistent with the MARINE indication of VASCEPA and have entered the U.S. market:</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20"/>
                <w:szCs w:val="20"/>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260" w:type="dxa"/>
            <w:vAlign w:val="bottom"/>
            <w:shd w:val="clear" w:color="auto" w:fill="CFF0FC"/>
          </w:tcPr>
          <w:p>
            <w:pPr>
              <w:spacing w:after="0"/>
              <w:rPr>
                <w:sz w:val="20"/>
                <w:szCs w:val="20"/>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43"/>
        </w:trPr>
        <w:tc>
          <w:tcPr>
            <w:tcW w:w="38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6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31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020" w:hanging="26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icosapent ethyl to Amneal Pharmaceuticals.</w:t>
      </w:r>
    </w:p>
    <w:p>
      <w:pPr>
        <w:spacing w:after="0" w:line="117" w:lineRule="exact"/>
        <w:rPr>
          <w:rFonts w:ascii="Times New Roman" w:cs="Times New Roman" w:eastAsia="Times New Roman" w:hAnsi="Times New Roman"/>
          <w:sz w:val="18"/>
          <w:szCs w:val="18"/>
          <w:color w:val="auto"/>
        </w:rPr>
      </w:pPr>
    </w:p>
    <w:p>
      <w:pPr>
        <w:ind w:left="760" w:right="540" w:hanging="3"/>
        <w:spacing w:after="0" w:line="282" w:lineRule="auto"/>
        <w:tabs>
          <w:tab w:leader="none" w:pos="10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icosapent ethyl to Camber Pharmaceuticals, Inc. and XL Care Pharmaceuticals, Inc.</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in the European Union, or EU, to reduce the risk of cardiovascular events in high-risk,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Collectively, CHMP, EMA, EC and MHRA are referred to herein as the European Regulatory Authorities.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November 2020, the Company announced topline results from the Phase 3 clinical trial of VASCEPA conducted by the Company’s partner in China. On June 1, 2023, the Company announced the National Medical Products Administration, or NMPA, granted approval for VASCEPA under the MARINE indication and the Company's partner launched commercially in October 2023. On June 28, 2024, the Company's partner in China received NMPA approval for VASCEPA in Mainland China for the REDUCE-IT indication. On February 23, 2022, the Hong Kong Department of Health approved the use of VASCEPA under the REDUCE-IT indication.</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Amarin is responsible for supplying VASCEPA to all markets in which the product is sold, including the United States and Europe, as well as in countries where the drug is promoted and sold via collaboration with third-party companies that compensate Amarin for</w:t>
      </w: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such supply. Amarin is not responsible for providing any generic company with drug product. The Company operates in one business segment.</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in accordance with U.S. Generally Accepted Accounting Principles,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2023, or the Form 10-K, filed with the SEC. The balance sheet amounts in this report were derived from the Company’s audited consolidated financial statements included in the Form 10-K.</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nine months ended September 30, 2024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8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September 30, 2024, the Company had total assets of $750.6 million, of which $305.7 million consisted of cash and short-term investments. More specifically, the Company had current assets of $650.2 million, including cash and cash equivalents of $156.9 million, short-term investments of $148.8 million, accounts receivable, net, of $112.6 million and current inventory of $224.0 million. In addition, as of September 30, 2024, the Company had long-term inventory of $74.0 million. As of September 30, 2024, the Company had no debt outstanding.</w:t>
      </w:r>
    </w:p>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7—Revenue Recognition.</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12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credit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130,254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160,686</w:t>
            </w:r>
          </w:p>
        </w:tc>
        <w:tc>
          <w:tcPr>
            <w:tcW w:w="80" w:type="dxa"/>
            <w:vAlign w:val="bottom"/>
            <w:shd w:val="clear" w:color="auto" w:fill="CFF0FC"/>
          </w:tcPr>
          <w:p>
            <w:pPr>
              <w:spacing w:after="0"/>
              <w:rPr>
                <w:sz w:val="20"/>
                <w:szCs w:val="20"/>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(12,517 )</w:t>
            </w:r>
          </w:p>
        </w:tc>
        <w:tc>
          <w:tcPr>
            <w:tcW w:w="1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(18,834 )</w:t>
            </w:r>
          </w:p>
        </w:tc>
      </w:tr>
      <w:tr>
        <w:trPr>
          <w:trHeight w:val="24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(5,095 )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(8,289 )</w:t>
            </w:r>
          </w:p>
        </w:tc>
      </w:tr>
      <w:tr>
        <w:trPr>
          <w:trHeight w:val="236"/>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112,642</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133,563</w:t>
            </w:r>
          </w:p>
        </w:tc>
        <w:tc>
          <w:tcPr>
            <w:tcW w:w="80" w:type="dxa"/>
            <w:vAlign w:val="bottom"/>
            <w:tcBorders>
              <w:top w:val="single" w:sz="8" w:color="CFF0FC"/>
            </w:tcBorders>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-187960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Company states inventory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next 12 months. The Company classifies finished goods expected to be sold within the next 12 months,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7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stock-based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 tax authorities. The Company is currently under audit by the IRS for its 2018 and 2019 U.S. income tax returns. Although the outcome of tax audits is always uncertain and could result in significant cash tax payments, the Company does not believe the outcome of these audits will have a material adverse effect on its condensed consolidated financial position or results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9" w:name="page10"/>
    <w:bookmarkEnd w:id="9"/>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from the exercise of stock options and vesting of restricted stock units calculated using the treasury stock method. In periods with reported net operating losses, all stock options and restricted stock units outstanding are deemed anti-dilutive such that basic and diluted net loss per share are equal.</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calculation of net loss and the number of shares used to compute basic and diluted net loss per share for the three and nine months ended September 30, 2024 and 2023 are as follows:</w:t>
      </w:r>
    </w:p>
    <w:p>
      <w:pPr>
        <w:spacing w:after="0" w:line="4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9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70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87"/>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(25,134 )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(19,311 )</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(33,565 )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(53,331 )</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411,150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408,417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407,489</w:t>
            </w:r>
          </w:p>
        </w:tc>
        <w:tc>
          <w:tcPr>
            <w:tcW w:w="100" w:type="dxa"/>
            <w:vAlign w:val="bottom"/>
          </w:tcPr>
          <w:p>
            <w:pPr>
              <w:spacing w:after="0"/>
              <w:rPr>
                <w:sz w:val="20"/>
                <w:szCs w:val="20"/>
                <w:color w:val="auto"/>
              </w:rPr>
            </w:pPr>
          </w:p>
        </w:tc>
      </w:tr>
      <w:tr>
        <w:trPr>
          <w:trHeight w:val="247"/>
        </w:trPr>
        <w:tc>
          <w:tcPr>
            <w:tcW w:w="446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Loss per share—basic and diluted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(0.05 )</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(0.13 )</w:t>
            </w:r>
          </w:p>
        </w:tc>
      </w:tr>
    </w:tbl>
    <w:p>
      <w:pPr>
        <w:spacing w:after="0" w:line="196" w:lineRule="exact"/>
        <w:rPr>
          <w:sz w:val="20"/>
          <w:szCs w:val="20"/>
          <w:color w:val="auto"/>
        </w:rPr>
      </w:pPr>
    </w:p>
    <w:p>
      <w:pPr>
        <w:ind w:left="600" w:right="20" w:firstLine="7"/>
        <w:spacing w:after="0" w:line="267" w:lineRule="auto"/>
        <w:tabs>
          <w:tab w:leader="none" w:pos="8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Excluding the licensing revenue change in estimates and Medicaid change in estimate, both discussed in </w:t>
      </w:r>
      <w:r>
        <w:rPr>
          <w:rFonts w:ascii="Times New Roman" w:cs="Times New Roman" w:eastAsia="Times New Roman" w:hAnsi="Times New Roman"/>
          <w:sz w:val="18"/>
          <w:szCs w:val="18"/>
          <w:i w:val="1"/>
          <w:iCs w:val="1"/>
          <w:color w:val="auto"/>
        </w:rPr>
        <w:t>Note 7 – Revenue Recognition</w:t>
      </w:r>
      <w:r>
        <w:rPr>
          <w:rFonts w:ascii="Times New Roman" w:cs="Times New Roman" w:eastAsia="Times New Roman" w:hAnsi="Times New Roman"/>
          <w:sz w:val="18"/>
          <w:szCs w:val="18"/>
          <w:color w:val="auto"/>
        </w:rPr>
        <w:t>, net loss per share, basic and diluted, for the three months ended September 30, 2023 would have been $(0.06) and net loss per share for the nine months ended September 30, 2024 and 2023 would have been $(0.09) and $(0.19), respectively.</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the following potentially dilutive securities were not included in the computation of net loss per share because the effect would be anti-dilutive or because performance criteria were not yet met for awards contingent upon such measures: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20" w:type="dxa"/>
            <w:vAlign w:val="bottom"/>
          </w:tcPr>
          <w:p>
            <w:pPr>
              <w:spacing w:after="0"/>
              <w:rPr>
                <w:sz w:val="16"/>
                <w:szCs w:val="16"/>
                <w:color w:val="auto"/>
              </w:rPr>
            </w:pPr>
          </w:p>
        </w:tc>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69"/>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27,797</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29,071</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27,797</w:t>
            </w:r>
          </w:p>
        </w:tc>
        <w:tc>
          <w:tcPr>
            <w:tcW w:w="100" w:type="dxa"/>
            <w:vAlign w:val="bottom"/>
            <w:shd w:val="clear" w:color="auto" w:fill="CFF0FC"/>
          </w:tcPr>
          <w:p>
            <w:pPr>
              <w:spacing w:after="0"/>
              <w:rPr>
                <w:sz w:val="20"/>
                <w:szCs w:val="20"/>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13,676</w:t>
            </w:r>
          </w:p>
        </w:tc>
        <w:tc>
          <w:tcPr>
            <w:tcW w:w="100" w:type="dxa"/>
            <w:vAlign w:val="bottom"/>
          </w:tcPr>
          <w:p>
            <w:pPr>
              <w:spacing w:after="0"/>
              <w:rPr>
                <w:sz w:val="20"/>
                <w:szCs w:val="20"/>
                <w:color w:val="auto"/>
              </w:rPr>
            </w:pPr>
          </w:p>
        </w:tc>
      </w:tr>
    </w:tbl>
    <w:p>
      <w:pPr>
        <w:spacing w:after="0" w:line="3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12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investments, and accounts receivable. The Company maintains substantially all of its cash and cash equivalents and short-term and long-term investments in financial institutions believed to be of high credit quality.</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29%, 34%, and 28%, respectively, of gross product sales for the nine months ended September 30, 2024, and represented 41%, 30%, and 17%, respectively, of the gross accounts receivable balance as of September 30, 2024. Customers A, B, and C accounted for 30%, 36%, and 29%, respectively, of gross product sales for the nine months ended September 30, 2023 and represented 37%, 37%, and 22%, respectively, of the gross accounts receivable balance as of September 30, 2023. The Company has not experienced any significant write-offs of its accounts receivable. All customer accounts are actively managed and no losses in excess of amounts reserved are currently expected.</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 w:name="page11"/>
    <w:bookmarkEnd w:id="10"/>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8"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(e.g., interest rates, yield curves) and inputs that are derived principally from or corroborated by observable market data by correlation or other means (market corroborated inputs).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9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September 30, 2024 and December 31, 2023, and indicate the fair value hierarchy of the valuation techniques the Company utilized to determine such fair value: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73,927</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73,927</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165,720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165,720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6"/>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244,647</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239,647</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2"/>
        </w:trPr>
        <w:tc>
          <w:tcPr>
            <w:tcW w:w="3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123,992</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123,992</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Agency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235,380</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223,218</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-1362075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-1344930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-1362075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-1344930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-1362075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-1344930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-1362075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-1344930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-187960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-187960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-187960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purchase of 90 days or less.</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investments are stated at amortized cost, which approximates fair value. The Company does not intend to sell these investment securities and the contractual maturities are not greater than 24 months. Those with original maturities greater than 90 days and maturities less than 12 months are included in short-term investments on its condensed consolidated balance sheet. Those with remaining maturities in excess of 12 months are included in long-term investments on its condensed consolidated balance sheet.</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Unrealized gains or losses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nine months ended September 30, 2024 and 2023 was a gain of $0.3 million and a loss of less than $0.1 million, respectively. Interest on investments is reported in interest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 identifies a restructuring event as a program that is planned and controlled by management, and materially changes either the scope of the Company's business or the manner in which that business is conducted. The accounting for involuntary termination benefits that are provided pursuant to a one-time benefit arrangement are accounted for under </w:t>
      </w:r>
      <w:r>
        <w:rPr>
          <w:rFonts w:ascii="Times New Roman" w:cs="Times New Roman" w:eastAsia="Times New Roman" w:hAnsi="Times New Roman"/>
          <w:sz w:val="18"/>
          <w:szCs w:val="18"/>
          <w:i w:val="1"/>
          <w:iCs w:val="1"/>
          <w:color w:val="auto"/>
        </w:rPr>
        <w:t>ASC 420 – Exit or Disposal Cost Obligations,</w:t>
      </w:r>
      <w:r>
        <w:rPr>
          <w:rFonts w:ascii="Times New Roman" w:cs="Times New Roman" w:eastAsia="Times New Roman" w:hAnsi="Times New Roman"/>
          <w:sz w:val="18"/>
          <w:szCs w:val="18"/>
          <w:color w:val="auto"/>
        </w:rPr>
        <w:t xml:space="preserve"> whereas involuntary termination benefits that are part of an ongoing written or substantive plan are accounted for under </w:t>
      </w:r>
      <w:r>
        <w:rPr>
          <w:rFonts w:ascii="Times New Roman" w:cs="Times New Roman" w:eastAsia="Times New Roman" w:hAnsi="Times New Roman"/>
          <w:sz w:val="18"/>
          <w:szCs w:val="18"/>
          <w:i w:val="1"/>
          <w:iCs w:val="1"/>
          <w:color w:val="auto"/>
        </w:rPr>
        <w:t>ASC 712 – Compensation – Nonretirement Postemployment Benefits.</w:t>
      </w:r>
      <w:r>
        <w:rPr>
          <w:rFonts w:ascii="Times New Roman" w:cs="Times New Roman" w:eastAsia="Times New Roman" w:hAnsi="Times New Roman"/>
          <w:sz w:val="18"/>
          <w:szCs w:val="18"/>
          <w:color w:val="auto"/>
        </w:rPr>
        <w:t xml:space="preserve"> The Company accrues a liability for termination benefits under ASC 712 when it is probable that a liability has been incurred and the amount can be reasonably estimated and under ASC 420 when the termination benefits are communicated.</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June 2023, the Company approved and subsequently announced on July 18, 2023, an Organizational Restructuring Plan, or ORP, to right-size and strengthen the Company. As part of the plan, the Company completed a reduction of its entire U.S. sales field force, as well as a reduction of approximately 30% of its non-sales positions. The Company maintained its managed care and trade organization to support U.S. commercial efforts. During the nine months ended September 30, 2023, the Company recognized approximately $10.2 million within restructuring expense on the condensed consolidated statement of operations related to the reduction in forces.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continues to assess its contractual supplier purchase obligations and has taken steps to amend supplier agreements to align supply arrangements with current and future market demand. As a result of the ongoing assessment, the Company recognized $12.7 million during the three months ended September 30, 2023 and $39.2 million during the nine months ended September 30, 2023, within cost of goods sold - restructuring inventory on the condensed consolidated statement of operations. The Company continues to negotiate with other contract suppliers to align its supply arrangements with current and future global demand, which may result in additional costs to the Company.</w:t>
      </w:r>
    </w:p>
    <w:p>
      <w:pPr>
        <w:spacing w:after="0" w:line="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the Company's restructuring charges for the three and nine months ended September 30, 2023 (none in 2024):</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0" w:type="dxa"/>
            <w:vAlign w:val="bottom"/>
          </w:tcPr>
          <w:p>
            <w:pPr>
              <w:spacing w:after="0"/>
              <w:rPr>
                <w:sz w:val="16"/>
                <w:szCs w:val="16"/>
                <w:color w:val="auto"/>
              </w:rPr>
            </w:pPr>
          </w:p>
        </w:tc>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69"/>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Borders>
              <w:top w:val="single" w:sz="8" w:color="auto"/>
              <w:bottom w:val="single" w:sz="8" w:color="auto"/>
            </w:tcBorders>
          </w:tcPr>
          <w:p>
            <w:pPr>
              <w:spacing w:after="0"/>
              <w:rPr>
                <w:sz w:val="14"/>
                <w:szCs w:val="14"/>
                <w:color w:val="auto"/>
              </w:rPr>
            </w:pPr>
          </w:p>
        </w:tc>
        <w:tc>
          <w:tcPr>
            <w:tcW w:w="2920" w:type="dxa"/>
            <w:vAlign w:val="bottom"/>
            <w:tcBorders>
              <w:top w:val="single" w:sz="8" w:color="auto"/>
              <w:bottom w:val="single" w:sz="8" w:color="auto"/>
            </w:tcBorders>
          </w:tcPr>
          <w:p>
            <w:pPr>
              <w:jc w:val="right"/>
              <w:ind w:right="1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2140" w:type="dxa"/>
            <w:vAlign w:val="bottom"/>
            <w:tcBorders>
              <w:top w:val="single" w:sz="8" w:color="auto"/>
              <w:bottom w:val="single" w:sz="8" w:color="auto"/>
            </w:tcBorders>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6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00" w:type="dxa"/>
            <w:vAlign w:val="bottom"/>
            <w:shd w:val="clear" w:color="auto" w:fill="CFF0FC"/>
          </w:tcPr>
          <w:p>
            <w:pPr>
              <w:spacing w:after="0"/>
              <w:rPr>
                <w:sz w:val="22"/>
                <w:szCs w:val="22"/>
                <w:color w:val="auto"/>
              </w:rPr>
            </w:pPr>
          </w:p>
        </w:tc>
      </w:tr>
      <w:tr>
        <w:trPr>
          <w:trHeight w:val="25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Vendor contract charges</w:t>
            </w:r>
          </w:p>
        </w:tc>
        <w:tc>
          <w:tcPr>
            <w:tcW w:w="1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6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1"/>
                <w:szCs w:val="21"/>
                <w:color w:val="auto"/>
              </w:rPr>
            </w:pPr>
          </w:p>
        </w:tc>
      </w:tr>
      <w:tr>
        <w:trPr>
          <w:trHeight w:val="279"/>
        </w:trPr>
        <w:tc>
          <w:tcPr>
            <w:tcW w:w="3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expense</w:t>
            </w:r>
          </w:p>
        </w:tc>
        <w:tc>
          <w:tcPr>
            <w:tcW w:w="140" w:type="dxa"/>
            <w:vAlign w:val="bottom"/>
            <w:tcBorders>
              <w:bottom w:val="single" w:sz="8" w:color="auto"/>
            </w:tcBorders>
            <w:shd w:val="clear" w:color="auto" w:fill="CFF0FC"/>
          </w:tcPr>
          <w:p>
            <w:pPr>
              <w:spacing w:after="0"/>
              <w:rPr>
                <w:sz w:val="24"/>
                <w:szCs w:val="24"/>
                <w:color w:val="auto"/>
              </w:rPr>
            </w:pPr>
          </w:p>
        </w:tc>
        <w:tc>
          <w:tcPr>
            <w:tcW w:w="2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spacing w:after="0"/>
              <w:rPr>
                <w:sz w:val="24"/>
                <w:szCs w:val="24"/>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inventory</w:t>
            </w:r>
          </w:p>
        </w:tc>
        <w:tc>
          <w:tcPr>
            <w:tcW w:w="14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39,228</w:t>
            </w:r>
          </w:p>
        </w:tc>
        <w:tc>
          <w:tcPr>
            <w:tcW w:w="100" w:type="dxa"/>
            <w:vAlign w:val="bottom"/>
          </w:tcPr>
          <w:p>
            <w:pPr>
              <w:spacing w:after="0"/>
              <w:rPr>
                <w:sz w:val="21"/>
                <w:szCs w:val="21"/>
                <w:color w:val="auto"/>
              </w:rPr>
            </w:pPr>
          </w:p>
        </w:tc>
      </w:tr>
      <w:tr>
        <w:trPr>
          <w:trHeight w:val="257"/>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forfeitures</w:t>
            </w:r>
          </w:p>
        </w:tc>
        <w:tc>
          <w:tcPr>
            <w:tcW w:w="140" w:type="dxa"/>
            <w:vAlign w:val="bottom"/>
            <w:tcBorders>
              <w:bottom w:val="single" w:sz="8" w:color="auto"/>
            </w:tcBorders>
            <w:shd w:val="clear" w:color="auto" w:fill="CFF0FC"/>
          </w:tcPr>
          <w:p>
            <w:pPr>
              <w:spacing w:after="0"/>
              <w:rPr>
                <w:sz w:val="22"/>
                <w:szCs w:val="22"/>
                <w:color w:val="auto"/>
              </w:rPr>
            </w:pPr>
          </w:p>
        </w:tc>
        <w:tc>
          <w:tcPr>
            <w:tcW w:w="2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6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spacing w:after="0"/>
              <w:rPr>
                <w:sz w:val="22"/>
                <w:szCs w:val="22"/>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restructuring costs incurred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96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51,005</w:t>
            </w:r>
          </w:p>
        </w:tc>
        <w:tc>
          <w:tcPr>
            <w:tcW w:w="100" w:type="dxa"/>
            <w:vAlign w:val="bottom"/>
          </w:tcPr>
          <w:p>
            <w:pPr>
              <w:spacing w:after="0"/>
              <w:rPr>
                <w:sz w:val="20"/>
                <w:szCs w:val="20"/>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-548005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-530860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-548005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-530860</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-187960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restructuring liability, which is included within accrued expenses and other current liabilities: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Pr>
          <w:p>
            <w:pPr>
              <w:spacing w:after="0"/>
              <w:rPr>
                <w:sz w:val="16"/>
                <w:szCs w:val="16"/>
                <w:color w:val="auto"/>
              </w:rPr>
            </w:pPr>
          </w:p>
        </w:tc>
        <w:tc>
          <w:tcPr>
            <w:tcW w:w="3520" w:type="dxa"/>
            <w:vAlign w:val="bottom"/>
            <w:gridSpan w:val="2"/>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232"/>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Costs incurred</w:t>
            </w:r>
          </w:p>
        </w:tc>
        <w:tc>
          <w:tcPr>
            <w:tcW w:w="740" w:type="dxa"/>
            <w:vAlign w:val="bottom"/>
            <w:shd w:val="clear" w:color="auto" w:fill="CFF0FC"/>
          </w:tcPr>
          <w:p>
            <w:pPr>
              <w:spacing w:after="0"/>
              <w:rPr>
                <w:sz w:val="21"/>
                <w:szCs w:val="21"/>
                <w:color w:val="auto"/>
              </w:rPr>
            </w:pPr>
          </w:p>
        </w:tc>
        <w:tc>
          <w:tcPr>
            <w:tcW w:w="3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tcPr>
          <w:p>
            <w:pPr>
              <w:spacing w:after="0"/>
              <w:rPr>
                <w:sz w:val="20"/>
                <w:szCs w:val="20"/>
                <w:color w:val="auto"/>
              </w:rPr>
            </w:pPr>
          </w:p>
        </w:tc>
        <w:tc>
          <w:tcPr>
            <w:tcW w:w="3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(3,687 )</w:t>
            </w:r>
          </w:p>
        </w:tc>
      </w:tr>
      <w:tr>
        <w:trPr>
          <w:trHeight w:val="276"/>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adopted early by the Company or adopted as of the specified effective date.</w:t>
      </w:r>
    </w:p>
    <w:p>
      <w:pPr>
        <w:spacing w:after="0" w:line="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Company has evaluated all recently issued accounting pronouncements through the date of the financial statements and found that no recently issued accounting pronouncements, when adopted, will have a material impact on the Company’s condensed consolidated financial position, results of operations, and cash flows, or do not apply to the Company’s operations.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2" w:name="page13"/>
    <w:bookmarkEnd w:id="12"/>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Intangible Asset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Intangible asset consists of internal-use software, website development costs and milestone payments to the former shareholders of Laxdale related to the 2004 acquisition of the rights to VASCEPA, which is the result of VASCEPA receiving marketing approval in the U.S. for the MARINE indication in 2012, the REDUCE-IT indication in 2019 and marketing approval in Europe in 2021. In accordance with ASC 350, the Company evaluates the remaining useful life of the intangible asset at each reporting period to determine if any events or circumstances warrant a revision to the remaining period of amortization. As of September 30, 2024, the intangible asset has an estimated weighted-average remaining useful life of 6.3 years. The carrying value as of September 30, 2024 and December 31, 2023 is as follows: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80" w:type="dxa"/>
            <w:vAlign w:val="bottom"/>
            <w:shd w:val="clear" w:color="auto" w:fill="CFF0FC"/>
          </w:tcPr>
          <w:p>
            <w:pPr>
              <w:spacing w:after="0"/>
              <w:rPr>
                <w:sz w:val="20"/>
                <w:szCs w:val="20"/>
                <w:color w:val="auto"/>
              </w:rPr>
            </w:pP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(16,070 )</w:t>
            </w:r>
          </w:p>
        </w:tc>
        <w:tc>
          <w:tcPr>
            <w:tcW w:w="1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(13,884 )</w:t>
            </w:r>
          </w:p>
        </w:tc>
      </w:tr>
      <w:tr>
        <w:trPr>
          <w:trHeight w:val="277"/>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U.S. FDA and other global regulatory agencies. Inventories as of September 30, 2024 and December 31, 2023 consist of the following:</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145,352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155,128</w:t>
            </w:r>
          </w:p>
        </w:tc>
        <w:tc>
          <w:tcPr>
            <w:tcW w:w="80" w:type="dxa"/>
            <w:vAlign w:val="bottom"/>
            <w:shd w:val="clear" w:color="auto" w:fill="CFF0FC"/>
          </w:tcPr>
          <w:p>
            <w:pPr>
              <w:spacing w:after="0"/>
              <w:rPr>
                <w:sz w:val="20"/>
                <w:szCs w:val="20"/>
                <w:color w:val="auto"/>
              </w:rPr>
            </w:pP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80" w:type="dxa"/>
            <w:vAlign w:val="bottom"/>
          </w:tcPr>
          <w:p>
            <w:pPr>
              <w:spacing w:after="0"/>
              <w:rPr>
                <w:sz w:val="20"/>
                <w:szCs w:val="20"/>
                <w:color w:val="auto"/>
              </w:rPr>
            </w:pPr>
          </w:p>
        </w:tc>
      </w:tr>
      <w:tr>
        <w:trPr>
          <w:trHeight w:val="243"/>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120,583</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574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 xml:space="preserve">Total inventory </w:t>
            </w:r>
            <w:r>
              <w:rPr>
                <w:rFonts w:ascii="Times New Roman" w:cs="Times New Roman" w:eastAsia="Times New Roman" w:hAnsi="Times New Roman"/>
                <w:sz w:val="24"/>
                <w:szCs w:val="24"/>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298,023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336,231</w:t>
            </w:r>
          </w:p>
        </w:tc>
        <w:tc>
          <w:tcPr>
            <w:tcW w:w="80" w:type="dxa"/>
            <w:vAlign w:val="bottom"/>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-187960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1360" w:right="1440" w:hanging="4"/>
        <w:spacing w:after="0" w:line="258" w:lineRule="auto"/>
        <w:tabs>
          <w:tab w:leader="none" w:pos="1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inventory consists of both current inventory and long-term inventory. During the three and nine months ended September 30, 2024, nil and approximately $1.5 million, respectively, of inventory was expensed through cost of goods sold for product dating inventory. During the three and nine months ended September 30, 2023, nil and approximately $3.4 million, respectively, of finished goods were expensed through cost of goods sold related to unsellable inventory not related to product dating.</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$74.0 million and $77.6 million, respectively, of long-term inventory as consumption is expected beyond the Company's operating cycle of 12 months.</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Amarin accrues a liability for legal contingencies when it believes that it is both probable that a liability has been incurred and that it can reasonably estimate the amount of the loss. Amarin reviews these accruals and adjusts them to reflect ongoing negotiations, settlements, rulings, advice of legal counsel and other relevant information. To the extent new information is obtained and Amarin’s views on the probable outcomes of claims, suits, assessments, investigations or legal proceedings change, changes in Amarin’s accrued liabilities would be recorded in the period in which such determination is made. For the matters referenced below, the amount of liability is not probable nor can the amount be reasonably estimated; therefore, accruals have not been made. In addition, in accordance with the relevant authoritative guidance, for matters in which the likelihood of material loss is at least reasonably possible, Amarin provides disclosure of the possible loss or range of loss. If a reasonable estimate cannot be made, however, Amarin will provide disclosure to that effect.</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Updates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Amarin intends to vigorously enforce its intellectual property rights relating to VASCEPA, but cannot predict the outcome of these lawsuits described below, those lawsuits described in the Company's Form 10-K or any subsequently filed lawsuits. Except as described below, there have been no material updates to our litigation as reported in the Company’s Form 10-K.</w:t>
      </w:r>
    </w:p>
    <w:p>
      <w:pPr>
        <w:spacing w:after="0" w:line="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April 27, 2021 and February 21, 2023, Dr. Reddy’s and Hikma, respectively, filed complaints against the Company in the United States District Court for the District of New Jersey, Civil action No. 21-cv-10309 and No. 23-cv-01016, alleging various antitrust violations stemming from alleged anticompetitive practices related to the supply of active pharmaceutical ingredient of VASCEPA. On March 28, 2024, Teva Pharmaceuticals USA, Inc., or Teva, filed a complaint against the Company in the United States District Court for the District of New Jersey, Civil action No. 24-cv-04341 alleging various antitrust violations analogous to those made by Dr. Reddy’s and Hikma. The Company filed a motion to dismiss the Teva complaint in May 2024, which remains pending. Further, on June 14, 2024, Apotex, Inc., or Apotex, filed a complaint against the Company in the United States District Court</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3" w:name="page14"/>
    <w:bookmarkEnd w:id="13"/>
    <w:p>
      <w:pPr>
        <w:ind w:right="60"/>
        <w:spacing w:after="0" w:line="258" w:lineRule="auto"/>
        <w:rPr>
          <w:sz w:val="20"/>
          <w:szCs w:val="20"/>
          <w:color w:val="auto"/>
        </w:rPr>
      </w:pPr>
      <w:r>
        <w:rPr>
          <w:rFonts w:ascii="Times New Roman" w:cs="Times New Roman" w:eastAsia="Times New Roman" w:hAnsi="Times New Roman"/>
          <w:sz w:val="18"/>
          <w:szCs w:val="18"/>
          <w:color w:val="auto"/>
        </w:rPr>
        <w:t>for the District of New Jersey. Civil action No. 24-cv-07041 alleging various antitrust violations analogous to those made by Dr. Reddy's, Hikma and Teva. The complaints also include a related state law tortious interference claim and, in the case with Apotex, breach of contract claims. Damages sought include recovery for alleged economic harm to each of Dr. Reddy’s, Hikma, Teva and Apotex, treble damages, other costs and fees and injunctive relief against the alleged violative activities. Amarin believes it has valid defenses and will vigorously defend against the claims. Such litigation can be lengthy, costly and could materially affect and disrupt our business.</w:t>
      </w:r>
    </w:p>
    <w:p>
      <w:pPr>
        <w:spacing w:after="0" w:line="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Amarin is named as a defendant in six antitrust class action lawsuits in the District Court for the District of New Jersey, as displayed in the table below. Each of the six antitrust class action lawsuits allege Amarin and its co-defendant suppliers violated state and federal antitrust laws by monopolizing and engaging in a conspiracy to restrain trade in the icosapent ethyl drug and API markets.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2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4"/>
                <w:szCs w:val="14"/>
                <w:b w:val="1"/>
                <w:bCs w:val="1"/>
                <w:color w:val="auto"/>
              </w:rPr>
              <w:t>Lawsuits</w:t>
            </w:r>
          </w:p>
        </w:tc>
        <w:tc>
          <w:tcPr>
            <w:tcW w:w="160" w:type="dxa"/>
            <w:vAlign w:val="bottom"/>
          </w:tcPr>
          <w:p>
            <w:pPr>
              <w:spacing w:after="0"/>
              <w:rPr>
                <w:sz w:val="16"/>
                <w:szCs w:val="16"/>
                <w:color w:val="auto"/>
              </w:rPr>
            </w:pPr>
          </w:p>
        </w:tc>
        <w:tc>
          <w:tcPr>
            <w:tcW w:w="1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Civil Action #</w:t>
            </w:r>
          </w:p>
        </w:tc>
        <w:tc>
          <w:tcPr>
            <w:tcW w:w="160" w:type="dxa"/>
            <w:vAlign w:val="bottom"/>
          </w:tcPr>
          <w:p>
            <w:pPr>
              <w:spacing w:after="0"/>
              <w:rPr>
                <w:sz w:val="16"/>
                <w:szCs w:val="16"/>
                <w:color w:val="auto"/>
              </w:rPr>
            </w:pPr>
          </w:p>
        </w:tc>
        <w:tc>
          <w:tcPr>
            <w:tcW w:w="2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Direct/Indirect Purchasers</w:t>
            </w:r>
          </w:p>
        </w:tc>
        <w:tc>
          <w:tcPr>
            <w:tcW w:w="0" w:type="dxa"/>
            <w:vAlign w:val="bottom"/>
          </w:tcPr>
          <w:p>
            <w:pPr>
              <w:spacing w:after="0"/>
              <w:rPr>
                <w:sz w:val="1"/>
                <w:szCs w:val="1"/>
                <w:color w:val="auto"/>
              </w:rPr>
            </w:pPr>
          </w:p>
        </w:tc>
      </w:tr>
      <w:tr>
        <w:trPr>
          <w:trHeight w:val="205"/>
        </w:trPr>
        <w:tc>
          <w:tcPr>
            <w:tcW w:w="76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Uniformed Fire Officers Association Family Protection Plan Local 854 &amp; Uniformed Fire Officers</w:t>
            </w:r>
          </w:p>
        </w:tc>
        <w:tc>
          <w:tcPr>
            <w:tcW w:w="14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21-12061</w:t>
            </w:r>
          </w:p>
        </w:tc>
        <w:tc>
          <w:tcPr>
            <w:tcW w:w="160" w:type="dxa"/>
            <w:vAlign w:val="bottom"/>
            <w:shd w:val="clear" w:color="auto" w:fill="CFF0FC"/>
          </w:tcPr>
          <w:p>
            <w:pPr>
              <w:spacing w:after="0"/>
              <w:rPr>
                <w:sz w:val="17"/>
                <w:szCs w:val="17"/>
                <w:color w:val="auto"/>
              </w:rPr>
            </w:pPr>
          </w:p>
        </w:tc>
        <w:tc>
          <w:tcPr>
            <w:tcW w:w="2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r>
        <w:trPr>
          <w:trHeight w:val="126"/>
        </w:trPr>
        <w:tc>
          <w:tcPr>
            <w:tcW w:w="76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Association for Retired Fire Officers Family Protection Plan</w:t>
            </w:r>
          </w:p>
        </w:tc>
        <w:tc>
          <w:tcPr>
            <w:tcW w:w="1460" w:type="dxa"/>
            <w:vAlign w:val="bottom"/>
            <w:gridSpan w:val="2"/>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62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Trustees of Heavy and General Laborers’ Local Unions 472 and 172 of N.J. Welfare Fund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12-14639</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 International Union of Operating Engineers Locals 137, 137A, 137B, 137C, 137R</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21-12416</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KPH Healthcare Services, Inc.</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21-12747</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Direct Purchaser</w:t>
            </w: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Local 464A United Food and Commercial Workers Union Welfare Service Benefit Fund</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21-13009</w:t>
            </w:r>
          </w:p>
        </w:tc>
        <w:tc>
          <w:tcPr>
            <w:tcW w:w="1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Teamsters Health &amp; Welfare Fund of Philadelphia and Vicinity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21-13406</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Indirect Purchaser</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Such antitrust litigation, and antitrust investigations, can be lengthy, costly and could materially affect and disrupt the Company’s business. The Company cannot predict when these matters will be resolved, their outcome or their potential impact on the Company’s business. If it is determined that Amarin has violated antitrust law, the Company could be subject to significant civil fines and penalties.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June 2020, the Company received a civil investigative demand, or CID, from the U.S. Department of Justice, or the DOJ, informing Amarin that the DOJ is investigating whether aspects of its promotional speaker programs and copayment waiver program during the period going back to January 1, 2015, violated the U.S. Anti-Kickback Statute and the U.S. Civil False Claims Acti, in relation to the sale and marketing of VASCEPA by the Company and its previous co-marketing partner, Kowa Pharmaceuticals America, Inc. The inquiries require the Company to produce documents and answer written questions, or interrogatories, relevant to specified time periods. Amarin is cooperating with the government agencies and cannot predict when these investigations will be resolved, the outcome of the investigations or their potential impact on the Company's business.</w:t>
      </w:r>
    </w:p>
    <w:p>
      <w:pPr>
        <w:spacing w:after="0" w:line="79"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On October 21, 2021, a purported investor in the Company's publicly-traded securities filed a putative class action lawsuit against the Company, the former chief executive officer and the former chief financial officer in the U.S. District Court for the District of New Jersey, Vincent Dang v. Amarin Corporation plc, John F. Thero and Michael W. Kalb, No. 1:21-cv-19212 (D.N.J. Oct. 21, 2021). A subsequent case, Dorfman v. Amarin Corporation plc, et al., No.</w:t>
      </w:r>
    </w:p>
    <w:p>
      <w:pPr>
        <w:spacing w:after="0" w:line="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3:21-cv-19911 (D.N.J. filed Nov. 10, 2021), was filed in November 2021. In December 2021, several Amarin shareholders moved to consolidate the cases and appoint a lead plaintiff and lead counsel pursuant to the Private Securities Litigation Reform Act. The complaints in these actions are nearly identical and allege that the Company misled investors by allegedly downplaying the risk associated with the Company's patent litigation related to its Abbreviated New Drug Application, or ANDA, that sought U.S. FDA approval for the sale of generic versions of icosapent ethyl, or ANDA litigation, and the risk that certain of the Company's patents related to the MARINE indication would be invalidated. Based on these allegations, plaintiff alleges that he purchased securities at an inflated share price and brings claims under the Securities and Exchange Act of 1934 seeking unspecified monetary damages and attorneys' fees and costs. In October 2022, the court consolidated the cases and appointed a lead plaintiff for the putative class. On January 13, 2023, lead plaintiff filed an amended complaint that also named the former general counsel, and again alleged that the Company made false statements regarding the ANDA litigation as well as about the REDUCE-IT indication and VASCEPA’s financial prospects resulting from REDUCE-IT. All defendants have moved to dismiss the amended complaint and on September 25, 2024, the NJ District Court granted the Company's motion to dismiss for all counts, without prejudice, permitting the Plaintiffs 30 days to amend and refile their lawsuit. The court subsequently granted on October 24, 2024, the Plaintiffs request for an additional 30 days to amend and refile the complaint. The Company believes it has valid defenses and will vigorously defend against the claims if refiled but cannot predict the outcome. The Company is unable to reasonably estimate the loss exposure, if any, associated with these claims.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March 29, 2023, purported investors in the Company’s publicly traded securities filed a derivative lawsuit, naming as defendants the Company’s former general counsel, the Company’s trial counsel for the ANDA litigation, and the Company as nominal defendant, in the Superior Court of New Jersey, Law Division, Monmouth County, captioned </w:t>
      </w:r>
      <w:r>
        <w:rPr>
          <w:rFonts w:ascii="Times New Roman" w:cs="Times New Roman" w:eastAsia="Times New Roman" w:hAnsi="Times New Roman"/>
          <w:sz w:val="18"/>
          <w:szCs w:val="18"/>
          <w:i w:val="1"/>
          <w:iCs w:val="1"/>
          <w:color w:val="auto"/>
        </w:rPr>
        <w:t>Anne Abramson, John Lissandrello, Georgette Appiano, and Andrew Bondarowicz v. Amarin Corporation plc,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Covington &amp; Burling, LLP, Joseph T. Kennedy, and John Does A-Z</w:t>
      </w:r>
      <w:r>
        <w:rPr>
          <w:rFonts w:ascii="Times New Roman" w:cs="Times New Roman" w:eastAsia="Times New Roman" w:hAnsi="Times New Roman"/>
          <w:sz w:val="18"/>
          <w:szCs w:val="18"/>
          <w:color w:val="auto"/>
        </w:rPr>
        <w:t>, No. MON-L-000984-23 (N.J. Super. Ct. Law Div. Mar. 29, 2023).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alleged that the defendants failed to exercise appropriate diligence and due care in their conduct of the ANDA litigation. Based on those allegations, the complaint alleged that the defendants committed legal malpractice and sought monetary damages and attorneys’ fees and costs. On April 8, 2023, the plaintiffs voluntarily dismissed this case without prejudice.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60"/>
        <w:spacing w:after="0" w:line="255" w:lineRule="auto"/>
        <w:rPr>
          <w:sz w:val="20"/>
          <w:szCs w:val="20"/>
          <w:color w:val="auto"/>
        </w:rPr>
      </w:pPr>
      <w:r>
        <w:rPr>
          <w:rFonts w:ascii="Times New Roman" w:cs="Times New Roman" w:eastAsia="Times New Roman" w:hAnsi="Times New Roman"/>
          <w:sz w:val="18"/>
          <w:szCs w:val="18"/>
          <w:color w:val="auto"/>
        </w:rPr>
        <w:t>On November 30, 2020, the Company filed a patent infringement lawsuit against Hikma for making, selling, offering to sell, and importing generic icosapent ethyl capsules in and into the United States in a manner that the Company alleges induced the infringement of patents covering the use of VASCEPA to reduce specified CV risk. On January 4, 2022, the district court for the District of Delaware granted a motion to dismiss the Company's lawsuit for failure to state a claim. Thereafter, the Company appealed to the Court of Appeals for the Federal Circuit. On June 25, 2024, the Federal Circuit issued a decision reversing the district court, finding that the Company's allegations against Hikma plausibly state a claim alleging Hikma actively induced infringement of the asserted patents. Hikma filed a petition for rehearing en banc on August 22, 2024, which was denied on October 17, 2024. The case is remanded to the district court and will proceed accordingly.</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On March 31, 2023, the Company’s former chief executive officer, Karim Mikhail, filed a complaint against the Company and certain of its affiliates in the Superior Court of New Jersey, Law Division – Somerset County, captioned </w:t>
      </w:r>
      <w:r>
        <w:rPr>
          <w:rFonts w:ascii="Times New Roman" w:cs="Times New Roman" w:eastAsia="Times New Roman" w:hAnsi="Times New Roman"/>
          <w:sz w:val="18"/>
          <w:szCs w:val="18"/>
          <w:i w:val="1"/>
          <w:iCs w:val="1"/>
          <w:color w:val="auto"/>
        </w:rPr>
        <w:t>Mikhail v. Amarin Corporation, plc</w:t>
      </w:r>
      <w:r>
        <w:rPr>
          <w:rFonts w:ascii="Times New Roman" w:cs="Times New Roman" w:eastAsia="Times New Roman" w:hAnsi="Times New Roman"/>
          <w:sz w:val="18"/>
          <w:szCs w:val="18"/>
          <w:color w:val="auto"/>
        </w:rPr>
        <w:t xml:space="preserve"> (Docket No. SOM-L-000366-23), concerning Mr. Mikhail’s alleged “constructive termination” from the Company. The complaint seeks unspecified damages arising from claims for breaches of his employment agreement, Executive Severance and Change of Control Plan, and the implied covenant of good faith and fair dealing. On April 3, 2023, the case moved to the United States District Court for the District of New Jersey (Civ. No. 3:23-cv-01856). On June 30, 2023, all defendants moved to dismiss this case without prejudice due to lack of jurisdiction. On March 4, 2024, the District Court granted the motion in part and denied the motion in part, permitting the parties to pursue limited discovery on the issue of personal jurisdiction, and allowing defendants thereafter to refile a motion to dismiss. The Company believes it has valid defenses and will vigorously defend against the claims but cannot predict the outcome. The Company is unable to reasonably estimate the loss exposure, if any, associated with these claims.</w:t>
      </w:r>
    </w:p>
    <w:p>
      <w:pPr>
        <w:spacing w:after="0" w:line="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spacing w:after="0" w:line="6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negotiate with contract suppliers to align its supply arrangements with current and future global demand, which may result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costs to the Company. As of the date of filing of this Quarterly Report, the Company has a total of approximately $53.0 million in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purchase obligations without consideration to ongoing discussions with other suppliers. In addition, the Company has total obligations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$179.3 million, which excludes the contingency obligation described below, contingent on either certain suppliers obtaining regulatory approval in Europe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obtaining pricing reimbursement in certain European countries.</w:t>
      </w:r>
    </w:p>
    <w:p>
      <w:pPr>
        <w:spacing w:after="0" w:line="9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the above, the Company was unable to obtain pricing reimbursement in certain countries outlined within renegotiated supply agreements by June 30, 2024, triggering obligations up to $15.8 million. The Company entered into an amended supply agreement subsequent to September 30, 2024, resulting in a liability amounting to $7.8 million, which the Company had previously recorded in cost of goods sold - restructuring inventory on the condensed consolidated statement of operations during the three months ended September 30 2023.</w:t>
      </w:r>
    </w:p>
    <w:p>
      <w:pPr>
        <w:spacing w:after="0" w:line="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such former shareholder) of £5.0 million (approximately $6.7 million as of September 30, 2024) for the potential market approval.</w:t>
      </w:r>
    </w:p>
    <w:p>
      <w:pPr>
        <w:spacing w:after="0" w:line="6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Company has no provision for any of these obligations, except the $7.8 million provision noted above, since the amounts are either not paid or payable as of September 30, 2024.</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 was no common stock activity during the nine months ended September 30, 2024 and 2023, except as described in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aggregate number of stock options and restricted stock units, or RSUs, outstanding under the Amarin Corporation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Stock Incentive Plan, or the 2020 Plan, as of September 30, 2024:</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3500" w:type="dxa"/>
            <w:vAlign w:val="bottom"/>
            <w:gridSpan w:val="3"/>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29,071,014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fully-diluted basis</w:t>
            </w: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14,695,557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fully-diluted basis</w:t>
            </w: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nine months ended September 30, 2024 and 2023:</w:t>
      </w:r>
    </w:p>
    <w:p>
      <w:pPr>
        <w:spacing w:after="0" w:line="30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16510</wp:posOffset>
            </wp:positionV>
            <wp:extent cx="33604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6" w:lineRule="exact"/>
        <w:rPr>
          <w:sz w:val="20"/>
          <w:szCs w:val="20"/>
          <w:color w:val="auto"/>
        </w:rPr>
      </w:pPr>
    </w:p>
    <w:p>
      <w:pPr>
        <w:ind w:left="6920"/>
        <w:spacing w:after="0"/>
        <w:tabs>
          <w:tab w:leader="none" w:pos="97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16510</wp:posOffset>
            </wp:positionV>
            <wp:extent cx="15513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ectPr>
          <w:pgSz w:w="11900" w:h="16838" w:orient="portrait"/>
          <w:cols w:equalWidth="0" w:num="1">
            <w:col w:w="11300"/>
          </w:cols>
          <w:pgMar w:left="320" w:top="1226" w:right="27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issued for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8"/>
          <w:szCs w:val="18"/>
          <w:color w:val="auto"/>
        </w:rPr>
        <w:t>Gross and net proceeds from stock option exercises</w:t>
      </w:r>
      <w:r>
        <w:rPr>
          <w:sz w:val="20"/>
          <w:szCs w:val="20"/>
          <w:color w:val="auto"/>
        </w:rPr>
        <w:tab/>
      </w:r>
      <w:r>
        <w:rPr>
          <w:rFonts w:ascii="Times New Roman" w:cs="Times New Roman" w:eastAsia="Times New Roman" w:hAnsi="Times New Roman"/>
          <w:sz w:val="16"/>
          <w:szCs w:val="16"/>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shares issued in settlement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ind w:left="20" w:right="1400"/>
        <w:spacing w:after="0" w:line="270" w:lineRule="auto"/>
        <w:rPr>
          <w:sz w:val="20"/>
          <w:szCs w:val="20"/>
          <w:color w:val="auto"/>
        </w:rPr>
      </w:pPr>
      <w:r>
        <w:rPr>
          <w:rFonts w:ascii="Times New Roman" w:cs="Times New Roman" w:eastAsia="Times New Roman" w:hAnsi="Times New Roman"/>
          <w:sz w:val="17"/>
          <w:szCs w:val="17"/>
          <w:color w:val="auto"/>
        </w:rPr>
        <w:t xml:space="preserve">Shares retained for settlement of employee tax obligations </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RSUs Common shares issued in settlement of vested Performance-based RSUs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right="1020"/>
        <w:spacing w:after="0" w:line="258" w:lineRule="auto"/>
        <w:rPr>
          <w:sz w:val="20"/>
          <w:szCs w:val="20"/>
          <w:color w:val="auto"/>
        </w:rPr>
      </w:pPr>
      <w:r>
        <w:rPr>
          <w:rFonts w:ascii="Times New Roman" w:cs="Times New Roman" w:eastAsia="Times New Roman" w:hAnsi="Times New Roman"/>
          <w:sz w:val="18"/>
          <w:szCs w:val="18"/>
          <w:color w:val="auto"/>
        </w:rPr>
        <w:t>Shares retained for settlement of employee tax obligations ─ Performance-based RSUs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9,500</w:t>
            </w:r>
          </w:p>
        </w:tc>
        <w:tc>
          <w:tcPr>
            <w:tcW w:w="9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1,239,763</w:t>
            </w:r>
          </w:p>
        </w:tc>
      </w:tr>
      <w:tr>
        <w:trPr>
          <w:trHeight w:val="234"/>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10,260</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1,878,000</w:t>
            </w:r>
          </w:p>
        </w:tc>
      </w:tr>
      <w:tr>
        <w:trPr>
          <w:trHeight w:val="243"/>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3,218,757</w:t>
            </w:r>
          </w:p>
        </w:tc>
        <w:tc>
          <w:tcPr>
            <w:tcW w:w="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3,612,224</w:t>
            </w:r>
          </w:p>
        </w:tc>
      </w:tr>
      <w:tr>
        <w:trPr>
          <w:trHeight w:val="243"/>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1,188,171</w:t>
            </w:r>
          </w:p>
        </w:tc>
        <w:tc>
          <w:tcPr>
            <w:tcW w:w="9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1,096,503</w:t>
            </w:r>
          </w:p>
        </w:tc>
      </w:tr>
      <w:tr>
        <w:trPr>
          <w:trHeight w:val="257"/>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484,897</w:t>
            </w:r>
          </w:p>
        </w:tc>
        <w:tc>
          <w:tcPr>
            <w:tcW w:w="9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348,340</w:t>
            </w:r>
          </w:p>
        </w:tc>
      </w:tr>
      <w:tr>
        <w:trPr>
          <w:trHeight w:val="351"/>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227,380</w:t>
            </w:r>
          </w:p>
        </w:tc>
        <w:tc>
          <w:tcPr>
            <w:tcW w:w="9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143,120</w:t>
            </w:r>
          </w:p>
        </w:tc>
      </w:tr>
    </w:tbl>
    <w:p>
      <w:pPr>
        <w:spacing w:after="0" w:line="210" w:lineRule="exact"/>
        <w:rPr>
          <w:sz w:val="20"/>
          <w:szCs w:val="20"/>
          <w:color w:val="auto"/>
        </w:rPr>
      </w:pPr>
    </w:p>
    <w:p>
      <w:pPr>
        <w:sectPr>
          <w:pgSz w:w="11900" w:h="16838" w:orient="portrait"/>
          <w:cols w:equalWidth="0" w:num="2">
            <w:col w:w="6840" w:space="720"/>
            <w:col w:w="3740"/>
          </w:cols>
          <w:pgMar w:left="320" w:top="1226" w:right="279" w:bottom="1440" w:gutter="0" w:footer="0" w:header="0"/>
          <w:type w:val="continuous"/>
        </w:sect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Performance-based RSUs vested in connection with the achievement of certain performance conditions during the year.</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July 2024, the Company granted 5,000,000 stock options to Aaron Berg in connection with his appointment as President and Chief Executive Officer, which will vest upon achievement of specified stock price conditions for the Company.</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April 2024, the Company granted a total of 492,296 RSUs and 1,438,360 stock options to members of the Company's Board of Directors. The RSUs vest annually over a three-year period and the stock options vest quarterly over a four-year period with a one-year cliff vesting.</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a total of 6,800,500 RSUs and 2,662,000 stock options to employees under the 2020 Plan. The RSUs vest annually over a three-year period and the stock options vest quarterly over a four-year period with a one-year cliff vesting.</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July 2023, in connection with the implementation of a retention program, the Company granted a total of 3,978,300 stock options to employees under the 2020 Plan. The options vest 50% on both January 1, 2024 and January 1, 2025, respectively.</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July 2023, the Company granted a total of 1,209,824 RSUs and 3,629,465 stock options to members of the Company's Board of Directors under the 2020 Plan and in accordance with the Company's non-employee director compensation policy. The RSUs vest in equal installments over a three-year period upon the earlier of the anniversary of the grant date or the Company’s annual general meeting of shareholders in such anniversary year, and are subject to deferred settlement upon the director’s separation of service with the Company. The stock options vest in full upon the earlier of the one-year anniversary of the grant date or the Company’s annual general meeting of shareholders in such anniversary year. Upon termination of service to the Company or upon a change of control as defined in the 2020 Plan, each director shall be entitled to a payment equal to the fair market value of one share of Amarin common stock per award vested or granted, respectively, which is required to be made in shares.</w:t>
      </w:r>
    </w:p>
    <w:p>
      <w:pPr>
        <w:spacing w:after="0" w:line="8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July 2023, the Company granted 5,000,000 stock options to Patrick Holt in connection with his appointment as President and Chief Executive Officer, which would have vested upon achievement of specified stock price conditions for the Company, but was forfeited upon Mr. Holt's resignation from the Company.</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February 2023, the Company granted a total of 7,775,850 RSUs and 4,297,500 stock options to employees under the 2020 Plan. The RSUs vest annually over a three-year period and the stock options vest quarterly over a four-year period with a one-year cliff vesting. Also in February 2023, the Company granted a total of 1,368,800 RSUs to employees under the 2020 Plan that vest upon the achievement of specified sales and operational performance conditions.</w:t>
      </w:r>
    </w:p>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Revenue Recognition</w:t>
      </w:r>
    </w:p>
    <w:p>
      <w:pPr>
        <w:spacing w:after="0" w:line="12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and Europe,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w:t>
      </w:r>
    </w:p>
    <w:p>
      <w:pPr>
        <w:spacing w:after="0" w:line="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26" w:right="279" w:bottom="1440" w:gutter="0" w:footer="0" w:header="0"/>
          <w:type w:val="continuous"/>
        </w:sectPr>
      </w:pPr>
    </w:p>
    <w:bookmarkStart w:id="16" w:name="page17"/>
    <w:bookmarkEnd w:id="16"/>
    <w:p>
      <w:pPr>
        <w:ind w:right="180"/>
        <w:spacing w:after="0" w:line="282" w:lineRule="auto"/>
        <w:rPr>
          <w:sz w:val="20"/>
          <w:szCs w:val="20"/>
          <w:color w:val="auto"/>
        </w:rPr>
      </w:pPr>
      <w:r>
        <w:rPr>
          <w:rFonts w:ascii="Times New Roman" w:cs="Times New Roman" w:eastAsia="Times New Roman" w:hAnsi="Times New Roman"/>
          <w:sz w:val="18"/>
          <w:szCs w:val="18"/>
          <w:color w:val="auto"/>
        </w:rPr>
        <w:t>arrangements with healthcare providers and payors that provide for government-mandated and/or privately-negotiated rebates, chargebacks and discounts with respect to the purchase of the Company’s product.</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Payments from distributors are generally received 45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or list price that the Company charges its distributors for VASCEPA.</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payment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87" w:lineRule="exact"/>
        <w:rPr>
          <w:sz w:val="20"/>
          <w:szCs w:val="20"/>
          <w:color w:val="auto"/>
        </w:rPr>
      </w:pPr>
    </w:p>
    <w:p>
      <w:pPr>
        <w:ind w:left="520"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services, such as fees for certain data that distributors provide to the Company. The payment terms for sales to distributors in the U.S. and Europe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75" w:lineRule="exact"/>
        <w:rPr>
          <w:sz w:val="20"/>
          <w:szCs w:val="20"/>
          <w:color w:val="auto"/>
        </w:rPr>
      </w:pPr>
    </w:p>
    <w:p>
      <w:pPr>
        <w:ind w:left="520" w:right="8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Medicare, other government agencies and various private organizations,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 For the three and nine months ended September 30, 2023, the Company recognized $6.5 million and $15.1 million, respectively, related to a change in estimate primarily for the Medicaid rebate provision as a result of a change in the percentage of business within the Medicaid segment, with a related reduction in net loss by $6.5 million and $15.1 million in the three and nine months ended September 30, 2023, respectively. Excluding this change in estimate, net loss per share basic and diluted for the three and nine months ended September 30, 2023 would have been $(0.06) and $(0.17), respectively.</w:t>
      </w:r>
    </w:p>
    <w:p>
      <w:pPr>
        <w:spacing w:after="0" w:line="84" w:lineRule="exact"/>
        <w:rPr>
          <w:sz w:val="20"/>
          <w:szCs w:val="20"/>
          <w:color w:val="auto"/>
        </w:rPr>
      </w:pPr>
    </w:p>
    <w:p>
      <w:pPr>
        <w:ind w:left="520" w:right="1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left="520"/>
        <w:spacing w:after="0" w:line="272" w:lineRule="auto"/>
        <w:rPr>
          <w:sz w:val="20"/>
          <w:szCs w:val="20"/>
          <w:color w:val="auto"/>
        </w:rPr>
      </w:pPr>
      <w:r>
        <w:rPr>
          <w:rFonts w:ascii="Times New Roman" w:cs="Times New Roman" w:eastAsia="Times New Roman" w:hAnsi="Times New Roman"/>
          <w:sz w:val="17"/>
          <w:szCs w:val="17"/>
          <w:color w:val="auto"/>
        </w:rPr>
        <w:t>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w:t>
      </w:r>
    </w:p>
    <w:p>
      <w:pPr>
        <w:spacing w:after="0" w:line="2" w:lineRule="exact"/>
        <w:rPr>
          <w:sz w:val="20"/>
          <w:szCs w:val="20"/>
          <w:color w:val="auto"/>
        </w:rPr>
      </w:pPr>
    </w:p>
    <w:p>
      <w:pPr>
        <w:ind w:left="520" w:right="80" w:hanging="3"/>
        <w:spacing w:after="0" w:line="252" w:lineRule="auto"/>
        <w:tabs>
          <w:tab w:leader="none" w:pos="7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80" w:lineRule="exact"/>
        <w:rPr>
          <w:sz w:val="20"/>
          <w:szCs w:val="20"/>
          <w:color w:val="auto"/>
        </w:rPr>
      </w:pPr>
    </w:p>
    <w:p>
      <w:pPr>
        <w:ind w:left="5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18,834</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143,033</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7,732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1,902</w:t>
            </w:r>
          </w:p>
        </w:tc>
        <w:tc>
          <w:tcPr>
            <w:tcW w:w="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171,501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589,133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(2,111 )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(2,111 )</w:t>
            </w: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(50,145 )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(484,127 )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(7,912 )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(542,351 )</w:t>
            </w: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(18,383 )</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(136,588 )</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(3,152 )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(160,109 )</w:t>
            </w:r>
          </w:p>
        </w:tc>
        <w:tc>
          <w:tcPr>
            <w:tcW w:w="0" w:type="dxa"/>
            <w:vAlign w:val="bottom"/>
          </w:tcPr>
          <w:p>
            <w:pPr>
              <w:spacing w:after="0"/>
              <w:rPr>
                <w:sz w:val="1"/>
                <w:szCs w:val="1"/>
                <w:color w:val="auto"/>
              </w:rPr>
            </w:pPr>
          </w:p>
        </w:tc>
      </w:tr>
      <w:tr>
        <w:trPr>
          <w:trHeight w:val="238"/>
        </w:trPr>
        <w:tc>
          <w:tcPr>
            <w:tcW w:w="4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12,517</w:t>
            </w:r>
          </w:p>
        </w:tc>
        <w:tc>
          <w:tcPr>
            <w:tcW w:w="14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109,340</w:t>
            </w:r>
          </w:p>
        </w:tc>
        <w:tc>
          <w:tcPr>
            <w:tcW w:w="14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5,872</w:t>
            </w: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671</w:t>
            </w:r>
          </w:p>
        </w:tc>
        <w:tc>
          <w:tcPr>
            <w:tcW w:w="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128,400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Product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6"/>
                <w:szCs w:val="16"/>
                <w:color w:val="auto"/>
              </w:rPr>
            </w:pPr>
          </w:p>
        </w:tc>
        <w:tc>
          <w:tcPr>
            <w:tcW w:w="10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80" w:type="dxa"/>
            <w:vAlign w:val="bottom"/>
          </w:tcPr>
          <w:p>
            <w:pPr>
              <w:spacing w:after="0"/>
              <w:rPr>
                <w:sz w:val="16"/>
                <w:szCs w:val="16"/>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Returns</w:t>
            </w:r>
          </w:p>
        </w:tc>
        <w:tc>
          <w:tcPr>
            <w:tcW w:w="120" w:type="dxa"/>
            <w:vAlign w:val="bottom"/>
          </w:tcPr>
          <w:p>
            <w:pPr>
              <w:spacing w:after="0"/>
              <w:rPr>
                <w:sz w:val="16"/>
                <w:szCs w:val="16"/>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00" w:type="dxa"/>
            <w:vAlign w:val="bottom"/>
            <w:tcBorders>
              <w:top w:val="single" w:sz="8" w:color="auto"/>
            </w:tcBorders>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44,626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136,093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8,746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2,056</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191,521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(15,113 )</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(15,257 )</w:t>
            </w: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(30,450 )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(442,673 )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(11,732 )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(485,808 )</w:t>
            </w: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(42,389 )</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(75,297 )</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(1,219 )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(1,008 )</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(119,913 )</w:t>
            </w:r>
          </w:p>
        </w:tc>
        <w:tc>
          <w:tcPr>
            <w:tcW w:w="0" w:type="dxa"/>
            <w:vAlign w:val="bottom"/>
          </w:tcPr>
          <w:p>
            <w:pPr>
              <w:spacing w:after="0"/>
              <w:rPr>
                <w:sz w:val="1"/>
                <w:szCs w:val="1"/>
                <w:color w:val="auto"/>
              </w:rPr>
            </w:pPr>
          </w:p>
        </w:tc>
      </w:tr>
      <w:tr>
        <w:trPr>
          <w:trHeight w:val="239"/>
        </w:trPr>
        <w:tc>
          <w:tcPr>
            <w:tcW w:w="4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38,790</w:t>
            </w: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134,710</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7,958</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2,786</w:t>
            </w:r>
          </w:p>
        </w:tc>
        <w:tc>
          <w:tcPr>
            <w:tcW w:w="14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184,244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-1593850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-1593850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-1593850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-1593850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-187960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75"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ind w:right="400" w:firstLine="8"/>
        <w:spacing w:after="0" w:line="282"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5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7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During the three months ended June 30, 2024, the Company adjusted the measure of performance and recognized an additional $4.0 million of license revenue relating to Eddingpharm (Asia) Macao Commercial Offshore Limited, or Edding. Excluding this change in estimate, net loss per share basic and diluted for the nine months ended September 30, 2024 would have been $(0.09). During the three months ended June 30, 2023, the Company adjusted the measure of performance and recognized an additional $5.0 million and $5.3 million of license revenue relating to Edding, and HLS Therapeutics Inc., or HLS, respectively. Excluding this change in estimate, net loss per share basic and diluted for the nine months ended September 30, 2023 would have been $(0.16). Refer to </w:t>
      </w:r>
      <w:r>
        <w:rPr>
          <w:rFonts w:ascii="Times New Roman" w:cs="Times New Roman" w:eastAsia="Times New Roman" w:hAnsi="Times New Roman"/>
          <w:sz w:val="18"/>
          <w:szCs w:val="18"/>
          <w:i w:val="1"/>
          <w:iCs w:val="1"/>
          <w:color w:val="auto"/>
        </w:rPr>
        <w:t>Note 8—Development, Commercialization and Supply Agreements</w:t>
      </w:r>
      <w:r>
        <w:rPr>
          <w:rFonts w:ascii="Times New Roman" w:cs="Times New Roman" w:eastAsia="Times New Roman" w:hAnsi="Times New Roman"/>
          <w:sz w:val="18"/>
          <w:szCs w:val="18"/>
          <w:color w:val="auto"/>
        </w:rPr>
        <w:t xml:space="preserve"> for further details.</w:t>
      </w:r>
    </w:p>
    <w:p>
      <w:pPr>
        <w:spacing w:after="0" w:line="8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Development, Commercialization and Supply Agreements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U.S. and certain other territories and the parties will collaborate to research and develop new products and indications based on EPA for the Company’s commercialization in the U.S. and certain other territories. The potential new product and indication opportunities contemplated under this agreement are currently in early stages of development.</w:t>
      </w:r>
    </w:p>
    <w:p>
      <w:pPr>
        <w:spacing w:after="0" w:line="79" w:lineRule="exact"/>
        <w:rPr>
          <w:sz w:val="20"/>
          <w:szCs w:val="20"/>
          <w:color w:val="auto"/>
        </w:rPr>
      </w:pPr>
    </w:p>
    <w:p>
      <w:pPr>
        <w:ind w:right="440"/>
        <w:spacing w:after="0" w:line="257"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440"/>
        <w:spacing w:after="0" w:line="282" w:lineRule="auto"/>
        <w:rPr>
          <w:sz w:val="20"/>
          <w:szCs w:val="20"/>
          <w:color w:val="auto"/>
        </w:rPr>
      </w:pPr>
      <w:r>
        <w:rPr>
          <w:rFonts w:ascii="Times New Roman" w:cs="Times New Roman" w:eastAsia="Times New Roman" w:hAnsi="Times New Roman"/>
          <w:sz w:val="18"/>
          <w:szCs w:val="18"/>
          <w:color w:val="auto"/>
        </w:rPr>
        <w:t>In January 2024 and 2023, the Company exercised certain rights under the agreement, resulting in payments of $1.0 million in each of such periods to Mochida, which was recorded as research and development expense in the condensed consolidated statement of operations.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 related to the development and commercialization of VASCEPA in Mainland China, Hong Kong, Macau and Taiwan, or collectively, the China Territory. Under the terms of the DCS Agreement, the Company granted to Edding an exclusive (including as to the Company) license with the right to sublicense development and commercialization of VASCEPA in the China Territory for uses that are currently commercialized and under development by the Company based on the Company’s MARINE, ANCHOR and REDUCE-IT clinical trials of VASCEPA.</w:t>
      </w:r>
    </w:p>
    <w:p>
      <w:pPr>
        <w:spacing w:after="0" w:line="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ind w:left="20"/>
              <w:spacing w:after="0"/>
              <w:rPr>
                <w:sz w:val="20"/>
                <w:szCs w:val="20"/>
                <w:color w:val="auto"/>
              </w:rPr>
            </w:pPr>
            <w:r>
              <w:rPr>
                <w:rFonts w:ascii="Calibri" w:cs="Calibri" w:eastAsia="Calibri" w:hAnsi="Calibri"/>
                <w:sz w:val="16"/>
                <w:szCs w:val="16"/>
                <w:b w:val="1"/>
                <w:bCs w:val="1"/>
                <w:i w:val="1"/>
                <w:iCs w:val="1"/>
                <w:color w:val="auto"/>
              </w:rPr>
              <w:t>In thousands</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78"/>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8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4"/>
                <w:szCs w:val="24"/>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Upfront fee</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2015</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Submission of the CTA for the MARINE indication</w:t>
            </w:r>
          </w:p>
        </w:tc>
        <w:tc>
          <w:tcPr>
            <w:tcW w:w="1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2016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Approval of VASCEPA under the MARINE indication</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2017</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Submission of the CTA for the REDUCE-IT indication</w:t>
            </w:r>
          </w:p>
        </w:tc>
        <w:tc>
          <w:tcPr>
            <w:tcW w:w="1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Approval of VASCEPA under the REDUCE-IT indication</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Development Support</w:t>
            </w:r>
          </w:p>
        </w:tc>
        <w:tc>
          <w:tcPr>
            <w:tcW w:w="1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1"/>
                <w:szCs w:val="21"/>
                <w:color w:val="auto"/>
              </w:rPr>
            </w:pPr>
          </w:p>
        </w:tc>
      </w:tr>
      <w:tr>
        <w:trPr>
          <w:trHeight w:val="277"/>
        </w:trPr>
        <w:tc>
          <w:tcPr>
            <w:tcW w:w="7940" w:type="dxa"/>
            <w:vAlign w:val="bottom"/>
            <w:tcBorders>
              <w:bottom w:val="single" w:sz="8" w:color="CFF0FC"/>
            </w:tcBorders>
            <w:shd w:val="clear" w:color="auto" w:fill="CFF0FC"/>
          </w:tcPr>
          <w:p>
            <w:pPr>
              <w:ind w:left="6240"/>
              <w:spacing w:after="0"/>
              <w:rPr>
                <w:sz w:val="20"/>
                <w:szCs w:val="20"/>
                <w:color w:val="auto"/>
              </w:rPr>
            </w:pPr>
            <w:r>
              <w:rPr>
                <w:rFonts w:ascii="Times New Roman" w:cs="Times New Roman" w:eastAsia="Times New Roman" w:hAnsi="Times New Roman"/>
                <w:sz w:val="18"/>
                <w:szCs w:val="18"/>
                <w:color w:val="auto"/>
                <w:w w:val="99"/>
              </w:rPr>
              <w:t>Total Transaction Price</w:t>
            </w:r>
          </w:p>
        </w:tc>
        <w:tc>
          <w:tcPr>
            <w:tcW w:w="18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tiered double-digit percentage royalties on net sales of VASCEPA in the China Territory escalating to the high teens. The achievement of sales-based milestone events occur when annual aggregate net sales of VASCEPA in the China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second quarter of 2023, Edding received regulatory approval in China under the MARINE indication and pursuit of additional indications outside of the REDUCE-IT indication was not probable. As a result, the Company reevaluated the performance period and determined that completion of the remaining performance obligations was estimated to be by the end of December 2025. The effect of this change in estimate from the previously received upfront payment and prior year milestone payments was an increase of $5.0 million in licensing revenue and a related reduction in net loss by $5.0 million in the nine months ended September 30, 2023. In addition, the Company recognized $3.9 million related to the milestone payment received in the second quarter of 2023 for the MARINE indication approval and the remaining $1.1 million would have been recognized over the remaining performance period through December 2025. The change in estimate in 2023 resulted in the remaining performance period decreasing from 11 years to three years for recognizing the remaining deferred revenue.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second quarter of 2024, Edding received approval in China under the REDUCE-IT indication. The REDUCE-IT indication approval concludes the Company's support for regulatory activities and, as noted above, pursuit of additional indications was deemed to be not probable. As a result, the Company reevaluated the performance period and determined that all remaining performance obligations were satisfied as of June 30, 2024, resulting in a decrease of the previous performance period of two years. The effect of this change in estimate from the previously received upfront payment and prior year milestone payments was an increase of $4.0 million in licensing revenue and a related reduction in net loss by $4.0 million in the nine months ended September 30, 2024. In addition, the Company also recognized $15.0 million in the second quarter related to the REDUCE-IT indication approval milestone.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340" w:type="dxa"/>
            <w:vAlign w:val="bottom"/>
          </w:tcPr>
          <w:p>
            <w:pPr>
              <w:ind w:left="20"/>
              <w:spacing w:after="0"/>
              <w:rPr>
                <w:sz w:val="20"/>
                <w:szCs w:val="20"/>
                <w:color w:val="auto"/>
              </w:rPr>
            </w:pPr>
            <w:r>
              <w:rPr>
                <w:rFonts w:ascii="Calibri" w:cs="Calibri" w:eastAsia="Calibri" w:hAnsi="Calibri"/>
                <w:sz w:val="16"/>
                <w:szCs w:val="16"/>
                <w:b w:val="1"/>
                <w:bCs w:val="1"/>
                <w:i w:val="1"/>
                <w:iCs w:val="1"/>
                <w:color w:val="auto"/>
              </w:rPr>
              <w:t>In thousands</w:t>
            </w:r>
          </w:p>
        </w:tc>
        <w:tc>
          <w:tcPr>
            <w:tcW w:w="340" w:type="dxa"/>
            <w:vAlign w:val="bottom"/>
          </w:tcPr>
          <w:p>
            <w:pPr>
              <w:spacing w:after="0"/>
              <w:rPr>
                <w:sz w:val="21"/>
                <w:szCs w:val="21"/>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revenue recognized during the nine months ended September 30, 2024 (1)</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100" w:type="dxa"/>
            <w:vAlign w:val="bottom"/>
          </w:tcPr>
          <w:p>
            <w:pPr>
              <w:spacing w:after="0"/>
              <w:rPr>
                <w:sz w:val="20"/>
                <w:szCs w:val="20"/>
                <w:color w:val="auto"/>
              </w:rPr>
            </w:pPr>
          </w:p>
        </w:tc>
      </w:tr>
      <w:tr>
        <w:trPr>
          <w:trHeight w:val="247"/>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Licensing revenue recognized during the nine months ended September 30, 2023 (1)</w:t>
            </w:r>
          </w:p>
        </w:tc>
        <w:tc>
          <w:tcPr>
            <w:tcW w:w="3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shd w:val="clear" w:color="auto" w:fill="CFF0FC"/>
          </w:tcPr>
          <w:p>
            <w:pPr>
              <w:spacing w:after="0"/>
              <w:rPr>
                <w:sz w:val="21"/>
                <w:szCs w:val="21"/>
                <w:color w:val="auto"/>
              </w:rPr>
            </w:pPr>
          </w:p>
        </w:tc>
      </w:tr>
      <w:tr>
        <w:trPr>
          <w:trHeight w:val="23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revenue recognized from contract inception through September 30, 2024</w:t>
            </w:r>
          </w:p>
        </w:tc>
        <w:tc>
          <w:tcPr>
            <w:tcW w:w="3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40,081</w:t>
            </w:r>
          </w:p>
        </w:tc>
        <w:tc>
          <w:tcPr>
            <w:tcW w:w="100" w:type="dxa"/>
            <w:vAlign w:val="bottom"/>
          </w:tcPr>
          <w:p>
            <w:pPr>
              <w:spacing w:after="0"/>
              <w:rPr>
                <w:sz w:val="20"/>
                <w:szCs w:val="20"/>
                <w:color w:val="auto"/>
              </w:rPr>
            </w:pPr>
          </w:p>
        </w:tc>
      </w:tr>
      <w:tr>
        <w:trPr>
          <w:trHeight w:val="247"/>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Licensing revenue recognized from contract inception through December 31, 2023</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20,655</w:t>
            </w:r>
          </w:p>
        </w:tc>
        <w:tc>
          <w:tcPr>
            <w:tcW w:w="100" w:type="dxa"/>
            <w:vAlign w:val="bottom"/>
            <w:shd w:val="clear" w:color="auto" w:fill="CFF0FC"/>
          </w:tcPr>
          <w:p>
            <w:pPr>
              <w:spacing w:after="0"/>
              <w:rPr>
                <w:sz w:val="21"/>
                <w:szCs w:val="21"/>
                <w:color w:val="auto"/>
              </w:rPr>
            </w:pPr>
          </w:p>
        </w:tc>
      </w:tr>
    </w:tbl>
    <w:p>
      <w:pPr>
        <w:spacing w:after="0" w:line="90" w:lineRule="exact"/>
        <w:rPr>
          <w:sz w:val="20"/>
          <w:szCs w:val="20"/>
          <w:color w:val="auto"/>
        </w:rPr>
      </w:pPr>
    </w:p>
    <w:p>
      <w:pPr>
        <w:ind w:left="1020" w:right="5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 under the DCS Agreement is recognized concurrent with the input measure of support hours provided by Amarin to Edding in achieving the combined development and regulatory performance obligation, which in the Company’s judgment is the best measure of progress towards satisfying this performance obligation.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remaining transaction price of $4.4 million is recorded in deferred revenue on the condensed consolidated balance sheets.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fully recognized the transaction price as of June 30, 2024.</w:t>
      </w:r>
    </w:p>
    <w:p>
      <w:pPr>
        <w:spacing w:after="0" w:line="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$4.8 million and $0.3 million for the three months ended September 30, 2024 and 2023, respectively, and $8.2 million and $0.3 million for the nine months ended September 30, 2024 and 2023, respectively, related to sales to Edding.</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1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has been fully recognized as of June 30, 2024.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bl>
    <w:p>
      <w:pPr>
        <w:spacing w:after="0" w:line="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$1.3 million and $1.4 million for the three months ended September 30, 2024 and 2023, respectively, and $1.3 million and $2.0 million for the nine months ended September 30, 2024 and 2023, respectively, related to sales to Biologix.</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5"/>
        </w:trPr>
        <w:tc>
          <w:tcPr>
            <w:tcW w:w="7940" w:type="dxa"/>
            <w:vAlign w:val="bottom"/>
          </w:tcPr>
          <w:p>
            <w:pPr>
              <w:ind w:left="20"/>
              <w:spacing w:after="0"/>
              <w:rPr>
                <w:sz w:val="20"/>
                <w:szCs w:val="20"/>
                <w:color w:val="auto"/>
              </w:rPr>
            </w:pPr>
            <w:r>
              <w:rPr>
                <w:rFonts w:ascii="Calibri" w:cs="Calibri" w:eastAsia="Calibri" w:hAnsi="Calibri"/>
                <w:sz w:val="16"/>
                <w:szCs w:val="16"/>
                <w:b w:val="1"/>
                <w:bCs w:val="1"/>
                <w:i w:val="1"/>
                <w:iCs w:val="1"/>
                <w:color w:val="auto"/>
              </w:rPr>
              <w:t>In thousands</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78"/>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8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4"/>
                <w:szCs w:val="24"/>
                <w:color w:val="auto"/>
              </w:rPr>
            </w:pPr>
          </w:p>
        </w:tc>
      </w:tr>
      <w:tr>
        <w:trPr>
          <w:trHeight w:val="243"/>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Upfront fee</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2017</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Achievement of the REDUCE-IT trial primary endpoint</w:t>
            </w:r>
          </w:p>
        </w:tc>
        <w:tc>
          <w:tcPr>
            <w:tcW w:w="1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2018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Approval from Health Canada</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exclusivity from the Office of Patented Medicines and Liaison</w:t>
            </w:r>
          </w:p>
        </w:tc>
        <w:tc>
          <w:tcPr>
            <w:tcW w:w="1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2020</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21"/>
                <w:szCs w:val="21"/>
                <w:color w:val="auto"/>
              </w:rPr>
            </w:pPr>
          </w:p>
        </w:tc>
      </w:tr>
      <w:tr>
        <w:trPr>
          <w:trHeight w:val="276"/>
        </w:trPr>
        <w:tc>
          <w:tcPr>
            <w:tcW w:w="7940" w:type="dxa"/>
            <w:vAlign w:val="bottom"/>
            <w:tcBorders>
              <w:bottom w:val="single" w:sz="8" w:color="CFF0FC"/>
            </w:tcBorders>
            <w:shd w:val="clear" w:color="auto" w:fill="CFF0FC"/>
          </w:tcPr>
          <w:p>
            <w:pPr>
              <w:ind w:left="6240"/>
              <w:spacing w:after="0"/>
              <w:rPr>
                <w:sz w:val="20"/>
                <w:szCs w:val="20"/>
                <w:color w:val="auto"/>
              </w:rPr>
            </w:pPr>
            <w:r>
              <w:rPr>
                <w:rFonts w:ascii="Times New Roman" w:cs="Times New Roman" w:eastAsia="Times New Roman" w:hAnsi="Times New Roman"/>
                <w:sz w:val="18"/>
                <w:szCs w:val="18"/>
                <w:color w:val="auto"/>
                <w:w w:val="99"/>
              </w:rPr>
              <w:t>Total Transaction Price</w:t>
            </w:r>
          </w:p>
        </w:tc>
        <w:tc>
          <w:tcPr>
            <w:tcW w:w="18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just described, the Company is entitled to receive certain sales-based milestone payments of up to an additional $50.0 million, as well as tiered double-digit royalties on net sales of VASCEPA in Canada. 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the Company concluded support for regulatory activities and pursuit of additional indications was deemed to be not probable. As a result, the Company reevaluated the performance period and determined that all remaining performance obligations were satisfied as of June 30, 2023, resulting in a decrease of the previous performance period of eight years. The effect of this change in estimate was the remaining transaction price of $5.3 million being recognized in licensing revenue and a related reduction in net loss by $5.3 million in the nine months ended September 30, 2023 from the previously received upfront payment and prior year milestone payments.</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recognized $5.6 million as licensing revenue related to upfront and milestone payments received in connection with the HLS agreement. The Company fully recognized the transaction price as of June 30, 2023.</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nil for both of the three months ended September 30, 2024 and 2023, respectively, and $1.9 million and $1.6 million for the nine months ended September 30, 2024 and 2023, respectively, related to sales to HLS.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73"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addition to the upfront payment, the Company will be eligible to receive event-related milestone payments of approximately $8.0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w:t>
      </w:r>
    </w:p>
    <w:p>
      <w:pPr>
        <w:spacing w:after="0" w:line="6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CSL, is a customer. The Company identified the following distinct performance obligations at the inception of the contract: an exclusive license to use its trademarks in connection with the importation, distribution, promotion, marketing and sale of VASCEPA in the Australia and New Zealand territories.</w:t>
      </w:r>
    </w:p>
    <w:p>
      <w:pPr>
        <w:spacing w:after="0" w:line="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transaction price includes the $0.5 million upfront consideration.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recognized nil and $0.5 million, respectively, as licensing revenue related to the up-front payment received in connection with the CSL agreement (none in 2024).</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$0.8 million for both the three and nine months ended September 30, 2024 related to sales to CSL (none in 2023).</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Lotus</w:t>
      </w:r>
    </w:p>
    <w:p>
      <w:pPr>
        <w:spacing w:after="0" w:line="1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July 2023, the Company entered into a distribution agreement with Lotus Pharmaceuticals, or Lotus, to commercialize and distribute VAZKEPA in South Korea and nine countries in Southeast Asia. The Company received an upfront payment of $0.3 million and is eligible to receive event-related and product-related milestone payments. The Company will be responsible for supplying finished product to Lotus at a pre-defined supply price.</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Lotus, is a customer. The Company identified the following distinct performance obligations at the inception of the contract: an exclusive license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2" w:name="page23"/>
    <w:bookmarkEnd w:id="22"/>
    <w:p>
      <w:pPr>
        <w:ind w:right="80"/>
        <w:spacing w:after="0" w:line="282" w:lineRule="auto"/>
        <w:rPr>
          <w:sz w:val="20"/>
          <w:szCs w:val="20"/>
          <w:color w:val="auto"/>
        </w:rPr>
      </w:pPr>
      <w:r>
        <w:rPr>
          <w:rFonts w:ascii="Times New Roman" w:cs="Times New Roman" w:eastAsia="Times New Roman" w:hAnsi="Times New Roman"/>
          <w:sz w:val="18"/>
          <w:szCs w:val="18"/>
          <w:color w:val="auto"/>
        </w:rPr>
        <w:t>to use its trademarks in connection with the importation, distribution, promotion, marketing and sale of VASCEPA in the South Korea and Southeast Asian territories.</w:t>
      </w:r>
    </w:p>
    <w:p>
      <w:pPr>
        <w:spacing w:after="0" w:line="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transaction price includes the $0.3 million upfront consideration.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recognized $0.3 million as licensing revenue related to the upfront payment received in connection with the Lotus agreement (none in 2024).</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nine months ended September 30, 2024 and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4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87"/>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6"/>
                <w:szCs w:val="16"/>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End of Period</w:t>
            </w:r>
          </w:p>
        </w:tc>
      </w:tr>
      <w:tr>
        <w:trPr>
          <w:trHeight w:val="25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45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24"/>
                <w:szCs w:val="24"/>
                <w:color w:val="auto"/>
                <w:vertAlign w:val="superscript"/>
              </w:rPr>
              <w:t>1</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(4,850 )</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2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24"/>
                <w:szCs w:val="24"/>
                <w:color w:val="auto"/>
                <w:vertAlign w:val="superscript"/>
              </w:rPr>
              <w:t>2</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(15,372 )</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shd w:val="clear" w:color="auto" w:fill="CFF0FC"/>
          </w:tcPr>
          <w:p>
            <w:pPr>
              <w:spacing w:after="0"/>
              <w:rPr>
                <w:sz w:val="21"/>
                <w:szCs w:val="21"/>
                <w:color w:val="auto"/>
              </w:rPr>
            </w:pPr>
          </w:p>
        </w:tc>
      </w:tr>
    </w:tbl>
    <w:p>
      <w:pPr>
        <w:spacing w:after="0" w:line="306" w:lineRule="exact"/>
        <w:rPr>
          <w:sz w:val="20"/>
          <w:szCs w:val="20"/>
          <w:color w:val="auto"/>
        </w:rPr>
      </w:pPr>
    </w:p>
    <w:p>
      <w:pPr>
        <w:ind w:left="1020" w:right="4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approximately $4.9 million reduction consists primarily of recognition of $4.0 million relating to the change in estimate for Edding during the three months ended June 30, 2024.</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approximately $15.0 million reduction consists of recognition of $5.0 million and $5.3 million relating to the change in estimate for Edding and HLS, respectively, as well as recognizing, based on the revised timeline, $3.9 million for the MARINE indication approval in China achieved during the three months ended June 30, 2023.</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 Company recognized the following revenues as a result of changes in the contract asset and contract liability balances in the respective periods: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8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40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100" w:type="dxa"/>
            <w:vAlign w:val="bottom"/>
            <w:shd w:val="clear" w:color="auto" w:fill="CFF0FC"/>
          </w:tcPr>
          <w:p>
            <w:pPr>
              <w:spacing w:after="0"/>
              <w:rPr>
                <w:sz w:val="20"/>
                <w:szCs w:val="20"/>
                <w:color w:val="auto"/>
              </w:rPr>
            </w:pPr>
          </w:p>
        </w:tc>
      </w:tr>
      <w:tr>
        <w:trPr>
          <w:trHeight w:val="23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40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8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80"/>
        <w:spacing w:after="0" w:line="243"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Commencement Date upon advance written notice and a termination payment specified in the Lease. Under the Lease, the Company paid monthly rent of approximately $0.1 million for the first year following the Commencement Date, and such rent increases by a nominal percentage every year following the first anniversary of the Commencement Date. In addition, Amarin receives certain abatements subject to the limitations in the Lease.</w:t>
      </w:r>
    </w:p>
    <w:p>
      <w:pPr>
        <w:spacing w:after="0" w:line="9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office space in Zug Switzerland, or the Zug Lease. The Zug Lease commenced on February 1, 2022, or the Zug Commencement Date, for a five-year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September 13, 2022, the Company entered into a lease agreement for office space in Dublin, Ireland, or the Dublin Lease. The Dublin Lease commenced on October 1, 2022, or the Dublin Commencement Date, for a two-year period. Under the Dublin Lease, the Company will pay annual rent of approximately $0.4 million during the duration of the lease term.</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April 26, 2024, the Company entered into a lease agreement for new office space in Dublin, Ireland, or the Subsequent Dublin Lease. The Subsequent Dublin Lease commenced on September 1, 2024, or the Subsequent Dublin Commencement Date, for a two-year period. Under the Dublin Lease, the Company will pay annual rent of approximately $0.5 million during the duration of the lease term.</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to the real estate leases, the Company continually enters into lease agreements for various vehicles with terms ranging from month-to-month up to 36 months.</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total operating lease liability is $10.2 million and $10.6 million and the total operating lease right-of-use asset is $8.0 million and $8.3 million, as of September 30, 2024 and December 31, 2023, respectively.</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lease expense for the three and nine months ended September 30, 2024 is approximately $0.8 million and $2.7 million, respectively. The lease expense for the three and nine months ended September 30, 2023 is approximately $0.8 million and $1.7 million, respectively.</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September 30,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1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Undiscounted lease payments</w:t>
            </w:r>
          </w:p>
        </w:tc>
        <w:tc>
          <w:tcPr>
            <w:tcW w:w="100" w:type="dxa"/>
            <w:vAlign w:val="bottom"/>
          </w:tcPr>
          <w:p>
            <w:pPr>
              <w:spacing w:after="0"/>
              <w:rPr>
                <w:sz w:val="16"/>
                <w:szCs w:val="16"/>
                <w:color w:val="auto"/>
              </w:rPr>
            </w:pPr>
          </w:p>
        </w:tc>
      </w:tr>
      <w:tr>
        <w:trPr>
          <w:trHeight w:val="23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FF0FC"/>
          </w:tcPr>
          <w:p>
            <w:pPr>
              <w:spacing w:after="0"/>
              <w:rPr>
                <w:sz w:val="20"/>
                <w:szCs w:val="20"/>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FF0FC"/>
          </w:tcPr>
          <w:p>
            <w:pPr>
              <w:spacing w:after="0"/>
              <w:rPr>
                <w:sz w:val="21"/>
                <w:szCs w:val="21"/>
                <w:color w:val="auto"/>
              </w:rPr>
            </w:pPr>
          </w:p>
        </w:tc>
      </w:tr>
      <w:tr>
        <w:trPr>
          <w:trHeight w:val="24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21"/>
                <w:szCs w:val="21"/>
                <w:color w:val="auto"/>
              </w:rPr>
            </w:pPr>
          </w:p>
        </w:tc>
      </w:tr>
      <w:tr>
        <w:trPr>
          <w:trHeight w:val="237"/>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2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Adjustments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(3,327 )</w:t>
            </w:r>
          </w:p>
        </w:tc>
      </w:tr>
      <w:tr>
        <w:trPr>
          <w:trHeight w:val="23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24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FF0FC"/>
          </w:tcPr>
          <w:p>
            <w:pPr>
              <w:spacing w:after="0"/>
              <w:rPr>
                <w:sz w:val="20"/>
                <w:szCs w:val="20"/>
                <w:color w:val="auto"/>
              </w:rPr>
            </w:pPr>
          </w:p>
        </w:tc>
      </w:tr>
      <w:tr>
        <w:trPr>
          <w:trHeight w:val="23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January 20, 2023, the Company entered into a sublease agreement, or the Sublease, for 50,000-square feet of the 67,747-square foot Lease and included within the sublease are furniture, fixtures and equipment, collectively the Sublease. The Sublease commenced on February 1, 2023, or the Sublease Commencement Date, for a 7.5-year period. Under the Sublease, the Company will be paid monthly rent of approximately $0.1 million for the first year following the Sublease Commencement Date, and such rent increases by a nominal percentage every year following the first anniversary of the Sublease Commencement Date. In addition, the Company will provide certain abatements subject to the limitations in the Lease.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components of lease 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from sales-type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2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recognized at commencement date of</w:t>
            </w:r>
          </w:p>
        </w:tc>
        <w:tc>
          <w:tcPr>
            <w:tcW w:w="240" w:type="dxa"/>
            <w:vAlign w:val="bottom"/>
            <w:shd w:val="clear" w:color="auto" w:fill="CFF0FC"/>
          </w:tcPr>
          <w:p>
            <w:pPr>
              <w:spacing w:after="0"/>
              <w:rPr>
                <w:sz w:val="18"/>
                <w:szCs w:val="18"/>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4"/>
        </w:trPr>
        <w:tc>
          <w:tcPr>
            <w:tcW w:w="3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sales-type lease</w:t>
            </w:r>
          </w:p>
        </w:tc>
        <w:tc>
          <w:tcPr>
            <w:tcW w:w="240" w:type="dxa"/>
            <w:vAlign w:val="bottom"/>
            <w:shd w:val="clear" w:color="auto" w:fill="CFF0FC"/>
          </w:tcPr>
          <w:p>
            <w:pPr>
              <w:spacing w:after="0"/>
              <w:rPr>
                <w:sz w:val="20"/>
                <w:szCs w:val="20"/>
                <w:color w:val="auto"/>
              </w:rPr>
            </w:pPr>
          </w:p>
        </w:tc>
        <w:tc>
          <w:tcPr>
            <w:tcW w:w="14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7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Borders>
              <w:top w:val="single" w:sz="8" w:color="CFF0FC"/>
            </w:tcBorders>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-170815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sales-type lease and operating lease receivables as of September 30, 2024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Sales-Type Leases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6"/>
                <w:szCs w:val="16"/>
                <w:color w:val="auto"/>
              </w:rPr>
            </w:pPr>
          </w:p>
        </w:tc>
      </w:tr>
      <w:tr>
        <w:trPr>
          <w:trHeight w:val="23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20"/>
                <w:szCs w:val="20"/>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FF0FC"/>
          </w:tcPr>
          <w:p>
            <w:pPr>
              <w:spacing w:after="0"/>
              <w:rPr>
                <w:sz w:val="21"/>
                <w:szCs w:val="21"/>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FF0FC"/>
          </w:tcPr>
          <w:p>
            <w:pPr>
              <w:spacing w:after="0"/>
              <w:rPr>
                <w:sz w:val="21"/>
                <w:szCs w:val="2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3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21"/>
                <w:szCs w:val="21"/>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shd w:val="clear" w:color="auto" w:fill="CFF0FC"/>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38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4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2023, or our Annual Report, and under Part II, Item IA, “Risk Factors” of this Quarterly Report.</w:t>
      </w:r>
    </w:p>
    <w:p>
      <w:pPr>
        <w:spacing w:after="0" w:line="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72"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37"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we commercially launched in 2013.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 On June 1, 2023, we announced that regulatory approval from the National Medical Products Administration, or NMPA, for VASCEPA in Mainland China was received by our partner for the MARINE indication and on June 28, 2024 our partner received NMPA approval for VASCEPA in Mainland China for the REDUCE-IT indication.</w:t>
      </w:r>
    </w:p>
    <w:p>
      <w:pPr>
        <w:spacing w:after="0" w:line="9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VASCEPA is currently available by prescription in the U.S. and certain other countries throughout the world, as described below. We are responsible for the supply of VASCEPA to all markets in which the branded product is sold, either to and through our collaborations with third-party companies or by us. We are not responsible for providing any generic company with drug product. Geographies outside the United States in which VASCEPA is sold and under regulatory review are not subject to the U.S. patent litigation and judgment described below and no similar litigation is pending outside of the United States.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 Succession Plan</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As announced and effective on June 3, 2024, Patrick Holt voluntarily resigned as President and Chief Executive Officer and as a member of the Board of Directors. Effective June 4, 2024, the Board of Directors appointed Aaron Berg, previously our Executive Vice President, President U.S., to succeed Mr. Holt as our President and Chief Executive Officer, and as a member of the Board of Directors.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announced on October 7, 2024, Tom Reilly voluntarily resigned as Executive Vice President, Chief Financial Officer, effective October 23,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interim, our Vice President, Global Controller, Peter Fishman, will assume the duties as principal financial and accounting officer of the Company.</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Restructuring Program</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July 18, 2023, we announced that we were implementing a new Organizational Restructuring Program, or the ORP, resulting in the elimination of our entire U.S. sales force and elimination and consolidation of certain other roles across our organization, both</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in the U.S. and abroad and representing a reduction of our total employee base by approximately 30%. The ORP was implemented following a review of our business and to better position the organization for a new strategic focus. The ORP resulted in an operating cost reduction of $50.0 million annually.</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approximately 26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icosapent ethyl have obtained U.S. FDA approval with labeling consistent with the MARINE indication and have entered the U.S. market:</w:t>
      </w:r>
    </w:p>
    <w:p>
      <w:pPr>
        <w:spacing w:after="0" w:line="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20"/>
                <w:szCs w:val="20"/>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260" w:type="dxa"/>
            <w:vAlign w:val="bottom"/>
            <w:shd w:val="clear" w:color="auto" w:fill="CFF0FC"/>
          </w:tcPr>
          <w:p>
            <w:pPr>
              <w:spacing w:after="0"/>
              <w:rPr>
                <w:sz w:val="20"/>
                <w:szCs w:val="20"/>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43"/>
        </w:trPr>
        <w:tc>
          <w:tcPr>
            <w:tcW w:w="38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6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21"/>
                <w:szCs w:val="21"/>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31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2023</w:t>
            </w:r>
          </w:p>
        </w:tc>
        <w:tc>
          <w:tcPr>
            <w:tcW w:w="2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020" w:hanging="26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icosapent ethyl to Amneal Pharmaceuticals.</w:t>
      </w:r>
    </w:p>
    <w:p>
      <w:pPr>
        <w:spacing w:after="0" w:line="117" w:lineRule="exact"/>
        <w:rPr>
          <w:rFonts w:ascii="Times New Roman" w:cs="Times New Roman" w:eastAsia="Times New Roman" w:hAnsi="Times New Roman"/>
          <w:sz w:val="18"/>
          <w:szCs w:val="18"/>
          <w:color w:val="auto"/>
        </w:rPr>
      </w:pPr>
    </w:p>
    <w:p>
      <w:pPr>
        <w:ind w:left="760" w:right="520" w:hanging="3"/>
        <w:spacing w:after="0" w:line="282" w:lineRule="auto"/>
        <w:tabs>
          <w:tab w:leader="none" w:pos="10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icosapent ethyl to Camber Pharmaceuticals, Inc. and XL Care Pharmaceuticals, Inc.</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obtain data from a third party, Symphony Health, which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is based on a combination of data received from pharmacies and other distributors, as well as historical data when actual data is unavailable. Based on data from Symphony Health, the below chart represents the estimated number of normalized total VASCEPA prescriptions.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59690</wp:posOffset>
            </wp:positionV>
            <wp:extent cx="4440555" cy="2194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44055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7" w:name="page28"/>
    <w:bookmarkEnd w:id="27"/>
    <w:p>
      <w:pPr>
        <w:ind w:right="40"/>
        <w:spacing w:after="0" w:line="282" w:lineRule="auto"/>
        <w:rPr>
          <w:sz w:val="20"/>
          <w:szCs w:val="20"/>
          <w:color w:val="auto"/>
        </w:rPr>
      </w:pPr>
      <w:r>
        <w:rPr>
          <w:rFonts w:ascii="Times New Roman" w:cs="Times New Roman" w:eastAsia="Times New Roman" w:hAnsi="Times New Roman"/>
          <w:sz w:val="18"/>
          <w:szCs w:val="18"/>
          <w:color w:val="auto"/>
        </w:rPr>
        <w:t>data for a single and limited period may not be representative of a trend or otherwise predictive of future results. We are not responsible for the accuracy of this vendor's information and we do not receive prescription data directly from retail pharmacies.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Launch of VAZKEPA in individual countries depends on the timing of achieving product reimbursement on a country-by-country basis. To date we have filed 15 dossiers to gain market access in European countries, including in all of the largest countries in Europe. In most European countries, securing product reimbursement is a requisite to launching. In certain countries, such as Denmark, individual patient reimbursement is allowed prior to national reimbursement. In countries where individual price reimbursement is allowed prior to national reimbursement, product can be made available on a patient-by-patient basis, while the national reimbursements negotiations are ongoing. In all countries, securing adequate reimbursement is a requisite for commercial success of any therapeutic. The time required to secure reimbursement varies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Quarterly Report, we received marketing authorization by the MHRA and the European Medicines Agency, or EMA, and subsequently we have made VAZKEPA available under individual reimbursement or received national reimbursement and launched commercial operations in the following countries,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87"/>
        </w:trPr>
        <w:tc>
          <w:tcPr>
            <w:tcW w:w="32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Greece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2024</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780" w:hanging="26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Vianex S.A will be the sole and exclusive distributor of VAZKEPA in the Greek territory to import, register, distribute and commercialize</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VAZKEPA.</w:t>
      </w:r>
    </w:p>
    <w:p>
      <w:pPr>
        <w:spacing w:after="0" w:line="99"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We continue to advance our pricing and reimbursement activities to drive access in remaining geographies, including those where progress has been delayed. We are leveraging third-party relationships for various support activities and are implementing an impactful and cost-effective hybrid commercial model balancing optimally digital and face-to-face approaches to drive greater impact and improved cost efficiency, which is or will be utilized throughout Europe as launches are rolled out.</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United States. However, this greater concentration of at-risk patients being treated by specialists in Europe should allow for more efficient promotion than in the United States. In Europe, VAZKEPA has the benefit of 10 years of market protection, and in April 2024 we were issued a patent that extended our exclusivity to 2039.</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121" w:lineRule="exact"/>
        <w:rPr>
          <w:sz w:val="20"/>
          <w:szCs w:val="20"/>
          <w:color w:val="auto"/>
        </w:rPr>
      </w:pPr>
    </w:p>
    <w:p>
      <w:pPr>
        <w:jc w:val="both"/>
        <w:ind w:right="480" w:firstLine="509"/>
        <w:spacing w:after="0" w:line="282" w:lineRule="auto"/>
        <w:rPr>
          <w:sz w:val="20"/>
          <w:szCs w:val="20"/>
          <w:color w:val="auto"/>
        </w:rPr>
      </w:pPr>
      <w:r>
        <w:rPr>
          <w:rFonts w:ascii="Times New Roman" w:cs="Times New Roman" w:eastAsia="Times New Roman" w:hAnsi="Times New Roman"/>
          <w:sz w:val="18"/>
          <w:szCs w:val="18"/>
          <w:color w:val="auto"/>
        </w:rPr>
        <w:t>One of the core areas of focus from our ORP is continuing to work on generating revenue from our partnerships in key international markets, including Canada, MENA, China, Australia and New Zealand and ASEAN and South Korea and we will continue to explore additional partnerships.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11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February 2015, we entered into an exclusive agreement with Eddingpharm (Asia) Macao Commercial Offshore Limited, or Edding, to develop and commercialize VASCEPA capsules in what we refer to as the China Territory, consisting of the territories of Mainland China, Hong Kong, Macau and Taiwan. Edding, with our support, conducted a clinical trial of VASCEPA in China, which evaluated the effect of VASCEPA on patients with very high triglyceride levels (≥500 mg/dL). In November 2020, we announced statistically significant topline positive results from this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There were no treatment-related serious adverse events in this study. On February 9, 2021, we announced that the regulatory review processes in Mainland China and Hong</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ind w:right="40"/>
        <w:spacing w:after="0" w:line="254" w:lineRule="auto"/>
        <w:rPr>
          <w:sz w:val="20"/>
          <w:szCs w:val="20"/>
          <w:color w:val="auto"/>
        </w:rPr>
      </w:pPr>
      <w:r>
        <w:rPr>
          <w:rFonts w:ascii="Times New Roman" w:cs="Times New Roman" w:eastAsia="Times New Roman" w:hAnsi="Times New Roman"/>
          <w:sz w:val="18"/>
          <w:szCs w:val="18"/>
          <w:color w:val="auto"/>
        </w:rPr>
        <w:t>Kong had commenced. On February 23, 2022, the Hong Kong Department of Health completed their regulatory evaluation and approved the use of VASCEPA under the REDUCE-IT indication. In Mainland China, the NMPA accepted for review the new drug application for VASCEPA, submitted by Edding, based on the results from the Phase 3 clinical trial and the results from our prior studies of VASCEPA. In Mainland China, on October 10, 2022, following the completion of product testing by the China National Institutes for Food and Drug Control, or NIFDC, the final NMPA review of the VASCEPA NDA was initiated. The Company announced on June 1, 2023 that Edding received approval from the NMPA for VASCEPA in Mainland China under the MARINE indication and launched commercially in October 2023. In October 2023, Edding's submission of a regulatory filing to the NMPA for VASCEPA under the REDUCE-IT indication was accepted. On June 28, 2024, Edding received approval from the NMPA for VASCEPA in Mainland China under the REDUCE-IT indication.</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MENA</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bl>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VASCEPA is under registration in additional countries in the MENA region.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regulatory exclusivity designation and launched commercially in February 2020. In April 2022, HLS completed negotiations with Canada’s pan-Canadian Pharmaceutical Alliance for the terms and conditions under which VASCEPA would qualify for public market reimbursement in Canada. HLS has obtained reimbursement from all major private and public payors gaining access to a majority of eligible patients in Canada.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in the final year of a three-year plan to submit and obtain regulatory approval in 20 or more additional countries and regions in order to ensure that patients in the top 50 cardiometabolic markets worldwide can benefit from VASCEPA. Through the date of this Quarterly Report, we have filed for regulatory review in 22 countries and regions and have received approval in 15 countries and regions outside of the United States and EMA regulatory approval authority, including in Mainland China, Switzerland, Australia, New Zealand and Israel, under the REDUCE-IT indication. In addition, VAZKEPA has been made available under individual pricing reimbursement in Switzerland.</w:t>
      </w:r>
    </w:p>
    <w:p>
      <w:pPr>
        <w:spacing w:after="0" w:line="7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In October 2024, CSL obtained pricing approval for VAZKEPA in Australia. In July 2023, the Company entered into an agreement with Lotus Pharmaceuticals to commercialize and distribute VAZKEPA in South Korea and nine countries in Southeast Asia. In August 2023, the Company entered into an agreement with Neopharm (Israel) 1996 Ltd., or Neopharm, to distribute VAZKEPA in Israel, Gaza, West Bank, and the territories of the Palestinian Authority. In May 2024, the Company entered into an agreement with Vianex S.A. to import, register, distribute and commercialize VAZKEPA in Greece. The Company will be responsible for supplying finished product to these partners. We continue to assess other potential partnership opportunities for VASCEPA with companies outside of the United States and Europe with the intention of partnering in all other international markets where VASCEPA receives local regulatory approval.</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Since its inception in 2011, the REDUCE-IT cardiovascular outcomes study of VASCEPA has been the centerpiece of our research and development. Most of our other research and development during this period also pertained to VASCEPA, including the study of the mechanism of action of the single active ingredient in VASCEPA, icosapent ethyl, or IPE. Based on the final positive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results of REDUCE-IT, we sought additional indicated uses for VASCEPA in the United States and continue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Quarterly Report, more than 40 clinical treatment guidelines, consensus statements or scientific statements from global medical societies or journals have been updated recommending the use of icosapent ethyl in appropriate at-risk patients, including those statements which we were informed of by our global partners in Australia, Canada, China and the Middle East as well as guidelines or statements which were newly received during the third quarter of 2024 as listed below:</w:t>
      </w:r>
    </w:p>
    <w:p>
      <w:pPr>
        <w:spacing w:after="0" w:line="72" w:lineRule="exact"/>
        <w:rPr>
          <w:sz w:val="20"/>
          <w:szCs w:val="20"/>
          <w:color w:val="auto"/>
        </w:rPr>
      </w:pPr>
    </w:p>
    <w:p>
      <w:pPr>
        <w:ind w:left="1020" w:right="12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nine Spanish scientific societies published consensus recommendations for lipid-lowering treatments after a chronic vascular event in patients with very high or extreme vascular risk. Included within these scientific societies are statements that although fibrates have classically been used to reduce hypertriglyceridemia, they have only shown to reduce vascular events in patients without treatment with statins; given that patients with good LDL-C control still have non-negligible residual risk, drugs such as IPE can help reduce vascular events.</w:t>
      </w:r>
    </w:p>
    <w:p>
      <w:pPr>
        <w:spacing w:after="0" w:line="75" w:lineRule="exact"/>
        <w:rPr>
          <w:rFonts w:ascii="Times New Roman" w:cs="Times New Roman" w:eastAsia="Times New Roman" w:hAnsi="Times New Roman"/>
          <w:sz w:val="18"/>
          <w:szCs w:val="18"/>
          <w:color w:val="auto"/>
        </w:rPr>
      </w:pPr>
    </w:p>
    <w:p>
      <w:pPr>
        <w:jc w:val="both"/>
        <w:ind w:left="1020" w:right="3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Joint Association of British Clinical Diabetologist and UK Kidney Association published clinical practice guidelines for management of lipids in adults with diabetic kidney disease and stated that IPE should be given consideration for secondary prevention in people with elevated fasted TG.</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International Atherosclerosis Society published a consensus statement on the assessment and management of cardiovascular risk due to elevated TGs. The statement states that if TG levels remain elevated after lifestyle changes and the patient is at high CV risk, then IPE can be considered.</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July 2024, we supported data presentations showcasing the mechanistic activity of eicosapentaenoic acid, or EPA, as well as encore data reporting on real world safety of IPE at the Heart UK scientific conference in Coventry, England.</w:t>
      </w:r>
    </w:p>
    <w:p>
      <w:pPr>
        <w:spacing w:after="0" w:line="54"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August 2024, we provided support to our commercial partner in Australia to present sub-analyses from the REDUCE-IT study in endpoints such at ST-elevation myocardial infarction as well as analyses in patients with established cardiovascular disease and diabetes mellitus. These data presentations occurred at the Cardiac Society of Australia and New Zealand and at the Australian Diabetes Congress.</w:t>
      </w:r>
    </w:p>
    <w:p>
      <w:pPr>
        <w:spacing w:after="0" w:line="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August and September of 2024, we supported data presentations at both the European Society of Cardiology in London, UK, and the European Association for the Study of Diabetes in Madrid, Spain. These presentations included sub-analyses from the REDUCE-IT trial, EPA mechanistic data, and data from Spanish hospitals reporting on the residual cardiovascular risk of elevated TG levels in patients with acute coronary syndrome, or ACS, as well as the eligibility of IPE in patients with ACS.</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the first nine months of 2024, we and global medical and scientific collaborators supported over 25 publications inclusive of accepted abstracts, posters, and accepted journal manuscripts.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1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manage the manufacturing and supply of VASCEPA and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Beginning in 2022, we reviewed our contractual supplier purchase obligations and began taking steps to amend supplier agreements to align supply arrangements with current and future market demand, while we decrease our current inventory levels primarily related to North America approved inventory. As of September 30, 2024, we had inventory of $298.0 million, of which 70% is inventory approved for use in North America. We continue to negotiate with our contract suppliers to align our supply arrangements with current and future global market demand.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United States, VASCEPA is sold to three major wholesalers, as well as several regional wholesalers along with mail order pharmacy providers,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During the quarters ended September 30, 2024 and 2023, our product revenue, net, included adjustment for co-pay mitigation rebates provided by us to commercially insured patients in the United States.</w:t>
      </w:r>
    </w:p>
    <w:p>
      <w:pPr>
        <w:spacing w:after="0" w:line="7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Outside of the United States,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217" w:lineRule="exact"/>
        <w:rPr>
          <w:sz w:val="20"/>
          <w:szCs w:val="20"/>
          <w:color w:val="auto"/>
        </w:rPr>
      </w:pPr>
    </w:p>
    <w:p>
      <w:pPr>
        <w:jc w:val="both"/>
        <w:ind w:right="5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20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 In the three and nine months ended September 30, 2023, we incurred costs within </w:t>
      </w:r>
      <w:r>
        <w:rPr>
          <w:rFonts w:ascii="Times New Roman" w:cs="Times New Roman" w:eastAsia="Times New Roman" w:hAnsi="Times New Roman"/>
          <w:sz w:val="18"/>
          <w:szCs w:val="18"/>
          <w:i w:val="1"/>
          <w:iCs w:val="1"/>
          <w:color w:val="auto"/>
        </w:rPr>
        <w:t>Cost of goods sold - restructuring inventory</w:t>
      </w:r>
      <w:r>
        <w:rPr>
          <w:rFonts w:ascii="Times New Roman" w:cs="Times New Roman" w:eastAsia="Times New Roman" w:hAnsi="Times New Roman"/>
          <w:sz w:val="18"/>
          <w:szCs w:val="18"/>
          <w:color w:val="auto"/>
        </w:rPr>
        <w:t xml:space="preserve"> related to steps taken to amend supplier agreements to align supply arrangements with current and future market demand.</w:t>
      </w:r>
    </w:p>
    <w:p>
      <w:pPr>
        <w:spacing w:after="0" w:line="210"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20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210"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consists of restructuring costs incurred under our July 2023 ORP, which consists of severance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compensation, insurance benefits, stock-based compensation expense and other contract related costs.</w:t>
      </w:r>
    </w:p>
    <w:p>
      <w:pPr>
        <w:spacing w:after="0" w:line="185" w:lineRule="exact"/>
        <w:rPr>
          <w:sz w:val="20"/>
          <w:szCs w:val="20"/>
          <w:color w:val="auto"/>
        </w:rPr>
      </w:pPr>
    </w:p>
    <w:p>
      <w:pPr>
        <w:jc w:val="both"/>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 and other income (expense), net</w:t>
      </w:r>
      <w:r>
        <w:rPr>
          <w:rFonts w:ascii="Times New Roman" w:cs="Times New Roman" w:eastAsia="Times New Roman" w:hAnsi="Times New Roman"/>
          <w:sz w:val="18"/>
          <w:szCs w:val="18"/>
          <w:color w:val="auto"/>
        </w:rPr>
        <w:t>. Interest income, net consists primarily of interest earned on our cash and cash equivalents,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our short-term and long-term investments. Other income (expense), net, consists of the Employee Retention Credit, or ERC, awarded as part of the Coronavirus Aid, Relief and Economic Stabilization Act, or CARES Act, and foreign exchange losses and gains as well as sublease income.</w:t>
      </w:r>
    </w:p>
    <w:p>
      <w:pPr>
        <w:spacing w:after="0" w:line="200"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(Provision for) benefit from income taxes. </w:t>
      </w:r>
      <w:r>
        <w:rPr>
          <w:rFonts w:ascii="Times New Roman" w:cs="Times New Roman" w:eastAsia="Times New Roman" w:hAnsi="Times New Roman"/>
          <w:sz w:val="18"/>
          <w:szCs w:val="18"/>
          <w:color w:val="auto"/>
        </w:rPr>
        <w:t>Income tax provision, deferred tax assets and liabilities, and reserves for unrecognized tax benefits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best assessment of estimated future taxes to be paid. We are subject to income taxes</w:t>
      </w: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both the United States and foreign jurisdictions. In applying guidance prescribed under ASC 740 and based on present evidence and conclusions around the realizability of deferred tax assets, we determined that any tax benefit related to the pretax losses generated for 2024 and 2023 are not more likely than not to be realized.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unaudited condensed consolidated financial statements and notes, which have been prepared in accordance with accounting principles generally accepted in the United States, or GAAP. The preparation of these condensed consolidated financial statements requires us to make estimates and judgments that affect the reported amounts of assets, liabilities, revenue and expenses. On an ongoing basis, estimates are assessed and adjusted based on historical experience and current market-specific indicators, environment and assumptions. Actual results may differ from these estimates under different assumptions or conditions.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our unaudited condensed consolidated financial statements included elsewhere in this Quarterly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2024 and September 30, 2023</w:t>
      </w:r>
    </w:p>
    <w:p>
      <w:pPr>
        <w:spacing w:after="0" w:line="25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$42.3 million and $66.1 million during the three months ended September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$23.8 million, or 36%. Total revenue, net, consists primarily of revenue from the sale of VASCEPA in the United States. In addition to the United States, during the three months ending September 30, 2024, we also sold VASCEPA by prescription in certain countries in Europe as well as certain countries outside of the United States and Europe, such as China and Canada, through collaborations with third-party companies. As further discussed below, the aforementioned decrease consists in part of a $31.8 million decrease in U.S. net product revenue and a $0.7 million decrease in licensing and royalty revenue offset by a $8.6 million increase in net product revenue outside of the United States.</w:t>
      </w:r>
    </w:p>
    <w:p>
      <w:pPr>
        <w:spacing w:after="0" w:line="209" w:lineRule="exact"/>
        <w:rPr>
          <w:sz w:val="20"/>
          <w:szCs w:val="20"/>
          <w:color w:val="auto"/>
        </w:rPr>
      </w:pPr>
    </w:p>
    <w:p>
      <w:pPr>
        <w:ind w:right="20" w:firstLine="539"/>
        <w:spacing w:after="0" w:line="284"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We recorded product revenue, net, of $41.9 million and $64.9 million during the three months ended September 30,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respectively, a decrease of $23.1 million, or 36%. This decrease was due primarily to a 51% decrease in VASCEPA sales in the United States.</w:t>
      </w:r>
    </w:p>
    <w:p>
      <w:pPr>
        <w:spacing w:after="0" w:line="52" w:lineRule="exact"/>
        <w:rPr>
          <w:sz w:val="20"/>
          <w:szCs w:val="20"/>
          <w:color w:val="auto"/>
        </w:rPr>
      </w:pPr>
    </w:p>
    <w:p>
      <w:pPr>
        <w:ind w:right="20" w:firstLine="539"/>
        <w:spacing w:after="0" w:line="266" w:lineRule="auto"/>
        <w:rPr>
          <w:sz w:val="20"/>
          <w:szCs w:val="20"/>
          <w:color w:val="auto"/>
        </w:rPr>
      </w:pPr>
      <w:r>
        <w:rPr>
          <w:rFonts w:ascii="Times New Roman" w:cs="Times New Roman" w:eastAsia="Times New Roman" w:hAnsi="Times New Roman"/>
          <w:sz w:val="18"/>
          <w:szCs w:val="18"/>
          <w:color w:val="auto"/>
        </w:rPr>
        <w:t>We recorded U.S. product revenue, net, of $30.6 million and $62.4 million during the three months ended September 30, 2024 and 2023, respectively. This decrease was due to a decline in net selling price as a result of the impact from generic competition in the market as well as a decrease in volume primarily related to the loss of a large national pharmacy benefit manager, or PBM, going from exclusive to no longer covering VASCEPA.</w:t>
      </w:r>
    </w:p>
    <w:p>
      <w:pPr>
        <w:spacing w:after="0" w:line="68" w:lineRule="exact"/>
        <w:rPr>
          <w:sz w:val="20"/>
          <w:szCs w:val="20"/>
          <w:color w:val="auto"/>
        </w:rPr>
      </w:pPr>
    </w:p>
    <w:p>
      <w:pPr>
        <w:ind w:right="60" w:firstLine="53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United States, based on prescription levels reported by Symphony Health, decreased for the three months ended September 30, 2024 by 1% as compared to the three months ended September 30, 2023. Our share of the icosapent ethyl market has decreased to approximately 50% in the three months ended September 30, 2024 compared to approximately 58% in the three months ended September 30, 2023. Additionally, based on prescription levels reported by Symphony Health, VASCEPA-branded prescriptions decreased by 13% in the three months ended September 30, 2024 compared to the three months ended September 30, 2023.</w:t>
      </w:r>
    </w:p>
    <w:p>
      <w:pPr>
        <w:spacing w:after="0" w:line="75" w:lineRule="exact"/>
        <w:rPr>
          <w:sz w:val="20"/>
          <w:szCs w:val="20"/>
          <w:color w:val="auto"/>
        </w:rPr>
      </w:pPr>
    </w:p>
    <w:p>
      <w:pPr>
        <w:ind w:right="560" w:firstLine="539"/>
        <w:spacing w:after="0" w:line="282" w:lineRule="auto"/>
        <w:rPr>
          <w:sz w:val="20"/>
          <w:szCs w:val="20"/>
          <w:color w:val="auto"/>
        </w:rPr>
      </w:pPr>
      <w:r>
        <w:rPr>
          <w:rFonts w:ascii="Times New Roman" w:cs="Times New Roman" w:eastAsia="Times New Roman" w:hAnsi="Times New Roman"/>
          <w:sz w:val="18"/>
          <w:szCs w:val="18"/>
          <w:color w:val="auto"/>
        </w:rPr>
        <w:t>In Europe, we recorded product revenue, net, of $4.3 million and $0.8 million during the three months ended September 30, 2024 and 2023, respectively.</w:t>
      </w:r>
    </w:p>
    <w:p>
      <w:pPr>
        <w:spacing w:after="0" w:line="54" w:lineRule="exact"/>
        <w:rPr>
          <w:sz w:val="20"/>
          <w:szCs w:val="20"/>
          <w:color w:val="auto"/>
        </w:rPr>
      </w:pPr>
    </w:p>
    <w:p>
      <w:pPr>
        <w:ind w:right="280" w:firstLine="539"/>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we recorded $6.9 million of product revenue, net, from our collaboration partners compared to $1.8 million during the three months ended September 30, 2023.</w:t>
      </w:r>
    </w:p>
    <w:p>
      <w:pPr>
        <w:spacing w:after="0" w:line="54" w:lineRule="exact"/>
        <w:rPr>
          <w:sz w:val="20"/>
          <w:szCs w:val="20"/>
          <w:color w:val="auto"/>
        </w:rPr>
      </w:pPr>
    </w:p>
    <w:p>
      <w:pPr>
        <w:ind w:right="240" w:firstLine="539"/>
        <w:spacing w:after="0" w:line="257"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In 2024, we will continue to focus on extending the lifecycle of VASCEPA in the U.S., obtaining pricing reimbursement and launching commercial operations in all remaining European markets as well as supporting our partners to advance access and growing commercial operations throughout the rest of the world.</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32" w:name="page33"/>
    <w:bookmarkEnd w:id="32"/>
    <w:p>
      <w:pPr>
        <w:ind w:right="3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three months ended September 30, 2024 and 2023 was $0.4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million, respectively, a decrease of $0.7 million, or 61%. Licensing and royalty revenue has decreased primarily due to recognition of previously achieved milestone payments from Edding in the prior year.</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Licensing and royalty revenue recognized in the prior period relates to the recognition of amounts received in connection with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VASCEPA licensing agreements:</w:t>
      </w:r>
    </w:p>
    <w:p>
      <w:pPr>
        <w:spacing w:after="0" w:line="99" w:lineRule="exact"/>
        <w:rPr>
          <w:sz w:val="20"/>
          <w:szCs w:val="20"/>
          <w:color w:val="auto"/>
        </w:rPr>
      </w:pPr>
    </w:p>
    <w:p>
      <w:pPr>
        <w:ind w:left="900" w:right="20" w:hanging="383"/>
        <w:spacing w:after="0" w:line="25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 $1.0 million milestone payment achieved in March 2016 following submission of the clinical trial application to the Chinese regulatory authority, a $5.0 million milestone payment achieved in June 2023 following NMPA approval of VASCEPA under the MARINE indication, a $3.0 million milestone payment achieved in October 2023 following a regulatory submission to the NMPA for VASCEPA under the REDUCE-IT indication and a $15.0 million milestone payment achieved in June 2024 following regulatory approval of VASCEPA under the REDUCE-IT indication. As of June 30, 2024, these payments have been fully recognized.</w:t>
      </w:r>
    </w:p>
    <w:p>
      <w:pPr>
        <w:spacing w:after="0" w:line="7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 – a $0.3 million upfront payment which was received upon closing of the agreement in August 2023.</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upfront and milestone payments from Edding were being recognized over the estimated period in which we were required to provide regulatory and development support pursuant to the respective agreements which were satisfied in June 2024. The amount of licensing and royalty revenue is expected to vary from period to period based on timing of milestones achieved and changes in estimates of the timing and level of support required.</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87"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inclusive of restructuring charges, during the three months ended September 30, 2024 and 2023 was $26.0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$36.2 million, respectively, a decrease of $10.2 million, or 28%.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three months ended September 30, 2023, we recorded as cost of goods sold - restructuring inventory $12.7 million as a result of amendments to our supplier agreements.</w:t>
      </w:r>
    </w:p>
    <w:p>
      <w:pPr>
        <w:spacing w:after="0" w:line="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quarters ended September 30, 2024 and 2023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overall gross margin on product sales for the three months ended September 30, 2024 and 2023 was 38% and 44%, respectively. Excluding the restructuring inventory charge, gross margin was 38% and 64% for the three months ended September 30, 2024 and 2023, respectively. The decrease in gross margin is primarily as a result of a decrease in net selling prices.</w:t>
      </w:r>
    </w:p>
    <w:p>
      <w:pPr>
        <w:spacing w:after="0" w:line="201" w:lineRule="exact"/>
        <w:rPr>
          <w:sz w:val="20"/>
          <w:szCs w:val="20"/>
          <w:color w:val="auto"/>
        </w:rPr>
      </w:pPr>
    </w:p>
    <w:p>
      <w:pPr>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September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$36.9 million and $45.5 million, respectively, a decrease of $8.6 million, or 19%. Selling, general and administrative expenses for the three months ended September 30, 2024 and 2023 are summarized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69"/>
        </w:trPr>
        <w:tc>
          <w:tcPr>
            <w:tcW w:w="114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6180" w:type="dxa"/>
            <w:vAlign w:val="bottom"/>
            <w:gridSpan w:val="2"/>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24,054</w:t>
            </w:r>
          </w:p>
        </w:tc>
        <w:tc>
          <w:tcPr>
            <w:tcW w:w="80" w:type="dxa"/>
            <w:vAlign w:val="bottom"/>
            <w:shd w:val="clear" w:color="auto" w:fill="CFF0FC"/>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618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17,753</w:t>
            </w:r>
          </w:p>
        </w:tc>
        <w:tc>
          <w:tcPr>
            <w:tcW w:w="8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180" w:type="dxa"/>
            <w:vAlign w:val="bottom"/>
            <w:tcBorders>
              <w:bottom w:val="single" w:sz="8" w:color="CFF0FC"/>
            </w:tcBorders>
            <w:gridSpan w:val="2"/>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114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36,904</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45,457</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0"/>
        </w:trPr>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-281940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-281940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 w:lineRule="exact"/>
        <w:rPr>
          <w:sz w:val="20"/>
          <w:szCs w:val="20"/>
          <w:color w:val="auto"/>
        </w:rPr>
      </w:pPr>
    </w:p>
    <w:p>
      <w:pPr>
        <w:ind w:left="480" w:right="340" w:hanging="383"/>
        <w:spacing w:after="0" w:line="26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three months ended September 30, 2024 and 2023 was $18.8 million and $24.1 million, respectively, a decrease of $5.3 million, or 22%. This decrease is primarily due to a reduction in costs associated with decreased promotional and marketing initiatives as well as other cost optimization initiatives.</w:t>
      </w:r>
    </w:p>
    <w:p>
      <w:pPr>
        <w:ind w:left="480" w:hanging="383"/>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three months ended September 30, 2024 and 2023 was $14.3 million and $17.8 million, respectively, a</w:t>
      </w:r>
    </w:p>
    <w:p>
      <w:pPr>
        <w:spacing w:after="0" w:line="27" w:lineRule="exact"/>
        <w:rPr>
          <w:sz w:val="20"/>
          <w:szCs w:val="20"/>
          <w:color w:val="auto"/>
        </w:rPr>
      </w:pPr>
    </w:p>
    <w:p>
      <w:pPr>
        <w:ind w:left="480" w:right="100"/>
        <w:spacing w:after="0" w:line="250" w:lineRule="auto"/>
        <w:rPr>
          <w:sz w:val="20"/>
          <w:szCs w:val="20"/>
          <w:color w:val="auto"/>
        </w:rPr>
      </w:pPr>
      <w:r>
        <w:rPr>
          <w:rFonts w:ascii="Times New Roman" w:cs="Times New Roman" w:eastAsia="Times New Roman" w:hAnsi="Times New Roman"/>
          <w:sz w:val="18"/>
          <w:szCs w:val="18"/>
          <w:color w:val="auto"/>
        </w:rPr>
        <w:t>decrease of $3.5 million, or 19%. This decrease is primarily due to a decrease in employee-related costs as a result of the reduction in force from the 2023 ORP and cost reduction plans.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33" w:name="page34"/>
    <w:bookmarkEnd w:id="33"/>
    <w:p>
      <w:pPr>
        <w:ind w:left="480" w:right="180" w:hanging="383"/>
        <w:spacing w:after="0" w:line="266"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three months ended September 30, 2024 and 2023 was $3.8 million and $3.7 million, respectively, an increase of $0.2 million, or 5%. Non-cash stock-based compensation expense represents the estimated costs associated with equity awards issued to internal personnel supporting our selling, general and administrative functions.</w:t>
      </w:r>
    </w:p>
    <w:p>
      <w:pPr>
        <w:spacing w:after="0" w:line="203"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As part of our ORP announced in July 2023, we have redesigned our commercial infrastructure in Europe and in the U.S. as well as focusing on maximizing U.S. cash flow through a streamlined model, which has resulted in $50.0 million in operating cost reductions annually. We will continue to evaluate all of our spending commitments and priorities based on our refocused strategic priorities and restructuring plan.</w:t>
      </w:r>
    </w:p>
    <w:p>
      <w:pPr>
        <w:spacing w:after="0" w:line="201"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September 30, 2024 and 2023 was $4.5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$5.1 million, respectively, a decrease of $0.6 million, or 11%. Research and development expenses for the three months ended September 30, 2024 and 2023 are summarized in the table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69"/>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REDUCE-IT study and presentations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Fixed-dose combination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(3)</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Non-clinical research activities </w:t>
            </w:r>
            <w:r>
              <w:rPr>
                <w:rFonts w:ascii="Times New Roman" w:cs="Times New Roman" w:eastAsia="Times New Roman" w:hAnsi="Times New Roman"/>
                <w:sz w:val="24"/>
                <w:szCs w:val="24"/>
                <w:color w:val="auto"/>
                <w:vertAlign w:val="superscript"/>
              </w:rPr>
              <w:t>(4)</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1"/>
                <w:szCs w:val="21"/>
                <w:color w:val="auto"/>
              </w:rPr>
            </w:pPr>
          </w:p>
        </w:tc>
      </w:tr>
      <w:tr>
        <w:trPr>
          <w:trHeight w:val="243"/>
        </w:trPr>
        <w:tc>
          <w:tcPr>
            <w:tcW w:w="618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(5)</w:t>
            </w: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80" w:type="dxa"/>
            <w:vAlign w:val="bottom"/>
          </w:tcPr>
          <w:p>
            <w:pPr>
              <w:spacing w:after="0"/>
              <w:rPr>
                <w:sz w:val="20"/>
                <w:szCs w:val="20"/>
                <w:color w:val="auto"/>
              </w:rPr>
            </w:pPr>
          </w:p>
        </w:tc>
      </w:tr>
      <w:tr>
        <w:trPr>
          <w:trHeight w:val="247"/>
        </w:trPr>
        <w:tc>
          <w:tcPr>
            <w:tcW w:w="6180" w:type="dxa"/>
            <w:vAlign w:val="bottom"/>
            <w:tcBorders>
              <w:bottom w:val="single" w:sz="8" w:color="CFF0FC"/>
            </w:tcBorders>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(6)</w:t>
            </w: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-505460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left="520" w:right="80" w:hanging="512"/>
        <w:spacing w:after="0" w:line="273"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to provide data to be published in medical journals.</w:t>
      </w:r>
    </w:p>
    <w:p>
      <w:pPr>
        <w:spacing w:after="0" w:line="1"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Fixed-dose combination expenses are primarily related to cost associated with developmental activities of a fixed-dose combination of VASCEPA and a statin which began in 2022 but was subsequently deprioritized during 2023.</w:t>
      </w:r>
    </w:p>
    <w:p>
      <w:pPr>
        <w:ind w:left="52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w:t>
      </w: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49" w:lineRule="exact"/>
        <w:rPr>
          <w:rFonts w:ascii="Times New Roman" w:cs="Times New Roman" w:eastAsia="Times New Roman" w:hAnsi="Times New Roman"/>
          <w:sz w:val="18"/>
          <w:szCs w:val="18"/>
          <w:color w:val="auto"/>
        </w:rPr>
      </w:pPr>
    </w:p>
    <w:p>
      <w:pPr>
        <w:ind w:left="520" w:hanging="512"/>
        <w:spacing w:after="0" w:line="258"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ind w:left="520" w:right="5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106"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three months ended September 30, 2024 and 2023 was nil and $0.7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decrease of $0.7 million, or 100%. The charge in the prior year is due to the implementation of the ORP which was approved during the second quarter 2023 and announced on July 18, 2023, which resulted in a reduction of our entire U.S. sales field force, with our managed care and trade organization continuing to support our U.S. commercial efforts, as well as a reduction of approximately 30% of non-sales positions. Refer to </w:t>
      </w:r>
      <w:r>
        <w:rPr>
          <w:rFonts w:ascii="Times New Roman" w:cs="Times New Roman" w:eastAsia="Times New Roman" w:hAnsi="Times New Roman"/>
          <w:sz w:val="18"/>
          <w:szCs w:val="18"/>
          <w:i w:val="1"/>
          <w:iCs w:val="1"/>
          <w:color w:val="auto"/>
        </w:rPr>
        <w:t>Note 2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for additional information.</w:t>
      </w:r>
    </w:p>
    <w:p>
      <w:pPr>
        <w:spacing w:after="0" w:line="210" w:lineRule="exact"/>
        <w:rPr>
          <w:sz w:val="20"/>
          <w:szCs w:val="20"/>
          <w:color w:val="auto"/>
        </w:rPr>
      </w:pPr>
    </w:p>
    <w:p>
      <w:pPr>
        <w:jc w:val="both"/>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three months ended September 30, 2024 and 2023 was $3.4 million and $3.2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$0.2 million, or 5%. Interest income, net, represents income earned on cash and investment balances. The increase is primarily due to higher investment balances in the current year period compared to the prior year period.</w:t>
      </w:r>
    </w:p>
    <w:p>
      <w:pPr>
        <w:spacing w:after="0" w:line="20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for the three months ended September 30, 2024 and 2023 was income of $0.3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$0.6 million, respectively, an increase of $0.8 million, or 146%. Other income (expense), net, primarily consists of gains and losses on foreign exchange transactions and sublease income related to our Bridgewater, New Jersey facility.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34" w:name="page35"/>
    <w:bookmarkEnd w:id="34"/>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provision for the three months ended September 30, 2024 and 2023 was $3.6 million and $0.5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provision for the three months ended September 30, 2024 is the result of changes in income generated by our U.S. and foreign operations for which tax expense has been recognized based on a full year estimated U.S. and foreign income tax liability.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2024 and September 30, 2023</w:t>
      </w:r>
    </w:p>
    <w:p>
      <w:pPr>
        <w:spacing w:after="0" w:line="254"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$166.3 million and $232.2 million during the nine months ended September 30,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respectively, a decrease of $65.9 million, or 28%. Total revenue, net, consists primarily of revenue from the sale of VASCEPA in the United States. In addition to the United States, during the nine months ended September 30, 2024, we also sold VASCEPA by prescription in certain countries in Europe as well as certain countries outside of the United States and Europe, such as China and Canada, through collaborations with third-party companies. As further discussed below, the aforementioned decrease consists of a $86.5 million decrease in U.S. net product revenue offset in part by a $16.2 million increase in net product revenue outside of the United States and a $4.3 million increase in licensing and royalty revenue.</w:t>
      </w:r>
    </w:p>
    <w:p>
      <w:pPr>
        <w:spacing w:after="0" w:line="209" w:lineRule="exact"/>
        <w:rPr>
          <w:sz w:val="20"/>
          <w:szCs w:val="20"/>
          <w:color w:val="auto"/>
        </w:rPr>
      </w:pPr>
    </w:p>
    <w:p>
      <w:pPr>
        <w:jc w:val="both"/>
        <w:ind w:right="240" w:firstLine="53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Product revenue, net. </w:t>
      </w:r>
      <w:r>
        <w:rPr>
          <w:rFonts w:ascii="Times New Roman" w:cs="Times New Roman" w:eastAsia="Times New Roman" w:hAnsi="Times New Roman"/>
          <w:sz w:val="17"/>
          <w:szCs w:val="17"/>
          <w:color w:val="auto"/>
        </w:rPr>
        <w:t>We recorded product revenue, net, of $144.5 million and $214.7 million during the nine months ended September 30,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2023, respectively, a decrease of $70.2 million, or 33%. This decrease was due primarily to a 41% decrease in VASCEPA sales in the United States.</w:t>
      </w:r>
    </w:p>
    <w:p>
      <w:pPr>
        <w:spacing w:after="0" w:line="29" w:lineRule="exact"/>
        <w:rPr>
          <w:sz w:val="20"/>
          <w:szCs w:val="20"/>
          <w:color w:val="auto"/>
        </w:rPr>
      </w:pPr>
    </w:p>
    <w:p>
      <w:pPr>
        <w:ind w:right="60" w:firstLine="539"/>
        <w:spacing w:after="0" w:line="266" w:lineRule="auto"/>
        <w:rPr>
          <w:sz w:val="20"/>
          <w:szCs w:val="20"/>
          <w:color w:val="auto"/>
        </w:rPr>
      </w:pPr>
      <w:r>
        <w:rPr>
          <w:rFonts w:ascii="Times New Roman" w:cs="Times New Roman" w:eastAsia="Times New Roman" w:hAnsi="Times New Roman"/>
          <w:sz w:val="18"/>
          <w:szCs w:val="18"/>
          <w:color w:val="auto"/>
        </w:rPr>
        <w:t>We recorded U.S. product revenue, net, of $122.5 million and $209.0 million during the nine months ended September 30, 2024 and 2023, respectively. This decrease was due to a decline in net selling price as a result of the impact from generic competition in the market as well as a decrease in volume primarily related to the loss of a large national PBM, going from exclusive to no longer covering VASCEPA.</w:t>
      </w:r>
    </w:p>
    <w:p>
      <w:pPr>
        <w:spacing w:after="0" w:line="68" w:lineRule="exact"/>
        <w:rPr>
          <w:sz w:val="20"/>
          <w:szCs w:val="20"/>
          <w:color w:val="auto"/>
        </w:rPr>
      </w:pPr>
    </w:p>
    <w:p>
      <w:pPr>
        <w:ind w:right="160" w:firstLine="53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United States, based on prescription levels reported by Symphony Health, decreased for the nine months ended September 30, 2024 by 2% as compared to the nine months ended September 30, 2023. Our share of the icosapent ethyl market has decreased to approximately 55% in the nine months ended September 30, 2024 compared to approximately 57% in the nine months ended September 30, 2023. Additionally, based on prescription levels reported by Symphony Health, VASCEPA-branded prescriptions decreased by 5% in the nine months ended September 30, 2024 compared to the nine months ended September 30, 2023.</w:t>
      </w:r>
    </w:p>
    <w:p>
      <w:pPr>
        <w:spacing w:after="0" w:line="75" w:lineRule="exact"/>
        <w:rPr>
          <w:sz w:val="20"/>
          <w:szCs w:val="20"/>
          <w:color w:val="auto"/>
        </w:rPr>
      </w:pPr>
    </w:p>
    <w:p>
      <w:pPr>
        <w:ind w:right="640" w:firstLine="539"/>
        <w:spacing w:after="0" w:line="282" w:lineRule="auto"/>
        <w:rPr>
          <w:sz w:val="20"/>
          <w:szCs w:val="20"/>
          <w:color w:val="auto"/>
        </w:rPr>
      </w:pPr>
      <w:r>
        <w:rPr>
          <w:rFonts w:ascii="Times New Roman" w:cs="Times New Roman" w:eastAsia="Times New Roman" w:hAnsi="Times New Roman"/>
          <w:sz w:val="18"/>
          <w:szCs w:val="18"/>
          <w:color w:val="auto"/>
        </w:rPr>
        <w:t>In Europe, we recorded product revenue, net, of $9.7 million and $1.9 million during the nine months ended September 30, 2024 and 2023, respectively.</w:t>
      </w:r>
    </w:p>
    <w:p>
      <w:pPr>
        <w:spacing w:after="0" w:line="54" w:lineRule="exact"/>
        <w:rPr>
          <w:sz w:val="20"/>
          <w:szCs w:val="20"/>
          <w:color w:val="auto"/>
        </w:rPr>
      </w:pPr>
    </w:p>
    <w:p>
      <w:pPr>
        <w:ind w:right="280" w:firstLine="53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we recorded $12.3 million of product revenue, net, from our collaboration partners compared to $3.9 million during the nine months ended September 30, 2023.</w:t>
      </w:r>
    </w:p>
    <w:p>
      <w:pPr>
        <w:spacing w:after="0" w:line="54" w:lineRule="exact"/>
        <w:rPr>
          <w:sz w:val="20"/>
          <w:szCs w:val="20"/>
          <w:color w:val="auto"/>
        </w:rPr>
      </w:pPr>
    </w:p>
    <w:p>
      <w:pPr>
        <w:ind w:right="60" w:firstLine="539"/>
        <w:spacing w:after="0" w:line="266"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In 2024, we continue to focus on obtaining pricing reimbursement and launching commercial operations in all remaining European markets as well as supporting our partners to advance access and growing commercial operations throughout the rest of the world.</w:t>
      </w:r>
    </w:p>
    <w:p>
      <w:pPr>
        <w:spacing w:after="0" w:line="20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nine months ended September 30, 2024 and 2023 was $21.8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$17.5 million, respectively, an increase of $4.3 million, or 25%. Licensing and royalty revenue increased primarily due to recognition of the REDUCE-IT indication milestone in China, offset by the recognition of CSL and Lotus upfront payments and recognition of previously achieved milestone payments from HLS in the prior year. Licensing and royalty revenue recognized in the current period relates to the recognition of amounts received in connection with the following VASCEPA licensing agreements:</w:t>
      </w:r>
    </w:p>
    <w:p>
      <w:pPr>
        <w:spacing w:after="0" w:line="77" w:lineRule="exact"/>
        <w:rPr>
          <w:sz w:val="20"/>
          <w:szCs w:val="20"/>
          <w:color w:val="auto"/>
        </w:rPr>
      </w:pPr>
    </w:p>
    <w:p>
      <w:pPr>
        <w:ind w:left="900" w:hanging="383"/>
        <w:spacing w:after="0" w:line="25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 $1.0 million milestone payment achieved in March 2016 following submission of the clinical trial application to the Chinese regulatory authority, a $5.0 million milestone payment achieved in June 2023 following NMPA approval of VASCEPA under the MARINE indication, a $3.0 million milestone payment achieved in October 2023 following a regulatory submission to the NMPA for VASCEPA under the REDUCE-IT indication and a $15.0 million milestone payment achieved in June 2024 following regulatory approval of VASCEPA under the REDUCE-IT indication. As of June 30, 2024, these payments have been fully recognized.</w:t>
      </w:r>
    </w:p>
    <w:p>
      <w:pPr>
        <w:spacing w:after="0" w:line="7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Licensing and royalty revenue recognized in the prior period relates to the partial recognition of the above upfront and previously achieved milestones, excluding the REDUCE-IT indication approval, as well as below amounts received in connection with the following VASCEPA licensing agreements:</w:t>
      </w:r>
    </w:p>
    <w:p>
      <w:pPr>
        <w:spacing w:after="0" w:line="68" w:lineRule="exact"/>
        <w:rPr>
          <w:sz w:val="20"/>
          <w:szCs w:val="20"/>
          <w:color w:val="auto"/>
        </w:rPr>
      </w:pPr>
    </w:p>
    <w:p>
      <w:pPr>
        <w:ind w:left="900" w:right="180" w:hanging="383"/>
        <w:spacing w:after="0" w:line="270"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 As of June 30, 2023, these</w:t>
      </w:r>
    </w:p>
    <w:p>
      <w:pPr>
        <w:spacing w:after="0" w:line="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payments have been fully recognized.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35" w:name="page36"/>
    <w:bookmarkEnd w:id="35"/>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CSL – a $0.5 million upfront payment which was received upon closing of the agreement in January 2023.</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 – a $0.3 million upfront payment which was received upon closing of the agreement in August 2023.</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upfront and milestone payments from Edding and HLS were being recognized over the estimated period in which we were required to provide regulatory and development support pursuant to the respective agreements which were satisfied in 2024 and 2023, respectively. The upfront payment from CSL and Lotus was recognized in January 2023 and August 2023, respectively, upon closing of the agreement as no regulatory and development support is required pursuant to the agreement. The amount of licensing and royalty revenue is expected to vary from period to period based on timing of milestones achieved and changes in estimates of the timing and level of support required.</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87" w:lineRule="exact"/>
        <w:rPr>
          <w:sz w:val="20"/>
          <w:szCs w:val="20"/>
          <w:color w:val="auto"/>
        </w:rPr>
      </w:pPr>
    </w:p>
    <w:p>
      <w:pPr>
        <w:ind w:right="100" w:firstLine="50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Cost of goods sold. </w:t>
      </w:r>
      <w:r>
        <w:rPr>
          <w:rFonts w:ascii="Times New Roman" w:cs="Times New Roman" w:eastAsia="Times New Roman" w:hAnsi="Times New Roman"/>
          <w:sz w:val="17"/>
          <w:szCs w:val="17"/>
          <w:color w:val="auto"/>
        </w:rPr>
        <w:t>Cost of goods, inclusive of restructuring charges, sold during the nine months ended September 30, 2024 and 2023 was $75.4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and $111.8 million, respectively, a decrease of $36.4 million, or 33%.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nine months ended September 30, 2023, we have taken steps to amend supplier agreements to align supply arrangements with current and future demand resulting in charges of $39.2 million which were recorded as cost of goods sold - restructuring inventory.</w:t>
      </w:r>
    </w:p>
    <w:p>
      <w:pPr>
        <w:spacing w:after="0" w:line="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nine months ended September 30, 2024 and 2023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overall gross margin on product sales for both of the nine months ended September 30, 2024 and 2023 was 48%. Excluding the restructuring inventory gross margin was 48% and 66% for the nine months ended September 30, 2024 and 2023, respectively. The decrease in gross margin is primarily as a result of a decrease in net selling price.</w:t>
      </w:r>
    </w:p>
    <w:p>
      <w:pPr>
        <w:spacing w:after="0" w:line="201"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nine months ended September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$115.3 million and $156.0 million, respectively, a decrease of $40.7 million, or 26%. Selling, general and administrative expenses for the nine months ended September 30, 2024 and 2023 are summarized in the table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618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59,669</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88,519</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58,534</w:t>
            </w:r>
          </w:p>
        </w:tc>
        <w:tc>
          <w:tcPr>
            <w:tcW w:w="80" w:type="dxa"/>
            <w:vAlign w:val="bottom"/>
          </w:tcPr>
          <w:p>
            <w:pPr>
              <w:spacing w:after="0"/>
              <w:rPr>
                <w:sz w:val="21"/>
                <w:szCs w:val="21"/>
                <w:color w:val="auto"/>
              </w:rPr>
            </w:pPr>
          </w:p>
        </w:tc>
      </w:tr>
      <w:tr>
        <w:trPr>
          <w:trHeight w:val="243"/>
        </w:trPr>
        <w:tc>
          <w:tcPr>
            <w:tcW w:w="618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115,340</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155,997</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67" w:lineRule="exact"/>
        <w:rPr>
          <w:sz w:val="20"/>
          <w:szCs w:val="20"/>
          <w:color w:val="auto"/>
        </w:rPr>
      </w:pPr>
    </w:p>
    <w:p>
      <w:pPr>
        <w:ind w:left="480" w:right="420" w:hanging="383"/>
        <w:spacing w:after="0" w:line="266" w:lineRule="auto"/>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nine months ended September 30, 2024 and 2023 was $59.7 million and $88.5 million, respectively, a decrease of $28.9 million, or 33%. This decrease is primarily due to a reduction in costs associated with our ORP and cost reduction plans resulting in decreased promotional initiatives, reduced travel and elimination of our U.S. sales force.</w:t>
      </w:r>
    </w:p>
    <w:p>
      <w:pPr>
        <w:ind w:left="480" w:hanging="383"/>
        <w:spacing w:after="0" w:line="258" w:lineRule="auto"/>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nine months ended September 30, 2024 and 2023 was $44.1 million and $58.5 million, respectively, a decrease of $14.4 million, or 25%. This decrease is primarily due to a decrease in employee-related costs as a result of the reduction in force from the ORP and cost reduction plans, a decrease in branded pharma fees as a result of lower sales due to additional generic entrants in the market and decreased advisory fees related to the shareholder's special meeting in the prior year.</w:t>
      </w:r>
    </w:p>
    <w:p>
      <w:pPr>
        <w:ind w:left="480" w:right="120" w:hanging="383"/>
        <w:spacing w:after="0" w:line="254" w:lineRule="auto"/>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nine months ended September 30, 2024 and 2023 was $11.6 million and $8.9 million, respectively, an increase of $2.6 million, or 29%. Non-cash stock-based compensation expense represents the estimated costs associated with equity awards issued to internal personnel supporting our selling, general and administrative functions. The increase is due to prior years reversal of expense associated with our former CEO's resignation, as well as certain performance-based awards as it was no longer deemed probable that the performance criteria for vesting would be achieved within the required timeframe.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As part of our ORP announced in July 2023, we have redesigned our commercial infrastructure in Europe and in the U.S. as well as focusing on maximizing U.S. cash flow through a streamlined model, which has resulted in $50.0 million in operating cost reductions annually. We will continue to evaluate all of our spending commitments and priorities based on our refocused strategic priorities and restructuring plan.</w:t>
      </w:r>
    </w:p>
    <w:p>
      <w:pPr>
        <w:spacing w:after="0" w:line="201"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nine months ended September 30, 2024 and 2023 was $14.9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$16.4 million, respectively, a decrease of $1.5 million, or 9%. Research and development expenses for the nine months ended September 30, 2024 and 2023 are summarized in the table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618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REDUCE-IT study and presentations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Fixed-dose combination </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(3)</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Non-clinical research activities </w:t>
            </w:r>
            <w:r>
              <w:rPr>
                <w:rFonts w:ascii="Times New Roman" w:cs="Times New Roman" w:eastAsia="Times New Roman" w:hAnsi="Times New Roman"/>
                <w:sz w:val="24"/>
                <w:szCs w:val="24"/>
                <w:color w:val="auto"/>
                <w:vertAlign w:val="superscript"/>
              </w:rPr>
              <w:t>(4)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21"/>
                <w:szCs w:val="21"/>
                <w:color w:val="auto"/>
              </w:rPr>
            </w:pPr>
          </w:p>
        </w:tc>
      </w:tr>
      <w:tr>
        <w:trPr>
          <w:trHeight w:val="243"/>
        </w:trPr>
        <w:tc>
          <w:tcPr>
            <w:tcW w:w="618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(5)</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80" w:type="dxa"/>
            <w:vAlign w:val="bottom"/>
          </w:tcPr>
          <w:p>
            <w:pPr>
              <w:spacing w:after="0"/>
              <w:rPr>
                <w:sz w:val="20"/>
                <w:szCs w:val="20"/>
                <w:color w:val="auto"/>
              </w:rPr>
            </w:pPr>
          </w:p>
        </w:tc>
      </w:tr>
      <w:tr>
        <w:trPr>
          <w:trHeight w:val="247"/>
        </w:trPr>
        <w:tc>
          <w:tcPr>
            <w:tcW w:w="6180" w:type="dxa"/>
            <w:vAlign w:val="bottom"/>
            <w:tcBorders>
              <w:bottom w:val="single" w:sz="8" w:color="CFF0FC"/>
            </w:tcBorders>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(6)</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16,428</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-505460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right="80" w:hanging="512"/>
        <w:spacing w:after="0" w:line="260"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to provide data to be published in medical journals. The increase is as a result of additional conferences and publications in the U.S. and Europe to support the expansion and growth in the European markets.</w:t>
      </w:r>
    </w:p>
    <w:p>
      <w:pPr>
        <w:spacing w:after="0" w:line="2" w:lineRule="exact"/>
        <w:rPr>
          <w:rFonts w:ascii="Times New Roman" w:cs="Times New Roman" w:eastAsia="Times New Roman" w:hAnsi="Times New Roman"/>
          <w:sz w:val="18"/>
          <w:szCs w:val="18"/>
          <w:color w:val="auto"/>
        </w:rPr>
      </w:pPr>
    </w:p>
    <w:p>
      <w:pPr>
        <w:ind w:left="520" w:right="200" w:hanging="512"/>
        <w:spacing w:after="0" w:line="273"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Fixed-dose combination expenses are primarily related to cost associated with developmental activities of a fixed-dose combination of VASCEPA and a statin which began in 2022 but was subsequently deprioritized during 2023.</w:t>
      </w:r>
    </w:p>
    <w:p>
      <w:pPr>
        <w:spacing w:after="0" w:line="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 The increase is primarily due to the continued expansion within Europe and other countries throughout the world.</w:t>
      </w: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36"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spacing w:after="0" w:line="4"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10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nine months ended September 30, 2024 and 2023 was nil and $10.7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decrease of $10.7 million, or 100%. The charge in the prior year is due to the implementation of the ORP which was approved in the second quarter 2023 and announced on July 18, 2023, which resulted in a reduction of our entire U.S. sales field force, with our managed care and trade organization continuing to support our U.S. commercial efforts, as well as a reduction of approximately 30% of non-sales positions. Refer to </w:t>
      </w:r>
      <w:r>
        <w:rPr>
          <w:rFonts w:ascii="Times New Roman" w:cs="Times New Roman" w:eastAsia="Times New Roman" w:hAnsi="Times New Roman"/>
          <w:sz w:val="18"/>
          <w:szCs w:val="18"/>
          <w:i w:val="1"/>
          <w:iCs w:val="1"/>
          <w:color w:val="auto"/>
        </w:rPr>
        <w:t>Note 2 Significant Accounting Policies</w:t>
      </w:r>
      <w:r>
        <w:rPr>
          <w:rFonts w:ascii="Times New Roman" w:cs="Times New Roman" w:eastAsia="Times New Roman" w:hAnsi="Times New Roman"/>
          <w:sz w:val="18"/>
          <w:szCs w:val="18"/>
          <w:color w:val="auto"/>
        </w:rPr>
        <w:t xml:space="preserve"> for additional information.</w:t>
      </w:r>
    </w:p>
    <w:p>
      <w:pPr>
        <w:spacing w:after="0" w:line="210"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nine months ended September 30, 2024 and 2023 was $10.0 million and $8.4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$1.6 million, or 19%. Interest income, net, represents income earned on cash and investment balances. The increase is primarily due to higher investment balances in the current year period compared to the prior year period.</w:t>
      </w:r>
    </w:p>
    <w:p>
      <w:pPr>
        <w:spacing w:after="0" w:line="20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for the nine months ended September 30, 2024 and 2023 was income of $2.0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million, respectively, a decrease of $1.1 million, or 37%. Other income (expense), net, primarily consists of the ERC awarded as part of the CARES Act, gains and losses on foreign exchange transactions and sublease income related to our Bridgewater, New Jersey facility. The decrease in other income, net, is primarily due to receiving formal notice in the prior year from the IRS that we are entitled to the ERC funds and that receipt of a $3.9 million credit is probable.</w:t>
      </w:r>
    </w:p>
    <w:p>
      <w:pPr>
        <w:spacing w:after="0" w:line="129" w:lineRule="exact"/>
        <w:rPr>
          <w:sz w:val="20"/>
          <w:szCs w:val="20"/>
          <w:color w:val="auto"/>
        </w:rPr>
      </w:pPr>
    </w:p>
    <w:p>
      <w:pPr>
        <w:ind w:right="460"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Income tax provision for the nine months ended September 30, 2024 and 2023 was $6.3 million and $2.1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provision for income taxes for the nine months ended September 30, 2024 is the result of income</w:t>
      </w: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7" w:name="page38"/>
    <w:bookmarkEnd w:id="37"/>
    <w:p>
      <w:pPr>
        <w:ind w:right="600"/>
        <w:spacing w:after="0" w:line="282" w:lineRule="auto"/>
        <w:rPr>
          <w:sz w:val="20"/>
          <w:szCs w:val="20"/>
          <w:color w:val="auto"/>
        </w:rPr>
      </w:pPr>
      <w:r>
        <w:rPr>
          <w:rFonts w:ascii="Times New Roman" w:cs="Times New Roman" w:eastAsia="Times New Roman" w:hAnsi="Times New Roman"/>
          <w:sz w:val="18"/>
          <w:szCs w:val="18"/>
          <w:color w:val="auto"/>
        </w:rPr>
        <w:t>generated by our U.S. and foreign operations for which tax expense has been recognized based on a full year estimated U.S. and foreign income tax 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2024, our aggregate sources of liquidity include cash and cash equivalents and restricted cash of $157.5 million and short-term investments of $148.8 million. We have no indebtedness. Our cash and cash equivalents primarily include checking accounts and money market funds with original maturities of less than 90 days. Our short-term investments consist of securities that will be due in one year or less.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7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condensed consolidated statements of cash flows, are summarized in the following table: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r>
      <w:tr>
        <w:trPr>
          <w:trHeight w:val="247"/>
        </w:trPr>
        <w:tc>
          <w:tcPr>
            <w:tcW w:w="6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(23.1 )</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FF0FC"/>
          </w:tcPr>
          <w:p>
            <w:pPr>
              <w:spacing w:after="0"/>
              <w:rPr>
                <w:sz w:val="21"/>
                <w:szCs w:val="21"/>
                <w:color w:val="auto"/>
              </w:rPr>
            </w:pPr>
          </w:p>
        </w:tc>
      </w:tr>
      <w:tr>
        <w:trPr>
          <w:trHeight w:val="239"/>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 and restricted cash</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(42.3 )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FF0FC"/>
          </w:tcPr>
          <w:p>
            <w:pPr>
              <w:spacing w:after="0"/>
              <w:rPr>
                <w:sz w:val="22"/>
                <w:szCs w:val="22"/>
                <w:color w:val="auto"/>
              </w:rPr>
            </w:pPr>
          </w:p>
        </w:tc>
      </w:tr>
      <w:tr>
        <w:trPr>
          <w:trHeight w:val="20"/>
        </w:trPr>
        <w:tc>
          <w:tcPr>
            <w:tcW w:w="6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increased during the nine months ended September 30, 2024 as compared to net cash provided by operating activities during the same period in 2023. This is primarily as a result of timing and payment of invoices and accruals in 2024.</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2024 decreased due primarily to the purchases of $208.9 million of investment grade interest-bearing instruments offset by proceeds from the maturity of $185.8 million in investment grade interest-bearing instruments as compared to the same period in 2023 where proceeds from the maturity of investment grade interest-bearing instruments was $161.0 million, partially offset by $115.5 million in purchases of investment-grade interest bearing instruments.</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2024 as compared to net cash provided by financing activities during the same period in 2023 was primarily as a result of a decrease in proceeds related to stock option exercises.</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we had net accounts receivable of $112.6 million, current inventory of $224.0 million and long-term inventory of $74.0 million. We have incurred annual operating losses since our inception and, as a result, we had an accumulated deficit of $1.6 billion as of September 30, 2024. We anticipate that quarterly net cash outflows in future periods will continue to be variable as a result of the timing of certain items, including our purchases of API, the generic competition in the United States and pricing and reimbursement of VAZKEPA in Europe.</w:t>
      </w:r>
    </w:p>
    <w:p>
      <w:pPr>
        <w:spacing w:after="0" w:line="7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July 2023, we announced that we were implementing the ORP resulting in the elimination and consolidation of certain roles across the organization, both in the United States and abroad, representing a reduction of our total employee base by approximately 30%. In the U.S., all sales force positions were eliminated, with the managed care and trade organization continuing to support U.S. commercial efforts, and 30% of non-sales positions were eliminated, while in Europe we have redesigned our commercial infrastructure to better align with pricing and reimbursement status, commercial progress to date, as well as streamlining certain cross-geographic functions and better leveraging learnings across countries. These actions reduced operating costs by $50.0 million annually.</w:t>
      </w:r>
    </w:p>
    <w:p>
      <w:pPr>
        <w:spacing w:after="0" w:line="7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January 10, 2024, we announced plans to initiate a share repurchase program to purchase up to $50.0 million of the Company's ordinary shares held in the form of American Depository Shares. We received shareholder and UK High Court approval of the share repurchase plan in April and May 2024, respectively. The Company has not commenced any share repurchases to date, but we will continue to monitor business and market conditions.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$156.9 million and short-term investments of $148.8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for at least one year from the issuance date of our unaudited condensed consolidated financial statements included elsewhere in this Quarterly Report and are adequate to support continued operations based on our current plans. We have based this estimate on assumptions that may prove to be wrong, including as a result of the risks discussed under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“Risk Factors” in this Quarterly Report and we could use our capital resources sooner than we expect or fail to achieve positive cash flow.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contractual obligations consist mainly of payments related to purchase obligations with certain supply chain contracting parties and operating leases related to real estate used as office space.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75"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September 30, 2024. Based on such evaluation, our principal executive officer and principal financial officer have concluded that as of September 30, 2024, our disclosure controls and procedures were effective at the reasonable assurance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20" w:firstLine="509"/>
        <w:spacing w:after="0" w:line="257" w:lineRule="auto"/>
        <w:rPr>
          <w:sz w:val="20"/>
          <w:szCs w:val="20"/>
          <w:color w:val="auto"/>
        </w:rPr>
      </w:pPr>
      <w:r>
        <w:rPr>
          <w:rFonts w:ascii="Times New Roman" w:cs="Times New Roman" w:eastAsia="Times New Roman" w:hAnsi="Times New Roman"/>
          <w:sz w:val="18"/>
          <w:szCs w:val="18"/>
          <w:color w:val="auto"/>
        </w:rPr>
        <w:t>During the quarter ended September 30, 2024,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from time to time involved in lawsuits, claims, investigations, proceedings, and threats of litigation relating to intellectual property, commercial arrangements and other matters. Information regarding reportable legal proceedings is contained in “Item 3. Legal Proceedings” of our Annual Report. Refer to Note 5 – Commitments and Contingencies in this Quarterly Report for any legal proceedings that became reportable during the three and nine months ended September 30, 2024, and updates to any descriptions of previously reported legal proceedings in which there have been material developments during such period. The discussion of legal proceedings included within </w:t>
      </w:r>
      <w:r>
        <w:rPr>
          <w:rFonts w:ascii="Times New Roman" w:cs="Times New Roman" w:eastAsia="Times New Roman" w:hAnsi="Times New Roman"/>
          <w:sz w:val="18"/>
          <w:szCs w:val="18"/>
          <w:i w:val="1"/>
          <w:iCs w:val="1"/>
          <w:color w:val="auto"/>
        </w:rPr>
        <w:t>Note 5 –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is incorporated into this Item 1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7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Except where denoted with an “*”, these risk factors have not been materially updated from our Annual Report on 10-K for the year ended December 31, 2023 filed with the SEC on February 29, 2024, or our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61" w:lineRule="exact"/>
        <w:rPr>
          <w:sz w:val="20"/>
          <w:szCs w:val="20"/>
          <w:color w:val="auto"/>
        </w:rPr>
      </w:pPr>
    </w:p>
    <w:p>
      <w:pPr>
        <w:ind w:left="900" w:right="60" w:hanging="383"/>
        <w:spacing w:after="0" w:line="233"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upon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its commercialization in the United States and its development, launch and commercialization in Europe and other major markets;</w:t>
      </w:r>
    </w:p>
    <w:p>
      <w:pPr>
        <w:spacing w:after="0" w:line="91"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we compete with and may face increasing competition from generic drug companies and our revenues and results could continue to be materially and adversely affected;</w:t>
      </w:r>
    </w:p>
    <w:p>
      <w:pPr>
        <w:spacing w:after="0" w:line="53" w:lineRule="exact"/>
        <w:rPr>
          <w:rFonts w:ascii="Times New Roman" w:cs="Times New Roman" w:eastAsia="Times New Roman" w:hAnsi="Times New Roman"/>
          <w:sz w:val="18"/>
          <w:szCs w:val="18"/>
          <w:color w:val="auto"/>
        </w:rPr>
      </w:pPr>
    </w:p>
    <w:p>
      <w:pPr>
        <w:jc w:val="both"/>
        <w:ind w:left="900" w:right="36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seeking relevant pricing approvals in various countries; however, we may not be successful in obtaining such approvals in a timely manner, or at all and, even if successfully obtained, we may not be successful in commercializing VAZKEPA in major markets outside the United States;</w:t>
      </w:r>
    </w:p>
    <w:p>
      <w:pPr>
        <w:spacing w:after="0" w:line="6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value of VASCEPA outside the United States may be smaller than we anticipate, particularly if we are unable to secure favorable product pricing and reimbursement levels, which vary from country to country. If we are unable to realize product reimbursement rates at reasonable price levels, or at all, patient access to VASCEPA may be limited;</w:t>
      </w:r>
    </w:p>
    <w:p>
      <w:pPr>
        <w:spacing w:after="0" w:line="6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make it more difficult for VASCEPA to achieve a level of market acceptance by physicians, patients, healthcare payors and others in the medical community at levels sufficient to achieve commercial success;</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Restructuring Program, or ORP, effected in July 2023, and any similar efforts we may undertake in the future, may not be successful in mitigating risks and challenges associated with our U.S. business and establishing a more significant international footprint;</w:t>
      </w:r>
    </w:p>
    <w:p>
      <w:pPr>
        <w:spacing w:after="0" w:line="53"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supply and commercialization, including promotional activities, of VASCEPA and VAZKEPA are subject to regulatory scrutiny;</w:t>
      </w:r>
    </w:p>
    <w:p>
      <w:pPr>
        <w:spacing w:after="0" w:line="53"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effectively against our competitors’ pharmaceutical products, including generic products. In addition, we face competition from omega-3 fatty acids that are marketed by other companies as non-prescription dietary supplements, subjecting us to non-prescription competition and consumer substitution;</w:t>
      </w:r>
    </w:p>
    <w:p>
      <w:pPr>
        <w:spacing w:after="0" w:line="67" w:lineRule="exact"/>
        <w:rPr>
          <w:rFonts w:ascii="Times New Roman" w:cs="Times New Roman" w:eastAsia="Times New Roman" w:hAnsi="Times New Roman"/>
          <w:sz w:val="18"/>
          <w:szCs w:val="18"/>
          <w:color w:val="auto"/>
        </w:rPr>
      </w:pPr>
    </w:p>
    <w:p>
      <w:pPr>
        <w:ind w:left="900" w:right="30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67" w:lineRule="exact"/>
        <w:rPr>
          <w:rFonts w:ascii="Times New Roman" w:cs="Times New Roman" w:eastAsia="Times New Roman" w:hAnsi="Times New Roman"/>
          <w:sz w:val="18"/>
          <w:szCs w:val="18"/>
          <w:color w:val="auto"/>
        </w:rPr>
      </w:pPr>
    </w:p>
    <w:p>
      <w:pPr>
        <w:ind w:left="900" w:right="40" w:hanging="383"/>
        <w:spacing w:after="0" w:line="261"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0" w:name="page41"/>
    <w:bookmarkEnd w:id="40"/>
    <w:p>
      <w:pPr>
        <w:ind w:left="900" w:right="40" w:hanging="383"/>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71"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proprietary rights and confidentiality obligations of our employees, agents, business partners and third parties to protect the commercial value and potential of VASCEPA. Enforcing our patent rights is challenging and costly and, even if we are able to successfully enforce our patent rights, our issued patents may not prevent competitors from competing with VASCEPA;</w:t>
      </w:r>
    </w:p>
    <w:p>
      <w:pPr>
        <w:spacing w:after="0" w:line="67" w:lineRule="exact"/>
        <w:rPr>
          <w:rFonts w:ascii="Times New Roman" w:cs="Times New Roman" w:eastAsia="Times New Roman" w:hAnsi="Times New Roman"/>
          <w:sz w:val="18"/>
          <w:szCs w:val="18"/>
          <w:color w:val="auto"/>
        </w:rPr>
      </w:pPr>
    </w:p>
    <w:p>
      <w:pPr>
        <w:jc w:val="both"/>
        <w:ind w:left="900" w:right="380" w:hanging="383"/>
        <w:spacing w:after="0" w:line="312"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31" w:lineRule="exact"/>
        <w:rPr>
          <w:rFonts w:ascii="Times New Roman" w:cs="Times New Roman" w:eastAsia="Times New Roman" w:hAnsi="Times New Roman"/>
          <w:sz w:val="17"/>
          <w:szCs w:val="17"/>
          <w:color w:val="auto"/>
        </w:rPr>
      </w:pPr>
    </w:p>
    <w:p>
      <w:pPr>
        <w:ind w:left="900" w:right="86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return capital to our shareholders and increase shareholder value, including our share repurchase program, may not be implemented in a timely manner or at all, or may not have the expected results;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 longer able to meet the listing requirements of the NASDAQ Stock Market, our stock may be delisted.</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our Annual Report and this Quarterly Report on Form 10-Q,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252"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VASCEPA (icosapent ethyl), its commercialization in the United States and its development, launch and commercialization in Europe and other major markets.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currently derive substantially all of our revenue from sales of VASCEPA. We may be substantially dependent on sales of VASCEPA for many years. Our financial condition and the success of our company will be materially adversely affected, we may have to further restructure our current operations, and our business prospects will be limited, if we experience any negative developments relating to VASCEPA. In the first quarter of 2020, the U.S. District Court for the District of Nevada issued a ruling in favor of two generic drug companies, Dr. Reddy's Laboratories, Inc., or Dr. Reddy's, and Hikma Pharmaceuticals USA Inc., or Hikma, and certain of their affiliates, that declared as invalid several patents of ours protecting the first U.S. FDA-approved use of our drug, to reduce severely high triglyceride levels, or the MARINE indication, or the ANDA litigation. We were unsuccessful in our appeals and our stock price was adversely and materially impacted by the ruling, the results of the appeals process and the introduction of generic competition. If other proprietary rights protecting VASCEPA or its use are challenged, our stock price could further decline, particularly if such challenges, which are costly to defend, are successful.</w:t>
      </w:r>
    </w:p>
    <w:p>
      <w:pPr>
        <w:spacing w:after="0" w:line="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Although we are exploring ways to broaden our development and commercial pipeline, such efforts are likely to be time consuming, costly and may utilize resources that could otherwise be focused on commercializing VASCEPA. It took over a decade of product development before we received marketing approval for VAZKEPA in March 2021 from the European Commission, or the EC.</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Likewise, if we seek to diversify our development programs or product offerings through licensing or acquisitions, such transactions are also time consuming, may be dilutive to existing shareholdings, and may be initially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10"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we compete with and may face increasing competition from generic drug companies and our revenues and results of operations could continue to be materially and adversely affected.</w:t>
      </w:r>
    </w:p>
    <w:p>
      <w:pPr>
        <w:spacing w:after="0" w:line="51" w:lineRule="exact"/>
        <w:rPr>
          <w:sz w:val="20"/>
          <w:szCs w:val="20"/>
          <w:color w:val="auto"/>
        </w:rPr>
      </w:pPr>
    </w:p>
    <w:p>
      <w:pPr>
        <w:jc w:val="both"/>
        <w:ind w:right="80" w:firstLine="509"/>
        <w:spacing w:after="0" w:line="257" w:lineRule="auto"/>
        <w:rPr>
          <w:sz w:val="20"/>
          <w:szCs w:val="20"/>
          <w:color w:val="auto"/>
        </w:rPr>
      </w:pPr>
      <w:r>
        <w:rPr>
          <w:rFonts w:ascii="Times New Roman" w:cs="Times New Roman" w:eastAsia="Times New Roman" w:hAnsi="Times New Roman"/>
          <w:sz w:val="18"/>
          <w:szCs w:val="18"/>
          <w:color w:val="auto"/>
        </w:rPr>
        <w:t>Following the ANDA litigation rulings against the Company, generic versions of icosapent ethyl began launching in the United States in November 2020, and several generic versions are currently available, including for both the 0.5-gram and 1-gram capsules, and we expect that VASCEPA could face more competition from generic companies in the United States. Increasing sales of generic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versions of icosapent ethyl could continue to have a material and adverse impact on our revenues and results of operations in the United States.</w:t>
      </w:r>
    </w:p>
    <w:p>
      <w:pPr>
        <w:spacing w:after="0" w:line="11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Generally, once a generic version of a drug is available in the market, the generic version is typically used by pharmacies across the U.S. to fill prescriptions for any use of the drug, subject to state substitution laws. Although we intend to vigorously defend our intellectual property rights related to VASCEPA, there can be no assurance that we will be successful in preventing use of generic versions of icosapent ethyl in indications for which they have not been approved by the U.S. FDA, even if such use is determined to infringe certain of our patent claims.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Given the changing dynamic in the U.S. market at the time, we initiated cost and organizational restructuring plans which resulted in eliminating our U.S. sales force, while maintaining our managed care and trade organization to support our U.S. commercial efforts, and our overall headcount was reduced by 30% as part of our ORP. Although these initiatives reduced operating costs by $50.0 million annually, such efforts could impact employee morale and make hiring and retaining talented personnel more challenging, may not result in all of the cost savings or other benefits we anticipate, and are costly to implement. Furthermore, such efforts may reduce our ability to expand use of VASCEPA.</w:t>
      </w:r>
    </w:p>
    <w:p>
      <w:pPr>
        <w:spacing w:after="0" w:line="206" w:lineRule="exact"/>
        <w:rPr>
          <w:sz w:val="20"/>
          <w:szCs w:val="20"/>
          <w:color w:val="auto"/>
        </w:rPr>
      </w:pPr>
    </w:p>
    <w:p>
      <w:pPr>
        <w:ind w:right="4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seeking relevant pricing approvals in various countries; however, we may not be successful in obtaining such approvals in a timely manner or at all and even if successfully obtained, we may not be successful in commercializing VAZKEPA in major markets outside the United States.</w:t>
      </w:r>
    </w:p>
    <w:p>
      <w:pPr>
        <w:spacing w:after="0" w:line="2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continue our development efforts to support commercialization of VASCEPA in major markets outside the United States, particularly in light of the level of competition, including from generic products, in the United States, and as part of our ORP, we redesigned our commercial infrastructure in Europe. This process is conducted on a country-by-country basis and is time consuming and complex, and, even though the EC approved the marketing authorization for VAZKEPA in March 2021, and we have received positive national pricing and reimbursement decisions in various countries, there is no guarantee that we will be able to negotiate and obtain further reimbursement and pricing terms on favorable terms, or at all, in the other countries where we are pursuing commercialization. Further, successful progress or pricing terms in one country may not be indicative of our outcomes in other jurisdictions. For example, although the UK’s National Institute for Health and Care Excellence, or NICE, announced final guidance for reimbursement for VAZKEPA® and use across the National Health Service, or NHS, in England and Wales, we decided to discontinue business operations in Germany following the conclusion of negotiations with the National Association of Statutory Health Insurance Funds during which a viable agreement on the reimbursement price of VAZKEPA could not be reached. The Arbitration Board process concluded without an agreement in November 2022 and although we plan to resubmit a pricing and reimbursement dossier with new data in Germany, we may be unable to resume commercial operations in Germany. We may not be successful in obtaining additional approvals in a timely manner with acceptable terms, or in additional countries, and if we are unable to do so, and continue to face increased competition in the United States, our financial position could be materially and adversely impacted.</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been developing VAZKEPA on our own in Europe, where we have limited experience. We are exploring possible strategic collaborations in smaller markets within Europe and in other major markets, which will increase our reliance on third parties, over whom we have limited control. We currently have multiple partners for the development and commercialization of VASCEPA in select geographies and are assessing potential partners to commercialize VASCEPA in other parts of the world. We have strategic collaborations for the development and commercialization of VASCEPA in Canada, the Middle East, Australia, New Zealand, Greater China, South Korea and many markets in Southeast Asia, Greece and Israel. However, we cannot make any guarantees as to the success of these efforts or that our beliefs about the value potential are accurate, or that we will be able to rely upon these third parties; if commercialization plans for VASCEPA do not meet expectations in major markets such as Europe, our business and prospects could be materially and adversely affected.</w:t>
      </w:r>
    </w:p>
    <w:p>
      <w:pPr>
        <w:spacing w:after="0" w:line="215"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commercial value of VASCEPA outside the United States may be smaller than we anticipate, particularly if we are unable to secure favorable product pricing and reimbursement levels, which vary from country to country. If we are unable to realize product reimbursement rates at reasonable price levels, or at all, patient access to VASCEPA may be limited.</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as to the market for VASCEPA outside the United States, and we may face challenges in successfully achieving market opportunities available to us. Despite having received EC approval to commercialize VAZKEPA in Europe and approval elsewhere around the world, applicable regulatory agencies may impose restrictions on the product’s conditions for use, distribution or marketing, and in some cases may impose ongoing requirements for post-market surveillance, post-approval studies or clinical trials, any of which could limit the market opportunity, or our ability to capitalize on such opportunity, for VASCEPA.</w:t>
      </w:r>
    </w:p>
    <w:p>
      <w:pPr>
        <w:spacing w:after="0" w:line="75"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and these negotiations are not always successful. For example, after the conclusion of negotiations with the National Association of Statutory Health Insurance Funds, a viable agreement on the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80"/>
        <w:spacing w:after="0" w:line="266" w:lineRule="auto"/>
        <w:rPr>
          <w:sz w:val="20"/>
          <w:szCs w:val="20"/>
          <w:color w:val="auto"/>
        </w:rPr>
      </w:pPr>
      <w:r>
        <w:rPr>
          <w:rFonts w:ascii="Times New Roman" w:cs="Times New Roman" w:eastAsia="Times New Roman" w:hAnsi="Times New Roman"/>
          <w:sz w:val="18"/>
          <w:szCs w:val="18"/>
          <w:color w:val="auto"/>
        </w:rPr>
        <w:t>reimbursement price of VAZKEPA in Germany could not be reached. As a result of the negotiation outcome, we discontinued our German operations as of September 1, 2022. In November 2022, the Arbitration Board process concluded without an agreement and although we plan to resubmit a pricing and reimbursement dossier with new data in Germany, we may be unable to resume commercial operations in Germany.</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in countries outside the U.S., securing product reimbursement is a requisite to commercial launch. To obtain reimbursement or pricing approval in some countries, we may be required to conduct a pharmacoeconomic study that compares the cost effectiveness of VASCEPA to other available therapies. Such pharmacoeconomic studies can be costly and the results uncertain. The time required to secure reimbursement tends to vary from country to country and cannot be reliably predicted at this time.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or our partners, may choose to not proceed with marketing VASCEPA in a market, even after obtaining all necessary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10"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be unsuccessful in expanding our global footprint. We are launching VAZKEPA on our own in the most commercially significant markets in Europe, and have redesigned our commercial infrastructure in Europe. The commercial launch of a new pharmaceutical product is a complex and resource heavy undertaking for a company to manage and may be impacted by decisions by and interactions with local regulators. We have no prior experience as a company operating a commercial-stage pharmaceutical business in Europe. As noted above, a viable agreement on the reimbursement price of VAZKEPA in Germany could not be reached with German regulators and we have discontinued our Germany business operations.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could inhibit our efforts to successfully commercialize VASCEPA include:</w:t>
      </w:r>
    </w:p>
    <w:p>
      <w:pPr>
        <w:spacing w:after="0" w:line="117"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expiration of regulatory exclusivities and entry into the market of additional generic versions of icosapent ethyl;</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 and senior management, particularly in light of our recent reductions in force, including our ORP announced in July 2023, and turnover on the management team;</w:t>
      </w:r>
    </w:p>
    <w:p>
      <w:pPr>
        <w:spacing w:after="0" w:line="53" w:lineRule="exact"/>
        <w:rPr>
          <w:rFonts w:ascii="Times New Roman" w:cs="Times New Roman" w:eastAsia="Times New Roman" w:hAnsi="Times New Roman"/>
          <w:sz w:val="18"/>
          <w:szCs w:val="18"/>
          <w:color w:val="auto"/>
        </w:rPr>
      </w:pPr>
    </w:p>
    <w:p>
      <w:pPr>
        <w:ind w:left="900" w:right="70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and our inability to adequately monitor compliance with applicable regulatory and other legal requirements;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access to or persuade adequate numbers of physicians to prescribe or patients to use VASCEPA;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overestimating the addressable market for VASCEPA;</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5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 outside of the United States.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85" w:lineRule="exact"/>
        <w:rPr>
          <w:sz w:val="20"/>
          <w:szCs w:val="20"/>
          <w:color w:val="auto"/>
        </w:rPr>
      </w:pPr>
    </w:p>
    <w:p>
      <w:pPr>
        <w:ind w:right="8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ability to generate meaningful revenues of VASCEPA outside of the United States is dependent on the availability and extent of coverage and reimbursement from third-party payors. In many markets around the world, these payors,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payors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generics. Refer to “</w:t>
      </w:r>
      <w:r>
        <w:rPr>
          <w:rFonts w:ascii="Times New Roman" w:cs="Times New Roman" w:eastAsia="Times New Roman" w:hAnsi="Times New Roman"/>
          <w:sz w:val="18"/>
          <w:szCs w:val="18"/>
          <w:i w:val="1"/>
          <w:iCs w:val="1"/>
          <w:color w:val="auto"/>
        </w:rPr>
        <w:t>Item 1. Business - Government Regulation – Pharmaceutical Pricing and Reimbursement</w:t>
      </w:r>
      <w:r>
        <w:rPr>
          <w:rFonts w:ascii="Times New Roman" w:cs="Times New Roman" w:eastAsia="Times New Roman" w:hAnsi="Times New Roman"/>
          <w:sz w:val="18"/>
          <w:szCs w:val="18"/>
          <w:color w:val="auto"/>
        </w:rPr>
        <w:t>” in our Annual Report on Form 10-K for the fiscal year ended December 31, 2023 for further details.</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 differing views on or challenges in valuing medicines, governments and payors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 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dynamics and developments discussed above serve to create pressure on the pricing and potential usage of products throughout the pharmaceutical industry, including VASCEPA. Given the diverse interests in play among payors, biopharmaceutical manufacturers, policy makers, healthcare providers and independent organizations, if and whether the parties involved can achieve alignment on the matters discussed above remains unclear and the outcome of any such alignment is difficult to predict. If reimbursement of 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210"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and commercial payor actions outside of the United States have affected and will continue to affect access to and sales of our products.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Outside of the United States, we expect countries will continue to take actions to reduce their drug expenditures. International reference pricing, or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of the United States in a timely manner, or at all, or even if we are successful in obtaining satisfactory coverage and reimbursement, we may be unsuccessful in sustaining such coverage and reimbursement, or could face challenges as to the timeliness or certainty of payment by payors to physicians and other providers, which would have a material and adverse impact on our commercialization efforts outside of the United States. We as an organization have limited experience in navigating the pricing and reimbursement regimes outside of the United States. The foreign regimes are varied and complex, and this might hinder our effectiveness in establishing satisfactory pricing, coverage and reimbursement levels in a timely manner or at all.</w:t>
      </w:r>
    </w:p>
    <w:p>
      <w:pPr>
        <w:spacing w:after="0" w:line="220"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may make it more difficult for VASCEPA to achieve market acceptance by physicians, patients, healthcare payors and others in the medical community at levels sufficient to achieve commercial success.</w:t>
      </w:r>
    </w:p>
    <w:p>
      <w:pPr>
        <w:spacing w:after="0" w:line="51"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We may be unable to increase or maintain market acceptance by physicians, patients, healthcare payors and others in the medical community, especially in light of generic competition. If VASCEPA does not achieve an adequate level of acceptance, we</w:t>
      </w: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right="560"/>
        <w:spacing w:after="0" w:line="282" w:lineRule="auto"/>
        <w:rPr>
          <w:sz w:val="20"/>
          <w:szCs w:val="20"/>
          <w:color w:val="auto"/>
        </w:rPr>
      </w:pPr>
      <w:r>
        <w:rPr>
          <w:rFonts w:ascii="Times New Roman" w:cs="Times New Roman" w:eastAsia="Times New Roman" w:hAnsi="Times New Roman"/>
          <w:sz w:val="18"/>
          <w:szCs w:val="18"/>
          <w:color w:val="auto"/>
        </w:rPr>
        <w:t>may not generate product revenues sufficient to become profitable, or, even if we do achieve profitability, we may not be able to generate consistent profitability. The degree of market acceptance of VASCEPA will depend on a number of factors, including:</w:t>
      </w:r>
    </w:p>
    <w:p>
      <w:pPr>
        <w:spacing w:after="0" w:line="54"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outcome of adjudicated, settled and pending patent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pricing of any current or potential generic versions of icosapent ethyl;</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 warnings in VASCEPA's approved labeling internationally;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different elements of data supporting our REDUCE-IT indication over time;</w:t>
      </w:r>
    </w:p>
    <w:p>
      <w:pPr>
        <w:spacing w:after="0" w:line="117" w:lineRule="exact"/>
        <w:rPr>
          <w:rFonts w:ascii="Times New Roman" w:cs="Times New Roman" w:eastAsia="Times New Roman" w:hAnsi="Times New Roman"/>
          <w:sz w:val="18"/>
          <w:szCs w:val="18"/>
          <w:color w:val="auto"/>
        </w:rPr>
      </w:pPr>
    </w:p>
    <w:p>
      <w:pPr>
        <w:ind w:left="900" w:right="110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review and analysis of the results of our clinical data supporting our REDUCE-IT indication by regulatory authorities internationally;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our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consistent with U.S. FDA-approved labeling and the related perception thereof;</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VASCEPA and its prescribed uses, on-label and off-label;</w:t>
      </w:r>
    </w:p>
    <w:p>
      <w:pPr>
        <w:spacing w:after="0" w:line="117"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international conflicts and political unrest, all of which could negatively impact our supply chain or inhibit our ability to promote VASCEPA regionally and which could negatively affect product demand by creating obstacles for patients to seek treatment and fill prescriptions;</w:t>
      </w:r>
    </w:p>
    <w:p>
      <w:pPr>
        <w:spacing w:after="0" w:line="67"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efficacy of the product and the prevalence and severity of any side effects and warnings in VASCEPA’s approved labeling internationally.</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Any one or more of the above factors could have a negative impact on our ability to successfully commercialize VASCEPA, which would in turn have a negative impact on our financial condition.</w:t>
      </w:r>
    </w:p>
    <w:p>
      <w:pPr>
        <w:spacing w:after="0" w:line="185"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data or related interpretations that are generated or arise over time related to REDUCE-IT might not meet expectations, and the perception of REDUCE-IT results and VASCEPA revenue potential may suffer and our stock price may decline.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Additional data assessment by international regulatory authorities or otherwise could yield additional information to inform greater understanding of study outcome, which information could impact the perception of VASCEPA. Such data or interpretations may not be favorable for us.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addition, the same set of data can sometimes be interpreted to reach different conclusions, as when Health Canada approved an indication based on our REDUCE-IT trial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spacing w:after="0" w:line="54" w:lineRule="exact"/>
        <w:rPr>
          <w:sz w:val="20"/>
          <w:szCs w:val="20"/>
          <w:color w:val="auto"/>
        </w:rPr>
      </w:pPr>
    </w:p>
    <w:p>
      <w:pPr>
        <w:ind w:left="900" w:right="50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and related risks on the primary composite endpoint, its components, secondary endpoints and the primary and secondary risk prevention cohorts;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 (such as those related to adverse events, including bleeding and atrial fibrillation generally and in different sub-populations);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203"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new clinical data or analysis of existing data from clinical trials involving VASCEPA and similar moderate-to-high doses of eicosapentaenoic acid or icosapent ethyl could adversely impact public perception of VASCEPA’s clinical profile and the commercial and regulatory prospects of VASCEPA.</w:t>
      </w:r>
    </w:p>
    <w:p>
      <w:pPr>
        <w:spacing w:after="0" w:line="6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Analysis of data from trials of moderate-to-high doses of VASCEPA and icosapent ethyl, or a similar eicosapentaenoic acid product, could render new or adverse information on the effects of VASCEPA and its commercial and regulatory prospects.</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Results from this study were presented during the 2022 American Heart Association Scientific Sessions in November 2022 and published online in the journal Circulation in June 2024 and were consistent with the evidence from the REDUCE-IT study.</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China’s National Medical Products Administration, or NMPA, approved VASCEPA as an adjunct to diet to reduce the levels of triglyceride in adult patients suffering from severe hypertriglyceridemia (≥500mg/dL) and in October 2023 Edding submitted a regulatory filing to the NMPA and was approved on June 28, 2024. Following approval, Edding is working to secure National Reimbursement Drug Listing for VASCEPA in Mainland China under the REDUCE-IT indication. Even though the results from these trials were positive, additional clinical development efforts may be necessary in these markets to demonstrate the effectiveness and safety of VASCEPA, which may be costly to pursue, or may not produce the desired or expected results.</w:t>
      </w:r>
    </w:p>
    <w:p>
      <w:pPr>
        <w:spacing w:after="0" w:line="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the outcomes of any new studies involving VASCEPA and icosapent ethyl, or further analysis of existing trial data, is unfavorable, the perception of existing clinical results of VASCEPA, such as MARINE or REDUCE-IT, or the perceived clinical profile and commercial value of VASCEPA and its regulatory status, or perceptions about the potential for VASCEPA, including as a treatment for broader indications, may suffer. If this occurs our revenue and business could suffer and our stock price could significantly decline.</w:t>
      </w:r>
    </w:p>
    <w:p>
      <w:pPr>
        <w:spacing w:after="0" w:line="203"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ORP effected in July 2023, and any similar efforts we may undertake in the future, may not be successful in mitigating risks and challenges associated with our U.S. business and establishing a more significant international footprint.</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If we are not successful in our efforts to continue to market and sell VASCEPA in the United States, including following our ORP announced in July 2023 which eliminated all remaining sales force positions in the United States, with the managed care and trade organization remaining to support U.S. commercial efforts, and approximately 30% of non-sales positions, our anticipated revenues or our expenses could be materially adversely affected, and we may not maintain profitability in the United States or obtain profitability internationally. Further, we may need to cut back on research and development activities or we may need to implement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right="100"/>
        <w:spacing w:after="0" w:line="282" w:lineRule="auto"/>
        <w:rPr>
          <w:sz w:val="20"/>
          <w:szCs w:val="20"/>
          <w:color w:val="auto"/>
        </w:rPr>
      </w:pPr>
      <w:r>
        <w:rPr>
          <w:rFonts w:ascii="Times New Roman" w:cs="Times New Roman" w:eastAsia="Times New Roman" w:hAnsi="Times New Roman"/>
          <w:sz w:val="18"/>
          <w:szCs w:val="18"/>
          <w:color w:val="auto"/>
        </w:rPr>
        <w:t>other cost-containment measures, or we may need to raise additional funding that could result in substantial dilution or impose considerable restrictions on our business.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supply and commercialization, including promotional activities, of VASCEPA is subject to regulatory scrutiny.</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False Claims Act, or FCA. However, case law over the last several years has called into question the extent to which the U.S. government, including the U.S. FDA, can, and is willing to seek to, prevent truthful and non-misleading speech related to off-label uses of U.S. FDA-approved products such as VASCEPA.</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a result of a lawsuit that we and a group of independent physicians filed against the U.S. FDA in 2015, we were granted preliminary relief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The U.S. FDA did not appeal the court’s ruling and ultimately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8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Promotional activities in the biotechnology and pharmaceutical industries generally are subject to considerable regulatory scrutiny. For example, we were recently the subject of two civil investigative demands, or CIDs, from the U.S. Federal Trade Commission and a subpoena from the New York Attorney General, or the Investigations. Although we are cooperating with the government and completed document production in mid-2023, we cannot predict when these Investigations will be resolved, the outcome of the Investigations or their potential impact on our business.</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addition, we may be subject to enhanced scrutiny to ensure that our promotion remains within the scope covered by the settlement.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or as a result of the findings of the Investigations,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210"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products, including generic products. In addition, we face competition from omega-3 fatty acids that are marketed by other companies as non-prescription dietary supplements, subjecting us to non-prescription competition and consumer substitution.</w:t>
      </w:r>
    </w:p>
    <w:p>
      <w:pPr>
        <w:spacing w:after="0" w:line="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We expect that the number of companies seeking to develop products and therapies similar to VASCEPA may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81" w:lineRule="exact"/>
        <w:rPr>
          <w:sz w:val="20"/>
          <w:szCs w:val="20"/>
          <w:color w:val="auto"/>
        </w:rPr>
      </w:pPr>
    </w:p>
    <w:p>
      <w:pPr>
        <w:jc w:val="both"/>
        <w:ind w:right="240" w:firstLine="509"/>
        <w:spacing w:after="0" w:line="257"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sales and marketing companies, and specialized cardiovascular treatment companies. With generic versions of icosapent ethyl launched in the U.S. by companies that could have greater resources than us, and with the potential for further generic versions being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120"/>
        <w:spacing w:after="0" w:line="266" w:lineRule="auto"/>
        <w:rPr>
          <w:sz w:val="20"/>
          <w:szCs w:val="20"/>
          <w:color w:val="auto"/>
        </w:rPr>
      </w:pPr>
      <w:r>
        <w:rPr>
          <w:rFonts w:ascii="Times New Roman" w:cs="Times New Roman" w:eastAsia="Times New Roman" w:hAnsi="Times New Roman"/>
          <w:sz w:val="18"/>
          <w:szCs w:val="18"/>
          <w:color w:val="auto"/>
        </w:rPr>
        <w:t>launched possibly in the near term, it may not be viable for us to continue to invest in 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 icosapent ethyl.</w:t>
      </w:r>
    </w:p>
    <w:p>
      <w:pPr>
        <w:spacing w:after="0" w:line="68" w:lineRule="exact"/>
        <w:rPr>
          <w:sz w:val="20"/>
          <w:szCs w:val="20"/>
          <w:color w:val="auto"/>
        </w:rPr>
      </w:pPr>
    </w:p>
    <w:p>
      <w:pPr>
        <w:ind w:right="120" w:firstLine="509"/>
        <w:spacing w:after="0" w:line="236" w:lineRule="auto"/>
        <w:rPr>
          <w:sz w:val="20"/>
          <w:szCs w:val="20"/>
          <w:color w:val="auto"/>
        </w:rPr>
      </w:pPr>
      <w:r>
        <w:rPr>
          <w:rFonts w:ascii="Times New Roman" w:cs="Times New Roman" w:eastAsia="Times New Roman" w:hAnsi="Times New Roman"/>
          <w:sz w:val="18"/>
          <w:szCs w:val="18"/>
          <w:color w:val="auto"/>
        </w:rPr>
        <w:t>We also face considerable competition in the United States from branded products and generic versions of competing branded products and formulations, including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Tricor,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Trilipix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Niaspan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all of which have multiple generic competing versions. We compete with these drugs in our U.S. FDA-approved indicated uses, even though such products do not have U.S. FDA approval to reduce CV risk on top of statin therapy.</w:t>
      </w:r>
    </w:p>
    <w:p>
      <w:pPr>
        <w:spacing w:after="0" w:line="9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our competitors, and potential competing drugs in development, in the United States and the rest of the world, see our discussion in "</w:t>
      </w:r>
      <w:r>
        <w:rPr>
          <w:rFonts w:ascii="Times New Roman" w:cs="Times New Roman" w:eastAsia="Times New Roman" w:hAnsi="Times New Roman"/>
          <w:sz w:val="18"/>
          <w:szCs w:val="18"/>
          <w:i w:val="1"/>
          <w:iCs w:val="1"/>
          <w:color w:val="auto"/>
        </w:rPr>
        <w:t>Item 1. Business - Competition</w:t>
      </w:r>
      <w:r>
        <w:rPr>
          <w:rFonts w:ascii="Times New Roman" w:cs="Times New Roman" w:eastAsia="Times New Roman" w:hAnsi="Times New Roman"/>
          <w:sz w:val="18"/>
          <w:szCs w:val="18"/>
          <w:color w:val="auto"/>
        </w:rPr>
        <w:t>" in our Annual Report on Form 10-K for the fiscal year ended December 31, 2023.</w:t>
      </w:r>
    </w:p>
    <w:p>
      <w:pPr>
        <w:spacing w:after="0" w:line="54"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Further, drugs in development that are expected to compete with VASCEPA if they are ultimately approved and commercialized, and the perceived safety and efficacy of such commercialized drugs or drug products, could have a negative impact on the perceived safety and efficacy of VASCEPA.</w:t>
      </w:r>
    </w:p>
    <w:p>
      <w:pPr>
        <w:spacing w:after="0" w:line="3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Based on prior communications from the U.S. FDA, including communications in connection with its review of the ANCHOR indication for VASCEPA, it is our understanding that the U.S. FDA is not prepared to approve any therapy for treatment of CV risk based on biomarker modification without cardiovascular outcomes study data, with the potential exception of therapies which lower LDL-C,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CV risk reduction indication without the need in advance to conduct a long and expensive CV outcomes study.</w:t>
      </w:r>
    </w:p>
    <w:p>
      <w:pPr>
        <w:spacing w:after="0" w:line="8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VASCEPA also faces competition from dietary supplement manufacturers marketing omega-3 products as nutritional supplements. Such products are classified as food, not as prescription drugs or over-the-counter drugs, by the U.S. FDA and other regulators. Some of the promoters of such products have greater resources than us and are not restricted to the same standards as are prescription drugs with respect to promotional claims or manufacturing quality, consistency and subsequent product stability. Although we have taken successful legal action against supplement manufacturers attempting to use the REDUCE-IT results to promote their products,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8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Consistent with the competitive landscape in the United States, our competitors outside of the United States include large, well-established and experienced pharmaceutical companies, specialty and generic pharmaceutical companies, marketing companies, and specialized cardiovascular treatment companies and we have limited experience as a company self-commercializing a product outside of the United States.</w:t>
      </w:r>
    </w:p>
    <w:p>
      <w:pPr>
        <w:spacing w:after="0" w:line="6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219"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generic competitors seek to compete with VASCEPA in the United States and elsewhere, we could face additional challenges to our patents and additional patent litigation.</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could face patent litigation related to the patents filed in the Orange Book related to the REDUCE-IT study, particularly given that the three-year period of exclusivity under the Hatch-Waxman Amendments expired on December 13, 2022, which exclusivity would have precluded the U.S. FDA from approving a marketing application for an ANDA for a product candidate that the U.S. FDA viewed as having the same conditions of approval as VASCEPA.</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may also face challenges to the validity of our patents through a procedure known as inter partes review. Inter partes review is a trial proceeding conducted through the Patent Trial and Appeal Board of the USPTO.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75" w:lineRule="exact"/>
        <w:rPr>
          <w:sz w:val="20"/>
          <w:szCs w:val="20"/>
          <w:color w:val="auto"/>
        </w:rPr>
      </w:pPr>
    </w:p>
    <w:p>
      <w:pPr>
        <w:ind w:left="5540" w:right="1680" w:hanging="5016"/>
        <w:spacing w:after="0" w:line="282" w:lineRule="auto"/>
        <w:rPr>
          <w:sz w:val="20"/>
          <w:szCs w:val="20"/>
          <w:color w:val="auto"/>
        </w:rPr>
      </w:pPr>
      <w:r>
        <w:rPr>
          <w:rFonts w:ascii="Times New Roman" w:cs="Times New Roman" w:eastAsia="Times New Roman" w:hAnsi="Times New Roman"/>
          <w:sz w:val="18"/>
          <w:szCs w:val="18"/>
          <w:color w:val="auto"/>
        </w:rPr>
        <w:t>We cannot predict the outcome of the pending lawsuits, any appeals, or any subsequently filed lawsuits or inter partes review.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firstLine="509"/>
        <w:spacing w:after="0" w:line="258" w:lineRule="auto"/>
        <w:rPr>
          <w:sz w:val="20"/>
          <w:szCs w:val="20"/>
          <w:color w:val="auto"/>
        </w:rPr>
      </w:pPr>
      <w:r>
        <w:rPr>
          <w:rFonts w:ascii="Times New Roman" w:cs="Times New Roman" w:eastAsia="Times New Roman" w:hAnsi="Times New Roman"/>
          <w:sz w:val="18"/>
          <w:szCs w:val="18"/>
          <w:color w:val="auto"/>
        </w:rPr>
        <w:t>Generic versions of icosapent ethyl made available in the market, even if based on a MARINE indication, are often used to fill a prescription for any intended use of the drug. If any approved ANDA filers are able to supply the product in significant commercial quantities, generic companies could introduce generic versions of icosapent ethyl in the market, as Hikma, Dr. Reddy's, Apotex, Teva and others have done. Although any such introduction of a generic version of icosapent ethyl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generic market entries beginning in 2020 have limited our U.S. sales, and had an adverse impact on our business and results of operations.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icosapent ethyl to date, but may elect to do so in the future.</w:t>
      </w:r>
    </w:p>
    <w:p>
      <w:pPr>
        <w:spacing w:after="0" w:line="213"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active pharmaceutical ingredient in VASCEPA is difficult and time consuming to manufacture. It often requires considerable advanced planning and long-term financial commitments to ensure sufficient capacity is available when needed. Certain generic competitors filed lawsuits against us claiming we have engaged in anticompetitive practices related to our building of adequate supply for our needs, and government agencies are investigating our business as it relates to the supply of the active pharmaceutical ingredient in VASCEPA. Consumer lawsuits with similar allegations have also been filed. This dynamic and resulting regulatory scrutiny could be costly for us and could negatively and materially interfere with our business plans.</w:t>
      </w:r>
    </w:p>
    <w:p>
      <w:pPr>
        <w:spacing w:after="0" w:line="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and often requires considerable advanced planning and necessitates long-term financial commitments to ensure sufficient capacity is available when needed. We have invested over a decade of resources and expenses to develop this active pharmaceutical ingredient, or API, with our third-party suppliers, and to otherwise build our supply chain, improve our technical knowhow, establish manufacturing processes and obtain related regulatory approvals to help enable our suppliers to meet our clinical and commercial needs globally. Despite such efforts, the stability of the supply chain is largely out of our control and is subject to market and supply volatility and the actions of third parties. Any disruption to the supply chain, including the manufacturing processes and availability of API, would be disruptive to our business and would have a negative impact on our results of operations.</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April 2021, Dr. Reddy’s filed a complaint against us in the United States District Court District of New Jersey (case no. 2:21-cv-10309) alleging various antitrust violations stemming from alleged anticompetitive practices related to the supply of API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that such alleged violations resulted in higher prices to consumers. In addition, in February 2023, March 2024 and June 2024, Hikma, Teva and Apotex, respectively, filed complaints against us in the United States District Court District of New Jersey (case nos. 23-cv-01016, 24-cv-04341 and 24-cv-07041, respectively) making allegations consistent with the Dr. Reddy's complaint. Such litigation can be lengthy, costly and could materially affect and disrupt our business.</w:t>
      </w:r>
    </w:p>
    <w:p>
      <w:pPr>
        <w:spacing w:after="0" w:line="212"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5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U.S. FDA approval, pharmaceutical grade purity and proven efficacy and safety of VASCEPA as having a superior therapeutic profile to omega-3 fatty acid dietary supplements, which are subject to less stringent regulatory oversight.</w:t>
      </w:r>
    </w:p>
    <w:p>
      <w:pPr>
        <w:spacing w:after="0" w:line="7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Also, for over a decade, subject to certain limitations, the U.S. FDA has expressly permitted dietary supplement manufacturers that sell supplements containing the omega-3 fatty acids EPA and/or DHA to make the following qualified health claim directly to consumers: </w:t>
      </w:r>
      <w:r>
        <w:rPr>
          <w:rFonts w:ascii="Times New Roman" w:cs="Times New Roman" w:eastAsia="Times New Roman" w:hAnsi="Times New Roman"/>
          <w:sz w:val="18"/>
          <w:szCs w:val="18"/>
          <w:i w:val="1"/>
          <w:iCs w:val="1"/>
          <w:color w:val="auto"/>
        </w:rPr>
        <w:t>Supportive but not conclusive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shows that consumption of EPA and DHA omega-3 fatty acids may reduce the risk</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of coronary heart disease. </w:t>
      </w:r>
      <w:r>
        <w:rPr>
          <w:rFonts w:ascii="Times New Roman" w:cs="Times New Roman" w:eastAsia="Times New Roman" w:hAnsi="Times New Roman"/>
          <w:sz w:val="18"/>
          <w:szCs w:val="18"/>
          <w:color w:val="auto"/>
        </w:rPr>
        <w:t>Such companies are not, however, permitted, based on U.S. FDA enforcement activity, to make claims that suggest or imply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of cardiovascular disease.</w:t>
      </w:r>
    </w:p>
    <w:p>
      <w:pPr>
        <w:spacing w:after="0" w:line="5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net price of VASCEPA to patients even after insurance reimbursement and offered discounts could be significantly higher than the prices of commercially available omega-3 fatty acids marketed by other companies as dietary supplements (through the lack of coverage by insurers or otherwise). Physicians and pharmacists may recommend these dietary supplement alternatives instead of writing or filling prescriptions for VASCEPA or patients may elect on their own to take commercially available omega-3 fatty acids. Also, insurance plans may increasingly impose policies that directly or indirectly favor supplement use over VASCEPA. VASCEPA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VASCEPA or VASCEPA’s market acceptance may be less than expected, which would have a negative impact on our revenues and results of operations.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With respect to sales and marketing activities, advertising and promotional materials must comply with U.S. FDA rules in addition to other applicable federal and local laws in the United States and in other countries. The result of our litigation and settlement with the U.S. FDA, as discussed above,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 Drug manufacturers and other entities involved in the manufacture and distribution of approved drugs are also subject to periodic unannounced inspections by the U.S.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U.S. FDA of counterfeit, diverted, stolen and intentionally adulterated products or other products that are otherwise unfit for distribution in the United States. In addition, under the Food and Drug Omnibus Reform Act of 2022, or FDORA, sponsors of approved drugs and biologics must provide six months’ notice to the U.S. FDA of any changes in marketing status, such as the withdrawal of a drug, and failure to do so could result in the U.S. FDA placing the product on a list of discontinued products, which would revoke the product’s ability to be marketed.</w:t>
      </w:r>
    </w:p>
    <w:p>
      <w:pPr>
        <w:spacing w:after="0" w:line="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over whom we have limited or no control.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8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 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50" w:name="page51"/>
    <w:bookmarkEnd w:id="50"/>
    <w:p>
      <w:pPr>
        <w:jc w:val="both"/>
        <w:ind w:right="5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 For example, the Inflation Reduction Act, or IRA, recently was enacted in the United States in an effort to manage certain drug prices, which includes provisions such as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PBMs can charge. This could have an adverse impact on our future revenues. Refer to “</w:t>
      </w:r>
      <w:r>
        <w:rPr>
          <w:rFonts w:ascii="Times New Roman" w:cs="Times New Roman" w:eastAsia="Times New Roman" w:hAnsi="Times New Roman"/>
          <w:sz w:val="18"/>
          <w:szCs w:val="18"/>
          <w:i w:val="1"/>
          <w:iCs w:val="1"/>
          <w:color w:val="auto"/>
        </w:rPr>
        <w:t>Item 1. Business - Government Regulation – Pharmaceutical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Pricing and Reimbursement</w:t>
      </w:r>
      <w:r>
        <w:rPr>
          <w:rFonts w:ascii="Times New Roman" w:cs="Times New Roman" w:eastAsia="Times New Roman" w:hAnsi="Times New Roman"/>
          <w:sz w:val="18"/>
          <w:szCs w:val="18"/>
          <w:color w:val="auto"/>
        </w:rPr>
        <w:t>" in our Annual Report on Form 10-K for the fiscal year ended December 31, 2023 for further details.</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the Affordable Care Act, or ACA, and by other healthcare reforms that may be enacted or adopted in the future. In addition, increasing emphasis on managed care in the United States will continue to put pressure on the pricing of pharmaceutical products.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84" w:lineRule="exact"/>
        <w:rPr>
          <w:sz w:val="20"/>
          <w:szCs w:val="20"/>
          <w:color w:val="auto"/>
        </w:rPr>
      </w:pPr>
    </w:p>
    <w:p>
      <w:pPr>
        <w:ind w:right="160" w:firstLine="509"/>
        <w:spacing w:after="0" w:line="293" w:lineRule="auto"/>
        <w:rPr>
          <w:sz w:val="20"/>
          <w:szCs w:val="20"/>
          <w:color w:val="auto"/>
        </w:rPr>
      </w:pPr>
      <w:r>
        <w:rPr>
          <w:rFonts w:ascii="Times New Roman" w:cs="Times New Roman" w:eastAsia="Times New Roman" w:hAnsi="Times New Roman"/>
          <w:sz w:val="17"/>
          <w:szCs w:val="17"/>
          <w:color w:val="auto"/>
        </w:rPr>
        <w:t>These and similar regulatory dynamics, including the entry of generic versions of icosapent ethyl into the market, and the potential for additional generic versions in the near term, can affect our ability to commercialize VASCEPA on commercially reasonable terms and limit the commercial value of</w:t>
      </w:r>
    </w:p>
    <w:p>
      <w:pPr>
        <w:spacing w:after="0"/>
        <w:rPr>
          <w:sz w:val="20"/>
          <w:szCs w:val="20"/>
          <w:color w:val="auto"/>
        </w:rPr>
      </w:pPr>
      <w:r>
        <w:rPr>
          <w:rFonts w:ascii="Times New Roman" w:cs="Times New Roman" w:eastAsia="Times New Roman" w:hAnsi="Times New Roman"/>
          <w:sz w:val="18"/>
          <w:szCs w:val="18"/>
          <w:color w:val="auto"/>
        </w:rPr>
        <w:t>VASCEPA.</w:t>
      </w:r>
    </w:p>
    <w:p>
      <w:pPr>
        <w:spacing w:after="0" w:line="230"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For the quarter ending September 30, 2024, we participated in the Medicaid Drug Rebate program and the 340B drug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commercial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ACA, made significant changes to the Medicaid Drug Rebate program. CMS issued a final regulation, which became effective in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1" w:name="page52"/>
    <w:bookmarkEnd w:id="51"/>
    <w:p>
      <w:pPr>
        <w:ind w:right="520"/>
        <w:spacing w:after="0" w:line="282" w:lineRule="auto"/>
        <w:rPr>
          <w:sz w:val="20"/>
          <w:szCs w:val="20"/>
          <w:color w:val="auto"/>
        </w:rPr>
      </w:pPr>
      <w:r>
        <w:rPr>
          <w:rFonts w:ascii="Times New Roman" w:cs="Times New Roman" w:eastAsia="Times New Roman" w:hAnsi="Times New Roman"/>
          <w:sz w:val="18"/>
          <w:szCs w:val="18"/>
          <w:color w:val="auto"/>
        </w:rPr>
        <w:t>rebate amount under the ACA, other legislation, or in regulation could affect our 340B ceiling price calculations and negatively impact our results of operations.</w:t>
      </w:r>
    </w:p>
    <w:p>
      <w:pPr>
        <w:spacing w:after="0" w:line="5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D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withdrawn from the Medicaid and 340B programs effective as of October 1, 2024.</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also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 consuming, and could have a material adverse effect on our business, financial condition, results of operations and growth prospects.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changes could have a material adverse effect on our business and financial condition.</w:t>
      </w:r>
    </w:p>
    <w:p>
      <w:pPr>
        <w:spacing w:after="0" w:line="9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the conditions for such coverage. For example, a large national PBM notified the Company that, effective July 1, 2024, the PBM will no longer cover VASCEPA as the exclusive icosapent ethyl product for its commercial national formularies and will be transitioning VASCEPA to not covered status. While this decision did not impact VASCEPA coverage within Medicare Part D formularies of the PBM, the PBM's decision not to cover VASCEPA as the exclusive icosapent ethyl product for its commercial formularies limited our ability to market and sell VASCEPA.</w:t>
      </w:r>
    </w:p>
    <w:p>
      <w:pPr>
        <w:spacing w:after="0" w:line="7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Third-party payors also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uses, or drug classes.</w:t>
      </w:r>
    </w:p>
    <w:p>
      <w:pPr>
        <w:spacing w:after="0" w:line="68"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In addition, certain U.S.-based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 which may not be favorable to us.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as well as the availability of generic versions of icosapent ethyl. In addition, we may confront limitations in, or exclusions from, insurance coverage for our products, particularly as generic competition intensifies.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Refer to “</w:t>
      </w:r>
      <w:r>
        <w:rPr>
          <w:rFonts w:ascii="Times New Roman" w:cs="Times New Roman" w:eastAsia="Times New Roman" w:hAnsi="Times New Roman"/>
          <w:sz w:val="18"/>
          <w:szCs w:val="18"/>
          <w:i w:val="1"/>
          <w:iCs w:val="1"/>
          <w:color w:val="auto"/>
        </w:rPr>
        <w:t>Item 1. Business - Current and Future Legislation"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 United States Healthcare Reform and Legislation</w:t>
      </w:r>
      <w:r>
        <w:rPr>
          <w:rFonts w:ascii="Times New Roman" w:cs="Times New Roman" w:eastAsia="Times New Roman" w:hAnsi="Times New Roman"/>
          <w:sz w:val="18"/>
          <w:szCs w:val="18"/>
          <w:color w:val="auto"/>
        </w:rPr>
        <w:t>" in our Annual Report on Form 10-K for the fiscal year ended December 31, 2023 for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details.</w:t>
      </w:r>
    </w:p>
    <w:p>
      <w:pPr>
        <w:spacing w:after="0" w:line="8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6"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operating results and business.</w:t>
      </w:r>
    </w:p>
    <w:p>
      <w:pPr>
        <w:spacing w:after="0" w:line="215" w:lineRule="exact"/>
        <w:rPr>
          <w:sz w:val="20"/>
          <w:szCs w:val="20"/>
          <w:color w:val="auto"/>
        </w:rPr>
      </w:pPr>
    </w:p>
    <w:p>
      <w:pPr>
        <w:ind w:left="520" w:right="60"/>
        <w:spacing w:after="0" w:line="3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European data collection is governed by restrictive regulations governing the use, processing and cross-border transfer of personal information. </w:t>
      </w:r>
      <w:r>
        <w:rPr>
          <w:rFonts w:ascii="Times New Roman" w:cs="Times New Roman" w:eastAsia="Times New Roman" w:hAnsi="Times New Roman"/>
          <w:sz w:val="17"/>
          <w:szCs w:val="17"/>
          <w:color w:val="auto"/>
        </w:rPr>
        <w:t>We are subject to European data protection regulations, where we collect and use personal data relating to Europe, including in relation to our</w:t>
      </w:r>
    </w:p>
    <w:p>
      <w:pPr>
        <w:spacing w:after="0" w:line="251" w:lineRule="auto"/>
        <w:rPr>
          <w:sz w:val="20"/>
          <w:szCs w:val="20"/>
          <w:color w:val="auto"/>
        </w:rPr>
      </w:pPr>
      <w:r>
        <w:rPr>
          <w:rFonts w:ascii="Times New Roman" w:cs="Times New Roman" w:eastAsia="Times New Roman" w:hAnsi="Times New Roman"/>
          <w:sz w:val="18"/>
          <w:szCs w:val="18"/>
          <w:color w:val="auto"/>
        </w:rPr>
        <w:t>personnel in the European Economic Area, or the EEA, or in the United Kingdom, or the UK. This regulatory regime includes the European Union General Data Protection Regulation, or the EU GDPR, and the UK equivalent of the same, or the UK GDPR (collectively referred to as the GDPR in this Quarterly Report on Form 10-Q), as well as other national data protection legislation in force in relevant EU and EEA member states and the UK (including the UK Data Protection Act 2018 in the UK), which govern the collection, use, storage, disclosure, transfer, or other processing of personal data (including health data processed in the context of clinical trials): (i) regarding individuals in the EU, EEA and UK; and/or (ii) carried out in the context of the activities of our establishment in any EU and EEA member state or the UK. Currently, the EU GDPR and UK GDPR remain largely aligned. The GDPR imposes several requirements on companies that process personal data, including requirements relating to the processing of health and other sensitive data, legal basis for processing personal data which may include obtaining the consent of the individuals to whom the personal data relates, providing detailed information to individuals about how their personal data is used, notification of personal data breaches to data protection authorities and individuals, and implementing safeguards to protect the security and confidentiality of the personal data. The GDPR also imposes strict rules on the transfer of personal data out of the EEA and UK to third-party countries, including the United States in certain circumstances, unless a derogation exists or a valid GDPR transfer mechanism (e.g., the European Commission approved Standard Contractual Clauses, or SCCs, and the UK International Data Transfer Agreement/Addendum, or UK IDTA) have been put in place. Where relying on the SCCs /UK IDTA for data transfers, we may also be required to carry out transfer impact assessments to assess whether the recipient is subject to local laws which allow public authority access to personal data. Any inability to transfer personal data from the EEA and UK to the United States in compliance with data protection laws may impede our business operations and may adversely affect our business and financial position.</w:t>
      </w:r>
    </w:p>
    <w:p>
      <w:pPr>
        <w:spacing w:after="0" w:line="8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UK government has introduced a Data Protection and Digital Information Bill, or Data Reform Bill, into the UK legislative process to reform the UK’s data protection regime, and if passed, the final version of the Data Reform Bill may have the effect of further altering the similarities between the UK and EEA data protection regimes and threaten the UK international transfers adequacy decision from the European Commission, which may lead to additional compliance costs for us and could increase our overall risk. It is unclear how UK data protection laws and regulations will develop in the medium to longer term, and how data transfers to and from the UK will be regulated in the long term.</w:t>
      </w:r>
    </w:p>
    <w:p>
      <w:pPr>
        <w:spacing w:after="0" w:line="75"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Failure to comply with the requirements of the GDPR and related national data protection laws of the EEA Member States or the UK may result in substantial fines of up to €20 million or 4% of a company’s global annual revenues for the preceding financial year, whichever is higher. Moreover, the GDPR grants data subjects and consumer associations the right to claim material and non-material damages resulting from infringement of the GDPR. The GDPR imposes additional responsibility and liability in relation to personal data that we process, where such processing is subject to the GDPR and we may be required to put in place additional mechanisms ensuring compliance with these and/or new data protection rules. This may be costly, onerous and adversely affect our business, financial condition, prospects and results of operations. Although the EU GDPR and the UK GDPR currently impose substantially similar obligations, it is possible that over time the UK GDPR could become less aligned with the EU GDPR. In addition, EEA Member States have adopted national laws to supplement the EU GDPR, which may partially deviate from the EU GDPR, and the competent authorities in the EEA Member States may interpret EU GDPR obligations slightly differently from country to country, such that we do not expect to operate in a uniform legal landscape in the EEA and UK with respect to data protection regulations. The potential of the respective provisions and enforcement of the EU GDPR and UK GDPR further diverging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data and our privacy and data security compliance programs could require us to amend our processes and procedures to implement different compliance measures for the UK and the EEA.</w:t>
      </w:r>
    </w:p>
    <w:p>
      <w:pPr>
        <w:spacing w:after="0" w:line="22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U.S. FDA, other regulatory agencies and industry organizations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U.S. FDA and other regulatory agencies strictly regulate the promotional claims that may be made about prescription products.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the REDUCE-IT indication, and our settlement with the U.S. FDA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The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210"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84"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related to patient data privacy;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other social or government protocols affecting our clinical trial sites.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55" w:name="page56"/>
    <w:bookmarkEnd w:id="55"/>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U.S. FDA’s review of REDUCE-IT data and the supplemental New Drug Application, or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low-density lipoprotein, or LDL cholesterol values on the time to the primary endpoint was numerically small and unlikely to change the overall conclusion of treatment benefit. The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15"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continue to scale our infrastructure for commercializing VASCEPA based on market dynamics for VASCEPA in the United States and commercial initiatives and plans for VAZKEPA in Europe and other parts of the world, we may encounter difficulties in managing the size and adaptability of our operations successfully.</w:t>
      </w:r>
    </w:p>
    <w:p>
      <w:pPr>
        <w:spacing w:after="0" w:line="6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process of establishing, maintaining, expanding and streamlining a commercial infrastructure is difficult, expensive and time consuming, particularly when such efforts need to adapt to changing market and business dynamics. In 2022, we implemented cost and organizational restructuring plans, which included a reduction to our U.S. commercial team to approximately 75 sales representatives by the end of 2022, and in July 2023, all remaining sales force positions in the U.S. were eliminated and our overall headcount was reduced by 30% as part of our ORP. As a result, we do not have a sales team to promote VASCEPA to physicians and other healthcare professionals in the United States, and will rely on only our managed care and trade organization to support sales of VASCEPA in the United States.</w:t>
      </w:r>
    </w:p>
    <w:p>
      <w:pPr>
        <w:spacing w:after="0" w:line="7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addition to the elimination of our sales force in the United States, we continue to work on our own and with our international partners to support regulatory efforts outside the United States based on REDUCE-IT results. If we are successful in obtaining sufficient approvals and adequate pricing and reimbursement levels in major markets in Europe and elsewhere, we will need to ensure that our operations are adequate to support a commercial launch and continued promotion. We redesigned our commercial infrastructure in Europe to better align with pricing and reimbursement status and commercial potential. We will be operating with streamlined teams in Europe and elsewhere outside the United States; however, we will anticipate the need to expand internally and expect that we will need to manage additional relationships with various collaborative partners, suppliers and other third parties as we progress in Europe and elsewhere outside the United States. Future growth and streamlining efforts will impose significant added responsibilities on members of management, including the need to identify, recruit, maintain and integrate the right number of employees. In Europe, we have built out our team subsequent to EC approval of the marketing authorization acceptance in 2021, with plans to continue to expand our European staff as deemed appropriate on a country-by-country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depending on successful life-cycle management efforts.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drug development efforts are subject to the risks and uncertainties inherent in any drug development program. Due to the risks and uncertainties involved in progressing through development and bioequivalence or even potential additional trials (as may be</w:t>
      </w: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spacing w:after="0" w:line="258" w:lineRule="auto"/>
        <w:rPr>
          <w:sz w:val="20"/>
          <w:szCs w:val="20"/>
          <w:color w:val="auto"/>
        </w:rPr>
      </w:pPr>
      <w:r>
        <w:rPr>
          <w:rFonts w:ascii="Times New Roman" w:cs="Times New Roman" w:eastAsia="Times New Roman" w:hAnsi="Times New Roman"/>
          <w:sz w:val="18"/>
          <w:szCs w:val="18"/>
          <w:color w:val="auto"/>
        </w:rPr>
        <w:t>required by specific regulatory agencies), and the time and cost involved in obtaining regulatory approvals, we cannot reasonably estimate the timing, completion dates and costs, or range of costs, of our drug development program, or of the successful development of any particular derivative, combination or next generation product candidate. The potential success of any derivative, combination or next generation product candidate will depend on a number of factors, including the scope of and our success with manufacturing, obtaining regulatory approvals and achieving sufficient (or any) levels of market acceptance if approved.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52"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no in-house manufacturing capacity and rely entirely on contract manufacturers for our clinical and commercial product supply. We cannot provide assurance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or if they insist on burdensome terms, such as excessive minimum supply commitments, we may not be able to obtain adequate quantities of product in a timely manner, at cost efficient levels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Any manufacturing problem, natural or manmade disaster affecting manufacturing facilities, government action, or the loss of a contract manufacturer could potentially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API (drug substance) or encapsulated bulk product (drug product), it would have a material adverse effect on our ability to continue to commercialize VASCEPA.</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We continue to take steps to negotiate our contract supply agreements to align supply arrangements with current and future global market demand.</w:t>
      </w:r>
    </w:p>
    <w:p>
      <w:pPr>
        <w:spacing w:after="0" w:line="7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We require supply capacity to support our direct and indirect commercialization of VASCEPA. We are also committed to providing supply to our commercial partners and distributors in Australia and New Zealand, Canada, China, the Middle East and North Africa, South Korea and Southeast Asia, Greece and Israel,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of commercial launch, including in China and various European countries. Our aggregate capacity to produce API is dependent upon the continued qualification of our API suppliers and, depending on the ability of existing suppliers to meet our supply demands, the ability to qualify any new suppliers. If no additional API supplier is approved by the U.S. FDA as part of an sNDA, our API supply will be limited to the API we purchase from previously approved suppliers. For example, the EMA has not yet approved use of each of our suppliers used for VASCEPA in the United States for supply of VAZKEPA in the EU.</w:t>
      </w:r>
    </w:p>
    <w:p>
      <w:pPr>
        <w:spacing w:after="0" w:line="86"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Further, 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If our third-party manufacturing capacity is not appropriately qualified and/or compliant with applicable regulatory requirements, we may not be able to supply sufficient quantities of VASCEPA to meet anticipated demand.</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cannot guarantee that we can contract with any future manufacturer on acceptable terms or that any such alternative supplier will not require capital investment from us in order for them to meet our requirements. Alternatively, our purchase of supply, or any minimum purchase requirements, may exceed actual demand for VASCEPA.</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we may be required to purchase more supply than needed to meet actual demand.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our minimum purchase commitments exceed our supply needs for VASCEPA, we may have to renegotiate with partners in our supply chain who may not be incentivized to renegotiate terms that are favorable to us, or at all. If we are unable to secure adequate levels of supply to meet demand, our financial condition could be negatively and materially impacted.</w:t>
      </w:r>
    </w:p>
    <w:p>
      <w:pPr>
        <w:spacing w:after="0" w:line="199"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mail order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required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PBMs may implement plans that act as disincentives for VASCEPA use, such as increasingly higher deductibles. One practical impact of higher deductibles is that they may cause patients to delay filling prescriptions for asymptomatic, chronic care medications such as hypertriglyceridemia, for which VASCEPA may be prescribed, earlier in the year, until patients meet their deductible and the cost of VASCEPA is then borne more by their insurance carrier. PBMs also have discretion to no longer cover the Company's products. For example, a large national PBM recently notified the Company that effective July 1, 2024, the PBM intends to no longer cover VASCEPA as the exclusive icosapent ethyl product for its commercial national formularies, as further discussed above. Collectively, these dynamics adversely affect our profitability for the sale of VASCEPA and could increase over time further impacting our operating results. Consolidation among these industry participants could increase the pressure on us from these market dynamics.</w:t>
      </w:r>
    </w:p>
    <w:p>
      <w:pPr>
        <w:spacing w:after="0" w:line="219"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86"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If any third-party manufacturer with whom we contract fails to perform its obligations, we may be forced to manufacture the materials ourselves, for which we may not have the capabilities or resources, or enter into an agreement with a different third-party manufacturer,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a third-party manufacturer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U.S. FDA or another regulatory authority.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products or product candidates. In addition, in the case of the third-party manufacturers that supply our product candidates, changes in manufacturers often involve changes in manufacturing procedures and processes, which could require that we conduct bridging studies between our prior clinical supply used in our clinical trials and that of</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8" w:name="page59"/>
    <w:bookmarkEnd w:id="58"/>
    <w:p>
      <w:pPr>
        <w:ind w:right="460"/>
        <w:spacing w:after="0" w:line="282" w:lineRule="auto"/>
        <w:rPr>
          <w:sz w:val="20"/>
          <w:szCs w:val="20"/>
          <w:color w:val="auto"/>
        </w:rPr>
      </w:pPr>
      <w:r>
        <w:rPr>
          <w:rFonts w:ascii="Times New Roman" w:cs="Times New Roman" w:eastAsia="Times New Roman" w:hAnsi="Times New Roman"/>
          <w:sz w:val="18"/>
          <w:szCs w:val="18"/>
          <w:color w:val="auto"/>
        </w:rPr>
        <w:t>any new manufacturer. We may be unsuccessful in demonstrating the comparability of clinical supplies which could require the conduct of additional clinical trials.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comparable foreign requirements under ICH guidelines.</w:t>
      </w:r>
    </w:p>
    <w:p>
      <w:pPr>
        <w:spacing w:after="0" w:line="11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w:t>
      </w:r>
    </w:p>
    <w:p>
      <w:pPr>
        <w:spacing w:after="0" w:line="75"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 Furthermore, reductions in government operations due to pandemic mitigation efforts, or other factors, may delay timely regulatory review by U.S. FDA or similar foreign regulatory bodies.</w:t>
      </w:r>
    </w:p>
    <w:p>
      <w:pPr>
        <w:spacing w:after="0" w:line="206"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72" w:lineRule="exact"/>
        <w:rPr>
          <w:sz w:val="20"/>
          <w:szCs w:val="20"/>
          <w:color w:val="auto"/>
        </w:rPr>
      </w:pPr>
    </w:p>
    <w:p>
      <w:pPr>
        <w:jc w:val="both"/>
        <w:ind w:right="180" w:firstLine="509"/>
        <w:spacing w:after="0" w:line="289" w:lineRule="auto"/>
        <w:rPr>
          <w:sz w:val="20"/>
          <w:szCs w:val="20"/>
          <w:color w:val="auto"/>
        </w:rPr>
      </w:pPr>
      <w:r>
        <w:rPr>
          <w:rFonts w:ascii="Times New Roman" w:cs="Times New Roman" w:eastAsia="Times New Roman" w:hAnsi="Times New Roman"/>
          <w:sz w:val="17"/>
          <w:szCs w:val="17"/>
          <w:color w:val="auto"/>
        </w:rPr>
        <w:t>We have expanded our VASCEPA commercialization activities outside of the United States through several contractual arrangements in territories including China, the Middle East, North Africa, Canada and, more recently, Australia, New Zealand, South Korea and Southeast Asia, Israel and Greece. We continue to assess other opportunities to develop VASCEPA commercialization outside of the United States through similar arrangements.</w:t>
      </w:r>
    </w:p>
    <w:p>
      <w:pPr>
        <w:spacing w:after="0" w:line="5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Edding is responsible for development and commercialization activities in the China Territory and associated expenses under our development, commercialization and supply agreement with them. Additionally, Edding is required to conduct clinical trials in the China Territory to secure regulatory approval in certain territories. Edding has successfully undertaken clinical trials and approval initiatives under our arrangement with them, including the announcement of statistically significant positive topline results from Edding’s Phase 3 clinical trial of VASCEPA and has obtained approval for VASCEPA in Hong Kong under the REDUCE-IT indication and in Mainland China under the MARINE indication. In June 2024, Edding received approval for the REDUCE-IT indication in Mainland China. However, Edding may face challenges or be unsuccessful in commercial launch. Further, any development and regulatory efforts in the China Territory may be negatively impacted by the lingering effects of the coronavirus pandemic. Any development and regulatory efforts in the China Territory may be negatively impacted by heightened political tension between China and the United States, including issues expressed between the countries regarding trade practices, tariffs and honoring intellectual property rights. If Edding is not able to effectively commercialize VASCEPA in the China Territory, we may not be able to generate revenue from our agreement with Edding resulting from the sale of VASCEPA in the China Territory.</w:t>
      </w:r>
    </w:p>
    <w:p>
      <w:pPr>
        <w:spacing w:after="0" w:line="8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party to arrangements with Biologix FZCo, or Biologix, to register and commercialize VASCEPA in several Middle Eastern and North African countries, with HLS Therapeutics Inc., or HLS, to register, commercialize and distribute VASCEPA in Canada, with CSL Seqirus, or CSL, to secure pricing and reimbursement, commercialize and distribute VASCEPA in Australia and New Zealand, Lotus Pharmaceuticals, or Lotus, to register, commercialize and distribute VASCEPA in several countries in Southeast Asia and Neopharm (Israel) 1996 Ltd., or Neopharm, to distribute VASCEPA in Israel. Although Biologix is currently actively commercializing VASCEPA in the United Arab Emirates, Lebanon, Kuwait and Saudi Arabia, and HLS is currently commercializing VASCEPA in Canada, we are completely reliant on these third parties to successfully commercialize the product in those markets, which markets can be complex and challenging.</w:t>
      </w:r>
    </w:p>
    <w:p>
      <w:pPr>
        <w:spacing w:after="0" w:line="8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If Edding, Biologix, HLS, CSL, Lotus, Neopharm or Vianex, or other third parties who we rely on for development and commercialization of VASCEPA, do not successfully carry out their contractual obligations or meet expected deadlines, our recourse and remedies against these parties is limited.</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efforts to launch and support commercialization of VAZKEPA on our own in Europe is a complex undertaking for a company that, other than the launch of VAZKEPA in certain countries in the last two years, has not launched or otherwise commercialized a product in Europe and could be subject to significant risks of execution to our successful development and revenue generation of VAZKEPA in Europe.</w:t>
      </w:r>
    </w:p>
    <w:p>
      <w:pPr>
        <w:spacing w:after="0" w:line="68"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ind w:right="220"/>
        <w:spacing w:after="0" w:line="282" w:lineRule="auto"/>
        <w:rPr>
          <w:sz w:val="20"/>
          <w:szCs w:val="20"/>
          <w:color w:val="auto"/>
        </w:rPr>
      </w:pPr>
      <w:r>
        <w:rPr>
          <w:rFonts w:ascii="Times New Roman" w:cs="Times New Roman" w:eastAsia="Times New Roman" w:hAnsi="Times New Roman"/>
          <w:sz w:val="18"/>
          <w:szCs w:val="18"/>
          <w:color w:val="auto"/>
        </w:rPr>
        <w:t>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185"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Refer to “</w:t>
      </w:r>
      <w:r>
        <w:rPr>
          <w:rFonts w:ascii="Times New Roman" w:cs="Times New Roman" w:eastAsia="Times New Roman" w:hAnsi="Times New Roman"/>
          <w:sz w:val="18"/>
          <w:szCs w:val="18"/>
          <w:i w:val="1"/>
          <w:iCs w:val="1"/>
          <w:color w:val="auto"/>
        </w:rPr>
        <w:t>Item 1. Business - Government Regulation - Fraud and Abuse Laws and Data Regulation</w:t>
      </w:r>
      <w:r>
        <w:rPr>
          <w:rFonts w:ascii="Times New Roman" w:cs="Times New Roman" w:eastAsia="Times New Roman" w:hAnsi="Times New Roman"/>
          <w:sz w:val="18"/>
          <w:szCs w:val="18"/>
          <w:color w:val="auto"/>
        </w:rPr>
        <w:t>" in our Annual Report on Form 10-K for the fiscal year ended December 31, 2023 for further details.</w:t>
      </w:r>
    </w:p>
    <w:p>
      <w:pPr>
        <w:spacing w:after="0" w:line="8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United States.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including the Investigations referenced above.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U.S., to help patients afford our approved product, we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7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85" w:lineRule="exact"/>
        <w:rPr>
          <w:sz w:val="20"/>
          <w:szCs w:val="20"/>
          <w:color w:val="auto"/>
        </w:rPr>
      </w:pPr>
    </w:p>
    <w:p>
      <w:pPr>
        <w:ind w:right="40" w:firstLine="50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84"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addition, investigator initiated trials, or IITs, which are scientific research that is initiated, sponsored, and conducted by an independent investigator(s) and/or institution(s) not affiliated with us, are being, and additional IITs, may be conducted involving potential product candidates. The investigator, sponsor, and/or investigator/sponsor remains responsible for conception, design, data analysis, publication, and compliance with applicable law. Investigator initiated trials can contribute towards enhancing the understanding of products (such as mechanism of action) and sparking new ideas for further research; however, IITs are generally not supported by pharmaceutical companies for the purposes of generating data that can lead to product labelling changes. Even if an IIT has positive results, additional studies, along with regulatory agency guidance and approval, would be required to advance a pharmaceutical product to the next stage of development and new potential labelling changes or indications. If we are unable to confirm or replicate the results from an IIT or if negative results are obtained, we would likely be further delayed or prevented from advancing further clinical development. Further, if the data proves to be inadequate compared to the firsthand knowledge we might have gained had the IIT been sponsored and conducted by us, then our ability to design and conduct any future clinical trials ourselves may be adversely affected. Negative results in IITs could have a material adverse effect on our efforts to obtain regulatory approval for such product candidates and the public perception of such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jc w:val="both"/>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obligations of our employees, agents, business partners and third parties to protect the commercial value and potential of VASCEPA. Enforcing our patent rights is challenging and costly and, even if we are able to successfully enforce our patent rights, our issued patents may not prevent competitors from competing with VASCEPA.</w:t>
      </w:r>
    </w:p>
    <w:p>
      <w:pPr>
        <w:spacing w:after="0" w:line="6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Refer to “</w:t>
      </w:r>
      <w:r>
        <w:rPr>
          <w:rFonts w:ascii="Times New Roman" w:cs="Times New Roman" w:eastAsia="Times New Roman" w:hAnsi="Times New Roman"/>
          <w:sz w:val="18"/>
          <w:szCs w:val="18"/>
          <w:i w:val="1"/>
          <w:iCs w:val="1"/>
          <w:color w:val="auto"/>
        </w:rPr>
        <w:t>Item 1. Business - Patents, Proprietary Technology, Trade Secrets"</w:t>
      </w:r>
      <w:r>
        <w:rPr>
          <w:rFonts w:ascii="Times New Roman" w:cs="Times New Roman" w:eastAsia="Times New Roman" w:hAnsi="Times New Roman"/>
          <w:sz w:val="18"/>
          <w:szCs w:val="18"/>
          <w:color w:val="auto"/>
        </w:rPr>
        <w:t xml:space="preserve"> in our Annual Report on Form 10-K for the fiscal year ended December 31, 2023 for further details.</w:t>
      </w:r>
    </w:p>
    <w:p>
      <w:pPr>
        <w:spacing w:after="0" w:line="68"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plan to vigorously defend our rights under issued patents, however such defense activities can be costly to pursue and may not have the desired results.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CV risk. On January 4, 2022, the district court for the District of Delaware granted a motion to dismiss our lawsuit for failure to state a claim. Thereafter, we appealed the district court dismissal to the Court of Appeals for the Federal Circuit. On June 25, 2024, the Federal Circuit issued a decision reversing the district court's ruling, finding that our allegations against Hikma plausibly state a claim alleging Hikma actively induced infringement of the asserted patents. Hikma filed a petition for rehearing en banc on August 22, 2024. which was denied on October 17, 2024. The case was remanded to the district court and will proceed accordingly, but we cannot predict the outcome or the impact on its business. We entered into a settlement agreement with Health Net, LLC on December 26, 2022. The Company intends to continue to vigorously enforce its intellectual property rights relating to VASCEPA, but cannot predict the outcome of these lawsuits or any subsequently filed lawsuits.</w:t>
      </w:r>
    </w:p>
    <w:p>
      <w:pPr>
        <w:spacing w:after="0" w:line="86"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Patent litigation is a time-consuming and costly process. There can be no assurance that we will be successful in enforcing any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icosapent ethyl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99" w:lineRule="exact"/>
        <w:rPr>
          <w:sz w:val="20"/>
          <w:szCs w:val="20"/>
          <w:color w:val="auto"/>
        </w:rPr>
      </w:pPr>
    </w:p>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filed and are prosecuting numerous families of patent applications in the United States and internationally with claims designed to protect the proprietary position of VASCEPA/VAZKEPA.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However, our pending patent applications may not be granted or, if they are granted, there is no certainty that they will prevent competitors from competing with VASCEPA.</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11"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January 2024, we reiterated our belief that current cash and investments and other assets are adequate to support continued operations. This and similar statements are based on estimates, assumptions and the judgment of management at such time. Because of the inherent nature of estimates, including during the uncertainty of our European launch and the impact from U.S. generic competition, we have suspended providing net revenue guidance, as there could be significant differences between our estimates and the actual amount of product demand. If we fail to realize or if we change or update any element of our publicly disclosed financial guidance as we have done in the past or other expectations about our business and initiative change, our stock price could decline in value.</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 particularly in light of recent senior management changes.</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expand our commercialization efforts globally we may experience continued or increased turnover among members of our senior management team. We may have difficulty identifying, attracting and integrating new executives to replace any such losses. As we pursue commercialization efforts in Europe, we need to rapidly hire employees and ensure that they are well trained and working cohesively with core values which are consistent with our existing operations and which, we believe, help improve our position for success. In the United States, where we have recently eliminated all sales force positions, employees are increasingly being recruited by other companies. The current and potential threat of</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line="261" w:lineRule="auto"/>
        <w:rPr>
          <w:sz w:val="20"/>
          <w:szCs w:val="20"/>
          <w:color w:val="auto"/>
        </w:rPr>
      </w:pPr>
      <w:r>
        <w:rPr>
          <w:rFonts w:ascii="Times New Roman" w:cs="Times New Roman" w:eastAsia="Times New Roman" w:hAnsi="Times New Roman"/>
          <w:sz w:val="18"/>
          <w:szCs w:val="18"/>
          <w:color w:val="auto"/>
        </w:rPr>
        <w:t>generic competition and our recent reductions in force, including as part of our ORP announced in July 2023, can create employee uncertainty which could lead to increased employee turnover. There is intense competition for qualified personnel in the areas of our activities. In this environment, we may not be able to attract or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66" w:lineRule="exact"/>
        <w:rPr>
          <w:sz w:val="20"/>
          <w:szCs w:val="20"/>
          <w:color w:val="auto"/>
        </w:rPr>
      </w:pPr>
    </w:p>
    <w:p>
      <w:pPr>
        <w:ind w:right="40" w:firstLine="509"/>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-223520</wp:posOffset>
            </wp:positionV>
            <wp:extent cx="64135"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30" w:lineRule="exact"/>
        <w:rPr>
          <w:sz w:val="20"/>
          <w:szCs w:val="20"/>
          <w:color w:val="auto"/>
        </w:rPr>
      </w:pPr>
    </w:p>
    <w:p>
      <w:pPr>
        <w:ind w:firstLine="509"/>
        <w:spacing w:after="0" w:line="226"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a more material breach could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88"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7"/>
          <w:szCs w:val="17"/>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and/or tax laws could have a negative effect on our future profitability.</w:t>
      </w:r>
    </w:p>
    <w:p>
      <w:pPr>
        <w:spacing w:after="0" w:line="121" w:lineRule="exact"/>
        <w:rPr>
          <w:sz w:val="20"/>
          <w:szCs w:val="20"/>
          <w:color w:val="auto"/>
        </w:rPr>
      </w:pPr>
    </w:p>
    <w:p>
      <w:pPr>
        <w:jc w:val="both"/>
        <w:ind w:right="60" w:firstLine="509"/>
        <w:spacing w:after="0" w:line="255" w:lineRule="auto"/>
        <w:rPr>
          <w:sz w:val="20"/>
          <w:szCs w:val="20"/>
          <w:color w:val="auto"/>
        </w:rPr>
      </w:pPr>
      <w:r>
        <w:rPr>
          <w:rFonts w:ascii="Times New Roman" w:cs="Times New Roman" w:eastAsia="Times New Roman" w:hAnsi="Times New Roman"/>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3" w:name="page64"/>
    <w:bookmarkEnd w:id="63"/>
    <w:p>
      <w:pPr>
        <w:ind w:right="400"/>
        <w:spacing w:after="0" w:line="261" w:lineRule="auto"/>
        <w:rPr>
          <w:sz w:val="20"/>
          <w:szCs w:val="20"/>
          <w:color w:val="auto"/>
        </w:rPr>
      </w:pPr>
      <w:r>
        <w:rPr>
          <w:rFonts w:ascii="Times New Roman" w:cs="Times New Roman" w:eastAsia="Times New Roman" w:hAnsi="Times New Roman"/>
          <w:sz w:val="18"/>
          <w:szCs w:val="18"/>
          <w:color w:val="auto"/>
        </w:rPr>
        <w:t>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have at all times sought to conduct our affairs in such a way so as to be solely resident in Ireland for tax purposes by virtue of having our place of effective management situated in Ireland.</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These rules regarding determination of tax residence changed effective January 1, 2020, when a modified Ireland-UK DTA came into effect pursuant to the Organisation for Economic Co-operation and Development's, or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cannot assure you, however,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and our subsidiaries’ income tax returns are periodically examined by various tax authorities, including the Internal Revenue Service, or the IRS, and state tax authorities.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U.S. gross product sales. Customers A, B, and C accounted for 29%, 34%, and 28%, respectively, of gross product sales for the nine months ended September 30, 2024, and represented 41%, 30%, and 17%, respectively, of the gross accounts receivable balance as of September 30, 2024. Customers A, B, and C accounted for 30%, 36%, and 29%, respectively, of gross product sales for the nine months ended September 30, 2023, and represented 37%, 37%, and 22%, respectively, of the gross accounts receivable balance as of September 30, 2023.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not yet reached sustained profitability. For the fiscal years ended December 31, 2023 and 2022, we reported net losses of approximately $59.1 million and $105.8 million, respectively. For the fiscal year ended December 31, 2021, we reported net income of approximately $7.7 million. We had an accumulated deficit as of December 31, 2023 of $1.6 billion. For the nine months ended September 30, 2024 and 2023, we reported losses of approximately $33.6 million and $53.3 million, respectively, and we had an accumulated deficit as of September 30, 2024 of $1.6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commercialization and research and development,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never generate sufficient revenue to achieve a steady state of profitability.</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Even though VASCEPA has been approved by the U.S. FDA for marketing in the United States for two important indications, received marketing authorization in Europe and is approved in smaller jurisdictions, it may not gain enough market acceptance to support consistent profitability. We anticipate continuing to incur significant costs associated with expanding the commercialization of VASCEPA. We may not achieve profitability on a sustained basis in the near term due to high costs associated with, for example, our commercialization efforts in the United States and Europe. If we are unable to consistently generate robust product revenues, we will not become profitable on a sustained basis in the near term, if ever, and may be unable to continue operations without continued funding.</w:t>
      </w:r>
    </w:p>
    <w:p>
      <w:pPr>
        <w:spacing w:after="0" w:line="210"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We believe that our quarterly and annual results of operations may be affected by a variety of factors, including those risks and uncertainties described in this Part II, Item 1A and the following:</w:t>
      </w:r>
    </w:p>
    <w:p>
      <w:pPr>
        <w:spacing w:after="0" w:line="72"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and future potential launches of additional generic versions of icosapent ethyl;</w:t>
      </w:r>
    </w:p>
    <w:p>
      <w:pPr>
        <w:spacing w:after="0" w:line="117" w:lineRule="exact"/>
        <w:rPr>
          <w:rFonts w:ascii="Times New Roman" w:cs="Times New Roman" w:eastAsia="Times New Roman" w:hAnsi="Times New Roman"/>
          <w:sz w:val="18"/>
          <w:szCs w:val="18"/>
          <w:color w:val="auto"/>
        </w:rPr>
      </w:pPr>
    </w:p>
    <w:p>
      <w:pPr>
        <w:jc w:val="both"/>
        <w:ind w:left="900" w:right="28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efforts outside the United States to develop, register and commercialize VASCEPA in Europe, the China Territory, several Middle Eastern and North African countries, and Canada, including obtaining necessary regulatory approvals, favorable pricing and establishing marketing channels;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117" w:lineRule="exact"/>
        <w:rPr>
          <w:rFonts w:ascii="Times New Roman" w:cs="Times New Roman" w:eastAsia="Times New Roman" w:hAnsi="Times New Roman"/>
          <w:sz w:val="18"/>
          <w:szCs w:val="18"/>
          <w:color w:val="auto"/>
        </w:rPr>
      </w:pPr>
    </w:p>
    <w:p>
      <w:pPr>
        <w:jc w:val="both"/>
        <w:ind w:left="900" w:right="34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VASCEPA is available from government and health administration authorities, private health insurers, managed care programs and other third-party payors and the timing and extent to which such coverage and reimbursement changes;</w:t>
      </w:r>
    </w:p>
    <w:p>
      <w:pPr>
        <w:spacing w:after="0" w:line="6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our cost and reorganization efforts, including our ORP announced in July 2023, and the resulting effectiveness of those efforts;</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our or our partners’ commercial or development activities, including as a result of political instability, civil unrest, terrorism, pandemics or other natural disasters, such as the coronavirus pandemic;</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regulatory dialogue.</w:t>
      </w:r>
    </w:p>
    <w:p>
      <w:pPr>
        <w:spacing w:after="0" w:line="248"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$156.9 million and short-term investment balance of $148.8 million as of September 30, 2024, aggregating $305.7 million, will be sufficient to fund our projected operations for at least 12 months from the issuance date of our unaudited condensed consolidated financial statements included elsewhere in this Quarterly Report.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and VASCEPA promotional and educational activities, including launch activities in Europe on our operations and those of our customers and any current or potential generic competition.</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5540" w:right="3160" w:hanging="5023"/>
        <w:spacing w:after="0" w:line="282" w:lineRule="auto"/>
        <w:tabs>
          <w:tab w:leader="none" w:pos="103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 and governmental inquiries;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1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financial condition and results of operations.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Tax law and policies in the United States and Ireland are unsettled and may be subject to significant change, including based on adjustments in political perspectives and administration shifts. In the United States and internationally, the method of taxation of entities with international operations, like us,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84"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The IRA was enacted into law on August 16, 2022. Included in the IRA was a provision to implement a 15% corporate alternative minimum tax on corporations whose average annual adjusted financial statement income during the most recently-completed three-year period exceeds $1.0 billion. This provision is effective for tax years beginning after December 31, 2022. We do not expect the tax provisions of the IRA to have a material impact.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252" w:lineRule="exact"/>
        <w:rPr>
          <w:sz w:val="20"/>
          <w:szCs w:val="20"/>
          <w:color w:val="auto"/>
        </w:rPr>
      </w:pPr>
    </w:p>
    <w:p>
      <w:pPr>
        <w:ind w:right="5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return capital to our shareholders and increase shareholder value, including our share repurchase program, may not be implemented in a timely manner or at all, or may not have the expected results.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implementation of our announced share repurchase agreement is conditional upon shareholder and UK court approval, as required under UK company law. We received shareholder approval during our annual general meeting of shareholders in April 2024. We received court approval to undertake a reduction of capital in order to create the necessary distributable profits for the funding of the repurchases in May 2024. We have not commenced any share repurchases to date, but we will continue to monitor business and market conditions. Further, the share repurchase program and other efforts to return capital to shareholders may not have the anticipated effect or increase shareholder value in the long term.</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no longer able to meet the listing requirements of the NASDAQ Stock Market, our stock may be delisted.</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NASDAQ Stock Market, or NASDAQ, on which our ADSs are listed and traded, has listing requirements that include a $1.00 minimum closing bid price requirement. NASDAQ will issue a deficiency notice if an issuer is in violation of a listing standard for a period of 30 business consecutive days. Such deficiency letter does not result in the immediate delisting of an issuer as there is a period of 180 calendar days from the deficiency notice to regain compliance with NASDAQ's minimum bid price requirement. If an issuer is unable to comply with NASDAQ's minimum bid price requirement after this 180-day calendar period, NASDAQ may elect, subject to any potential additional cure periods, to initiate a process that could delist the issuer from trading on the NASDAQ. We received a deficiency letter from NASDAQ in October 2023, as our ADSs had traded below $1.00 for 30 consecutive business days. In January 2024, we regained compliance with the NASDAQ listing requirements as our ADSs had traded above $1.00 for 10 consecutive business days. We received an additional deficiency letter in May 2024, as our ADSs had traded below $1.00 for 30 consecutive business days and to date continue to trade below $1.00.</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such a delisting occur, it would adversely impact the liquidity and price of our ADSs and would impede our ability to raise capital.</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October 25, 2024, we had 411,338,131 common shares outstanding, including 402,503,967 shares held as ADSs and 8,834,164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Our planned share repurchase program, would, if implemented, reduce the number of shares outstanding and could result in reduced trading volumes.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117"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there could be adverse consequences to U.S. investors.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7" w:name="page68"/>
    <w:bookmarkEnd w:id="67"/>
    <w:p>
      <w:pPr>
        <w:ind w:right="40"/>
        <w:spacing w:after="0" w:line="266" w:lineRule="auto"/>
        <w:rPr>
          <w:sz w:val="20"/>
          <w:szCs w:val="20"/>
          <w:color w:val="auto"/>
        </w:rPr>
      </w:pPr>
      <w:r>
        <w:rPr>
          <w:rFonts w:ascii="Times New Roman" w:cs="Times New Roman" w:eastAsia="Times New Roman" w:hAnsi="Times New Roman"/>
          <w:sz w:val="18"/>
          <w:szCs w:val="18"/>
          <w:color w:val="auto"/>
        </w:rPr>
        <w:t>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the latter determined by reference to the expected value of our ADSs and ordinary shares, we believe that we will not be classified as a PFIC for the taxable year ended December 31, 2023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68" w:lineRule="exact"/>
        <w:rPr>
          <w:sz w:val="20"/>
          <w:szCs w:val="20"/>
          <w:color w:val="auto"/>
        </w:rPr>
      </w:pPr>
    </w:p>
    <w:p>
      <w:pPr>
        <w:ind w:left="900" w:right="60" w:hanging="383"/>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6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53" w:lineRule="exact"/>
        <w:rPr>
          <w:rFonts w:ascii="Times New Roman" w:cs="Times New Roman" w:eastAsia="Times New Roman" w:hAnsi="Times New Roman"/>
          <w:sz w:val="18"/>
          <w:szCs w:val="18"/>
          <w:color w:val="auto"/>
        </w:rPr>
      </w:pPr>
    </w:p>
    <w:p>
      <w:pPr>
        <w:ind w:left="900" w:right="160" w:hanging="383"/>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subject to certain exceptions and disapplications (including, without limitation, the disapplication by at least 75% of the shareholders who vote (in person or by proxy)),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71" w:lineRule="exact"/>
        <w:rPr>
          <w:rFonts w:ascii="Times New Roman" w:cs="Times New Roman" w:eastAsia="Times New Roman" w:hAnsi="Times New Roman"/>
          <w:sz w:val="18"/>
          <w:szCs w:val="18"/>
          <w:color w:val="auto"/>
        </w:rPr>
      </w:pPr>
    </w:p>
    <w:p>
      <w:pPr>
        <w:ind w:left="900" w:right="160" w:hanging="383"/>
        <w:spacing w:after="0" w:line="258"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75" w:lineRule="exact"/>
        <w:rPr>
          <w:rFonts w:ascii="Times New Roman" w:cs="Times New Roman" w:eastAsia="Times New Roman" w:hAnsi="Times New Roman"/>
          <w:sz w:val="18"/>
          <w:szCs w:val="18"/>
          <w:color w:val="auto"/>
        </w:rPr>
      </w:pPr>
    </w:p>
    <w:p>
      <w:pPr>
        <w:ind w:left="900" w:right="100" w:hanging="383"/>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UK, takeovers may be structured as takeover offers or as schemes of arrangement. Under English law, a bidder seeking to acquire us by means of a takeover offer would need to make an offer for all of our outstanding ordinary shares/ADSs. If acceptances are not received for</w:t>
      </w:r>
    </w:p>
    <w:p>
      <w:pPr>
        <w:ind w:left="9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or more of the ordinary shares/ADSs (and 90% of the voting rights carried by those ordinary shares/ADSs) under the offer, under English law, the bidder cannot complete a “squeeze out” to obtain 100% control of us. Accordingly, acceptances of 90% of our outstanding ordinary shares/ADSs (and 90% of the voting rights)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 as well as the approval of the UK High Court.</w:t>
      </w:r>
    </w:p>
    <w:p>
      <w:pPr>
        <w:spacing w:after="0" w:line="81"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56" w:lineRule="exact"/>
        <w:rPr>
          <w:rFonts w:ascii="Times New Roman" w:cs="Times New Roman" w:eastAsia="Times New Roman" w:hAnsi="Times New Roman"/>
          <w:sz w:val="17"/>
          <w:szCs w:val="17"/>
          <w:color w:val="auto"/>
        </w:rPr>
      </w:pPr>
    </w:p>
    <w:p>
      <w:pPr>
        <w:ind w:left="900" w:right="60" w:hanging="383"/>
        <w:spacing w:after="0" w:line="26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w:t>
      </w: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ind w:left="900" w:right="180"/>
        <w:spacing w:after="0" w:line="258" w:lineRule="auto"/>
        <w:rPr>
          <w:sz w:val="20"/>
          <w:szCs w:val="20"/>
          <w:color w:val="auto"/>
        </w:rPr>
      </w:pPr>
      <w:r>
        <w:rPr>
          <w:rFonts w:ascii="Times New Roman" w:cs="Times New Roman" w:eastAsia="Times New Roman" w:hAnsi="Times New Roman"/>
          <w:sz w:val="18"/>
          <w:szCs w:val="18"/>
          <w:color w:val="auto"/>
        </w:rPr>
        <w:t>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place of central management and control is not currently in the UK (or the Channel Islands or the Isle of Man) for the purposes of the jurisdictional criteria of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spacing w:after="0" w:line="72"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this changes, or if the interpretation and application of the Takeover Code by the Panel on Takeovers and Mergers, or Takeover Panel, changes (including changes to the way in which the Takeover Panel assesses the application of the Takeover Code to English companies whose shares are listed outside of the UK), the Takeover Code may apply to us in the future.</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72" w:lineRule="exact"/>
        <w:rPr>
          <w:sz w:val="20"/>
          <w:szCs w:val="20"/>
          <w:color w:val="auto"/>
        </w:rPr>
      </w:pPr>
    </w:p>
    <w:p>
      <w:pPr>
        <w:ind w:left="900" w:right="6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67" w:lineRule="exact"/>
        <w:rPr>
          <w:rFonts w:ascii="Times New Roman" w:cs="Times New Roman" w:eastAsia="Times New Roman" w:hAnsi="Times New Roman"/>
          <w:sz w:val="18"/>
          <w:szCs w:val="18"/>
          <w:color w:val="auto"/>
        </w:rPr>
      </w:pPr>
    </w:p>
    <w:p>
      <w:pPr>
        <w:ind w:left="900" w:right="20" w:hanging="383"/>
        <w:spacing w:after="0" w:line="258"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75" w:lineRule="exact"/>
        <w:rPr>
          <w:rFonts w:ascii="Times New Roman" w:cs="Times New Roman" w:eastAsia="Times New Roman" w:hAnsi="Times New Roman"/>
          <w:sz w:val="18"/>
          <w:szCs w:val="18"/>
          <w:color w:val="auto"/>
        </w:rPr>
      </w:pPr>
    </w:p>
    <w:p>
      <w:pPr>
        <w:ind w:left="900" w:right="20" w:hanging="383"/>
        <w:spacing w:after="0" w:line="258"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75"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mandatory offer triggered in the circumstances described in the preceding two paragraphs above must be in cash (or be accompanied by a cash alternative) and at not less than the highest price paid within the preceding 12 months to acquire any interest in shares of that class in the company by the person required to make the offer or any person acting in concert with him or her.</w:t>
      </w:r>
    </w:p>
    <w:p>
      <w:pPr>
        <w:spacing w:after="0" w:line="67" w:lineRule="exact"/>
        <w:rPr>
          <w:rFonts w:ascii="Times New Roman" w:cs="Times New Roman" w:eastAsia="Times New Roman" w:hAnsi="Times New Roman"/>
          <w:sz w:val="18"/>
          <w:szCs w:val="18"/>
          <w:color w:val="auto"/>
        </w:rPr>
      </w:pPr>
    </w:p>
    <w:p>
      <w:pPr>
        <w:ind w:left="900" w:right="40" w:hanging="383"/>
        <w:spacing w:after="0" w:line="254"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voluntary offer (i.e., any offer which is not a mandatory offer), when interests in shares of any class representing 10% or more of shares of that class have been acquired for cash by an offeror (i.e., a bidder) and any person acting in concert with it during the offer period (i.e., broadly speaking, the period after the potential offer has been made public) and within 12 months prior to commencement of the offer period, the offer must be in cash or be accompanied by a cash alternative for all shareholders of that class at not less than the highest price paid for any interest in shares of that class by the offeror or any person acting in concert with it in that period. Further, if an offeror or any person acting in concert with it acquires any interest in shares for cash during the offer period, the offer for that class of shares must be in cash or accompanied by a cash alternative at a price at not less than the highest price paid by the offeror or any person acting in concert with it for shares of that class acquired during the offer period.</w:t>
      </w:r>
    </w:p>
    <w:p>
      <w:pPr>
        <w:spacing w:after="0" w:line="83"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of a firm intention to make an offer is made and before the offer closes for acceptance, the offeror or any person acting in concert with them acquires an interest in shares in an offeree company (i.e., a target) at a price higher than the then current value of the offer, the offer must be increased to not less than the highest price paid for the interest in shares so acquired.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all the shareholders, together with the opinion of the board of directors of the offeree company.</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9" w:name="page70"/>
    <w:bookmarkEnd w:id="69"/>
    <w:p>
      <w:pPr>
        <w:ind w:left="900" w:right="4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or favorable deals for selected shareholders are not permitted, except in certain circumstances where independent shareholder approval is given and the arrangements are regarded as fair and reasonable in the opinion of the independent adviser to the offeree.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17" w:lineRule="exact"/>
        <w:rPr>
          <w:rFonts w:ascii="Times New Roman" w:cs="Times New Roman" w:eastAsia="Times New Roman" w:hAnsi="Times New Roman"/>
          <w:sz w:val="18"/>
          <w:szCs w:val="18"/>
          <w:color w:val="auto"/>
        </w:rPr>
      </w:pPr>
    </w:p>
    <w:p>
      <w:pPr>
        <w:ind w:left="900" w:right="100" w:hanging="383"/>
        <w:spacing w:after="0" w:line="261"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published in connection with an offer by or on behalf of the offeror or offeree must state that the directors of the offeror or the offeree, as the case may be, accept responsibility for the information contained therein and that, to the best of their knowledge and belief (having taken all reasonable care to ensure that such is the case) the information contained therein is in accordance with the facts and does not omit anything likely to affect the import of such information.</w:t>
      </w:r>
    </w:p>
    <w:p>
      <w:pPr>
        <w:spacing w:after="0" w:line="71"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17" w:lineRule="exact"/>
        <w:rPr>
          <w:rFonts w:ascii="Times New Roman" w:cs="Times New Roman" w:eastAsia="Times New Roman" w:hAnsi="Times New Roman"/>
          <w:sz w:val="18"/>
          <w:szCs w:val="18"/>
          <w:color w:val="auto"/>
        </w:rPr>
      </w:pPr>
    </w:p>
    <w:p>
      <w:pPr>
        <w:ind w:left="900" w:right="100" w:hanging="383"/>
        <w:spacing w:after="0" w:line="258"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 to the extent such actions are not in the ordinary course of the offeree company's business.</w:t>
      </w:r>
    </w:p>
    <w:p>
      <w:pPr>
        <w:spacing w:after="0" w:line="75"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6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12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96"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5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0" w:name="page71"/>
    <w:bookmarkEnd w:id="70"/>
    <w:p>
      <w:pPr>
        <w:ind w:right="100"/>
        <w:spacing w:after="0" w:line="282" w:lineRule="auto"/>
        <w:rPr>
          <w:sz w:val="20"/>
          <w:szCs w:val="20"/>
          <w:color w:val="auto"/>
        </w:rPr>
      </w:pPr>
      <w:r>
        <w:rPr>
          <w:rFonts w:ascii="Times New Roman" w:cs="Times New Roman" w:eastAsia="Times New Roman" w:hAnsi="Times New Roman"/>
          <w:sz w:val="18"/>
          <w:szCs w:val="18"/>
          <w:color w:val="auto"/>
        </w:rPr>
        <w:t>health. We cannot assure you that unforeseen problems will not develop with these technologies or applications or that any commercially feasible products will ultimately be developed by us.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Negative economic conditions would likely have a negative effect on our ability to obtain financing on acceptable terms.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We may also have to scale back or further restructure our operations. If we are unable to obtain additional funding when needed, we may be required to curtail or terminate some or all of our research or development programs or our commercialization strategies.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68"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99"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including in Europe, and record inflation. Our business, financial condition and results of operations could be materially and adversely affected by any negative impact on the global economy and capital markets resulting from these global economic conditions, particularly if such conditions are prolonged or worsen.</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Economic uncertainty in various global markets, including the U.S., Europe and the Middle East, caused by political instability and conflict, such as Russia's invasion of Ukraine and current armed conflict in Israel and the Gaza Strip, and economic challenges caused by pandemics or other health crises, such as the recent COVID-19 pandemic, have led to market disruptions, including significant volatility in commodity prices, credit and capital market instability and supply chain interruptions, which have caused record inflation globally.</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whether as a result of the military conflict between Russia and Ukraine, the current armed conflict in Israel and the Gaza Strip, geopolitical tensions, record inflation or otherwise, are impossible to predict, but could be substantial. Any such disruptions may also magnify the impact of other risks described in this report.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purchased in the third quarter of 2024 are as follows: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60" w:type="dxa"/>
            <w:vAlign w:val="bottom"/>
          </w:tcPr>
          <w:p>
            <w:pPr>
              <w:spacing w:after="0"/>
              <w:rPr>
                <w:sz w:val="13"/>
                <w:szCs w:val="13"/>
                <w:color w:val="auto"/>
              </w:rPr>
            </w:pPr>
          </w:p>
        </w:tc>
        <w:tc>
          <w:tcPr>
            <w:tcW w:w="16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89"/>
        </w:trPr>
        <w:tc>
          <w:tcPr>
            <w:tcW w:w="56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jc w:val="right"/>
              <w:ind w:right="99"/>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1 - 31, 2024</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August 1 - 31, 2024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1 - 30, 2024</w:t>
            </w:r>
          </w:p>
        </w:tc>
        <w:tc>
          <w:tcPr>
            <w:tcW w:w="1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95,173</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1" w:lineRule="exact"/>
        <w:rPr>
          <w:sz w:val="20"/>
          <w:szCs w:val="20"/>
          <w:color w:val="auto"/>
        </w:rPr>
      </w:pPr>
    </w:p>
    <w:p>
      <w:pPr>
        <w:ind w:left="380" w:hanging="372"/>
        <w:spacing w:after="0" w:line="223" w:lineRule="auto"/>
        <w:tabs>
          <w:tab w:leader="none" w:pos="326"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shares withheld to satisfy tax withholding amounts due from employees related to the receipt of stock which resulted from the exercise or vesting of equity awards.</w:t>
      </w:r>
    </w:p>
    <w:p>
      <w:pPr>
        <w:spacing w:after="0" w:line="3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or furnished as part of this report.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0" w:type="dxa"/>
            <w:vAlign w:val="bottom"/>
          </w:tcPr>
          <w:p>
            <w:pPr>
              <w:spacing w:after="0"/>
              <w:rPr>
                <w:sz w:val="1"/>
                <w:szCs w:val="1"/>
                <w:color w:val="auto"/>
              </w:rPr>
            </w:pPr>
          </w:p>
        </w:tc>
      </w:tr>
      <w:tr>
        <w:trPr>
          <w:trHeight w:val="3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3"/>
                <w:szCs w:val="3"/>
                <w:color w:val="auto"/>
              </w:rPr>
            </w:pPr>
          </w:p>
        </w:tc>
        <w:tc>
          <w:tcPr>
            <w:tcW w:w="416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6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408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1">
            <w:col w:w="11240"/>
          </w:cols>
          <w:pgMar w:left="320" w:top="1305" w:right="339" w:bottom="1440" w:gutter="0" w:footer="0" w:header="0"/>
        </w:sectPr>
      </w:pP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Consulting Agreement, dated July 26, 2024, by and</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0"/>
        </w:trPr>
        <w:tc>
          <w:tcPr>
            <w:tcW w:w="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between Amarin Corporation plc and Patrick Holt</w:t>
            </w:r>
          </w:p>
        </w:tc>
        <w:tc>
          <w:tcPr>
            <w:tcW w:w="11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1"/>
        </w:trPr>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Executive Officer) pursuant to Section 302 of</w:t>
            </w:r>
          </w:p>
        </w:tc>
        <w:tc>
          <w:tcPr>
            <w:tcW w:w="1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tcPr>
          <w:p>
            <w:pPr>
              <w:spacing w:after="0" w:line="20" w:lineRule="exact"/>
              <w:rPr>
                <w:sz w:val="1"/>
                <w:szCs w:val="1"/>
                <w:color w:val="auto"/>
              </w:rPr>
            </w:pPr>
          </w:p>
        </w:tc>
      </w:tr>
      <w:tr>
        <w:trPr>
          <w:trHeight w:val="196"/>
        </w:trPr>
        <w:tc>
          <w:tcPr>
            <w:tcW w:w="4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1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1"/>
        </w:trPr>
        <w:tc>
          <w:tcPr>
            <w:tcW w:w="4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Vice President and Global Controller</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and Principal Accounting</w:t>
            </w:r>
          </w:p>
        </w:tc>
        <w:tc>
          <w:tcPr>
            <w:tcW w:w="1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Section 302 of Sarbanes-Oxley Act</w:t>
            </w:r>
          </w:p>
        </w:tc>
        <w:tc>
          <w:tcPr>
            <w:tcW w:w="1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gridSpan w:val="6"/>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11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420" w:space="620"/>
            <w:col w:w="10200"/>
          </w:cols>
          <w:pgMar w:left="320" w:top="130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and Vice President and</w:t>
            </w:r>
          </w:p>
        </w:tc>
        <w:tc>
          <w:tcPr>
            <w:tcW w:w="604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Global Controller (Principal Financial Officer and</w:t>
            </w:r>
          </w:p>
        </w:tc>
        <w:tc>
          <w:tcPr>
            <w:tcW w:w="604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Officer) pursuant to Section 906 of</w:t>
            </w:r>
          </w:p>
        </w:tc>
        <w:tc>
          <w:tcPr>
            <w:tcW w:w="604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040" w:type="dxa"/>
            <w:vAlign w:val="bottom"/>
          </w:tcPr>
          <w:p>
            <w:pPr>
              <w:spacing w:after="0"/>
              <w:rPr>
                <w:sz w:val="17"/>
                <w:szCs w:val="17"/>
                <w:color w:val="auto"/>
              </w:rPr>
            </w:pPr>
          </w:p>
        </w:tc>
      </w:tr>
      <w:tr>
        <w:trPr>
          <w:trHeight w:val="20"/>
        </w:trPr>
        <w:tc>
          <w:tcPr>
            <w:tcW w:w="1060" w:type="dxa"/>
            <w:vAlign w:val="bottom"/>
            <w:tcBorders>
              <w:right w:val="single" w:sz="8" w:color="0000EE"/>
            </w:tcBorders>
            <w:gridSpan w:val="3"/>
          </w:tcPr>
          <w:p>
            <w:pPr>
              <w:spacing w:after="0" w:line="20" w:lineRule="exact"/>
              <w:rPr>
                <w:sz w:val="1"/>
                <w:szCs w:val="1"/>
                <w:color w:val="auto"/>
              </w:rPr>
            </w:pPr>
          </w:p>
        </w:tc>
        <w:tc>
          <w:tcPr>
            <w:tcW w:w="2060" w:type="dxa"/>
            <w:vAlign w:val="bottom"/>
            <w:tcBorders>
              <w:right w:val="single" w:sz="8" w:color="0000EE"/>
            </w:tcBorders>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412"/>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73"/>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Filed herewith</w:t>
            </w:r>
          </w:p>
        </w:tc>
      </w:tr>
      <w:tr>
        <w:trPr>
          <w:trHeight w:val="234"/>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6040" w:type="dxa"/>
            <w:vAlign w:val="bottom"/>
          </w:tcPr>
          <w:p>
            <w:pPr>
              <w:spacing w:after="0"/>
              <w:rPr>
                <w:sz w:val="20"/>
                <w:szCs w:val="20"/>
                <w:color w:val="auto"/>
              </w:rPr>
            </w:pPr>
          </w:p>
        </w:tc>
      </w:tr>
      <w:tr>
        <w:trPr>
          <w:trHeight w:val="373"/>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6040" w:type="dxa"/>
            <w:vAlign w:val="bottom"/>
          </w:tcPr>
          <w:p>
            <w:pPr>
              <w:spacing w:after="0"/>
              <w:rPr>
                <w:sz w:val="20"/>
                <w:szCs w:val="20"/>
                <w:color w:val="auto"/>
              </w:rPr>
            </w:pPr>
          </w:p>
        </w:tc>
      </w:tr>
      <w:tr>
        <w:trPr>
          <w:trHeight w:val="373"/>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6040" w:type="dxa"/>
            <w:vAlign w:val="bottom"/>
          </w:tcPr>
          <w:p>
            <w:pPr>
              <w:spacing w:after="0"/>
              <w:rPr>
                <w:sz w:val="20"/>
                <w:szCs w:val="20"/>
                <w:color w:val="auto"/>
              </w:rPr>
            </w:pPr>
          </w:p>
        </w:tc>
      </w:tr>
      <w:tr>
        <w:trPr>
          <w:trHeight w:val="373"/>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40" w:type="dxa"/>
            <w:vAlign w:val="bottom"/>
          </w:tcPr>
          <w:p>
            <w:pPr>
              <w:spacing w:after="0"/>
              <w:rPr>
                <w:sz w:val="20"/>
                <w:szCs w:val="20"/>
                <w:color w:val="auto"/>
              </w:rPr>
            </w:pPr>
          </w:p>
        </w:tc>
      </w:tr>
      <w:tr>
        <w:trPr>
          <w:trHeight w:val="373"/>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4"/>
                <w:szCs w:val="24"/>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(formatted as inline XBRL with applicable taxonomy</w:t>
            </w:r>
          </w:p>
        </w:tc>
        <w:tc>
          <w:tcPr>
            <w:tcW w:w="604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6040" w:type="dxa"/>
            <w:vAlign w:val="bottom"/>
          </w:tcPr>
          <w:p>
            <w:pPr>
              <w:spacing w:after="0"/>
              <w:rPr>
                <w:sz w:val="20"/>
                <w:szCs w:val="20"/>
                <w:color w:val="auto"/>
              </w:rPr>
            </w:pPr>
          </w:p>
        </w:tc>
      </w:tr>
      <w:tr>
        <w:trPr>
          <w:trHeight w:val="878"/>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73</w:t>
            </w:r>
          </w:p>
        </w:tc>
      </w:tr>
      <w:tr>
        <w:trPr>
          <w:trHeight w:val="763"/>
        </w:trPr>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73" w:name="page74"/>
    <w:bookmarkEnd w:id="7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30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Aaron Berg</w:t>
      </w:r>
    </w:p>
    <w:p>
      <w:pPr>
        <w:spacing w:after="0" w:line="27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30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Peter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Peter Fishman</w:t>
      </w:r>
    </w:p>
    <w:p>
      <w:pPr>
        <w:spacing w:after="0" w:line="27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Vice President, Global Controller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2237105" cy="797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223710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July 26,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Patrick J. Holt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Consulting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Pat,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This letter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intended to confirm our mutual understanding with respect to your limited engagement as a consultant for Amarin Corporation plc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By signing below, you represent and warrant that you were under no obligation to any third-party that would have interfered with your rendering to the Company the professional services described and covered by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 engagement as a consultant hereunder commenced on June 3, 2024 and continued through July 3, 2024 (the “</w:t>
      </w:r>
      <w:r>
        <w:rPr>
          <w:rFonts w:ascii="Times New Roman" w:cs="Times New Roman" w:eastAsia="Times New Roman" w:hAnsi="Times New Roman"/>
          <w:sz w:val="20"/>
          <w:szCs w:val="20"/>
          <w:b w:val="1"/>
          <w:bCs w:val="1"/>
          <w:i w:val="1"/>
          <w:iCs w:val="1"/>
          <w:color w:val="auto"/>
        </w:rPr>
        <w:t>Consulting Period</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the Consulting Period, you agreed to cooperate with the Company to support the transition of your duties and responsibilities to the new Chief Executive Officer of the Company and as may otherwise relate to any matter on which you will have worked prior to the Consulting Period or of which you have knowledge (the “</w:t>
      </w:r>
      <w:r>
        <w:rPr>
          <w:rFonts w:ascii="Times New Roman" w:cs="Times New Roman" w:eastAsia="Times New Roman" w:hAnsi="Times New Roman"/>
          <w:sz w:val="20"/>
          <w:szCs w:val="20"/>
          <w:b w:val="1"/>
          <w:bCs w:val="1"/>
          <w:i w:val="1"/>
          <w:iCs w:val="1"/>
          <w:color w:val="auto"/>
        </w:rPr>
        <w:t>Consulting Services</w:t>
      </w:r>
      <w:r>
        <w:rPr>
          <w:rFonts w:ascii="Times New Roman" w:cs="Times New Roman" w:eastAsia="Times New Roman" w:hAnsi="Times New Roman"/>
          <w:sz w:val="20"/>
          <w:szCs w:val="20"/>
          <w:color w:val="auto"/>
        </w:rPr>
        <w:t>”). Any Consulting Services would be performed as an independent contractor, and not as an employee, agent or representative of the Company or any of its direct or indirect subsidiaries or affiliates (collectively, the “</w:t>
      </w:r>
      <w:r>
        <w:rPr>
          <w:rFonts w:ascii="Times New Roman" w:cs="Times New Roman" w:eastAsia="Times New Roman" w:hAnsi="Times New Roman"/>
          <w:sz w:val="20"/>
          <w:szCs w:val="20"/>
          <w:b w:val="1"/>
          <w:bCs w:val="1"/>
          <w:i w:val="1"/>
          <w:iCs w:val="1"/>
          <w:color w:val="auto"/>
        </w:rPr>
        <w:t>Company Group</w:t>
      </w:r>
      <w:r>
        <w:rPr>
          <w:rFonts w:ascii="Times New Roman" w:cs="Times New Roman" w:eastAsia="Times New Roman" w:hAnsi="Times New Roman"/>
          <w:sz w:val="20"/>
          <w:szCs w:val="20"/>
          <w:color w:val="auto"/>
        </w:rPr>
        <w:t>”). Consulting Services would have been rendered from location(s) of your choosing and you furnished any equipment, supplies and other materials used to perform the Consulting Services. During the Consulting Period, you reported to Chief Executive Officer of the Company.</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 xml:space="preserve">In consideration for making the Consulting Services available, the Company will pay you a consulting fee of US $56,250, payable upon execution of this confirmation letter (the </w:t>
      </w:r>
      <w:r>
        <w:rPr>
          <w:rFonts w:ascii="Times New Roman" w:cs="Times New Roman" w:eastAsia="Times New Roman" w:hAnsi="Times New Roman"/>
          <w:sz w:val="19"/>
          <w:szCs w:val="19"/>
          <w:b w:val="1"/>
          <w:bCs w:val="1"/>
          <w:i w:val="1"/>
          <w:iCs w:val="1"/>
          <w:color w:val="auto"/>
        </w:rPr>
        <w:t>“Consulting Fee”</w:t>
      </w:r>
      <w:r>
        <w:rPr>
          <w:rFonts w:ascii="Times New Roman" w:cs="Times New Roman" w:eastAsia="Times New Roman" w:hAnsi="Times New Roman"/>
          <w:sz w:val="19"/>
          <w:szCs w:val="19"/>
          <w:color w:val="auto"/>
        </w:rPr>
        <w:t>). As an independent contractor, you will be solely responsible for payment of all applicable taxes payable in respect of amounts payable to you under this Agreement, and the Company will not withhold for taxes from any such amounts. In addition, you understand and agree that you are not eligible by virtue of your engagement as a consultant to participate in any of the employee benefit plans or programs of the Company or any other member of the Company Group (other than continued medical and health benefits under the Consolidated Omnibus Budget Reconciliation Act of 1985 (“</w:t>
      </w:r>
      <w:r>
        <w:rPr>
          <w:rFonts w:ascii="Times New Roman" w:cs="Times New Roman" w:eastAsia="Times New Roman" w:hAnsi="Times New Roman"/>
          <w:sz w:val="19"/>
          <w:szCs w:val="19"/>
          <w:b w:val="1"/>
          <w:bCs w:val="1"/>
          <w:i w:val="1"/>
          <w:iCs w:val="1"/>
          <w:color w:val="auto"/>
        </w:rPr>
        <w:t>COBRA</w:t>
      </w:r>
      <w:r>
        <w:rPr>
          <w:rFonts w:ascii="Times New Roman" w:cs="Times New Roman" w:eastAsia="Times New Roman" w:hAnsi="Times New Roman"/>
          <w:sz w:val="19"/>
          <w:szCs w:val="19"/>
          <w:color w:val="auto"/>
        </w:rPr>
        <w:t>”) as a former employee of the Company). In the event that this consulting arrangement is reclassified as employment by any governmental agency or court, you further agree that you will not seek to participate in or benefit from any of the employee benefit plans or programs of the Company Group as a result of such reclassification. Additional information concerning COBRA coverage will be provided to you under separate cover.</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By signing below, you represent and warrant to the Company that your provision of the Consulting Services hereunder did not violate any applicable law and covenant and that you complied with all applicable laws in providing the Consulting Services. Further, you maintained in good standing any permits and licenses as may be necessary or appropriate from time to time in providing the Consulting Services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jc w:val="both"/>
        <w:spacing w:after="0" w:line="269" w:lineRule="auto"/>
        <w:rPr>
          <w:sz w:val="20"/>
          <w:szCs w:val="20"/>
          <w:color w:val="auto"/>
        </w:rPr>
      </w:pPr>
      <w:r>
        <w:rPr>
          <w:rFonts w:ascii="Times New Roman" w:cs="Times New Roman" w:eastAsia="Times New Roman" w:hAnsi="Times New Roman"/>
          <w:sz w:val="20"/>
          <w:szCs w:val="20"/>
          <w:color w:val="auto"/>
        </w:rPr>
        <w:t>You hereby reaffirm and ratify that certain Nondisclosure, Developments and Noncompetition Agreement attached to your employment agreement with the Company, effective as of on or about July 18, 2023.</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you hereby acknowledge and agree that during the Consulting Period you did not make any disparaging or defamatory comments regarding any member of the Company Group or its respective current or former directors, officers, employees or members in any respect. However, your obligations under this paragraph shall not apply to disclosures required by applicable law, regulation, or order of a court or governmental agency. Further, nothing in this Agreement prohibits you from speaking with law enforcement, the Equal Employment Opportunity Commission, any state or local division of human rights or fair employment agency, or your attorney.</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terms contained in this Agreement constitute and embody the full and complete understanding and agreement with respect to your engagement as a consultant for the Company, and supersede and replace any prior or contemporaneous agreements or understandings, written or oral, concerning the Consulting Services. The terms of this Agreement may be modified only by a writing duly executed by you and the Company, and this Agreement, and your obligations hereunder, may not be assigned by you without the prior written consent of the Company. The benefits and obligations contained in this Agreement will inure to the benefit of and be binding upon the Company and its respective successors and assigns.</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This is a New Jersey contract and shall be construed under and be governed in all respects by the laws of the State of New Jersey without giving effect to the conflict of laws principles thereof. With respect to any disputes concerning federal law, such disputes shall be determined in accordance with the law as it would be interpreted and applied by the United States Court of Appeals for the Third Circuit.</w:t>
      </w:r>
    </w:p>
    <w:p>
      <w:pPr>
        <w:spacing w:after="0" w:line="17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 parties hereby consent to the jurisdiction of the state and federal courts of the State of New Jersey. Accordingly, with respect to any such court action, you (i) submit to the exclusive personal jurisdiction of such courts; (ii) consent to service of process; and (iii) waive any other requirement (whether imposed by statute, rule of court, or otherwise) with respect to personal jurisdiction or service of process.</w:t>
      </w:r>
    </w:p>
    <w:p>
      <w:pPr>
        <w:spacing w:after="0" w:line="174"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Each of you and the Company irrevocably and unconditionally WAIVES ALL RIGHT TO TRIAL BY JURY IN ANY PROCEEDING (WHETHER BASED ON CONTRACT, TORT OR OTHERWISE) ARISING OUT OF OR RELATING TO THIS AGREEMENT OR THE YOUR ENGAGEMENT AS A CONSULTANT BY THE COMPANY OR ANY AFFILIATE OF THE COMPANY, INCLUDING WITHOUT LIMITATION YOUR OR THE COMPANY’S PERFORMANCE UNDER, OR THE ENFORCEMENT OF, THIS AGREEMENT.</w:t>
      </w:r>
    </w:p>
    <w:p>
      <w:pPr>
        <w:spacing w:after="0" w:line="185" w:lineRule="exact"/>
        <w:rPr>
          <w:sz w:val="20"/>
          <w:szCs w:val="20"/>
          <w:color w:val="auto"/>
        </w:rPr>
      </w:pPr>
    </w:p>
    <w:p>
      <w:pPr>
        <w:jc w:val="center"/>
        <w:spacing w:after="0"/>
        <w:tabs>
          <w:tab w:leader="none" w:pos="280" w:val="left"/>
          <w:tab w:leader="none" w:pos="280" w:val="left"/>
        </w:tabs>
        <w:rPr>
          <w:sz w:val="20"/>
          <w:szCs w:val="20"/>
          <w:color w:val="auto"/>
        </w:rPr>
      </w:pPr>
      <w:r>
        <w:rPr>
          <w:rFonts w:ascii="Times New Roman" w:cs="Times New Roman" w:eastAsia="Times New Roman" w:hAnsi="Times New Roman"/>
          <w:sz w:val="20"/>
          <w:szCs w:val="20"/>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76" w:name="page77"/>
    <w:bookmarkEnd w:id="76"/>
    <w:p>
      <w:pPr>
        <w:jc w:val="both"/>
        <w:spacing w:after="0" w:line="254" w:lineRule="auto"/>
        <w:rPr>
          <w:sz w:val="20"/>
          <w:szCs w:val="20"/>
          <w:color w:val="auto"/>
        </w:rPr>
      </w:pPr>
      <w:r>
        <w:rPr>
          <w:rFonts w:ascii="Times New Roman" w:cs="Times New Roman" w:eastAsia="Times New Roman" w:hAnsi="Times New Roman"/>
          <w:sz w:val="20"/>
          <w:szCs w:val="20"/>
          <w:color w:val="auto"/>
        </w:rPr>
        <w:t>If you are in agreement with the terms of your consulting engagement described above, please execute this Agreement where indicated below and return to me. The execution of this Agreement may be by actual signature or by signature delivered by facsimile or by email as a portable document format (.pdf) file or image file attachment.</w:t>
      </w:r>
    </w:p>
    <w:p>
      <w:pPr>
        <w:spacing w:after="0" w:line="17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Sincerely,</w:t>
      </w:r>
    </w:p>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AMARIN CORPORATION PLC</w:t>
      </w:r>
    </w:p>
    <w:p>
      <w:pPr>
        <w:spacing w:after="0" w:line="200" w:lineRule="exact"/>
        <w:rPr>
          <w:sz w:val="20"/>
          <w:szCs w:val="20"/>
          <w:color w:val="auto"/>
        </w:rPr>
      </w:pPr>
    </w:p>
    <w:p>
      <w:pPr>
        <w:spacing w:after="0" w:line="3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Jonathan Provoost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15462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462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Jonathan Provoost</w:t>
      </w:r>
    </w:p>
    <w:p>
      <w:pPr>
        <w:ind w:left="4500"/>
        <w:spacing w:after="0"/>
        <w:rPr>
          <w:sz w:val="20"/>
          <w:szCs w:val="20"/>
          <w:color w:val="auto"/>
        </w:rPr>
      </w:pPr>
      <w:r>
        <w:rPr>
          <w:rFonts w:ascii="Times New Roman" w:cs="Times New Roman" w:eastAsia="Times New Roman" w:hAnsi="Times New Roman"/>
          <w:sz w:val="20"/>
          <w:szCs w:val="20"/>
          <w:color w:val="auto"/>
        </w:rPr>
        <w:t>Title: Executive Vice President, Chief Legal &amp; Compliance Officer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AND ACCEPTED as of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26th day of July, 2024 by: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Patrick J.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5074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Patrick J. Holt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Signature page to Holt Consulting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Berg, certify that:</w:t>
      </w:r>
    </w:p>
    <w:p>
      <w:pPr>
        <w:spacing w:after="0" w:line="117"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7720" w:val="left"/>
          <w:tab w:leader="none" w:pos="806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/s/</w:t>
        <w:tab/>
        <w:t>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Aaron Berg</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Fishman, certify that:</w:t>
      </w:r>
    </w:p>
    <w:p>
      <w:pPr>
        <w:spacing w:after="0" w:line="117"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7780" w:val="left"/>
          <w:tab w:leader="none" w:pos="814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Peter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Peter Fishman</w:t>
      </w:r>
    </w:p>
    <w:p>
      <w:pPr>
        <w:spacing w:after="0" w:line="3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Vice President, Global Controller</w:t>
      </w:r>
    </w:p>
    <w:p>
      <w:pPr>
        <w:spacing w:after="0" w:line="3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Aaron Berg, President and Chief Executive Officer (Principal Executive Officer) of Amarin Corporation plc (the “Company”), and Peter Fishman, Vice President, Global Controller (Principal Financial Officer and Principal Accounting Officer) of the Company, each hereby certifies that, to the best of his knowledge:</w:t>
      </w:r>
    </w:p>
    <w:p>
      <w:pPr>
        <w:spacing w:after="0" w:line="180" w:lineRule="exact"/>
        <w:rPr>
          <w:sz w:val="20"/>
          <w:szCs w:val="20"/>
          <w:color w:val="auto"/>
        </w:rPr>
      </w:pPr>
    </w:p>
    <w:p>
      <w:pPr>
        <w:ind w:right="160" w:firstLine="8"/>
        <w:spacing w:after="0" w:line="282" w:lineRule="auto"/>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2024, to which this Certification is attached as Exhibit 32.1 (the “Quarterly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91"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8"/>
          <w:szCs w:val="18"/>
          <w:color w:val="auto"/>
        </w:rPr>
        <w:t>/s/</w:t>
        <w:tab/>
        <w:t>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7"/>
          <w:szCs w:val="17"/>
          <w:color w:val="auto"/>
        </w:rPr>
        <w:t>Aaron Berg</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1"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8"/>
          <w:szCs w:val="18"/>
          <w:color w:val="auto"/>
        </w:rPr>
        <w:t>/s/</w:t>
        <w:tab/>
        <w:t>Peter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Peter Fishman</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Vice President, Global Controller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lowerRoman"/>
      <w:start w:val="2"/>
    </w:lvl>
  </w:abstractNum>
  <w:abstractNum w:abstractNumId="6">
    <w:nsid w:val="6763845E"/>
    <w:multiLevelType w:val="hybridMultilevel"/>
    <w:lvl w:ilvl="0">
      <w:lvlJc w:val="left"/>
      <w:lvlText w:val="(%1)"/>
      <w:numFmt w:val="lowerRoman"/>
      <w:start w:val="3"/>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3"/>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2024-10-30T15:28:29Z</dcterms:created>
  <dcterms:modified xsi:type="dcterms:W3CDTF">2024-10-30T15:28:29Z</dcterms:modified>
</cp:coreProperties>
</file>