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7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43"/>
          <w:szCs w:val="43"/>
          <w:color w:val="auto"/>
          <w:highlight w:val="black"/>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-213995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8"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4760" w:type="dxa"/>
            <w:vAlign w:val="bottom"/>
          </w:tcPr>
          <w:p>
            <w:pPr>
              <w:jc w:val="center"/>
              <w:ind w:right="1719"/>
              <w:spacing w:after="0"/>
              <w:rPr>
                <w:sz w:val="20"/>
                <w:szCs w:val="20"/>
                <w:color w:val="auto"/>
              </w:rPr>
            </w:pPr>
            <w:r>
              <w:rPr>
                <w:rFonts w:ascii="Arial" w:cs="Arial" w:eastAsia="Arial" w:hAnsi="Arial"/>
                <w:sz w:val="18"/>
                <w:szCs w:val="18"/>
                <w:b w:val="1"/>
                <w:bCs w:val="1"/>
                <w:color w:val="auto"/>
                <w:w w:val="89"/>
              </w:rPr>
              <w:t>England and Wales</w:t>
            </w:r>
          </w:p>
        </w:tc>
        <w:tc>
          <w:tcPr>
            <w:tcW w:w="3120" w:type="dxa"/>
            <w:vAlign w:val="bottom"/>
          </w:tcPr>
          <w:p>
            <w:pPr>
              <w:jc w:val="center"/>
              <w:ind w:left="1721"/>
              <w:spacing w:after="0"/>
              <w:rPr>
                <w:sz w:val="20"/>
                <w:szCs w:val="20"/>
                <w:color w:val="auto"/>
              </w:rPr>
            </w:pPr>
            <w:r>
              <w:rPr>
                <w:rFonts w:ascii="Arial" w:cs="Arial" w:eastAsia="Arial" w:hAnsi="Arial"/>
                <w:sz w:val="18"/>
                <w:szCs w:val="18"/>
                <w:b w:val="1"/>
                <w:bCs w:val="1"/>
                <w:color w:val="auto"/>
                <w:w w:val="90"/>
              </w:rPr>
              <w:t>Not applicable</w:t>
            </w:r>
          </w:p>
        </w:tc>
      </w:tr>
      <w:tr>
        <w:trPr>
          <w:trHeight w:val="149"/>
        </w:trPr>
        <w:tc>
          <w:tcPr>
            <w:tcW w:w="4760" w:type="dxa"/>
            <w:vAlign w:val="bottom"/>
          </w:tcPr>
          <w:p>
            <w:pPr>
              <w:jc w:val="center"/>
              <w:ind w:right="16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760" w:type="dxa"/>
            <w:vAlign w:val="bottom"/>
          </w:tcPr>
          <w:p>
            <w:pPr>
              <w:jc w:val="center"/>
              <w:ind w:right="17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318"/>
        </w:trPr>
        <w:tc>
          <w:tcPr>
            <w:tcW w:w="4760" w:type="dxa"/>
            <w:vAlign w:val="bottom"/>
          </w:tcPr>
          <w:p>
            <w:pPr>
              <w:jc w:val="center"/>
              <w:ind w:right="1699"/>
              <w:spacing w:after="0"/>
              <w:rPr>
                <w:sz w:val="20"/>
                <w:szCs w:val="20"/>
                <w:color w:val="auto"/>
              </w:rPr>
            </w:pPr>
            <w:r>
              <w:rPr>
                <w:rFonts w:ascii="Arial" w:cs="Arial" w:eastAsia="Arial" w:hAnsi="Arial"/>
                <w:sz w:val="18"/>
                <w:szCs w:val="18"/>
                <w:b w:val="1"/>
                <w:bCs w:val="1"/>
                <w:color w:val="auto"/>
                <w:w w:val="89"/>
              </w:rPr>
              <w:t>77 Sir John Rogerson’s Quay, Block C,</w:t>
            </w:r>
          </w:p>
        </w:tc>
        <w:tc>
          <w:tcPr>
            <w:tcW w:w="3120" w:type="dxa"/>
            <w:vAlign w:val="bottom"/>
          </w:tcPr>
          <w:p>
            <w:pPr>
              <w:jc w:val="center"/>
              <w:ind w:left="1721"/>
              <w:spacing w:after="0"/>
              <w:rPr>
                <w:sz w:val="20"/>
                <w:szCs w:val="20"/>
                <w:color w:val="auto"/>
              </w:rPr>
            </w:pPr>
            <w:r>
              <w:rPr>
                <w:rFonts w:ascii="Arial" w:cs="Arial" w:eastAsia="Arial" w:hAnsi="Arial"/>
                <w:sz w:val="18"/>
                <w:szCs w:val="18"/>
                <w:b w:val="1"/>
                <w:bCs w:val="1"/>
                <w:color w:val="auto"/>
                <w:w w:val="94"/>
              </w:rPr>
              <w:t>Dublin 2, Ireland</w:t>
            </w:r>
          </w:p>
        </w:tc>
      </w:tr>
      <w:tr>
        <w:trPr>
          <w:trHeight w:val="212"/>
        </w:trPr>
        <w:tc>
          <w:tcPr>
            <w:tcW w:w="4760" w:type="dxa"/>
            <w:vAlign w:val="bottom"/>
          </w:tcPr>
          <w:p>
            <w:pPr>
              <w:jc w:val="center"/>
              <w:ind w:right="1719"/>
              <w:spacing w:after="0"/>
              <w:rPr>
                <w:sz w:val="20"/>
                <w:szCs w:val="20"/>
                <w:color w:val="auto"/>
              </w:rPr>
            </w:pPr>
            <w:r>
              <w:rPr>
                <w:rFonts w:ascii="Arial" w:cs="Arial" w:eastAsia="Arial" w:hAnsi="Arial"/>
                <w:sz w:val="18"/>
                <w:szCs w:val="18"/>
                <w:b w:val="1"/>
                <w:bCs w:val="1"/>
                <w:color w:val="auto"/>
                <w:w w:val="92"/>
              </w:rPr>
              <w:t>Grand Canal Docklands</w:t>
            </w:r>
          </w:p>
        </w:tc>
        <w:tc>
          <w:tcPr>
            <w:tcW w:w="3120" w:type="dxa"/>
            <w:vAlign w:val="bottom"/>
          </w:tcPr>
          <w:p>
            <w:pPr>
              <w:spacing w:after="0"/>
              <w:rPr>
                <w:sz w:val="18"/>
                <w:szCs w:val="18"/>
                <w:color w:val="auto"/>
              </w:rPr>
            </w:pPr>
          </w:p>
        </w:tc>
      </w:tr>
      <w:tr>
        <w:trPr>
          <w:trHeight w:val="186"/>
        </w:trPr>
        <w:tc>
          <w:tcPr>
            <w:tcW w:w="4760" w:type="dxa"/>
            <w:vAlign w:val="bottom"/>
          </w:tcPr>
          <w:p>
            <w:pPr>
              <w:jc w:val="center"/>
              <w:ind w:right="16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701"/>
              <w:spacing w:after="0"/>
              <w:rPr>
                <w:sz w:val="20"/>
                <w:szCs w:val="20"/>
                <w:color w:val="auto"/>
              </w:rPr>
            </w:pPr>
            <w:r>
              <w:rPr>
                <w:rFonts w:ascii="Arial" w:cs="Arial" w:eastAsia="Arial" w:hAnsi="Arial"/>
                <w:sz w:val="14"/>
                <w:szCs w:val="14"/>
                <w:b w:val="1"/>
                <w:bCs w:val="1"/>
                <w:color w:val="auto"/>
                <w:w w:val="95"/>
              </w:rPr>
              <w:t>(Zip Code)</w:t>
            </w:r>
          </w:p>
        </w:tc>
      </w:tr>
    </w:tbl>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50" w:type="dxa"/>
        <w:tblCellMar>
          <w:top w:w="0" w:type="dxa"/>
          <w:left w:w="0" w:type="dxa"/>
          <w:bottom w:w="0" w:type="dxa"/>
          <w:right w:w="0" w:type="dxa"/>
        </w:tblCellMar>
      </w:tblPr>
      <w:tr>
        <w:trPr>
          <w:trHeight w:val="237"/>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4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13"/>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American Depositary Shares (ADS(s)), each ADS</w:t>
            </w:r>
          </w:p>
        </w:tc>
        <w:tc>
          <w:tcPr>
            <w:tcW w:w="224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spacing w:after="0"/>
              <w:rPr>
                <w:sz w:val="18"/>
                <w:szCs w:val="18"/>
                <w:color w:val="auto"/>
              </w:rPr>
            </w:pPr>
          </w:p>
        </w:tc>
      </w:tr>
      <w:tr>
        <w:trPr>
          <w:trHeight w:val="203"/>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representing the right to receive one (1) Ordinary Share of</w:t>
            </w:r>
          </w:p>
        </w:tc>
        <w:tc>
          <w:tcPr>
            <w:tcW w:w="22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spacing w:after="0"/>
              <w:rPr>
                <w:sz w:val="17"/>
                <w:szCs w:val="17"/>
                <w:color w:val="auto"/>
              </w:rPr>
            </w:pPr>
          </w:p>
        </w:tc>
      </w:tr>
      <w:tr>
        <w:trPr>
          <w:trHeight w:val="206"/>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Amarin Corporation plc</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AMRN</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394,771,523 common shares were outstanding as of April 23, 2021, including 394,574,581 shares held as American Depositary Shares (ADSs), each representing one Ordinary Share, 50 pence par value per share and 196,942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Page</w:t>
            </w:r>
          </w:p>
        </w:tc>
      </w:tr>
      <w:tr>
        <w:trPr>
          <w:trHeight w:val="291"/>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580" w:type="dxa"/>
            <w:vAlign w:val="bottom"/>
            <w:gridSpan w:val="12"/>
          </w:tcPr>
          <w:p>
            <w:pPr>
              <w:jc w:val="center"/>
              <w:ind w:right="312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4"/>
        </w:trPr>
        <w:tc>
          <w:tcPr>
            <w:tcW w:w="13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180" w:type="dxa"/>
            <w:vAlign w:val="bottom"/>
            <w:gridSpan w:val="8"/>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EE"/>
            </w:tcBorders>
            <w:gridSpan w:val="6"/>
          </w:tcPr>
          <w:p>
            <w:pPr>
              <w:spacing w:after="0"/>
              <w:rPr>
                <w:sz w:val="24"/>
                <w:szCs w:val="24"/>
                <w:color w:val="auto"/>
              </w:rPr>
            </w:pPr>
          </w:p>
        </w:tc>
        <w:tc>
          <w:tcPr>
            <w:tcW w:w="31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0"/>
        </w:trPr>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760" w:type="dxa"/>
            <w:vAlign w:val="bottom"/>
            <w:gridSpan w:val="20"/>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2021 and December 31, 2020</w:t>
              </w:r>
            </w:hyperlink>
          </w:p>
        </w:tc>
        <w:tc>
          <w:tcPr>
            <w:tcW w:w="114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6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2021 and 2020</w:t>
              </w:r>
            </w:hyperlink>
          </w:p>
        </w:tc>
        <w:tc>
          <w:tcPr>
            <w:tcW w:w="1140" w:type="dxa"/>
            <w:vAlign w:val="bottom"/>
            <w:gridSpan w:val="2"/>
          </w:tcPr>
          <w:p>
            <w:pPr>
              <w:jc w:val="right"/>
              <w:ind w:right="848"/>
              <w:spacing w:after="0" w:line="196" w:lineRule="exact"/>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60" w:type="dxa"/>
            <w:vAlign w:val="bottom"/>
            <w:gridSpan w:val="20"/>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 of Changes in Stockholders’ Equity for the three months ended March 31, 2021 and</w:t>
              </w:r>
            </w:hyperlink>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2020</w:t>
              </w:r>
            </w:hyperlink>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2021 and 2020</w:t>
              </w:r>
            </w:hyperlink>
          </w:p>
        </w:tc>
        <w:tc>
          <w:tcPr>
            <w:tcW w:w="1180" w:type="dxa"/>
            <w:vAlign w:val="bottom"/>
            <w:gridSpan w:val="2"/>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6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876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17"/>
                <w:szCs w:val="17"/>
                <w:color w:val="auto"/>
              </w:rPr>
            </w:pPr>
          </w:p>
        </w:tc>
        <w:tc>
          <w:tcPr>
            <w:tcW w:w="2320" w:type="dxa"/>
            <w:vAlign w:val="bottom"/>
            <w:gridSpan w:val="4"/>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8760" w:type="dxa"/>
            <w:vAlign w:val="bottom"/>
            <w:gridSpan w:val="20"/>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r>
      <w:tr>
        <w:trPr>
          <w:trHeight w:val="318"/>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5580" w:type="dxa"/>
            <w:vAlign w:val="bottom"/>
            <w:gridSpan w:val="12"/>
          </w:tcPr>
          <w:p>
            <w:pPr>
              <w:jc w:val="center"/>
              <w:ind w:right="3100"/>
              <w:spacing w:after="0"/>
              <w:rPr>
                <w:rFonts w:ascii="Arial" w:cs="Arial" w:eastAsia="Arial" w:hAnsi="Arial"/>
                <w:sz w:val="18"/>
                <w:szCs w:val="18"/>
                <w:b w:val="1"/>
                <w:bCs w:val="1"/>
                <w:color w:val="0000EE"/>
                <w:w w:val="96"/>
              </w:rPr>
            </w:pPr>
            <w:hyperlink w:anchor="page36">
              <w:r>
                <w:rPr>
                  <w:rFonts w:ascii="Arial" w:cs="Arial" w:eastAsia="Arial" w:hAnsi="Arial"/>
                  <w:sz w:val="18"/>
                  <w:szCs w:val="18"/>
                  <w:b w:val="1"/>
                  <w:bCs w:val="1"/>
                  <w:color w:val="0000EE"/>
                  <w:w w:val="96"/>
                </w:rPr>
                <w:t>PART II – Other Information</w:t>
              </w:r>
            </w:hyperlink>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18"/>
        </w:trPr>
        <w:tc>
          <w:tcPr>
            <w:tcW w:w="13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28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Legal Proceedings</w:t>
              </w:r>
            </w:hyperlink>
          </w:p>
        </w:tc>
        <w:tc>
          <w:tcPr>
            <w:tcW w:w="2280" w:type="dxa"/>
            <w:vAlign w:val="bottom"/>
            <w:tcBorders>
              <w:top w:val="single" w:sz="8" w:color="0000EE"/>
            </w:tcBorders>
            <w:gridSpan w:val="4"/>
          </w:tcPr>
          <w:p>
            <w:pPr>
              <w:spacing w:after="0"/>
              <w:rPr>
                <w:sz w:val="24"/>
                <w:szCs w:val="24"/>
                <w:color w:val="auto"/>
              </w:rPr>
            </w:pPr>
          </w:p>
        </w:tc>
        <w:tc>
          <w:tcPr>
            <w:tcW w:w="3200" w:type="dxa"/>
            <w:vAlign w:val="bottom"/>
            <w:gridSpan w:val="7"/>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7440" w:type="dxa"/>
            <w:vAlign w:val="bottom"/>
            <w:gridSpan w:val="14"/>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Unregistered Sales of Equity Securities and Use of Proceeds</w:t>
              </w:r>
            </w:hyperlink>
          </w:p>
        </w:tc>
        <w:tc>
          <w:tcPr>
            <w:tcW w:w="4420" w:type="dxa"/>
            <w:vAlign w:val="bottom"/>
            <w:gridSpan w:val="8"/>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50"/>
        </w:trPr>
        <w:tc>
          <w:tcPr>
            <w:tcW w:w="13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760" w:type="dxa"/>
            <w:vAlign w:val="bottom"/>
            <w:gridSpan w:val="2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Other Information</w:t>
              </w:r>
            </w:hyperlink>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196"/>
        </w:trPr>
        <w:tc>
          <w:tcPr>
            <w:tcW w:w="13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Exhibits</w:t>
              </w:r>
            </w:hyperlink>
          </w:p>
        </w:tc>
        <w:tc>
          <w:tcPr>
            <w:tcW w:w="7460" w:type="dxa"/>
            <w:vAlign w:val="bottom"/>
            <w:gridSpan w:val="15"/>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79</w:t>
            </w:r>
          </w:p>
        </w:tc>
      </w:tr>
      <w:tr>
        <w:trPr>
          <w:trHeight w:val="318"/>
        </w:trPr>
        <w:tc>
          <w:tcPr>
            <w:tcW w:w="1340" w:type="dxa"/>
            <w:vAlign w:val="bottom"/>
            <w:gridSpan w:val="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668"/>
        </w:trPr>
        <w:tc>
          <w:tcPr>
            <w:tcW w:w="1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340" w:type="dxa"/>
            <w:vAlign w:val="bottom"/>
            <w:gridSpan w:val="12"/>
          </w:tcPr>
          <w:p>
            <w:pPr>
              <w:ind w:left="4240"/>
              <w:spacing w:after="0"/>
              <w:rPr>
                <w:sz w:val="20"/>
                <w:szCs w:val="20"/>
                <w:color w:val="auto"/>
              </w:rPr>
            </w:pPr>
            <w:r>
              <w:rPr>
                <w:rFonts w:ascii="Arial" w:cs="Arial" w:eastAsia="Arial" w:hAnsi="Arial"/>
                <w:sz w:val="18"/>
                <w:szCs w:val="18"/>
                <w:color w:val="auto"/>
                <w:w w:val="79"/>
              </w:rPr>
              <w:t>2</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4"/>
                <w:szCs w:val="1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290,994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4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223,742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151,275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230,892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930,516</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879,233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4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Long-term investments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480"/>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Intangible asset, net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25,456</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990,252</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966,021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94,262</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105,876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228,734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Current deferred revenue</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325,769</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40"/>
              <w:spacing w:after="0"/>
              <w:rPr>
                <w:sz w:val="20"/>
                <w:szCs w:val="20"/>
                <w:color w:val="auto"/>
              </w:rPr>
            </w:pPr>
            <w:r>
              <w:rPr>
                <w:rFonts w:ascii="Arial" w:cs="Arial" w:eastAsia="Arial" w:hAnsi="Arial"/>
                <w:sz w:val="18"/>
                <w:szCs w:val="18"/>
                <w:color w:val="auto"/>
              </w:rPr>
              <w:t>Long-Term Liabilities: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Long-term deferred revenue</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80"/>
              <w:spacing w:after="0"/>
              <w:rPr>
                <w:sz w:val="20"/>
                <w:szCs w:val="20"/>
                <w:color w:val="auto"/>
              </w:rPr>
            </w:pPr>
            <w:r>
              <w:rPr>
                <w:rFonts w:ascii="Arial" w:cs="Arial" w:eastAsia="Arial" w:hAnsi="Arial"/>
                <w:sz w:val="18"/>
                <w:szCs w:val="18"/>
                <w:color w:val="auto"/>
              </w:rPr>
              <w:t>Long-term operating lease liability</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5,660</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ind w:left="9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355,641</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Commitments and contingencies (Note 5)</w:t>
            </w: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4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Common stock, £0.50 par, unlimited authorized; 401,655,725 shares issued,</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4"/>
              </w:rPr>
              <w:t>394,764,841 shares outstanding as of March 31, 2021; 398,425,000 shares issued,</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392,538,081 shares outstanding as of December 31, 2020</w:t>
            </w:r>
          </w:p>
        </w:tc>
        <w:tc>
          <w:tcPr>
            <w:tcW w:w="1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292,360</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290,115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4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1,831,388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1,817,649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8"/>
              </w:rPr>
              <w:t>Treasury stock; 6,890,884 shares as of March 31, 2021; 5,886,919 shares as of</w:t>
            </w:r>
          </w:p>
        </w:tc>
        <w:tc>
          <w:tcPr>
            <w:tcW w:w="1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December 31, 2020</w:t>
            </w:r>
          </w:p>
        </w:tc>
        <w:tc>
          <w:tcPr>
            <w:tcW w:w="1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(58,334)</w:t>
            </w:r>
          </w:p>
        </w:tc>
        <w:tc>
          <w:tcPr>
            <w:tcW w:w="1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(51,082)</w:t>
            </w:r>
          </w:p>
        </w:tc>
        <w:tc>
          <w:tcPr>
            <w:tcW w:w="0" w:type="dxa"/>
            <w:vAlign w:val="bottom"/>
          </w:tcPr>
          <w:p>
            <w:pPr>
              <w:spacing w:after="0"/>
              <w:rPr>
                <w:sz w:val="1"/>
                <w:szCs w:val="1"/>
                <w:color w:val="auto"/>
              </w:rPr>
            </w:pPr>
          </w:p>
        </w:tc>
      </w:tr>
      <w:tr>
        <w:trPr>
          <w:trHeight w:val="230"/>
        </w:trPr>
        <w:tc>
          <w:tcPr>
            <w:tcW w:w="6740" w:type="dxa"/>
            <w:vAlign w:val="bottom"/>
          </w:tcPr>
          <w:p>
            <w:pPr>
              <w:ind w:left="4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(1,430,803)</w:t>
            </w:r>
          </w:p>
        </w:tc>
        <w:tc>
          <w:tcPr>
            <w:tcW w:w="16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(1,429,177)</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ind w:left="9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634,611</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627,505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74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990,252</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960" w:type="dxa"/>
            <w:vAlign w:val="bottom"/>
            <w:tcBorders>
              <w:top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141,383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152,204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and royalty revenue</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142,170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154,993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113,844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120,186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105,798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133,937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115,175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144,215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(24,029)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net</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Other expense, net</w:t>
            </w: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taxes</w:t>
            </w: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(22,912)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9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(20,553)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(0.00)</w:t>
            </w:r>
          </w:p>
        </w:tc>
        <w:tc>
          <w:tcPr>
            <w:tcW w:w="108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394,638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361,136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394,638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361,136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jc w:val="right"/>
              <w:ind w:right="150"/>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2"/>
                <w:szCs w:val="12"/>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5"/>
              </w:rPr>
              <w:t>Common</w:t>
            </w:r>
          </w:p>
        </w:tc>
        <w:tc>
          <w:tcPr>
            <w:tcW w:w="9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Treasury</w:t>
            </w:r>
          </w:p>
        </w:tc>
        <w:tc>
          <w:tcPr>
            <w:tcW w:w="40" w:type="dxa"/>
            <w:vAlign w:val="bottom"/>
          </w:tcPr>
          <w:p>
            <w:pPr>
              <w:spacing w:after="0"/>
              <w:rPr>
                <w:sz w:val="12"/>
                <w:szCs w:val="12"/>
                <w:color w:val="auto"/>
              </w:rPr>
            </w:pPr>
          </w:p>
        </w:tc>
        <w:tc>
          <w:tcPr>
            <w:tcW w:w="580" w:type="dxa"/>
            <w:vAlign w:val="bottom"/>
            <w:gridSpan w:val="4"/>
          </w:tcPr>
          <w:p>
            <w:pPr>
              <w:spacing w:after="0"/>
              <w:rPr>
                <w:sz w:val="20"/>
                <w:szCs w:val="20"/>
                <w:color w:val="auto"/>
              </w:rPr>
            </w:pPr>
            <w:r>
              <w:rPr>
                <w:rFonts w:ascii="Arial" w:cs="Arial" w:eastAsia="Arial" w:hAnsi="Arial"/>
                <w:sz w:val="13"/>
                <w:szCs w:val="13"/>
                <w:b w:val="1"/>
                <w:bCs w:val="1"/>
                <w:color w:val="auto"/>
                <w:w w:val="96"/>
              </w:rPr>
              <w:t>Preferred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5"/>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5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150"/>
              <w:spacing w:after="0"/>
              <w:rPr>
                <w:sz w:val="20"/>
                <w:szCs w:val="20"/>
                <w:color w:val="auto"/>
              </w:rPr>
            </w:pPr>
            <w:r>
              <w:rPr>
                <w:rFonts w:ascii="Arial" w:cs="Arial" w:eastAsia="Arial" w:hAnsi="Arial"/>
                <w:sz w:val="13"/>
                <w:szCs w:val="13"/>
                <w:b w:val="1"/>
                <w:bCs w:val="1"/>
                <w:color w:val="auto"/>
                <w:w w:val="90"/>
              </w:rPr>
              <w:t>Treasury</w:t>
            </w:r>
          </w:p>
        </w:tc>
        <w:tc>
          <w:tcPr>
            <w:tcW w:w="1220" w:type="dxa"/>
            <w:vAlign w:val="bottom"/>
            <w:gridSpan w:val="6"/>
          </w:tcPr>
          <w:p>
            <w:pPr>
              <w:jc w:val="right"/>
              <w:ind w:right="380"/>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2"/>
              </w:rPr>
              <w:t>Shares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25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right"/>
              <w:ind w:right="25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w w:val="95"/>
              </w:rPr>
              <w:t>Deficit</w:t>
            </w:r>
          </w:p>
        </w:tc>
        <w:tc>
          <w:tcPr>
            <w:tcW w:w="86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Total</w:t>
            </w:r>
          </w:p>
        </w:tc>
      </w:tr>
      <w:tr>
        <w:trPr>
          <w:trHeight w:val="205"/>
        </w:trPr>
        <w:tc>
          <w:tcPr>
            <w:tcW w:w="240" w:type="dxa"/>
            <w:vAlign w:val="bottom"/>
          </w:tcPr>
          <w:p>
            <w:pPr>
              <w:spacing w:after="0"/>
              <w:rPr>
                <w:sz w:val="17"/>
                <w:szCs w:val="17"/>
                <w:color w:val="auto"/>
              </w:rPr>
            </w:pPr>
          </w:p>
        </w:tc>
        <w:tc>
          <w:tcPr>
            <w:tcW w:w="90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December</w:t>
            </w: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40" w:type="dxa"/>
            <w:vAlign w:val="bottom"/>
          </w:tcPr>
          <w:p>
            <w:pPr>
              <w:spacing w:after="0"/>
              <w:rPr>
                <w:sz w:val="20"/>
                <w:szCs w:val="20"/>
                <w:color w:val="auto"/>
              </w:rPr>
            </w:pPr>
          </w:p>
        </w:tc>
        <w:tc>
          <w:tcPr>
            <w:tcW w:w="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31, 2020</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398,425,000</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b w:val="1"/>
                <w:bCs w:val="1"/>
                <w:color w:val="auto"/>
                <w:w w:val="93"/>
              </w:rPr>
              <w:t>(5,886,919)</w:t>
            </w:r>
          </w:p>
        </w:tc>
        <w:tc>
          <w:tcPr>
            <w:tcW w:w="160" w:type="dxa"/>
            <w:vAlign w:val="bottom"/>
            <w:gridSpan w:val="3"/>
            <w:shd w:val="clear" w:color="auto" w:fill="CFF0FC"/>
          </w:tcPr>
          <w:p>
            <w:pPr>
              <w:ind w:left="4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jc w:val="center"/>
              <w:ind w:left="76"/>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5"/>
            <w:shd w:val="clear" w:color="auto" w:fill="CFF0FC"/>
          </w:tcPr>
          <w:p>
            <w:pPr>
              <w:jc w:val="right"/>
              <w:spacing w:after="0"/>
              <w:rPr>
                <w:sz w:val="20"/>
                <w:szCs w:val="20"/>
                <w:color w:val="auto"/>
              </w:rPr>
            </w:pPr>
            <w:r>
              <w:rPr>
                <w:rFonts w:ascii="Arial" w:cs="Arial" w:eastAsia="Arial" w:hAnsi="Arial"/>
                <w:sz w:val="18"/>
                <w:szCs w:val="18"/>
                <w:b w:val="1"/>
                <w:bCs w:val="1"/>
                <w:color w:val="auto"/>
              </w:rPr>
              <w:t>$ 290,115</w:t>
            </w:r>
          </w:p>
        </w:tc>
        <w:tc>
          <w:tcPr>
            <w:tcW w:w="20" w:type="dxa"/>
            <w:vAlign w:val="bottom"/>
            <w:shd w:val="clear" w:color="auto" w:fill="CFF0FC"/>
          </w:tcPr>
          <w:p>
            <w:pPr>
              <w:spacing w:after="0"/>
              <w:rPr>
                <w:sz w:val="20"/>
                <w:szCs w:val="20"/>
                <w:color w:val="auto"/>
              </w:rPr>
            </w:pPr>
          </w:p>
        </w:tc>
        <w:tc>
          <w:tcPr>
            <w:tcW w:w="96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w w:val="96"/>
              </w:rPr>
              <w:t>$ 1,817,649</w:t>
            </w:r>
          </w:p>
        </w:tc>
        <w:tc>
          <w:tcPr>
            <w:tcW w:w="120" w:type="dxa"/>
            <w:vAlign w:val="bottom"/>
            <w:shd w:val="clear" w:color="auto" w:fill="CFF0FC"/>
          </w:tcPr>
          <w:p>
            <w:pPr>
              <w:spacing w:after="0"/>
              <w:rPr>
                <w:sz w:val="20"/>
                <w:szCs w:val="20"/>
                <w:color w:val="auto"/>
              </w:rPr>
            </w:pPr>
          </w:p>
        </w:tc>
        <w:tc>
          <w:tcPr>
            <w:tcW w:w="860" w:type="dxa"/>
            <w:vAlign w:val="bottom"/>
            <w:gridSpan w:val="5"/>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 (51,082)</w:t>
            </w:r>
          </w:p>
        </w:tc>
        <w:tc>
          <w:tcPr>
            <w:tcW w:w="1780" w:type="dxa"/>
            <w:vAlign w:val="bottom"/>
            <w:gridSpan w:val="8"/>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(1,429,177) $ 627,505</w:t>
            </w:r>
          </w:p>
        </w:tc>
        <w:tc>
          <w:tcPr>
            <w:tcW w:w="80" w:type="dxa"/>
            <w:vAlign w:val="bottom"/>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2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98"/>
              </w:rPr>
              <w:t>Exercise of</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w w:val="95"/>
              </w:rPr>
              <w:t>stock options</w:t>
            </w:r>
          </w:p>
        </w:tc>
        <w:tc>
          <w:tcPr>
            <w:tcW w:w="6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783,320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center"/>
              <w:ind w:left="76"/>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240" w:type="dxa"/>
            <w:vAlign w:val="bottom"/>
          </w:tcPr>
          <w:p>
            <w:pPr>
              <w:spacing w:after="0"/>
              <w:rPr>
                <w:sz w:val="18"/>
                <w:szCs w:val="18"/>
                <w:color w:val="auto"/>
              </w:rPr>
            </w:pPr>
          </w:p>
        </w:tc>
        <w:tc>
          <w:tcPr>
            <w:tcW w:w="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Vesting of</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units</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2,447,405</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w w:val="93"/>
              </w:rPr>
              <w:t>(1,003,965)</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jc w:val="center"/>
              <w:ind w:left="7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1,709</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(1,709)</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(7,252)</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4"/>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(7,252)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24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w w:val="87"/>
              </w:rPr>
              <w:t>Stock-based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color w:val="auto"/>
                <w:w w:val="89"/>
              </w:rPr>
              <w:t>compensation</w:t>
            </w:r>
          </w:p>
        </w:tc>
        <w:tc>
          <w:tcPr>
            <w:tcW w:w="6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center"/>
              <w:ind w:left="76"/>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13,925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13,925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240" w:type="dxa"/>
            <w:vAlign w:val="bottom"/>
          </w:tcPr>
          <w:p>
            <w:pPr>
              <w:spacing w:after="0"/>
              <w:rPr>
                <w:sz w:val="18"/>
                <w:szCs w:val="18"/>
                <w:color w:val="auto"/>
              </w:rPr>
            </w:pPr>
          </w:p>
        </w:tc>
        <w:tc>
          <w:tcPr>
            <w:tcW w:w="9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Loss for the</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period</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jc w:val="center"/>
              <w:ind w:left="76"/>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(1,626)</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240" w:type="dxa"/>
            <w:vAlign w:val="bottom"/>
          </w:tcPr>
          <w:p>
            <w:pPr>
              <w:spacing w:after="0"/>
              <w:rPr>
                <w:sz w:val="17"/>
                <w:szCs w:val="17"/>
                <w:color w:val="auto"/>
              </w:rPr>
            </w:pPr>
          </w:p>
        </w:tc>
        <w:tc>
          <w:tcPr>
            <w:tcW w:w="9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100" w:type="dxa"/>
            <w:vAlign w:val="bottom"/>
            <w:gridSpan w:val="2"/>
          </w:tcPr>
          <w:p>
            <w:pPr>
              <w:ind w:left="24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401,655,725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w w:val="97"/>
              </w:rPr>
              <w:t>(6,890,884) $</w:t>
            </w:r>
          </w:p>
        </w:tc>
        <w:tc>
          <w:tcPr>
            <w:tcW w:w="80" w:type="dxa"/>
            <w:vAlign w:val="bottom"/>
          </w:tcPr>
          <w:p>
            <w:pPr>
              <w:spacing w:after="0"/>
              <w:rPr>
                <w:sz w:val="20"/>
                <w:szCs w:val="20"/>
                <w:color w:val="auto"/>
              </w:rPr>
            </w:pPr>
          </w:p>
        </w:tc>
        <w:tc>
          <w:tcPr>
            <w:tcW w:w="380" w:type="dxa"/>
            <w:vAlign w:val="bottom"/>
          </w:tcPr>
          <w:p>
            <w:pPr>
              <w:jc w:val="center"/>
              <w:ind w:left="76"/>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5"/>
          </w:tcPr>
          <w:p>
            <w:pPr>
              <w:jc w:val="right"/>
              <w:spacing w:after="0"/>
              <w:rPr>
                <w:sz w:val="20"/>
                <w:szCs w:val="20"/>
                <w:color w:val="auto"/>
              </w:rPr>
            </w:pPr>
            <w:r>
              <w:rPr>
                <w:rFonts w:ascii="Arial" w:cs="Arial" w:eastAsia="Arial" w:hAnsi="Arial"/>
                <w:sz w:val="18"/>
                <w:szCs w:val="18"/>
                <w:b w:val="1"/>
                <w:bCs w:val="1"/>
                <w:color w:val="auto"/>
              </w:rPr>
              <w:t>$ 292,360</w:t>
            </w:r>
          </w:p>
        </w:tc>
        <w:tc>
          <w:tcPr>
            <w:tcW w:w="2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b w:val="1"/>
                <w:bCs w:val="1"/>
                <w:color w:val="auto"/>
                <w:w w:val="96"/>
              </w:rPr>
              <w:t>$ 1,831,388</w:t>
            </w:r>
          </w:p>
        </w:tc>
        <w:tc>
          <w:tcPr>
            <w:tcW w:w="120" w:type="dxa"/>
            <w:vAlign w:val="bottom"/>
          </w:tcPr>
          <w:p>
            <w:pPr>
              <w:spacing w:after="0"/>
              <w:rPr>
                <w:sz w:val="20"/>
                <w:szCs w:val="20"/>
                <w:color w:val="auto"/>
              </w:rPr>
            </w:pPr>
          </w:p>
        </w:tc>
        <w:tc>
          <w:tcPr>
            <w:tcW w:w="2640" w:type="dxa"/>
            <w:vAlign w:val="bottom"/>
            <w:gridSpan w:val="13"/>
          </w:tcPr>
          <w:p>
            <w:pPr>
              <w:jc w:val="right"/>
              <w:spacing w:after="0"/>
              <w:rPr>
                <w:sz w:val="20"/>
                <w:szCs w:val="20"/>
                <w:color w:val="auto"/>
              </w:rPr>
            </w:pPr>
            <w:r>
              <w:rPr>
                <w:rFonts w:ascii="Arial" w:cs="Arial" w:eastAsia="Arial" w:hAnsi="Arial"/>
                <w:sz w:val="18"/>
                <w:szCs w:val="18"/>
                <w:b w:val="1"/>
                <w:bCs w:val="1"/>
                <w:color w:val="auto"/>
                <w:w w:val="93"/>
              </w:rPr>
              <w:t xml:space="preserve">$ (58,334) </w:t>
            </w: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 xml:space="preserve"> (1,430,803) $ 634,611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2"/>
        </w:trPr>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8"/>
        </w:trPr>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2"/>
                <w:szCs w:val="12"/>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Treasury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Preferred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Common</w:t>
            </w:r>
          </w:p>
        </w:tc>
        <w:tc>
          <w:tcPr>
            <w:tcW w:w="140" w:type="dxa"/>
            <w:vAlign w:val="bottom"/>
          </w:tcPr>
          <w:p>
            <w:pPr>
              <w:spacing w:after="0"/>
              <w:rPr>
                <w:sz w:val="12"/>
                <w:szCs w:val="12"/>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Treasury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1"/>
        </w:trPr>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left="121"/>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4"/>
                <w:szCs w:val="14"/>
                <w:color w:val="auto"/>
              </w:rPr>
            </w:pPr>
          </w:p>
        </w:tc>
        <w:tc>
          <w:tcPr>
            <w:tcW w:w="80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Total</w:t>
            </w:r>
          </w:p>
        </w:tc>
      </w:tr>
      <w:tr>
        <w:trPr>
          <w:trHeight w:val="205"/>
        </w:trPr>
        <w:tc>
          <w:tcPr>
            <w:tcW w:w="110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December</w:t>
            </w: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11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31, 2019</w:t>
            </w:r>
          </w:p>
        </w:tc>
        <w:tc>
          <w:tcPr>
            <w:tcW w:w="40" w:type="dxa"/>
            <w:vAlign w:val="bottom"/>
            <w:shd w:val="clear" w:color="auto" w:fill="CFF0FC"/>
          </w:tcPr>
          <w:p>
            <w:pPr>
              <w:spacing w:after="0"/>
              <w:rPr>
                <w:sz w:val="20"/>
                <w:szCs w:val="20"/>
                <w:color w:val="auto"/>
              </w:rPr>
            </w:pPr>
          </w:p>
        </w:tc>
        <w:tc>
          <w:tcPr>
            <w:tcW w:w="940" w:type="dxa"/>
            <w:vAlign w:val="bottom"/>
            <w:gridSpan w:val="5"/>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289,317,460</w:t>
            </w:r>
          </w:p>
        </w:tc>
        <w:tc>
          <w:tcPr>
            <w:tcW w:w="112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365,014,893</w:t>
            </w:r>
          </w:p>
        </w:tc>
        <w:tc>
          <w:tcPr>
            <w:tcW w:w="108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(4,910,992)</w:t>
            </w:r>
          </w:p>
        </w:tc>
        <w:tc>
          <w:tcPr>
            <w:tcW w:w="68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$ 21,850</w:t>
            </w:r>
          </w:p>
        </w:tc>
        <w:tc>
          <w:tcPr>
            <w:tcW w:w="86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$ 269,173</w:t>
            </w:r>
          </w:p>
        </w:tc>
        <w:tc>
          <w:tcPr>
            <w:tcW w:w="980" w:type="dxa"/>
            <w:vAlign w:val="bottom"/>
            <w:gridSpan w:val="5"/>
            <w:shd w:val="clear" w:color="auto" w:fill="CFF0FC"/>
          </w:tcPr>
          <w:p>
            <w:pPr>
              <w:jc w:val="right"/>
              <w:spacing w:after="0"/>
              <w:rPr>
                <w:sz w:val="20"/>
                <w:szCs w:val="20"/>
                <w:color w:val="auto"/>
              </w:rPr>
            </w:pPr>
            <w:r>
              <w:rPr>
                <w:rFonts w:ascii="Arial" w:cs="Arial" w:eastAsia="Arial" w:hAnsi="Arial"/>
                <w:sz w:val="18"/>
                <w:szCs w:val="18"/>
                <w:b w:val="1"/>
                <w:bCs w:val="1"/>
                <w:color w:val="auto"/>
              </w:rPr>
              <w:t>$ 1,764,317</w:t>
            </w:r>
          </w:p>
        </w:tc>
        <w:tc>
          <w:tcPr>
            <w:tcW w:w="1000" w:type="dxa"/>
            <w:vAlign w:val="bottom"/>
            <w:gridSpan w:val="5"/>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 (35,900)</w:t>
            </w:r>
          </w:p>
        </w:tc>
        <w:tc>
          <w:tcPr>
            <w:tcW w:w="9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87"/>
              </w:rPr>
              <w:t>$ (1,411,177)</w:t>
            </w:r>
          </w:p>
        </w:tc>
        <w:tc>
          <w:tcPr>
            <w:tcW w:w="7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2"/>
              </w:rPr>
              <w:t>$ 608,263</w:t>
            </w:r>
          </w:p>
        </w:tc>
        <w:tc>
          <w:tcPr>
            <w:tcW w:w="80" w:type="dxa"/>
            <w:vAlign w:val="bottom"/>
            <w:shd w:val="clear" w:color="auto" w:fill="CFF0FC"/>
          </w:tcPr>
          <w:p>
            <w:pPr>
              <w:spacing w:after="0"/>
              <w:rPr>
                <w:sz w:val="20"/>
                <w:szCs w:val="20"/>
                <w:color w:val="auto"/>
              </w:rPr>
            </w:pPr>
          </w:p>
        </w:tc>
      </w:tr>
      <w:tr>
        <w:trPr>
          <w:trHeight w:val="215"/>
        </w:trPr>
        <w:tc>
          <w:tcPr>
            <w:tcW w:w="1140" w:type="dxa"/>
            <w:vAlign w:val="bottom"/>
            <w:gridSpan w:val="3"/>
          </w:tcPr>
          <w:p>
            <w:pPr>
              <w:spacing w:after="0"/>
              <w:rPr>
                <w:sz w:val="20"/>
                <w:szCs w:val="20"/>
                <w:color w:val="auto"/>
              </w:rPr>
            </w:pPr>
            <w:r>
              <w:rPr>
                <w:rFonts w:ascii="Arial" w:cs="Arial" w:eastAsia="Arial" w:hAnsi="Arial"/>
                <w:sz w:val="18"/>
                <w:szCs w:val="18"/>
                <w:color w:val="auto"/>
              </w:rPr>
              <w:t>Exercise of</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412,465</w:t>
            </w:r>
          </w:p>
        </w:tc>
        <w:tc>
          <w:tcPr>
            <w:tcW w:w="140" w:type="dxa"/>
            <w:vAlign w:val="bottom"/>
          </w:tcPr>
          <w:p>
            <w:pPr>
              <w:spacing w:after="0"/>
              <w:rPr>
                <w:sz w:val="20"/>
                <w:szCs w:val="20"/>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color w:val="auto"/>
              </w:rPr>
              <w:t>269</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1,037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1,306</w:t>
            </w:r>
          </w:p>
        </w:tc>
        <w:tc>
          <w:tcPr>
            <w:tcW w:w="80" w:type="dxa"/>
            <w:vAlign w:val="bottom"/>
          </w:tcPr>
          <w:p>
            <w:pPr>
              <w:spacing w:after="0"/>
              <w:rPr>
                <w:sz w:val="20"/>
                <w:szCs w:val="20"/>
                <w:color w:val="auto"/>
              </w:rPr>
            </w:pPr>
          </w:p>
        </w:tc>
      </w:tr>
      <w:tr>
        <w:trPr>
          <w:trHeight w:val="215"/>
        </w:trPr>
        <w:tc>
          <w:tcPr>
            <w:tcW w:w="1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Vesting of</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1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stock units</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1,951,448</w:t>
            </w:r>
          </w:p>
        </w:tc>
        <w:tc>
          <w:tcPr>
            <w:tcW w:w="108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(759,832)</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6"/>
            <w:shd w:val="clear" w:color="auto" w:fill="CFF0FC"/>
          </w:tcPr>
          <w:p>
            <w:pPr>
              <w:jc w:val="right"/>
              <w:ind w:right="20"/>
              <w:spacing w:after="0"/>
              <w:rPr>
                <w:sz w:val="20"/>
                <w:szCs w:val="20"/>
                <w:color w:val="auto"/>
              </w:rPr>
            </w:pPr>
            <w:r>
              <w:rPr>
                <w:rFonts w:ascii="Arial" w:cs="Arial" w:eastAsia="Arial" w:hAnsi="Arial"/>
                <w:sz w:val="18"/>
                <w:szCs w:val="18"/>
                <w:color w:val="auto"/>
              </w:rPr>
              <w:t>1,274</w:t>
            </w:r>
          </w:p>
        </w:tc>
        <w:tc>
          <w:tcPr>
            <w:tcW w:w="1980" w:type="dxa"/>
            <w:vAlign w:val="bottom"/>
            <w:gridSpan w:val="10"/>
            <w:shd w:val="clear" w:color="auto" w:fill="CFF0FC"/>
          </w:tcPr>
          <w:p>
            <w:pPr>
              <w:jc w:val="right"/>
              <w:ind w:right="100"/>
              <w:spacing w:after="0"/>
              <w:rPr>
                <w:sz w:val="20"/>
                <w:szCs w:val="20"/>
                <w:color w:val="auto"/>
              </w:rPr>
            </w:pPr>
            <w:r>
              <w:rPr>
                <w:rFonts w:ascii="Arial" w:cs="Arial" w:eastAsia="Arial" w:hAnsi="Arial"/>
                <w:sz w:val="18"/>
                <w:szCs w:val="18"/>
                <w:color w:val="auto"/>
              </w:rPr>
              <w:t>(1,274)   (13,831)</w:t>
            </w:r>
          </w:p>
        </w:tc>
        <w:tc>
          <w:tcPr>
            <w:tcW w:w="660" w:type="dxa"/>
            <w:vAlign w:val="bottom"/>
            <w:shd w:val="clear" w:color="auto" w:fill="CFF0FC"/>
          </w:tcPr>
          <w:p>
            <w:pPr>
              <w:spacing w:after="0"/>
              <w:rPr>
                <w:sz w:val="20"/>
                <w:szCs w:val="20"/>
                <w:color w:val="auto"/>
              </w:rPr>
            </w:pPr>
          </w:p>
        </w:tc>
        <w:tc>
          <w:tcPr>
            <w:tcW w:w="3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(13,831)</w:t>
            </w:r>
          </w:p>
        </w:tc>
      </w:tr>
      <w:tr>
        <w:trPr>
          <w:trHeight w:val="215"/>
        </w:trPr>
        <w:tc>
          <w:tcPr>
            <w:tcW w:w="1140" w:type="dxa"/>
            <w:vAlign w:val="bottom"/>
            <w:gridSpan w:val="3"/>
          </w:tcPr>
          <w:p>
            <w:pPr>
              <w:spacing w:after="0"/>
              <w:rPr>
                <w:sz w:val="20"/>
                <w:szCs w:val="20"/>
                <w:color w:val="auto"/>
              </w:rPr>
            </w:pPr>
            <w:r>
              <w:rPr>
                <w:rFonts w:ascii="Arial" w:cs="Arial" w:eastAsia="Arial" w:hAnsi="Arial"/>
                <w:sz w:val="18"/>
                <w:szCs w:val="18"/>
                <w:color w:val="auto"/>
              </w:rPr>
              <w:t>Stock-based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140" w:type="dxa"/>
            <w:vAlign w:val="bottom"/>
            <w:gridSpan w:val="3"/>
          </w:tcPr>
          <w:p>
            <w:pPr>
              <w:spacing w:after="0"/>
              <w:rPr>
                <w:sz w:val="20"/>
                <w:szCs w:val="20"/>
                <w:color w:val="auto"/>
              </w:rPr>
            </w:pPr>
            <w:r>
              <w:rPr>
                <w:rFonts w:ascii="Arial" w:cs="Arial" w:eastAsia="Arial" w:hAnsi="Arial"/>
                <w:sz w:val="18"/>
                <w:szCs w:val="18"/>
                <w:color w:val="auto"/>
                <w:w w:val="99"/>
              </w:rPr>
              <w:t>compensation</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w:t>
            </w:r>
          </w:p>
        </w:tc>
        <w:tc>
          <w:tcPr>
            <w:tcW w:w="980" w:type="dxa"/>
            <w:vAlign w:val="bottom"/>
            <w:gridSpan w:val="5"/>
          </w:tcPr>
          <w:p>
            <w:pPr>
              <w:jc w:val="right"/>
              <w:spacing w:after="0"/>
              <w:rPr>
                <w:sz w:val="20"/>
                <w:szCs w:val="20"/>
                <w:color w:val="auto"/>
              </w:rPr>
            </w:pPr>
            <w:r>
              <w:rPr>
                <w:rFonts w:ascii="Arial" w:cs="Arial" w:eastAsia="Arial" w:hAnsi="Arial"/>
                <w:sz w:val="18"/>
                <w:szCs w:val="18"/>
                <w:color w:val="auto"/>
              </w:rPr>
              <w:t>10,591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10,591</w:t>
            </w:r>
          </w:p>
        </w:tc>
        <w:tc>
          <w:tcPr>
            <w:tcW w:w="80" w:type="dxa"/>
            <w:vAlign w:val="bottom"/>
          </w:tcPr>
          <w:p>
            <w:pPr>
              <w:spacing w:after="0"/>
              <w:rPr>
                <w:sz w:val="20"/>
                <w:szCs w:val="20"/>
                <w:color w:val="auto"/>
              </w:rPr>
            </w:pPr>
          </w:p>
        </w:tc>
      </w:tr>
      <w:tr>
        <w:trPr>
          <w:trHeight w:val="215"/>
        </w:trPr>
        <w:tc>
          <w:tcPr>
            <w:tcW w:w="1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 for the</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1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period</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940" w:type="dxa"/>
            <w:vAlign w:val="bottom"/>
            <w:gridSpan w:val="5"/>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(20,553)</w:t>
            </w:r>
          </w:p>
        </w:tc>
        <w:tc>
          <w:tcPr>
            <w:tcW w:w="86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(20,553)</w:t>
            </w:r>
          </w:p>
        </w:tc>
      </w:tr>
      <w:tr>
        <w:trPr>
          <w:trHeight w:val="205"/>
        </w:trPr>
        <w:tc>
          <w:tcPr>
            <w:tcW w:w="11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March 31,</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2020</w:t>
            </w:r>
          </w:p>
        </w:tc>
        <w:tc>
          <w:tcPr>
            <w:tcW w:w="40" w:type="dxa"/>
            <w:vAlign w:val="bottom"/>
          </w:tcPr>
          <w:p>
            <w:pPr>
              <w:spacing w:after="0"/>
              <w:rPr>
                <w:sz w:val="20"/>
                <w:szCs w:val="20"/>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289,317,460</w:t>
            </w:r>
          </w:p>
        </w:tc>
        <w:tc>
          <w:tcPr>
            <w:tcW w:w="1120" w:type="dxa"/>
            <w:vAlign w:val="bottom"/>
            <w:gridSpan w:val="4"/>
          </w:tcPr>
          <w:p>
            <w:pPr>
              <w:jc w:val="right"/>
              <w:spacing w:after="0"/>
              <w:rPr>
                <w:sz w:val="20"/>
                <w:szCs w:val="20"/>
                <w:color w:val="auto"/>
              </w:rPr>
            </w:pPr>
            <w:r>
              <w:rPr>
                <w:rFonts w:ascii="Arial" w:cs="Arial" w:eastAsia="Arial" w:hAnsi="Arial"/>
                <w:sz w:val="18"/>
                <w:szCs w:val="18"/>
                <w:b w:val="1"/>
                <w:bCs w:val="1"/>
                <w:color w:val="auto"/>
              </w:rPr>
              <w:t>367,378,806</w:t>
            </w:r>
          </w:p>
        </w:tc>
        <w:tc>
          <w:tcPr>
            <w:tcW w:w="108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(5,670,824)</w:t>
            </w:r>
          </w:p>
        </w:tc>
        <w:tc>
          <w:tcPr>
            <w:tcW w:w="68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$ 21,850</w:t>
            </w:r>
          </w:p>
        </w:tc>
        <w:tc>
          <w:tcPr>
            <w:tcW w:w="860" w:type="dxa"/>
            <w:vAlign w:val="bottom"/>
            <w:gridSpan w:val="6"/>
          </w:tcPr>
          <w:p>
            <w:pPr>
              <w:jc w:val="right"/>
              <w:ind w:right="20"/>
              <w:spacing w:after="0"/>
              <w:rPr>
                <w:sz w:val="20"/>
                <w:szCs w:val="20"/>
                <w:color w:val="auto"/>
              </w:rPr>
            </w:pPr>
            <w:r>
              <w:rPr>
                <w:rFonts w:ascii="Arial" w:cs="Arial" w:eastAsia="Arial" w:hAnsi="Arial"/>
                <w:sz w:val="18"/>
                <w:szCs w:val="18"/>
                <w:b w:val="1"/>
                <w:bCs w:val="1"/>
                <w:color w:val="auto"/>
              </w:rPr>
              <w:t>$ 270,716</w:t>
            </w:r>
          </w:p>
        </w:tc>
        <w:tc>
          <w:tcPr>
            <w:tcW w:w="980" w:type="dxa"/>
            <w:vAlign w:val="bottom"/>
            <w:gridSpan w:val="5"/>
          </w:tcPr>
          <w:p>
            <w:pPr>
              <w:jc w:val="right"/>
              <w:spacing w:after="0"/>
              <w:rPr>
                <w:sz w:val="20"/>
                <w:szCs w:val="20"/>
                <w:color w:val="auto"/>
              </w:rPr>
            </w:pPr>
            <w:r>
              <w:rPr>
                <w:rFonts w:ascii="Arial" w:cs="Arial" w:eastAsia="Arial" w:hAnsi="Arial"/>
                <w:sz w:val="18"/>
                <w:szCs w:val="18"/>
                <w:b w:val="1"/>
                <w:bCs w:val="1"/>
                <w:color w:val="auto"/>
              </w:rPr>
              <w:t>$ 1,774,671</w:t>
            </w:r>
          </w:p>
        </w:tc>
        <w:tc>
          <w:tcPr>
            <w:tcW w:w="10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 (49,731)</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 xml:space="preserve"> (1,431,730)</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2"/>
              </w:rPr>
              <w:t>$ 585,776</w:t>
            </w:r>
          </w:p>
        </w:tc>
        <w:tc>
          <w:tcPr>
            <w:tcW w:w="80" w:type="dxa"/>
            <w:vAlign w:val="bottom"/>
          </w:tcPr>
          <w:p>
            <w:pPr>
              <w:spacing w:after="0"/>
              <w:rPr>
                <w:sz w:val="20"/>
                <w:szCs w:val="20"/>
                <w:color w:val="auto"/>
              </w:rPr>
            </w:pPr>
          </w:p>
        </w:tc>
      </w:tr>
      <w:tr>
        <w:trPr>
          <w:trHeight w:val="20"/>
        </w:trPr>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40"/>
          </w:cols>
          <w:pgMar w:left="1120" w:top="121" w:right="11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98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(20,553)</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(used in) provided by operating activities: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(accretion) of investments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discount and debt issuance costs</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Amortization of intangible asset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(41,858)</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(42,028)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long-term assets</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interest payable</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 and maturities of securities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Purchases of securities</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(310,648)</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Disposal of furniture, fixtures and equipment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auto"/>
              </w:rPr>
              <w:t>Purchases of furniture, fixtures and equipment</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127,929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(293,822)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 net of transaction costs</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auto"/>
              </w:rPr>
              <w:t>Payment on debt from royalty-bearing instrument</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(13,330)</w:t>
            </w: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Taxes paid related to stock-based awards</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(7,252)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(13,831)</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 AND</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104,032</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(315,540)</w:t>
            </w:r>
          </w:p>
        </w:tc>
        <w:tc>
          <w:tcPr>
            <w:tcW w:w="0" w:type="dxa"/>
            <w:vAlign w:val="bottom"/>
          </w:tcPr>
          <w:p>
            <w:pPr>
              <w:spacing w:after="0"/>
              <w:rPr>
                <w:sz w:val="1"/>
                <w:szCs w:val="1"/>
                <w:color w:val="auto"/>
              </w:rPr>
            </w:pPr>
          </w:p>
        </w:tc>
      </w:tr>
      <w:tr>
        <w:trPr>
          <w:trHeight w:val="215"/>
        </w:trPr>
        <w:tc>
          <w:tcPr>
            <w:tcW w:w="6980" w:type="dxa"/>
            <w:vAlign w:val="bottom"/>
          </w:tcPr>
          <w:p>
            <w:pPr>
              <w:spacing w:after="0"/>
              <w:rPr>
                <w:sz w:val="20"/>
                <w:szCs w:val="20"/>
                <w:color w:val="auto"/>
              </w:rPr>
            </w:pPr>
            <w:r>
              <w:rPr>
                <w:rFonts w:ascii="Arial" w:cs="Arial" w:eastAsia="Arial" w:hAnsi="Arial"/>
                <w:sz w:val="18"/>
                <w:szCs w:val="18"/>
                <w:color w:val="auto"/>
              </w:rPr>
              <w:t>CASH AND CASH EQUIVALENTS AND RESTRICTED CASH, BEGINNING OF</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PERIOD</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190,879</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648,495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294,911</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332,955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during the year for:</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Interest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9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transactions: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Laxdale Milestone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121" w:right="89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520" w:right="7260" w:hanging="512"/>
        <w:spacing w:after="0" w:line="377" w:lineRule="auto"/>
        <w:tabs>
          <w:tab w:leader="none" w:pos="51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Amarin Corporation plc, or Amarin, or the Company, is a pharmaceutical company focused on the commercialization and development of therapeutics to improve cardiovascular health and reduce cardiovascular risk.</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Company’s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was first approved by the United States Food and Drug Administration, or U.S. FDA, in July 2012 for use as an adjunct to diet to reduce triglyceride, or TG, levels in adult patients with severe (</w:t>
      </w:r>
      <w:r>
        <w:rPr>
          <w:rFonts w:ascii="Arial" w:cs="Arial" w:eastAsia="Arial" w:hAnsi="Arial"/>
          <w:sz w:val="16"/>
          <w:szCs w:val="16"/>
          <w:u w:val="single" w:color="auto"/>
          <w:color w:val="auto"/>
        </w:rPr>
        <w:t>&gt;</w:t>
      </w:r>
      <w:r>
        <w:rPr>
          <w:rFonts w:ascii="Arial" w:cs="Arial" w:eastAsia="Arial" w:hAnsi="Arial"/>
          <w:sz w:val="16"/>
          <w:szCs w:val="16"/>
          <w:color w:val="auto"/>
        </w:rPr>
        <w:t>500 mg/dL) hypertriglyceridemia. In January 2013, the Company launched 1-gram size VASCEPA in the United States, or U.S., and in October 2016, introduced a smaller 0.5-gram capsule size. On December 13, 2019, the U.S. FDA approved an indication and label expansion for VASCEPA based on the results of the Company’s long-term cardiovascular outcomes trial, REDUCE-IT</w:t>
      </w:r>
      <w:r>
        <w:rPr>
          <w:rFonts w:ascii="Arial" w:cs="Arial" w:eastAsia="Arial" w:hAnsi="Arial"/>
          <w:sz w:val="13"/>
          <w:szCs w:val="13"/>
          <w:color w:val="auto"/>
        </w:rPr>
        <w:t>®</w:t>
      </w:r>
      <w:r>
        <w:rPr>
          <w:rFonts w:ascii="Arial" w:cs="Arial" w:eastAsia="Arial" w:hAnsi="Arial"/>
          <w:sz w:val="16"/>
          <w:szCs w:val="16"/>
          <w:color w:val="auto"/>
        </w:rPr>
        <w:t>, or Reduction of Cardiovascular Events with EPA – Intervention Trial. VASCEPA is approved by the U.S. FDA as an adjunct to maximally tolerated statin therapy for reducing persistent cardiovascular risk in select high risk patients. VASCEPA is also available for sale by prescription only in Canada, Lebanon and the United Arab Emirates through collaborations and is also in development in other jurisdictions.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30, 2020, the United States District Court for the District of Nevada, or the Nevada Court, ruled in favor of two generics companies in Amarin’s patent litigation related to its abbreviated new drug applications, or ANDAs, that seek U.S. FDA approval for sale of generic versions of VASCEPA for the original indication of VASCEPA as an adjunct to diet to reduce TG levels in adult patients with severe (</w:t>
      </w:r>
      <w:r>
        <w:rPr>
          <w:rFonts w:ascii="Arial" w:cs="Arial" w:eastAsia="Arial" w:hAnsi="Arial"/>
          <w:sz w:val="17"/>
          <w:szCs w:val="17"/>
          <w:u w:val="single" w:color="auto"/>
          <w:color w:val="auto"/>
        </w:rPr>
        <w:t>&gt;</w:t>
      </w:r>
      <w:r>
        <w:rPr>
          <w:rFonts w:ascii="Arial" w:cs="Arial" w:eastAsia="Arial" w:hAnsi="Arial"/>
          <w:sz w:val="17"/>
          <w:szCs w:val="17"/>
          <w:color w:val="auto"/>
        </w:rPr>
        <w:t xml:space="preserve">500 mg/dL) hypertriglyceridemia. On May 22, 2020 and August 10, 2020, the two generics companies, Hikma Pharmaceutical USA Inc., or Hikma, and Dr. Reddy’s Laboratories, Inc., or Dr. Reddy’s, respectively, received U.S. FDA approval to market its generic versions of VASCEPA. On September 3, 2020, the U.S. Court of Appeals for the Federal Circuit, or the Federal Circuit, upheld the March ruling by the Nevada Court in favor of the two generics companies. On October 2, 2020, the Company filed a combined petition for panel rehearing or rehearing </w:t>
      </w:r>
      <w:r>
        <w:rPr>
          <w:rFonts w:ascii="Arial" w:cs="Arial" w:eastAsia="Arial" w:hAnsi="Arial"/>
          <w:sz w:val="17"/>
          <w:szCs w:val="17"/>
          <w:i w:val="1"/>
          <w:iCs w:val="1"/>
          <w:color w:val="auto"/>
        </w:rPr>
        <w:t>en banc</w:t>
      </w:r>
      <w:r>
        <w:rPr>
          <w:rFonts w:ascii="Arial" w:cs="Arial" w:eastAsia="Arial" w:hAnsi="Arial"/>
          <w:sz w:val="17"/>
          <w:szCs w:val="17"/>
          <w:color w:val="auto"/>
        </w:rPr>
        <w:t xml:space="preserve">. On November 4, 2020, the Company’s rehearing and </w:t>
      </w:r>
      <w:r>
        <w:rPr>
          <w:rFonts w:ascii="Arial" w:cs="Arial" w:eastAsia="Arial" w:hAnsi="Arial"/>
          <w:sz w:val="17"/>
          <w:szCs w:val="17"/>
          <w:i w:val="1"/>
          <w:iCs w:val="1"/>
          <w:color w:val="auto"/>
        </w:rPr>
        <w:t>en banc</w:t>
      </w:r>
      <w:r>
        <w:rPr>
          <w:rFonts w:ascii="Arial" w:cs="Arial" w:eastAsia="Arial" w:hAnsi="Arial"/>
          <w:sz w:val="17"/>
          <w:szCs w:val="17"/>
          <w:color w:val="auto"/>
        </w:rPr>
        <w:t xml:space="preserve"> petitions were denied. On February 11, 2021, Amarin filed a petition for a writ of certiorari with the United States Supreme Court to ask the Court to hear the Company’s appeal in this litigation, which is pending.</w:t>
      </w:r>
    </w:p>
    <w:p>
      <w:pPr>
        <w:spacing w:after="0" w:line="14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August 2020, the Company announced plans to launch icosapent ethyl under the brand name VAZKEPA, hereinafter along with the U.S. brand name VASCEPA, collectively referred to as VASCEPA, in major markets in Europe through the Company’s new European sales and marketing teams. On January 29, 2021, the Committee for Medicinal Products for Human Use, or CHMP, of the European Medicines Agency, or EMA, adopted a positive opinion, recommending that a marketing authorization be granted to icosapent ethyl in the European Union, or EU, for the reduction of risk of cardiovascular events in patients at high cardiovascular risk. On March 26, 2021, the European Commission, or EC, approved the marketing authorization application for VAZKEPA in the EU to reduce the risk of cardiovascular events in high-risk, statin-treated adult patients who have elevated triglycerides (</w:t>
      </w:r>
      <w:r>
        <w:rPr>
          <w:rFonts w:ascii="Arial" w:cs="Arial" w:eastAsia="Arial" w:hAnsi="Arial"/>
          <w:sz w:val="16"/>
          <w:szCs w:val="16"/>
          <w:u w:val="single" w:color="auto"/>
          <w:color w:val="auto"/>
        </w:rPr>
        <w:t>&gt;</w:t>
      </w:r>
      <w:r>
        <w:rPr>
          <w:rFonts w:ascii="Arial" w:cs="Arial" w:eastAsia="Arial" w:hAnsi="Arial"/>
          <w:sz w:val="16"/>
          <w:szCs w:val="16"/>
          <w:color w:val="auto"/>
        </w:rPr>
        <w:t>150 mg/dL) and either established cardiovascular disease or diabetes and at least one additional cardiovascular risk event. On April 22, 2021, the Company announced that the Medicines and Healthcare Products Regulatory Agency, or MHRA, approved VAZKEPA in England, Scotland and Wales to reduce cardiovascular risk through MHRA’s new ‘reliance’ route following the end of the BREXIT transition period.</w:t>
      </w:r>
    </w:p>
    <w:p>
      <w:pPr>
        <w:spacing w:after="0" w:line="13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have commenced. The Chinese National Medical Products Administration, or NMPA, has accepted for review the new drug application for VASCEPA based on the results from the Phase 3 clinical trial and the results from the Company’s prior studies of VASCEPA. The Hong Kong Department of Health is evaluating VASCEPA based on current approvals in the United States and Canada.</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currently has strategic collaborations to develop and commercialize VASCEPA in select territories outside the United States. Amarin is responsible for supplying VASCEPA to all markets in which the product is sold, including in Canada, Lebanon and the United Arab Emirates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condensed consolidated financial statements included herein have been prepared by the Company in accordance with accounting principles generally accepted in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or the Form 10-K, filed with the SEC. The balance sheet amounts in this report were derived from the Company’s audited consolidated financial statements included in the Form 10-K.</w:t>
      </w:r>
    </w:p>
    <w:p>
      <w:pPr>
        <w:spacing w:after="0" w:line="1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2021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18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current global pandemic, COVID-19.</w:t>
      </w:r>
    </w:p>
    <w:p>
      <w:pPr>
        <w:spacing w:after="0" w:line="184"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At March 31, 2021, the Company had Total assets of $990.3 million, of which $538.7 million consisted of cash and liquid short-term and long-term investments. More specifically, the Company had Current assets of $930.5 million, including Cash and cash equivalents of $291.0 million, Short-term investments of $223.7 million, Accounts receivable, net, of $151.3 million and Inventory of $230.9 million. In addition, as of March 31, 2021, the Company had Long-term investments of $24.0 million. As of March 31, 2021, the Company had no debt outstanding.</w:t>
      </w:r>
    </w:p>
    <w:p>
      <w:pPr>
        <w:spacing w:after="0" w:line="27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accordance with Accounting Standards Codification, or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8—Revenue Recognition.</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 w:name="page9"/>
    <w:bookmarkEnd w:id="8"/>
    <w:p>
      <w:pPr>
        <w:spacing w:after="0" w:line="279" w:lineRule="auto"/>
        <w:rPr>
          <w:sz w:val="20"/>
          <w:szCs w:val="20"/>
          <w:color w:val="auto"/>
        </w:rPr>
      </w:pPr>
      <w:r>
        <w:rPr>
          <w:rFonts w:ascii="Arial" w:cs="Arial" w:eastAsia="Arial" w:hAnsi="Arial"/>
          <w:sz w:val="17"/>
          <w:szCs w:val="17"/>
          <w:color w:val="auto"/>
        </w:rPr>
        <w:t>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of accounts receivable reserves on the gross trade accounts receivable balances as of March 31,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3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320" w:type="dxa"/>
            <w:vAlign w:val="bottom"/>
            <w:tcBorders>
              <w:top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220,215</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203,875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Trade allowances</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(54,708)</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(36,242)</w:t>
            </w: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(13,287)</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(12,114)</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133"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3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9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Company’s and its subsidiaries’ income tax returns are periodically examined by various tax authorities, including the Internal Revenue Service, or IRS, and states. The Company is currently under audit by the IRS for the Company’s 2018 U.S. income tax return and by the New Jersey Department of Treasury for the years 2012 to 2015.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ind w:right="80"/>
        <w:spacing w:after="0" w:line="286" w:lineRule="auto"/>
        <w:rPr>
          <w:sz w:val="20"/>
          <w:szCs w:val="20"/>
          <w:color w:val="auto"/>
        </w:rPr>
      </w:pPr>
      <w:r>
        <w:rPr>
          <w:rFonts w:ascii="Arial" w:cs="Arial" w:eastAsia="Arial" w:hAnsi="Arial"/>
          <w:sz w:val="17"/>
          <w:szCs w:val="17"/>
          <w:color w:val="auto"/>
        </w:rPr>
        <w:t>average shares reflects the dilutive effect, if any, of potentially dilutive common shares, such as common stock options calculated using the treasury stock method and preferred stock and convertible notes using the “if-converted” method. In periods with reported net operating losses, all common stock options and preferred stock outstanding are deemed anti-dilutive such that basic net loss per share and diluted net loss per share are equal.</w:t>
      </w:r>
    </w:p>
    <w:p>
      <w:pPr>
        <w:spacing w:after="0" w:line="16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Company’s preferred stock, of which none is outstanding as of March 31, 2021 and December 31, 2020, was entitled to receive dividends on an as-if-converted basis in the same form as dividends actually paid on common shares. Accordingly, the preferred stock was considered a participating security and the Company was required to apply the two-class method to consider the impact of the preferred stock on the calculation of basic and diluted earnings per share. The Company is in a net loss position for the periods presented and is therefore not required to present the two-class method, however, in the event the Company was historically in a net income position, the two-class method was applied by allocating all earnings during the period to common shares and preferred stock based on their contractual entitlements assuming all earnings were distributed.</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months ended March 31, 2021 and 2020 are as follows: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180" w:type="dxa"/>
            <w:vAlign w:val="bottom"/>
            <w:tcBorders>
              <w:bottom w:val="single" w:sz="8" w:color="CFF0FC"/>
            </w:tcBorders>
            <w:vMerge w:val="continue"/>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1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loss—basic and diluted</w:t>
            </w:r>
          </w:p>
        </w:tc>
        <w:tc>
          <w:tcPr>
            <w:tcW w:w="11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Weighted average shares outstanding—basic and diluted</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394,638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15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(0.00)</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three months ended March 31, 2021 and 2020, the following potentially dilutive securities were not included in the computation of net loss per share because the effect would be anti-dilutive:</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96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4900" w:type="dxa"/>
            <w:vAlign w:val="bottom"/>
            <w:tcBorders>
              <w:bottom w:val="single" w:sz="8" w:color="CFF0FC"/>
            </w:tcBorders>
            <w:vMerge w:val="continue"/>
          </w:tcPr>
          <w:p>
            <w:pPr>
              <w:spacing w:after="0"/>
              <w:rPr>
                <w:sz w:val="13"/>
                <w:szCs w:val="13"/>
                <w:color w:val="auto"/>
              </w:rPr>
            </w:pPr>
          </w:p>
        </w:tc>
        <w:tc>
          <w:tcPr>
            <w:tcW w:w="13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19,372</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10,252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(if converted)</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27%, 35%, and 31%, respectively, of gross product sales for the three months ended March 31, 2021, and represented 35%, 36%, and 24%, respectively, of the gross accounts receivable balance as of March 31, 2021. Customers A, B, and C accounted for 24%, 35%, and 32%, respectively, of gross product sales for the three months ended March 31, 2020 and represented 32%, 27%, and 30%, respectively, of the gross accounts receivable balance as of March 31, 2020. The Company has not experienced any significant write-offs of its accounts receivable.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ind w:right="240"/>
        <w:spacing w:after="0" w:line="277" w:lineRule="auto"/>
        <w:rPr>
          <w:sz w:val="20"/>
          <w:szCs w:val="20"/>
          <w:color w:val="auto"/>
        </w:rPr>
      </w:pPr>
      <w:r>
        <w:rPr>
          <w:rFonts w:ascii="Arial" w:cs="Arial" w:eastAsia="Arial" w:hAnsi="Arial"/>
          <w:sz w:val="18"/>
          <w:szCs w:val="18"/>
          <w:color w:val="auto"/>
        </w:rPr>
        <w:t>enter into new and similar agreements in a timely fashion, if needed, could have a material adverse effect on its business, condition (financial and other), prospects or results of operations.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currently has manufacturing agreements with multiple independent U.S. FDA-approved API manufacturers and several independent U.S. FDA-approved API encapsulators and packagers for VASCEPA manufacturing. Each of these companies has qualified and validated its manufacturing processes and is capable of manufacturing VASCEPA.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4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tables present information about the estimated fair value of the Company’s assets and liabilities as of March 31, 2021 and December 31, 2020 and indicate the fair value hierarchy of the valuation techniques the Company utilized to determine such fair value: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2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March 31, 2021</w:t>
            </w: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166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3"/>
                <w:szCs w:val="13"/>
                <w:color w:val="auto"/>
              </w:rPr>
            </w:pPr>
          </w:p>
        </w:tc>
        <w:tc>
          <w:tcPr>
            <w:tcW w:w="14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3"/>
                <w:szCs w:val="13"/>
                <w:color w:val="auto"/>
              </w:rPr>
            </w:pPr>
          </w:p>
        </w:tc>
        <w:tc>
          <w:tcPr>
            <w:tcW w:w="132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4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Money Market Fund</w:t>
            </w:r>
          </w:p>
        </w:tc>
        <w:tc>
          <w:tcPr>
            <w:tcW w:w="7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177,426</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177,426</w:t>
            </w:r>
          </w:p>
        </w:tc>
        <w:tc>
          <w:tcPr>
            <w:tcW w:w="28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U.S. Treasury Shares</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31,673</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Corporate Bonds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130,114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130,114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47,517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47,517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Agency Securities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20,708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20,708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Repo Securities</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5,411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Non-US Government</w:t>
            </w:r>
          </w:p>
        </w:tc>
        <w:tc>
          <w:tcPr>
            <w:tcW w:w="4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434,207</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209,099</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225,108</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ind w:left="11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2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December 31, 2020</w:t>
            </w: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3"/>
                <w:szCs w:val="13"/>
                <w:color w:val="auto"/>
              </w:rPr>
            </w:pPr>
          </w:p>
        </w:tc>
        <w:tc>
          <w:tcPr>
            <w:tcW w:w="166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3"/>
                <w:szCs w:val="13"/>
                <w:color w:val="auto"/>
              </w:rPr>
            </w:pPr>
          </w:p>
        </w:tc>
        <w:tc>
          <w:tcPr>
            <w:tcW w:w="14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3"/>
                <w:szCs w:val="13"/>
                <w:color w:val="auto"/>
              </w:rPr>
            </w:pPr>
          </w:p>
        </w:tc>
        <w:tc>
          <w:tcPr>
            <w:tcW w:w="132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4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Money Market Fund</w:t>
            </w:r>
          </w:p>
        </w:tc>
        <w:tc>
          <w:tcPr>
            <w:tcW w:w="7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88,266</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88,266</w:t>
            </w:r>
          </w:p>
        </w:tc>
        <w:tc>
          <w:tcPr>
            <w:tcW w:w="28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U.S. Treasury Shares</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48,356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Corporate Bonds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179,864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179,864</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106,650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Agency Securities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20,782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20,782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Repo Securities</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Asset Backed Securities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8,599</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Non-US Government</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5,240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473,882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136,622</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337,260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893"/>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maturities greater than 90 days and less than twelve months are included in short-term investments on its condensed consolidated balance sheet. Those with remaining maturities in excess of twelve months are included in long-term investments on its condensed consolidated balance sheet.</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three months ended March 31, 2021 and 2020 was a gain of $0.2 million and a loss of $0.7 million, respectively. Interest on investments is reported in interest income.</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70"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eliminating certain exceptions to the guidance in ASC 740 related to the approach for intraperiod tax allocation, the methodology for calculating income taxes in an interim period, the recognition of deferred tax liabilities for outside basis differences, among other simplifications. The Company adopted this standard effective January 1, 2021, which did not have an impact on the Company’s condensed consolidated financial statements.</w:t>
      </w:r>
    </w:p>
    <w:p>
      <w:pPr>
        <w:spacing w:after="0" w:line="18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Company believes that the impact of other recently issued but not yet adopted accounting pronouncements will not have a material impact on the Company’s condensed consolidated financial position, results of operations, and cash flows, or do not apply to the Company’s operations.</w:t>
      </w:r>
    </w:p>
    <w:p>
      <w:pPr>
        <w:spacing w:after="0" w:line="228"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Intangible asset consists of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Upon approval of the marketing authorization application for VAZKEPA in March 2021, a milestone for £7.5 million was achieved, which resulted in the Intangible asset increasing by $12.0 million. Refer to Note 5 – Commitments and Contingencies for further details. In accordance with ASC 350, the Company evaluates the remaining useful lives of the intangible asset at each reporting period to determine if any events or circumstances warrant a revision to the remaining period of amortization. As of March 31, 2021, the Company determined the useful life of the intangible asset, which had a remaining useful life of 9.3 years, has been extended to 10.0 years due to the approval of VAZKEPA in Europe and the related period of market protection. The carrying value as of March 31, 2021 and December 31, 2020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gridSpan w:val="2"/>
          </w:tcPr>
          <w:p>
            <w:pPr>
              <w:ind w:left="1700"/>
              <w:spacing w:after="0"/>
              <w:rPr>
                <w:sz w:val="20"/>
                <w:szCs w:val="20"/>
                <w:color w:val="auto"/>
              </w:rPr>
            </w:pPr>
            <w:r>
              <w:rPr>
                <w:rFonts w:ascii="Arial" w:cs="Arial" w:eastAsia="Arial" w:hAnsi="Arial"/>
                <w:sz w:val="14"/>
                <w:szCs w:val="14"/>
                <w:b w:val="1"/>
                <w:bCs w:val="1"/>
                <w:i w:val="1"/>
                <w:iCs w:val="1"/>
                <w:color w:val="auto"/>
              </w:rPr>
              <w:t>In thousands</w:t>
            </w:r>
          </w:p>
        </w:tc>
        <w:tc>
          <w:tcPr>
            <w:tcW w:w="24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7"/>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24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(6,264)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2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24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40" w:type="dxa"/>
            <w:vAlign w:val="bottom"/>
            <w:vMerge w:val="restart"/>
          </w:tcPr>
          <w:p>
            <w:pPr>
              <w:jc w:val="right"/>
              <w:ind w:right="1210"/>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capitalizes its purchases of saleable inventory of VASCEPA from suppliers that have been qualified by the U.S. FDA. Inventories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 consist of the following:</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69,463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50,657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125,335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inventory</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230,892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60" w:hanging="852"/>
        <w:spacing w:after="0"/>
        <w:tabs>
          <w:tab w:leader="none" w:pos="8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active pharmaceutical ingredient in VASCEPA is difficult and time consuming to manufacture, often requires considerable advanced planning and long-term financial commitment to ensure sufficient capacity is available when needed. The Company has invested over a decade to develop with individual members of its third-party, active pharmaceutical ingredient supply chain the technical knowhow, manufacturing processes and related regulatory approvals that have helped enable the Company’s suppliers to supply the Company’s need for clinical and commercial supply globally. Based on statements made by generic competitors, Hikma and Dr. Reddy’s, the active pharmaceutical ingredient of VASCEPA needed to manufacture their generic versions of VASCEPA is in short supply to them. The Company believes this may be due to their lack of adequate planning, investment, knowhow and expertise regarding this fragile active ingredient.</w:t>
      </w:r>
    </w:p>
    <w:p>
      <w:pPr>
        <w:spacing w:after="0" w:line="11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has been a practice in the generic pharmaceutical industry, on April 27, 2021, Dr. Reddy’s filed a complaint against the Company in the United States District Court District of New Jersey (case no. 2:21-cv-10309) alleging various antitrust violations stemming from alleged anticompetitive practices related to the supply of active pharmaceutical ingredient of VASCEPA. Damages sought include recovery for alleged economic harm to Dr. Reddy’s, payors and consumers, treble damages and other costs and fees. Injunctive relief against the alleged violative activities is also being sought by Dr. Reddy’s. Amarin believes it has valid defenses and will vigorously defend against the claims. Amarin has also received a civil investigative demand from the U.S. Federal Trade Commission and a subpoena from the New York Attorney General with respect to information on the same topic. The Company believes such contact from the governments may have been prompted by a generic competitor. Amarin is cooperating with the government agencies. Such litigation and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February 22, 2019, a purported investor in the Company’s publicly traded securities filed a putative class action lawsuit against Amarin Corporation plc, the chief executive officer and chief scientific officer in the U.S. District Court for the District of New Jersey, Debendra Sharma v. Amarin Corporation plc, John F. Thero and Steven Ketchum, No. 2:19-cv-06601 (D.N.J. Feb. 22, 2019). On March 12, 2019, another purported investor filed a substantially similar lawsuit captioned Richard Borghesi v. Amarin Corporation plc, John F. Thero and Steven Ketchum, No. 3:19-cv-08423 (D.N.J. March 12, 2019). On May 14, 2019 the court consolidated the cases under the caption In re Amarin Corporation PLC Securities Litigation, No. 3:19-cv-06601 and appointed two other purported shareholders, Dan Kotecki and the Gaetano Cecchini Living Trust, as Co-Lead Plaintiffs. Co-Lead Plaintiffs filed a consolidated amended complaint, or Amended Complaint, on July 22, 2019 that added as defendants the Company’s current chief medical officer and the Company’s former chief executive officer, who is a current director. The Amended Complaint alleged that from September 24, 2018 to November 9, 2018 the Company misled investors by releasing topline results for the REDUCE-IT study without disclosing data on biomarker increases in the placebo group as compared with baseline measurement. The Amended Complaint alleged that these data suggest that the mineral oil placebo used in the REDUCE-IT study may have interfered with statin absorption in the placebo group, which they alleged may have increased adverse outcomes in the placebo group. The Amended Complaint further alleged that these purported misrepresentations and omissions inflated the share price. Based on these allegations, the suit asserted claims under the Securities Exchange Act of 1934 and sought unspecified monetary damages and attorneys’ fees and costs.</w:t>
      </w:r>
    </w:p>
    <w:p>
      <w:pPr>
        <w:spacing w:after="0" w:line="10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March 29, 2021, the court granted the Company’s motion to dismiss this litigation for failure to state a valid claim. The litigation was dismissed without prejudice, giving the plaintiffs the right to file an amended complaint. We intend to vigorously defend against any future complaint in this matter.</w:t>
      </w:r>
    </w:p>
    <w:p>
      <w:pPr>
        <w:spacing w:after="0" w:line="4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September and October 2016, the Company received paragraph IV certification notices from four companies contending to varying degrees that certain of its patents are invalid, unenforceable and/or will not be infringed by the manufacture, use, sale or offer for sale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13" w:name="page14"/>
    <w:bookmarkEnd w:id="13"/>
    <w:p>
      <w:pPr>
        <w:ind w:right="20"/>
        <w:spacing w:after="0" w:line="286" w:lineRule="auto"/>
        <w:rPr>
          <w:sz w:val="20"/>
          <w:szCs w:val="20"/>
          <w:color w:val="auto"/>
        </w:rPr>
      </w:pPr>
      <w:r>
        <w:rPr>
          <w:rFonts w:ascii="Arial" w:cs="Arial" w:eastAsia="Arial" w:hAnsi="Arial"/>
          <w:sz w:val="16"/>
          <w:szCs w:val="16"/>
          <w:color w:val="auto"/>
        </w:rPr>
        <w:t xml:space="preserve">of a generic form of VASCEPA as described in those companies’ ANDAs. The Company filed patent infringement lawsuits against three of these four ANDA applicants. In October 2016, Amarin filed a lawsuit against Roxane Laboratories, Inc. and related parties (collectively, “Roxane”) in the Nevada Court. The case against Roxane was captioned </w:t>
      </w:r>
      <w:r>
        <w:rPr>
          <w:rFonts w:ascii="Arial" w:cs="Arial" w:eastAsia="Arial" w:hAnsi="Arial"/>
          <w:sz w:val="16"/>
          <w:szCs w:val="16"/>
          <w:i w:val="1"/>
          <w:iCs w:val="1"/>
          <w:color w:val="auto"/>
        </w:rPr>
        <w:t>Amarin Pharma, Inc. et al. v. Roxane Laboratories, Inc. et al.</w:t>
      </w:r>
      <w:r>
        <w:rPr>
          <w:rFonts w:ascii="Arial" w:cs="Arial" w:eastAsia="Arial" w:hAnsi="Arial"/>
          <w:sz w:val="16"/>
          <w:szCs w:val="16"/>
          <w:color w:val="auto"/>
        </w:rPr>
        <w:t xml:space="preserve">, Civ. A. No. 2:16-cv-02525 (D. Nev.). According to a stipulation filed with the Nevada Court, in December 2016, Roxane transferred its ANDA to West-Ward Pharmaceuticals International Limited, which then designated West-Ward Pharmaceuticals Corp. (or together with West-Ward Pharmaceuticals International Limited, West-Ward) as its agent for U.S. FDA communications. In view of the ANDA transfer, in February 2017, West-Ward replaced Roxane and related parties as Defendants in the above-referenced case. The case against West-Ward was then captioned </w:t>
      </w:r>
      <w:r>
        <w:rPr>
          <w:rFonts w:ascii="Arial" w:cs="Arial" w:eastAsia="Arial" w:hAnsi="Arial"/>
          <w:sz w:val="16"/>
          <w:szCs w:val="16"/>
          <w:i w:val="1"/>
          <w:iCs w:val="1"/>
          <w:color w:val="auto"/>
        </w:rPr>
        <w:t>Amarin Pharma, Inc. et al. v. West-Ward Pharmaceuticals Corp. et al.</w:t>
      </w:r>
      <w:r>
        <w:rPr>
          <w:rFonts w:ascii="Arial" w:cs="Arial" w:eastAsia="Arial" w:hAnsi="Arial"/>
          <w:sz w:val="16"/>
          <w:szCs w:val="16"/>
          <w:color w:val="auto"/>
        </w:rPr>
        <w:t xml:space="preserve">, Civ. A. No. 2:16-cv-02525 (D. Nev.). In November 2016, the Company filed a lawsuit against Dr. Reddy’s Laboratories, Inc. and Dr. Reddy’s Laboratories, Ltd. (collectively, “DRL”) in the U.S. District Court for the District of Nevada. The case against DRL is captioned </w:t>
      </w:r>
      <w:r>
        <w:rPr>
          <w:rFonts w:ascii="Arial" w:cs="Arial" w:eastAsia="Arial" w:hAnsi="Arial"/>
          <w:sz w:val="16"/>
          <w:szCs w:val="16"/>
          <w:i w:val="1"/>
          <w:iCs w:val="1"/>
          <w:color w:val="auto"/>
        </w:rPr>
        <w:t>Amarin Pharma, Inc. et al. v. Dr. Reddy’s</w:t>
      </w:r>
      <w:r>
        <w:rPr>
          <w:rFonts w:ascii="Arial" w:cs="Arial" w:eastAsia="Arial" w:hAnsi="Arial"/>
          <w:sz w:val="16"/>
          <w:szCs w:val="16"/>
          <w:color w:val="auto"/>
        </w:rPr>
        <w:t xml:space="preserve"> </w:t>
      </w:r>
      <w:r>
        <w:rPr>
          <w:rFonts w:ascii="Arial" w:cs="Arial" w:eastAsia="Arial" w:hAnsi="Arial"/>
          <w:sz w:val="16"/>
          <w:szCs w:val="16"/>
          <w:i w:val="1"/>
          <w:iCs w:val="1"/>
          <w:color w:val="auto"/>
        </w:rPr>
        <w:t>Laboratories, Inc. et al.</w:t>
      </w:r>
      <w:r>
        <w:rPr>
          <w:rFonts w:ascii="Arial" w:cs="Arial" w:eastAsia="Arial" w:hAnsi="Arial"/>
          <w:sz w:val="16"/>
          <w:szCs w:val="16"/>
          <w:color w:val="auto"/>
        </w:rPr>
        <w:t>, Civ. A. No. 2:16-cv-02562 (D. Nev.). In November 2016, the Company filed a lawsuit against Teva Pharmaceuticals USA, Inc.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Teva Pharmaceuticals Industries Limited (collectively, “Teva”) in the Nevada Court. The case against Teva was captioned </w:t>
      </w:r>
      <w:r>
        <w:rPr>
          <w:rFonts w:ascii="Arial" w:cs="Arial" w:eastAsia="Arial" w:hAnsi="Arial"/>
          <w:sz w:val="16"/>
          <w:szCs w:val="16"/>
          <w:i w:val="1"/>
          <w:iCs w:val="1"/>
          <w:color w:val="auto"/>
        </w:rPr>
        <w:t>Amarin Pharma, Inc. et al. v.</w:t>
      </w:r>
      <w:r>
        <w:rPr>
          <w:rFonts w:ascii="Arial" w:cs="Arial" w:eastAsia="Arial" w:hAnsi="Arial"/>
          <w:sz w:val="16"/>
          <w:szCs w:val="16"/>
          <w:color w:val="auto"/>
        </w:rPr>
        <w:t xml:space="preserve"> </w:t>
      </w:r>
      <w:r>
        <w:rPr>
          <w:rFonts w:ascii="Arial" w:cs="Arial" w:eastAsia="Arial" w:hAnsi="Arial"/>
          <w:sz w:val="16"/>
          <w:szCs w:val="16"/>
          <w:i w:val="1"/>
          <w:iCs w:val="1"/>
          <w:color w:val="auto"/>
        </w:rPr>
        <w:t>Teva Pharmaceuticals USA, Inc. et al.</w:t>
      </w:r>
      <w:r>
        <w:rPr>
          <w:rFonts w:ascii="Arial" w:cs="Arial" w:eastAsia="Arial" w:hAnsi="Arial"/>
          <w:sz w:val="16"/>
          <w:szCs w:val="16"/>
          <w:color w:val="auto"/>
        </w:rPr>
        <w:t>, Civ. A. No. 2:16-cv-02658. In all three lawsuits, the Company sought, among other remedies, an order enjoining</w:t>
      </w:r>
      <w:r>
        <w:rPr>
          <w:rFonts w:ascii="Arial" w:cs="Arial" w:eastAsia="Arial" w:hAnsi="Arial"/>
          <w:sz w:val="16"/>
          <w:szCs w:val="16"/>
          <w:i w:val="1"/>
          <w:iCs w:val="1"/>
          <w:color w:val="auto"/>
        </w:rPr>
        <w:t xml:space="preserve"> </w:t>
      </w:r>
      <w:r>
        <w:rPr>
          <w:rFonts w:ascii="Arial" w:cs="Arial" w:eastAsia="Arial" w:hAnsi="Arial"/>
          <w:sz w:val="16"/>
          <w:szCs w:val="16"/>
          <w:color w:val="auto"/>
        </w:rPr>
        <w:t>each defendant from marketing generic versions of VASCEPA before the last to expire of the asserted patents in 2030.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fourth ANDA applicant referenced above is Apotex Inc., or Apotex, which sent the Company a paragraph IV certification notice in September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notice reflected that Apotex made a paragraph IV notice as to some, but not all, of the patents listed in the Orange Book for VASCEPA.</w:t>
      </w:r>
    </w:p>
    <w:p>
      <w:pPr>
        <w:spacing w:after="0" w:line="14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October 2016, the Company introduced to the market a 0.5-gram dose strength of VASCEPA. In August 2017, as anticipated, the Company received a paragraph IV certification notice from Teva contending that certain of its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the Company filed a patent infringement lawsuit against Teva in the U.S. District Court for the District of Nevada. The case was captioned </w:t>
      </w:r>
      <w:r>
        <w:rPr>
          <w:rFonts w:ascii="Arial" w:cs="Arial" w:eastAsia="Arial" w:hAnsi="Arial"/>
          <w:sz w:val="17"/>
          <w:szCs w:val="17"/>
          <w:i w:val="1"/>
          <w:iCs w:val="1"/>
          <w:color w:val="auto"/>
        </w:rPr>
        <w:t>Amarin Pharma, Inc. et al. v. Teva Pharmaceuticals USA, Inc. et al.,</w:t>
      </w:r>
      <w:r>
        <w:rPr>
          <w:rFonts w:ascii="Arial" w:cs="Arial" w:eastAsia="Arial" w:hAnsi="Arial"/>
          <w:sz w:val="17"/>
          <w:szCs w:val="17"/>
          <w:color w:val="auto"/>
        </w:rPr>
        <w:t xml:space="preserve"> Civ. A. No. 2:17-cv-2641 (D. Nev.). In this lawsuit, the Company sought, among other remedies, an order enjoining Teva from marketing generic versions of the 0.5-gram dose strength of VASCEPA before the last to expire of the asserted patents in 2030.</w:t>
      </w:r>
    </w:p>
    <w:p>
      <w:pPr>
        <w:spacing w:after="0" w:line="11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On May 24, 2018, the Company entered into a settlement agreement with Teva that resolved its ANDA patent litigation as it relates to Teva’s as amended ANDA for both the 1-gram and 0.5-gram dose strengths of VASCEPA. As part of the settlement agreement, Teva may, subject to procurement of product supply, sell a generic version of VASCEPA in the United States now that the U.S. Federal Circuit Court of Appeals issued its mandate following our Nevada Court trial appeal lost at the level. The settlement agreement with Teva also substantially resolved litigation with Teva that could have ensued related to the December 2019 cardiovascular risk reduction indication of VASCEPA based on the REDUCE-IT study.</w:t>
      </w:r>
    </w:p>
    <w:p>
      <w:pPr>
        <w:spacing w:after="0" w:line="9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In July 2018, as anticipated, the Company received a paragraph IV certification notice from DRL contending that certain of its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lawsuit against DRL in the U.S. District Court for the District of Nevada. The case is captioned </w:t>
      </w:r>
      <w:r>
        <w:rPr>
          <w:rFonts w:ascii="Arial" w:cs="Arial" w:eastAsia="Arial" w:hAnsi="Arial"/>
          <w:sz w:val="16"/>
          <w:szCs w:val="16"/>
          <w:i w:val="1"/>
          <w:iCs w:val="1"/>
          <w:color w:val="auto"/>
        </w:rPr>
        <w:t xml:space="preserve">Amarin Pharma, Inc. et al. v. Dr. Reddy’s Laboratories, Inc. et al., </w:t>
      </w:r>
      <w:r>
        <w:rPr>
          <w:rFonts w:ascii="Arial" w:cs="Arial" w:eastAsia="Arial" w:hAnsi="Arial"/>
          <w:sz w:val="16"/>
          <w:szCs w:val="16"/>
          <w:color w:val="auto"/>
        </w:rPr>
        <w:t>Civ. A. No. 2:18-cv-01596 (D. Nev.). In this lawsuit, the Company sought,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remedies, an order enjoining DRL from marketing generic versions of the 0.5-gram dose strength of VASCEPA before the last to expire of the asserted patents in 2030. In light of the overlap between the cases, DRL and the Company have stipulated that the final judgment on the merits of the parties’ contentions in the consolidated 1-gram action shall also be binding in the 0.5-gram case.</w:t>
      </w:r>
    </w:p>
    <w:p>
      <w:pPr>
        <w:spacing w:after="0" w:line="10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trial for the ANDA patent litigation against defendants DRL and Hikma, and certain of their respective affiliates, or the Defendants, took place in the Nevada Court (case no.: 2:16-cv-02525-MMD-NJK (consolidated with 2:16-cv=02562=MMD-NJK). Following conclusion of the trial in late January 2020, the Nevada Court, on March 30, 2020, decided in favor of the Defendants, ruling that the relevant patents are invalid due to obviousness. Amarin appealed this decision to the Federal Circuit (case no.: 20-1723).</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June 2020, the Company entered into a settlement agreement with Apotex that resolved patent litigation that was expected to result from the ANDA filed by Apotex with the U.S. FDA, which ANDA was amended in May 2020, seeking approval of a generic form of VASCEPA capsules based on the MARINE study. As part of the settlement agreement, Apotex may, subject to U.S. FDA approval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 w:name="page15"/>
    <w:bookmarkEnd w:id="14"/>
    <w:p>
      <w:pPr>
        <w:ind w:right="20"/>
        <w:spacing w:after="0" w:line="255" w:lineRule="auto"/>
        <w:rPr>
          <w:sz w:val="20"/>
          <w:szCs w:val="20"/>
          <w:color w:val="auto"/>
        </w:rPr>
      </w:pPr>
      <w:r>
        <w:rPr>
          <w:rFonts w:ascii="Arial" w:cs="Arial" w:eastAsia="Arial" w:hAnsi="Arial"/>
          <w:sz w:val="18"/>
          <w:szCs w:val="18"/>
          <w:color w:val="auto"/>
        </w:rPr>
        <w:t>its ANDA and procurement of product supply, sell a generic version of VASCEPA with MARINE indication labeling in the United States now that the U.S. Federal Circuit Court of Appeals issued its mandate following our Nevada Court trial appeal loss at the level (the same such date provided for under the 2018 settlement agreement with Teva). The settlement agreement with Apotex also substantially resolved litigation with Apotex that could have ensued related to the December 2019 cardiovascular risk reduction indication of VASCEPA based on the REDUCE-IT study. Apotex may amend its label under our settlement agreement to include the REDUCE-IT indication after expiration of the associated Hatch-Waxman Act regulatory exclusivity expires in December 2022.</w:t>
      </w:r>
    </w:p>
    <w:p>
      <w:pPr>
        <w:spacing w:after="0" w:line="1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On September 3, 2020, the U.S. Court of Appeal for the Federal Circuit upheld the March 2020 trial ruling by the Nevada Court in favor of Hikma and DRL. On October 2, 2020, the Company filed a combined petition for panel rehearing or rehearing </w:t>
      </w:r>
      <w:r>
        <w:rPr>
          <w:rFonts w:ascii="Arial" w:cs="Arial" w:eastAsia="Arial" w:hAnsi="Arial"/>
          <w:sz w:val="18"/>
          <w:szCs w:val="18"/>
          <w:i w:val="1"/>
          <w:iCs w:val="1"/>
          <w:color w:val="auto"/>
        </w:rPr>
        <w:t>en banc</w:t>
      </w:r>
      <w:r>
        <w:rPr>
          <w:rFonts w:ascii="Arial" w:cs="Arial" w:eastAsia="Arial" w:hAnsi="Arial"/>
          <w:sz w:val="18"/>
          <w:szCs w:val="18"/>
          <w:color w:val="auto"/>
        </w:rPr>
        <w:t xml:space="preserve"> (case no.: 20-1723-1901), which was denied. On February 11, 2021, the Company filed a petition for a writ of certiorari with the United States Supreme Court to ask the Supreme Court to hear the appeal in this litigation (case no.: 20-1119). That petition is pending.</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November 2020, the Company filed a new patent infringement lawsuit against Hikma in the United States District Court in Delaware. The complaint alleges that Hikma has induced the infringement of VASCEPA-related cardiovascular risk reduction U.S. Patent Nos. 9,700,537 (Composition for preventing the occurrence of cardiovascular event in multiple risk patient), 8,642,077 (Stable pharmaceutical composition and methods of using same), and 10,568,861 (Methods of reducing the risk of a cardiovascular event in a subject at risk for cardiovascular disease) by making, selling, offering to sell and importing generic icosapent ethyl capsules in or into the United States. The Company is seeking remedies including a permanent injunction against Hikma’s unlawful inducement of infringing uses of its generic product to reduce cardiovascular risk and monetary damages in an amount sufficient to compensate the Company for such infringement.</w:t>
      </w:r>
    </w:p>
    <w:p>
      <w:pPr>
        <w:spacing w:after="0" w:line="1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January 2021, the Company expanded the scope of the VASCEPA CV risk reduction patent infringement lawsuit against Hikma to include a health care insurance provider in the United States, Health Net, LLC. Through insurance coverage and economic incentives the Company alleges that Health Net, LLC has actively induced pharmacies to dispense, and patients to use, Hikma generic icosapent ethyl capsules in infringement of the related patents. In the complaint, the Company is seeking remedies including a permanent injunction against the unlawful inducement by Hikma and Health Net, LLC of infringing uses of the Hikma generic product, i.e., uses to reduce cardiovascular risk as detailed in the patents, and monetary damages in an amount sufficient to compensate the Company for such infringement. The Company is considering its legal options against parties similarly situated to Health Net, LLC and Hikma and acting in concert with either by making or selling any drug product or component thereof covered by the subject patents, or inducing others to do the same.</w:t>
      </w:r>
    </w:p>
    <w:p>
      <w:pPr>
        <w:spacing w:after="0" w:line="1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intends to vigorously enforce its intellectual property rights relating to VASCEPA, but cannot predict the outcome of these lawsuits or any subsequently filed lawsuits.</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entered into long-term supply agreements with multiple U.S. FDA-approved API suppliers and encapsulators. Certain supply agreements require annual minimum volume commitments by the Company and certain volume shortfalls may require payments for such shortfalls.</w:t>
      </w:r>
    </w:p>
    <w:p>
      <w:pPr>
        <w:spacing w:after="0" w:line="12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supply agreements, there is a total of approximately $213.0 million that is potentially payable over the term of such agreements based on minimum purchase obligations. The Company continues to meet its contractual purchase obligations.</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March 26, 2021, the EC approved the marketing authorization application for VAZKEPA. Under the 2004 share repurchase agreement with Laxdale, upon receipt of marketing approval in Europe for the first indication for VASCEPA (or first indication of any product containing intellectual property acquired from Laxdale in 2004), the Company must make an aggregate stock or cash payment to the former shareholders of Laxdale (at the sole option of each of the sellers) of £7.5 million. The Company recorded a liability of $12.0 million in Accrued expenses and other current liabilities on the condensed consolidated balance sheet as of March 31, 2021.</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the sellers) of £5 million (approximately $6.9 million as of March 31, 2021) for the potential market approval.</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provision for any of these obligations, except as noted above, since the amounts are either not paid or payable as of March 31, 2021.</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i w:val="1"/>
          <w:iCs w:val="1"/>
          <w:u w:val="single" w:color="auto"/>
          <w:color w:val="auto"/>
        </w:rPr>
        <w:t>Marketing Obligations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March 31, 2021, the Company had certain marketing commitments, consisting of communication costs related to the direct-to-consumer activities, totaling approximately $14.2 million.</w:t>
      </w:r>
    </w:p>
    <w:p>
      <w:pPr>
        <w:spacing w:after="0" w:line="274" w:lineRule="exact"/>
        <w:rPr>
          <w:sz w:val="20"/>
          <w:szCs w:val="20"/>
          <w:color w:val="auto"/>
        </w:rPr>
      </w:pPr>
    </w:p>
    <w:p>
      <w:pPr>
        <w:ind w:left="520" w:right="9600" w:hanging="512"/>
        <w:spacing w:after="0" w:line="425" w:lineRule="auto"/>
        <w:tabs>
          <w:tab w:leader="none" w:pos="51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Preferred Stock</w:t>
      </w:r>
    </w:p>
    <w:p>
      <w:pPr>
        <w:spacing w:after="0"/>
        <w:rPr>
          <w:sz w:val="20"/>
          <w:szCs w:val="20"/>
          <w:color w:val="auto"/>
        </w:rPr>
      </w:pPr>
      <w:r>
        <w:rPr>
          <w:rFonts w:ascii="Arial" w:cs="Arial" w:eastAsia="Arial" w:hAnsi="Arial"/>
          <w:sz w:val="16"/>
          <w:szCs w:val="16"/>
          <w:color w:val="auto"/>
        </w:rPr>
        <w:t>In March 2015, the Company entered into subscription agreements with both existing and new investors, or the Purchasers, for the private placement of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total of 391,017,970 restricted American Depositary Shares, or ADSs, each representing one share of Amarin’s Series A Convertible Preference Shares, par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£0.05 per share, in the capital of the Company, or Series A Preference Shares. For each restricted ADS, the Purchasers paid a negotiated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$0.15 (equating to $1.50 on an as-if-converted-to-ordinary-shares basis), resulting in gross proceeds to the Company of approximately $58.6 million before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deducting estimated offering expenses of approximately $0.7 million. At the request of the holders and provided certain conditions were met, each ten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Preference Shares were able to be consolidated and redesignated as one ordinary share, par value £0.50 per share, in the capital of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ordinary share to be represented by ADSs. During the years ended December 31, 2020, 2018, and 2015, the Company issued 28,931,746, 3,886,718,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6,283,333 ADSs, respectively, upon consolidation and redesignation of Series A Preference Shares at the request of the holders, such that no Series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Preference Shares remained outstanding as of March 31, 2021 and December 31, 2020. Refer to the Company’s Annual Report on Form 10-K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2020 for a more complete background.</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There was no common stock activity during the three months ended March 31, 2021 and 2020 except as described in </w:t>
      </w:r>
      <w:r>
        <w:rPr>
          <w:rFonts w:ascii="Arial" w:cs="Arial" w:eastAsia="Arial" w:hAnsi="Arial"/>
          <w:sz w:val="17"/>
          <w:szCs w:val="17"/>
          <w:i w:val="1"/>
          <w:iCs w:val="1"/>
          <w:color w:val="auto"/>
        </w:rPr>
        <w:t>Incentive Equity Awards</w:t>
      </w:r>
      <w:r>
        <w:rPr>
          <w:rFonts w:ascii="Arial" w:cs="Arial" w:eastAsia="Arial" w:hAnsi="Arial"/>
          <w:sz w:val="17"/>
          <w:szCs w:val="17"/>
          <w:color w:val="auto"/>
        </w:rPr>
        <w:t xml:space="preserve"> below.</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of March 31, 2021, there were an aggregate of 19,371,777 stock options and 10,251,564 restricted stock units, or RSUs, outstanding, representing approximately 5% and 2%, respectively, of outstanding shares on a fully diluted basis.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three months ended March 31, 2021 and 2020, the Company issued 783,320 and 412,465 common shares, respectively, as a result of the exercise of stock options, resulting in gross and net proceeds of $2.1 million during the three months ended March 31, 2021 and $1.3 million during the three months ended March 31, 2020. During the three months ended March 31, 2021 and 2020, the Company issued 940,977 and 1,109,600 common shares, respectively, related to the vesting of RSUs, of which 365,463 and 406,042 shares, respectively, were retained as treasury shares as settlement of employee tax obligations. During the three months ended March 31, 2021 and 2020, in connection with the achievement of certain regulatory and sales performance conditions associated with the REDUCE-IT clinical trial and subsequent revenue growth, the Company issued 1,506,428 and 841,848 common shares, respectively, upon vesting of performance-based RSUs granted in 2017 and 2018, of which 638,502 and 353,790 shares, respectively, were retained as treasury shares as settlement of employee tax obligations. These performance-based RSUs will continue to vest ratably monthly through August 2021.</w:t>
      </w:r>
    </w:p>
    <w:p>
      <w:pPr>
        <w:spacing w:after="0" w:line="14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4, 2021, the Company granted a total of 3,265,700 RSUs and 3,100,200 stock options to employees under the Amarin Corporation plc 2020 Stock Incentive Plan, or the 2020 Plan. The RSUs vest annually over a three-year period and the stock options vest quarterly over a four-year period with a one-year cliff vesting. Also on January 4, 2021, the Company granted a total of 1,345,800 RSUs to certain employees under the 2020 Plan that vest upon the achievement of specified operational performance conditions.</w:t>
      </w:r>
    </w:p>
    <w:p>
      <w:pPr>
        <w:spacing w:after="0" w:line="133"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On March 2, 2020 and February 3, 2020, the Company granted a total of 821,950 RSUs and 1,875,000 stock options, respectively, to employees under the Amarin Corporation plc 2011 Stock Incentive Plan, or the 2011 Plan. The RSUs vest annually over a three-year period and the stock options vest quarterly over a four-year period. Also on February 3, 2020, the Company granted a total of 1,253,400 RSUs to employees under the 2011 Plan that vest upon the achievement of specified sales performance conditions.</w:t>
      </w:r>
    </w:p>
    <w:p>
      <w:pPr>
        <w:spacing w:after="0" w:line="28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On March 31, 2014, the Company entered into a Co-Promotion Agreement, or the Agreement, with Kowa Pharmaceuticals America, Inc. related to the commercialization of VASCEPA capsules in the United States. The Company and Kowa Pharmaceuticals America, Inc. intentionally designed the Agreement to naturally end as of December 31, 2018 and mutually agreed not to renew the Agreement.</w:t>
      </w:r>
    </w:p>
    <w:p>
      <w:pPr>
        <w:spacing w:after="0" w:line="18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During 2018, which was the last year of the co-promotion of VASCEPA by Kowa Pharmaceuticals America, Inc., the Company incurred expense for co-promotion tail payments which are calculated as a percentage of the 2018 co-promotion fee, which was eighteen and a half percent (18.5%) of VASCEPA gross margin in 2018. The accrued tail payments are paid over three years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declining amounts each year. Kowa Pharmaceuticals America, Inc. was eligible to receive $17.8 million in co-promotion tail payments, the present value of which $16.6 million, was fully accrued as of December 31, 2018.</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March 31, 2021, a net payable to Kowa Pharmaceuticals America, Inc. of $2.5 million was classified as current on the condensed consolidated balance sheet, representing the remaining accrued co-promotion tail payments. As of December 31, 2020, a net payable to Kowa Pharmaceuticals America, Inc. of $3.8 million, of which $3.2 million was classified as current on the condensed consolidated balance sheet, represents the remaining accrued co-promotion tail payments.</w:t>
      </w:r>
    </w:p>
    <w:p>
      <w:pPr>
        <w:spacing w:after="0" w:line="183" w:lineRule="exact"/>
        <w:rPr>
          <w:sz w:val="20"/>
          <w:szCs w:val="20"/>
          <w:color w:val="auto"/>
        </w:rPr>
      </w:pPr>
    </w:p>
    <w:p>
      <w:pPr>
        <w:ind w:left="860" w:hanging="852"/>
        <w:spacing w:after="0"/>
        <w:tabs>
          <w:tab w:leader="none" w:pos="8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Arial" w:cs="Arial" w:eastAsia="Arial" w:hAnsi="Arial"/>
          <w:sz w:val="18"/>
          <w:szCs w:val="18"/>
          <w:color w:val="00B050"/>
        </w:rPr>
        <w:t>.</w:t>
      </w:r>
      <w:r>
        <w:rPr>
          <w:rFonts w:ascii="Arial" w:cs="Arial" w:eastAsia="Arial" w:hAnsi="Arial"/>
          <w:sz w:val="18"/>
          <w:szCs w:val="18"/>
          <w:color w:val="auto"/>
        </w:rPr>
        <w:t xml:space="preserve"> The Company calculates gross product revenues generally based on the wholesale acquisition cost that the Company charges its distributors for VASCEPA.</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76" w:lineRule="exact"/>
        <w:rPr>
          <w:sz w:val="20"/>
          <w:szCs w:val="20"/>
          <w:color w:val="auto"/>
        </w:rPr>
      </w:pPr>
    </w:p>
    <w:p>
      <w:pPr>
        <w:ind w:left="520" w:right="40" w:firstLine="487"/>
        <w:spacing w:after="0" w:line="296"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53" w:lineRule="exact"/>
        <w:rPr>
          <w:sz w:val="20"/>
          <w:szCs w:val="20"/>
          <w:color w:val="auto"/>
        </w:rPr>
      </w:pPr>
    </w:p>
    <w:p>
      <w:pPr>
        <w:ind w:left="520" w:right="40" w:firstLine="487"/>
        <w:spacing w:after="0" w:line="269"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Medicare, other government agencies and various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ind w:left="520"/>
        <w:spacing w:after="0" w:line="311" w:lineRule="auto"/>
        <w:rPr>
          <w:sz w:val="20"/>
          <w:szCs w:val="20"/>
          <w:color w:val="auto"/>
        </w:rPr>
      </w:pPr>
      <w:r>
        <w:rPr>
          <w:rFonts w:ascii="Arial" w:cs="Arial" w:eastAsia="Arial" w:hAnsi="Arial"/>
          <w:sz w:val="16"/>
          <w:szCs w:val="16"/>
          <w:color w:val="auto"/>
        </w:rPr>
        <w:t>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41" w:lineRule="exact"/>
        <w:rPr>
          <w:sz w:val="20"/>
          <w:szCs w:val="20"/>
          <w:color w:val="auto"/>
        </w:rPr>
      </w:pPr>
    </w:p>
    <w:p>
      <w:pPr>
        <w:ind w:left="520" w:right="20" w:firstLine="487"/>
        <w:spacing w:after="0" w:line="284"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w:t>
      </w:r>
    </w:p>
    <w:p>
      <w:pPr>
        <w:spacing w:after="0" w:line="1" w:lineRule="exact"/>
        <w:rPr>
          <w:sz w:val="20"/>
          <w:szCs w:val="20"/>
          <w:color w:val="auto"/>
        </w:rPr>
      </w:pPr>
    </w:p>
    <w:p>
      <w:pPr>
        <w:ind w:left="520" w:right="40" w:hanging="2"/>
        <w:spacing w:after="0" w:line="253" w:lineRule="auto"/>
        <w:tabs>
          <w:tab w:leader="none" w:pos="8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83" w:lineRule="exact"/>
        <w:rPr>
          <w:sz w:val="20"/>
          <w:szCs w:val="20"/>
          <w:color w:val="auto"/>
        </w:rPr>
      </w:pPr>
    </w:p>
    <w:p>
      <w:pPr>
        <w:ind w:left="520" w:firstLine="487"/>
        <w:spacing w:after="0" w:line="28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Trade</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Rebates,</w:t>
            </w:r>
          </w:p>
        </w:tc>
        <w:tc>
          <w:tcPr>
            <w:tcW w:w="14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Product</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Allowances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Discounts</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Returns</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Incentives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36,242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141,201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7,797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5,587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190,827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148,241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(854)</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(3,582)</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(16,136)</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(9,807)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(29,525)</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(7,086)</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(108,020)</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(5,618)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(121,126)</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Balance as of March 31,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54,708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164,432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8,223</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Trade</w:t>
            </w:r>
          </w:p>
        </w:tc>
        <w:tc>
          <w:tcPr>
            <w:tcW w:w="14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Rebates,</w:t>
            </w:r>
          </w:p>
        </w:tc>
        <w:tc>
          <w:tcPr>
            <w:tcW w:w="140" w:type="dxa"/>
            <w:vAlign w:val="bottom"/>
          </w:tcPr>
          <w:p>
            <w:pPr>
              <w:spacing w:after="0"/>
              <w:rPr>
                <w:sz w:val="24"/>
                <w:szCs w:val="2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Product</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Allowances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Discounts</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Returns</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Incentives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29,261</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90,997</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4,579</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128,557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133,721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(3,209)</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(6,872)</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(33,927)</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(51,619)</w:t>
            </w:r>
          </w:p>
        </w:tc>
        <w:tc>
          <w:tcPr>
            <w:tcW w:w="0" w:type="dxa"/>
            <w:vAlign w:val="bottom"/>
          </w:tcPr>
          <w:p>
            <w:pPr>
              <w:spacing w:after="0"/>
              <w:rPr>
                <w:sz w:val="1"/>
                <w:szCs w:val="1"/>
                <w:color w:val="auto"/>
              </w:rPr>
            </w:pPr>
          </w:p>
        </w:tc>
      </w:tr>
      <w:tr>
        <w:trPr>
          <w:trHeight w:val="229"/>
        </w:trPr>
        <w:tc>
          <w:tcPr>
            <w:tcW w:w="4640" w:type="dxa"/>
            <w:vAlign w:val="bottom"/>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(29,047)</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(75,738)</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(3,721)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(108,651)</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23,982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111,844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5,249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7,707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148,782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i w:val="1"/>
          <w:iCs w:val="1"/>
          <w:color w:val="auto"/>
        </w:rPr>
        <w:t>Licensing Revenue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95"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6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0" w:lineRule="exact"/>
        <w:rPr>
          <w:sz w:val="20"/>
          <w:szCs w:val="20"/>
          <w:color w:val="auto"/>
        </w:rPr>
      </w:pPr>
    </w:p>
    <w:p>
      <w:pPr>
        <w:ind w:left="280" w:right="6240" w:hanging="272"/>
        <w:spacing w:after="0" w:line="338" w:lineRule="auto"/>
        <w:tabs>
          <w:tab w:leader="none" w:pos="499"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Development, Commercialization and Supply Agreements </w:t>
      </w:r>
      <w:r>
        <w:rPr>
          <w:rFonts w:ascii="Arial" w:cs="Arial" w:eastAsia="Arial" w:hAnsi="Arial"/>
          <w:sz w:val="18"/>
          <w:szCs w:val="18"/>
          <w:i w:val="1"/>
          <w:iCs w:val="1"/>
          <w:u w:val="single" w:color="auto"/>
          <w:color w:val="auto"/>
        </w:rPr>
        <w:t>In-licenses</w:t>
      </w:r>
    </w:p>
    <w:p>
      <w:pPr>
        <w:spacing w:after="0" w:line="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Mochida Pharmaceutical Co., Ltd.</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2018, the Company entered into a collaboration with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 w:name="page20"/>
    <w:bookmarkEnd w:id="19"/>
    <w:p>
      <w:pPr>
        <w:ind w:right="440"/>
        <w:spacing w:after="0" w:line="263"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January 2021, the Company exercised certain rights under the agreement, resulting in a payment of $1.0 million to Mochida, which was recorded as Research and development expense in the condensed consolidated statement of operations. In January 2020 and December 2020, the Company exercised certain rights under the agreement, resulting in payments of $1.0 million, respectively, to Mochida, which were recorded as Research and development expense in the condensed consolidated statement of operations.</w:t>
      </w:r>
    </w:p>
    <w:p>
      <w:pPr>
        <w:spacing w:after="0" w:line="200"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Out-licenses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7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and Edding agreed to form a joint development committee to oversee regulatory and development activities for VASCEPA in the China Territory in accordance with a negotiated development plan and to form a separate joint commercialization committee one year prior to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is being used to seek regulatory approval in Mainland China.</w:t>
      </w:r>
    </w:p>
    <w:p>
      <w:pPr>
        <w:spacing w:after="0" w:line="1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line="275"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17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9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three months ended March 31, 2021 and 2020, the Company recognized $0.3 million and $0.6 million, respectively, as licensing revenue related to the up-front and milestone payments received in connection with the Edding agreement. From contract inception through March 31, 2021 and December 31, 2020, the Company recognized $6.4 million and $6.1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$10.5 million and $10.8 million is recorded in deferred revenue as of March 31, 2021 and December 31, 2020, respectively, on the condensed consolidated balance sheets and will be recognized as revenue over the remaining period of 13 years.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6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received approval of VASCEPA as a prescription medication for use in Lebanon in March 2018, in United Arab Emirates in July 2018, in Qatar in January 2020 and in Bahrain in December 2020 as an adjunct to diet to reduce triglyceride levels in adult patients with severe hypertriglyceridemia. VASCEPA was launched in Lebanon in June 2018 and in United Arab Emirates in February 2019.</w:t>
      </w:r>
    </w:p>
    <w:p>
      <w:pPr>
        <w:spacing w:after="0" w:line="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recognized net product revenue of approximately $0.5 million and nil as of March 31, 2021 and 2020, respectively, related to sales to Biologix.</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5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20"/>
        <w:spacing w:after="0" w:line="301"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1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three months ended March 31, 2021 and 2020, the Company recognized $0.3 million and $2.2 million, respectively, as licensing revenue related to up-front and milestone payments received in connection with the HLS agreement. From the contract’s inception through March 31, 2021 and December 31, 2020, the Company has recognized $6.9 million and $6.6 million, respectively, as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The remaining transaction price of $6.8 million and $7.1 million is recorded in deferred revenue as of March 31, 2021 and December 31, 2020, respectively, on the condensed consolidated balance sheets and will be recognized as revenue over the remaining period of 9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net product revenue of nil and $6.7 million as of March 31, 2021 and 2020, respectively, related to HLS.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balances of the Company’s contract assets and liabilities during the three months ended March 31, 2021:</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4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Additions</w:t>
            </w:r>
          </w:p>
        </w:tc>
        <w:tc>
          <w:tcPr>
            <w:tcW w:w="320" w:type="dxa"/>
            <w:vAlign w:val="bottom"/>
          </w:tcPr>
          <w:p>
            <w:pPr>
              <w:spacing w:after="0"/>
              <w:rPr>
                <w:sz w:val="12"/>
                <w:szCs w:val="12"/>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37"/>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Contract assets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18,632</w:t>
            </w:r>
          </w:p>
        </w:tc>
        <w:tc>
          <w:tcPr>
            <w:tcW w:w="80" w:type="dxa"/>
            <w:vAlign w:val="bottom"/>
          </w:tcPr>
          <w:p>
            <w:pPr>
              <w:spacing w:after="0"/>
              <w:rPr>
                <w:sz w:val="19"/>
                <w:szCs w:val="19"/>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(662)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months ended March 31, 2021, the Company recognized the following revenues as a result of changes in the contract asset and contract liability balances in the respective periods: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7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1040" w:type="dxa"/>
            <w:vAlign w:val="bottom"/>
          </w:tcPr>
          <w:p>
            <w:pPr>
              <w:jc w:val="right"/>
              <w:ind w:right="87"/>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1040" w:type="dxa"/>
            <w:vAlign w:val="bottom"/>
            <w:tcBorders>
              <w:top w:val="single" w:sz="8" w:color="auto"/>
            </w:tcBorders>
            <w:shd w:val="clear" w:color="auto" w:fill="CCEEFF"/>
          </w:tcPr>
          <w:p>
            <w:pPr>
              <w:jc w:val="right"/>
              <w:ind w:right="8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Borders>
              <w:top w:val="single" w:sz="8" w:color="CCEEFF"/>
            </w:tcBorders>
            <w:shd w:val="clear" w:color="auto" w:fill="CCEEFF"/>
          </w:tcPr>
          <w:p>
            <w:pPr>
              <w:spacing w:after="0"/>
              <w:rPr>
                <w:sz w:val="19"/>
                <w:szCs w:val="19"/>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 w:name="page23"/>
    <w:bookmarkEnd w:id="22"/>
    <w:p>
      <w:pPr>
        <w:ind w:right="220"/>
        <w:spacing w:after="0" w:line="257" w:lineRule="auto"/>
        <w:rPr>
          <w:sz w:val="20"/>
          <w:szCs w:val="20"/>
          <w:color w:val="auto"/>
        </w:rPr>
      </w:pPr>
      <w:r>
        <w:rPr>
          <w:rFonts w:ascii="Arial" w:cs="Arial" w:eastAsia="Arial" w:hAnsi="Arial"/>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13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ninety-seventh month after the Commencement Date upon advance written notice and a termination payment specified in the Lease. Under the Lease, the Company pays monthly rent of approximately $0.1 million for the first year following the Commencement Date, and such rent will increase by a nominal percentage every year following the first anniversary of the Commencement Date. In addition, Amarin receives certain abatements subject to the limitations in the Lease. The operating lease liability is $10.6 million and $10.6 million and the operating lease right-of-use asset is $8.0 million and $8.1 million, as of March 31, 2021 and December 31, 2020, respectively. The lease expense for the three months ended March 31, 2021 and 2020 is approximately $0.4 million and $0.4 million, respectively.</w:t>
      </w:r>
    </w:p>
    <w:p>
      <w:pPr>
        <w:spacing w:after="0" w:line="1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March 31,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Undiscounted</w:t>
            </w:r>
          </w:p>
        </w:tc>
        <w:tc>
          <w:tcPr>
            <w:tcW w:w="560" w:type="dxa"/>
            <w:vAlign w:val="bottom"/>
          </w:tcPr>
          <w:p>
            <w:pPr>
              <w:spacing w:after="0"/>
              <w:rPr>
                <w:sz w:val="14"/>
                <w:szCs w:val="14"/>
                <w:color w:val="auto"/>
              </w:rPr>
            </w:pPr>
          </w:p>
        </w:tc>
      </w:tr>
      <w:tr>
        <w:trPr>
          <w:trHeight w:val="148"/>
        </w:trPr>
        <w:tc>
          <w:tcPr>
            <w:tcW w:w="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9"/>
              </w:rPr>
              <w:t>lease</w:t>
            </w:r>
          </w:p>
        </w:tc>
        <w:tc>
          <w:tcPr>
            <w:tcW w:w="56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payments</w:t>
            </w:r>
          </w:p>
        </w:tc>
        <w:tc>
          <w:tcPr>
            <w:tcW w:w="560" w:type="dxa"/>
            <w:vAlign w:val="bottom"/>
          </w:tcPr>
          <w:p>
            <w:pPr>
              <w:spacing w:after="0"/>
              <w:rPr>
                <w:sz w:val="12"/>
                <w:szCs w:val="12"/>
                <w:color w:val="auto"/>
              </w:rPr>
            </w:pPr>
          </w:p>
        </w:tc>
      </w:tr>
      <w:tr>
        <w:trPr>
          <w:trHeight w:val="171"/>
        </w:trPr>
        <w:tc>
          <w:tcPr>
            <w:tcW w:w="5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($000s)</w:t>
            </w:r>
          </w:p>
        </w:tc>
        <w:tc>
          <w:tcPr>
            <w:tcW w:w="56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43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2022</w:t>
            </w:r>
          </w:p>
        </w:tc>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2024</w:t>
            </w:r>
          </w:p>
        </w:tc>
        <w:tc>
          <w:tcPr>
            <w:tcW w:w="4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43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payments</w:t>
            </w:r>
          </w:p>
        </w:tc>
        <w:tc>
          <w:tcPr>
            <w:tcW w:w="4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17,546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Discount Adjustments</w:t>
            </w:r>
          </w:p>
        </w:tc>
        <w:tc>
          <w:tcPr>
            <w:tcW w:w="43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(6,956)</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Current operating lease liability</w:t>
            </w:r>
          </w:p>
        </w:tc>
        <w:tc>
          <w:tcPr>
            <w:tcW w:w="4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484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9,015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674"/>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380" w:type="dxa"/>
            <w:vAlign w:val="bottom"/>
          </w:tcPr>
          <w:p>
            <w:pPr>
              <w:jc w:val="right"/>
              <w:ind w:right="287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2020 and below under Part II, Item IA, “Risk Factors”.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This Management’s Discussion and Analysis of Financial Condition and Results of Operations, or MD&amp;A, should be read in conjunction with the Part I, Item 1, Business and Part II, Item 7, MD&amp;A included in our Annual Report on Form 10-K for the fiscal year ended December 31, 2020 for additional information on our business.</w:t>
      </w:r>
    </w:p>
    <w:p>
      <w:pPr>
        <w:spacing w:after="0" w:line="7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are a pharmaceutical company focused on the commercialization and development of therapeutics to improve cardiovascular, or CV, health and reduce CV risk. Our lead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was first approved by the United States Food and Drug Administration, or U.S. FDA, for use as an adjunct to diet to reduce triglyceride, or TG, levels in adult patients with severe (≥500 mg/dL) hypertriglyceridemia. We launched VASCEPA in the United States, or U.S., in January 2013. On December 13, 2019 the U.S. FDA approved an indication and label expansion for VASCEPA based on the landmark results of our cardiovascular outcomes trial of VASCEPA, REDUCE-IT</w:t>
      </w:r>
      <w:r>
        <w:rPr>
          <w:rFonts w:ascii="Arial" w:cs="Arial" w:eastAsia="Arial" w:hAnsi="Arial"/>
          <w:sz w:val="15"/>
          <w:szCs w:val="15"/>
          <w:color w:val="auto"/>
        </w:rPr>
        <w:t>®</w:t>
      </w:r>
      <w:r>
        <w:rPr>
          <w:rFonts w:ascii="Arial" w:cs="Arial" w:eastAsia="Arial" w:hAnsi="Arial"/>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w:t>
      </w:r>
    </w:p>
    <w:p>
      <w:pPr>
        <w:spacing w:after="0" w:line="127" w:lineRule="exact"/>
        <w:rPr>
          <w:sz w:val="20"/>
          <w:szCs w:val="20"/>
          <w:color w:val="auto"/>
        </w:rPr>
      </w:pPr>
    </w:p>
    <w:p>
      <w:pPr>
        <w:ind w:right="60" w:firstLine="544"/>
        <w:spacing w:after="0" w:line="269" w:lineRule="auto"/>
        <w:rPr>
          <w:sz w:val="20"/>
          <w:szCs w:val="20"/>
          <w:color w:val="auto"/>
        </w:rPr>
      </w:pPr>
      <w:r>
        <w:rPr>
          <w:rFonts w:ascii="Arial" w:cs="Arial" w:eastAsia="Arial" w:hAnsi="Arial"/>
          <w:sz w:val="17"/>
          <w:szCs w:val="17"/>
          <w:color w:val="auto"/>
        </w:rPr>
        <w:t>In August 2020, we announced our plans to launch icosapent ethyl under the brand name VAZKEPA, hereinafter along with the U.S. brand name VASCEPA, collectively referred to as VASCEPA, in major markets in Europe through our own new European sales and marketing teams. On January 28, 2021, the Committee for Medicinal Products for Human Use, or CHMP, of the European Medicines Agency, or EMA, adopted a positive opinion, recommending that a marketing authorization be granted to our drug, icosapent ethyl, in the European Union, or EU, for the reduction of risk of cardiovascular events in patients with high cardiovascular risk. On March 26, 2021, the European Commission, or EC, granted approval of the marketing authorization application in the EU for VAZKEPA to reduce the risk of cardiovascular disease or diabetes and at least one additional cardiovascular risk factor. VAZKEPA is the first and only EC approved therapy to reduce cardiovascular risk in high-risk statin-treated patient. The EC approval provides ten years of market protection in the EU, and we have been issued a patent that expires in 2033 with additional pending applications that could extend exclusivity into 2039. On April 22, 2021, we announced that we received marketing authorization from the Medicines and Healthcare Products Regulatory Agency, or MHRA, for VAZKEPA in England, Wales and Scotland to reduce cardiovascular risk through MHRA’s new ‘reliance’ route following the end of the BREXIT transition period.</w:t>
      </w:r>
    </w:p>
    <w:p>
      <w:pPr>
        <w:spacing w:after="0" w:line="101" w:lineRule="exact"/>
        <w:rPr>
          <w:sz w:val="20"/>
          <w:szCs w:val="20"/>
          <w:color w:val="auto"/>
        </w:rPr>
      </w:pPr>
    </w:p>
    <w:p>
      <w:pPr>
        <w:ind w:right="40" w:firstLine="544"/>
        <w:spacing w:after="0" w:line="254" w:lineRule="auto"/>
        <w:rPr>
          <w:sz w:val="20"/>
          <w:szCs w:val="20"/>
          <w:color w:val="auto"/>
        </w:rPr>
      </w:pPr>
      <w:r>
        <w:rPr>
          <w:rFonts w:ascii="Arial" w:cs="Arial" w:eastAsia="Arial" w:hAnsi="Arial"/>
          <w:sz w:val="18"/>
          <w:szCs w:val="18"/>
          <w:color w:val="auto"/>
        </w:rPr>
        <w:t>In Europe, launch of VAZKEPA in individual countries is gated by timing of achieving product reimbursement on a country-by-country basis as is typical for new drugs. In seeking market access, we expect to file dossiers in ten European countries in the coming months, including the largest countries in Europe. Similar to our approach in launching VASCEPA in the United States, in Europe we have been building a core team of experienced professionals and a highly capable sales team, who are involved with pre-launch planning and other commercial preparation activities and plan to leverage third-party relationships for various support activities. We also have commenced training sales representatives to advance pre-launch disease and brand awareness initiatives in preparation for the planned commercial launch of VAZKEPA in Germany before the end of Q3 2021. We expect to have approximately 150 sales representatives deployed for pre-launch product and disease state awareness programs by mid-Q2 2021 and approximately 300 professionals by the end of 2021.</w:t>
      </w:r>
    </w:p>
    <w:p>
      <w:pPr>
        <w:spacing w:after="0" w:line="124" w:lineRule="exact"/>
        <w:rPr>
          <w:sz w:val="20"/>
          <w:szCs w:val="20"/>
          <w:color w:val="auto"/>
        </w:rPr>
      </w:pPr>
    </w:p>
    <w:p>
      <w:pPr>
        <w:ind w:right="60" w:firstLine="544"/>
        <w:spacing w:after="0" w:line="257" w:lineRule="auto"/>
        <w:rPr>
          <w:sz w:val="20"/>
          <w:szCs w:val="20"/>
          <w:color w:val="auto"/>
        </w:rPr>
      </w:pPr>
      <w:r>
        <w:rPr>
          <w:rFonts w:ascii="Arial" w:cs="Arial" w:eastAsia="Arial" w:hAnsi="Arial"/>
          <w:sz w:val="18"/>
          <w:szCs w:val="18"/>
          <w:color w:val="auto"/>
        </w:rPr>
        <w:t>In November 2020, we announced statistically significant topline results from the Phase 3 clinical trial of VASCEPA conducted by our partner in China. On February 9, 2021, we announced that our partner in China commenced the regulatory review processes in Mainland China and Hong Kong. The Chinese National Medical Products Administration, or NMPA, has accepted for review the new drug application for VASCEPA based on the results from the Phase 3 clinical trial and the results from our prior studies of VASCEPA. We expect to receive a decision from the NMPA in Mainland China near the end of 2021. The Hong Kong Department of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4" w:name="page25"/>
    <w:bookmarkEnd w:id="24"/>
    <w:p>
      <w:pPr>
        <w:ind w:right="180"/>
        <w:spacing w:after="0" w:line="277" w:lineRule="auto"/>
        <w:rPr>
          <w:sz w:val="20"/>
          <w:szCs w:val="20"/>
          <w:color w:val="auto"/>
        </w:rPr>
      </w:pPr>
      <w:r>
        <w:rPr>
          <w:rFonts w:ascii="Arial" w:cs="Arial" w:eastAsia="Arial" w:hAnsi="Arial"/>
          <w:sz w:val="18"/>
          <w:szCs w:val="18"/>
          <w:color w:val="auto"/>
        </w:rPr>
        <w:t>Health is evaluating VASCEPA based initially on current approvals in the United States and Canada with subsequent notification of the EC approval. The review process in Hong Kong is expected to conclude near the end of 2021.</w:t>
      </w:r>
    </w:p>
    <w:p>
      <w:pPr>
        <w:spacing w:after="0" w:line="89" w:lineRule="exact"/>
        <w:rPr>
          <w:sz w:val="20"/>
          <w:szCs w:val="20"/>
          <w:color w:val="auto"/>
        </w:rPr>
      </w:pPr>
    </w:p>
    <w:p>
      <w:pPr>
        <w:ind w:right="160" w:firstLine="544"/>
        <w:spacing w:after="0" w:line="259" w:lineRule="auto"/>
        <w:rPr>
          <w:sz w:val="20"/>
          <w:szCs w:val="20"/>
          <w:color w:val="auto"/>
        </w:rPr>
      </w:pPr>
      <w:r>
        <w:rPr>
          <w:rFonts w:ascii="Arial" w:cs="Arial" w:eastAsia="Arial" w:hAnsi="Arial"/>
          <w:sz w:val="18"/>
          <w:szCs w:val="18"/>
          <w:color w:val="auto"/>
        </w:rPr>
        <w:t>In addition to the U.S.,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In China and the Middle East, we are pursuing such regulatory approvals and subsequent commercialization of VASCEPA with commercial partners.</w:t>
      </w:r>
    </w:p>
    <w:p>
      <w:pPr>
        <w:spacing w:after="0" w:line="133"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Based on REDUCE-IT results, to-date 15 clinical treatment guidelines or position statements from medical societies have been updated recommending the use of icosapent ethyl in at-risk patients. Based on our analysis of branded cardiovascular drugs in the United States which have positive cardiovascular outcomes studies, we believe the wholesale acquisition cost of VASCEPA is the lowest. In addition, while none of these other cardiovascular drugs compete directly with VASCEPA and no head-to-head studies have been done between VASCEPA and these other drugs and the length and construct of the respective outcomes studies of these drugs vary, analysis of published clinical results from the cardiovascular outcomes studies of these drugs indicates that the number needed to treat, or NNT, for VASCEPA is as low or lower than for these other branded cardiovascular drugs. NNT is a measure of how many patients need to be treated before one patient benefits from the therapy. For VASCEPA, in this analysis, the NNT was based on the 25% relative risk reduction demonstrated for the primary endpoint of the study, the NNT for which is 21, as opposed to one fewer MACE on average per six patients treated over the five-year study period based on total events. The original pricing for VASCEPA in the United States was established prior to results of the REDUCE-IT cardiovascular outcomes study during a timeframe when VASCEPA was only approved for the original indication as an adjunct to diet to reduce TG levels in adult patients with severe (TG ≥500 mg/dL) hypertriglyceridemia. We believe that this relatively low price for VASCEPA in the United States, together with the demonstrated efficacy and safety of VASCEPA, will help lead to many at-risk patients being treated by VASCEPA.</w:t>
      </w:r>
    </w:p>
    <w:p>
      <w:pPr>
        <w:spacing w:after="0" w:line="132" w:lineRule="exact"/>
        <w:rPr>
          <w:sz w:val="20"/>
          <w:szCs w:val="20"/>
          <w:color w:val="auto"/>
        </w:rPr>
      </w:pPr>
    </w:p>
    <w:p>
      <w:pPr>
        <w:ind w:firstLine="544"/>
        <w:spacing w:after="0" w:line="270" w:lineRule="auto"/>
        <w:rPr>
          <w:sz w:val="20"/>
          <w:szCs w:val="20"/>
          <w:color w:val="auto"/>
        </w:rPr>
      </w:pPr>
      <w:r>
        <w:rPr>
          <w:rFonts w:ascii="Arial" w:cs="Arial" w:eastAsia="Arial" w:hAnsi="Arial"/>
          <w:sz w:val="17"/>
          <w:szCs w:val="17"/>
          <w:color w:val="auto"/>
        </w:rPr>
        <w:t>On March 30, 2020, the United States District Court for the District of Nevada, or the Nevada Court, ruled in favor of two generic companies in our patent litigation related to their abbreviated new drug applications, or ANDAs, that sought U.S. FDA approval for sale of generic versions of VASCEPA. On May 22, 2020 and August 10, 2020, the two generic companies, Hikma Pharmaceutical USA Inc., or Hikma, and Dr. Reddy’s Laboratories, Inc., or Dr. Reddy’s, received U.S. FDA approval to market its generic versions of VASCEPA for the original indication of VASCEPA as an adjunct to diet to reduce TG levels in adult patients with severe (≥500 mg/dL) hypertriglyceridemia. On September 3, 2020, the U.S. Court of Appeals for the Federal Circuit upheld the March ruling by the Nevada Court in favor of the two generic companies. On October 2, 2020, we filed a combined petition for panel rehearing or rehearing en banc. On November 4, 2020, our rehearing and en banc petitions were denied. On February 11, 2021, we filed a petition for a writ of certiorari with the United States Supreme Court to ask the Court to hear our appeal in this litigation, which is pending. We intend to vigorously pursue this matter, but we cannot predict the outcome.</w:t>
      </w:r>
    </w:p>
    <w:p>
      <w:pPr>
        <w:spacing w:after="0" w:line="127" w:lineRule="exact"/>
        <w:rPr>
          <w:sz w:val="20"/>
          <w:szCs w:val="20"/>
          <w:color w:val="auto"/>
        </w:rPr>
      </w:pPr>
    </w:p>
    <w:p>
      <w:pPr>
        <w:ind w:right="100" w:firstLine="544"/>
        <w:spacing w:after="0" w:line="257" w:lineRule="auto"/>
        <w:rPr>
          <w:sz w:val="20"/>
          <w:szCs w:val="20"/>
          <w:color w:val="auto"/>
        </w:rPr>
      </w:pPr>
      <w:r>
        <w:rPr>
          <w:rFonts w:ascii="Arial" w:cs="Arial" w:eastAsia="Arial" w:hAnsi="Arial"/>
          <w:sz w:val="18"/>
          <w:szCs w:val="18"/>
          <w:color w:val="auto"/>
        </w:rPr>
        <w:t>In November 2020, Hikma launched their generic version of VASCEPA on a limited scale.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The earlier ANDA litigation did not pertain to our patents covering cardiovascular risk reduction. On January 25, 2021 we expanded the scope of the patent infringement lawsuit to include a health care insurance provider, Health Net, LLC.</w:t>
      </w:r>
    </w:p>
    <w:p>
      <w:pPr>
        <w:spacing w:after="0" w:line="134" w:lineRule="exact"/>
        <w:rPr>
          <w:sz w:val="20"/>
          <w:szCs w:val="20"/>
          <w:color w:val="auto"/>
        </w:rPr>
      </w:pPr>
    </w:p>
    <w:p>
      <w:pPr>
        <w:ind w:firstLine="544"/>
        <w:spacing w:after="0" w:line="263" w:lineRule="auto"/>
        <w:rPr>
          <w:sz w:val="20"/>
          <w:szCs w:val="20"/>
          <w:color w:val="auto"/>
        </w:rPr>
      </w:pPr>
      <w:r>
        <w:rPr>
          <w:rFonts w:ascii="Arial" w:cs="Arial" w:eastAsia="Arial" w:hAnsi="Arial"/>
          <w:sz w:val="18"/>
          <w:szCs w:val="18"/>
          <w:color w:val="auto"/>
        </w:rPr>
        <w:t>Although, to date, no generics other than Hikma have been launched, in addition to ANDAs approved for Hikma and Dr. Reddy’s, on September 11, 2020, Teva Pharmaceuticals USA, Inc’s., or Teva’s, ANDA was approved by the U.S. FDA. Apotex, Inc., or Apotex, has applied for ANDA approval and such application, based on public records, has not yet been approved.</w:t>
      </w:r>
    </w:p>
    <w:p>
      <w:pPr>
        <w:spacing w:after="0" w:line="130"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intend to vigorously pursue these ongoing litigation matters, but cannot predict the outcomes or the impact on our business. Geographies outside the United States in which VASCEPA is sold and under regulatory review are not subject to this U.S. patent litigation and judgment. No similar litigation involving potential generic version of VASCEPA is pending outside the United States.</w:t>
      </w:r>
    </w:p>
    <w:p>
      <w:pPr>
        <w:spacing w:after="0" w:line="130" w:lineRule="exact"/>
        <w:rPr>
          <w:sz w:val="20"/>
          <w:szCs w:val="20"/>
          <w:color w:val="auto"/>
        </w:rPr>
      </w:pPr>
    </w:p>
    <w:p>
      <w:pPr>
        <w:ind w:right="180" w:firstLine="544"/>
        <w:spacing w:after="0" w:line="259" w:lineRule="auto"/>
        <w:rPr>
          <w:sz w:val="20"/>
          <w:szCs w:val="20"/>
          <w:color w:val="auto"/>
        </w:rPr>
      </w:pPr>
      <w:r>
        <w:rPr>
          <w:rFonts w:ascii="Arial" w:cs="Arial" w:eastAsia="Arial" w:hAnsi="Arial"/>
          <w:sz w:val="18"/>
          <w:szCs w:val="18"/>
          <w:color w:val="auto"/>
        </w:rPr>
        <w:t>We are responsible for supplying VASCEPA to all markets in which the branded product is sold, including Canada, Lebanon and the United Arab Emirates where the drug is promoted and sold via collaborations with third-party companies that compensate us for such supply. Subject to commercial launch in Europe and approval in China, we will be responsible for supplying products to those markets as well. We are not responsible for providing any generic company with drug product.</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w:t>
      </w:r>
    </w:p>
    <w:p>
      <w:pPr>
        <w:spacing w:after="0" w:line="77" w:lineRule="exact"/>
        <w:rPr>
          <w:sz w:val="20"/>
          <w:szCs w:val="20"/>
          <w:color w:val="auto"/>
        </w:rPr>
      </w:pPr>
    </w:p>
    <w:p>
      <w:pPr>
        <w:ind w:right="480" w:firstLine="510"/>
        <w:spacing w:after="0" w:line="257" w:lineRule="auto"/>
        <w:rPr>
          <w:sz w:val="20"/>
          <w:szCs w:val="20"/>
          <w:color w:val="auto"/>
        </w:rPr>
      </w:pPr>
      <w:r>
        <w:rPr>
          <w:rFonts w:ascii="Arial" w:cs="Arial" w:eastAsia="Arial" w:hAnsi="Arial"/>
          <w:sz w:val="18"/>
          <w:szCs w:val="18"/>
          <w:color w:val="auto"/>
        </w:rPr>
        <w:t>We commenced the commercial launch of VASCEPA in the United States in January 2013 based on the original indication for VASCEPA. In October 2016, in addition to the original 1-gram capsule size for VASCEPA, we introduced a smaller 0.5-gram capsule size. The U.S. FDA-approved dosing for VASCEPA continues to be 4 grams per day, and as expected, the majority of new and existing patients taking VASCEPA continue to be prescribed the 1-gram size VASCEPA capsule. VASCEPA is sold principally to a limited number of major wholesalers, as well as selected regional wholesalers and specialty pharmacy providers, or collectively,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distributors or our customers, that in turn resell VASCEPA to retail pharmacies for subsequent resale to patients and healthcare providers.</w:t>
      </w:r>
    </w:p>
    <w:p>
      <w:pPr>
        <w:spacing w:after="0" w:line="17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some level of face-to-face customer interactions in a manner consistent with guidelines from local, state and government health officials in the United States. In the fourth quarter of 2020 and continuing into the first quarter of 2021, the impact of COVID-19 worsened in much of the United States, with some physicians again limiting access to face-to-face interactions with our field force personnel. Accordingly, in the United States, we have intentionally slowed the hiring of replacements for certain of our open positions which resulted from ordinary turnover. When we witness our sales representatives increasingly able to resume direct interactions with healthcare professionals, it is our intention to fill a significant number of these positions, provided such replacements are then appropriate to meet our business needs, which we continually evaluate.</w:t>
      </w:r>
    </w:p>
    <w:p>
      <w:pPr>
        <w:spacing w:after="0" w:line="12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Based on monthly compilations of data provided by a third party, Symphony Health, the estimated number of normalized total VASCEPA prescriptions for the three months ended March 31, 2021 and 2020 was approximately 1,064,000 and 1,061,000, respectively. According to data from another third party, IQVIA, the estimated number of normalized total VASCEPA prescriptions for the three months ended March 31, 2021 and 2020 was approximately 989,000 and 955,000,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 Such third-party sources also report that the number of patients visiting physicians remains well below pre-pandemic levels, with such reported decline being particularly pronounced in some areas of the country where there is greater awareness of VASCEPA, such as southern California. In addition, these sources report lower levels of patient visits during the three months ended March 31, 2021 in Texas and other parts of the United States which experienced severe weather and power outages.</w:t>
      </w:r>
    </w:p>
    <w:p>
      <w:pPr>
        <w:spacing w:after="0" w:line="131"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We are not responsible for the accuracy of these companies’ information and we do not receive prescription data directly from retail pharmacies.</w:t>
      </w:r>
    </w:p>
    <w:p>
      <w:pPr>
        <w:spacing w:after="0" w:line="11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recognize revenue from product sales when the distributor obtains control of our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 In Europe, privacy laws and other factors impact the availability of data to inform European commercial operations at an individual physician level. Generally, less data is available and at reduced frequencies as compared to the United States.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3" w:right="359" w:bottom="1440" w:gutter="0" w:footer="0" w:header="0"/>
        </w:sectPr>
      </w:pPr>
    </w:p>
    <w:bookmarkStart w:id="26" w:name="page27"/>
    <w:bookmarkEnd w:id="26"/>
    <w:p>
      <w:pPr>
        <w:ind w:firstLine="510"/>
        <w:spacing w:after="0" w:line="268" w:lineRule="auto"/>
        <w:rPr>
          <w:sz w:val="20"/>
          <w:szCs w:val="20"/>
          <w:color w:val="auto"/>
        </w:rPr>
      </w:pPr>
      <w:r>
        <w:rPr>
          <w:rFonts w:ascii="Arial" w:cs="Arial" w:eastAsia="Arial" w:hAnsi="Arial"/>
          <w:sz w:val="17"/>
          <w:szCs w:val="17"/>
          <w:color w:val="auto"/>
        </w:rPr>
        <w:t xml:space="preserve">We began 2020 by taking steps to further expand promotion of VASCEPA in the United States, including direct to consumer advertising, based on the new indication and label expansion of VASCEPA. Our field sales efforts are further complemented by investments in digital and non-personal channels as well as peer-to-peer (e.g., promotional medical education programs and product theaters) initiatives to further increase VASCEPA brand awareness and clarify VASCEPA’s unique clinical profile. In January 2020, we launched an educational campaign, </w:t>
      </w:r>
      <w:r>
        <w:rPr>
          <w:rFonts w:ascii="Arial" w:cs="Arial" w:eastAsia="Arial" w:hAnsi="Arial"/>
          <w:sz w:val="17"/>
          <w:szCs w:val="17"/>
          <w:i w:val="1"/>
          <w:iCs w:val="1"/>
          <w:color w:val="auto"/>
        </w:rPr>
        <w:t>True To Your Heart</w:t>
      </w:r>
      <w:r>
        <w:rPr>
          <w:rFonts w:ascii="Arial" w:cs="Arial" w:eastAsia="Arial" w:hAnsi="Arial"/>
          <w:sz w:val="17"/>
          <w:szCs w:val="17"/>
          <w:color w:val="auto"/>
        </w:rPr>
        <w:t>, to help people learn more about cardiovascular disease and how to better protect against persistent cardiovascular risk. In the United States, in July 2020 we launched our first television-based promotion of VASCEPA emphasizing that it is the first and only U.S. FDA approved drug for its indication. As the impact of COVID-19 on much of the United States worsened in the fourth quarter of 2020, we suspended television-based promotion of VASCEPA as we determined that the cost was not sufficiently justified in light of the COVID-19 pandemic’s impact on patient visits to doctors. We resumed on a very limited basis, direct-to-consumer campaign in January 2021, including television-based promotion, digital and social media promotion to continue to grow consumer awareness of VASCEPA. As we witnessed the effect of COVID-19 persisting, we elected to keep the level of such promotion limited. We anticipate that at-risk patients will increasingly resume visiting their doctors for non-urgent medical care after they are vaccinated for COVID-19, however, we cannot accurately predict when this resumption in visits to doctors will occur. The timing is likely to vary by geography. As COVID-19 protocols ease and ordinary course activities resume, we will seek to adjust our promotional initiatives accordingly, including pursuing increased face-to-face interactions with healthcare professionals and expanding various forms of direct-to-consumer promotion.</w:t>
      </w:r>
    </w:p>
    <w:p>
      <w:pPr>
        <w:spacing w:after="0" w:line="117" w:lineRule="exact"/>
        <w:rPr>
          <w:sz w:val="20"/>
          <w:szCs w:val="20"/>
          <w:color w:val="auto"/>
        </w:rPr>
      </w:pPr>
    </w:p>
    <w:p>
      <w:pPr>
        <w:ind w:right="20" w:firstLine="544"/>
        <w:spacing w:after="0" w:line="288" w:lineRule="auto"/>
        <w:rPr>
          <w:sz w:val="20"/>
          <w:szCs w:val="20"/>
          <w:color w:val="auto"/>
        </w:rPr>
      </w:pPr>
      <w:r>
        <w:rPr>
          <w:rFonts w:ascii="Arial" w:cs="Arial" w:eastAsia="Arial" w:hAnsi="Arial"/>
          <w:sz w:val="16"/>
          <w:szCs w:val="16"/>
          <w:color w:val="auto"/>
        </w:rPr>
        <w:t>Similar to our approach in launching VASCEPA in the United States, in Europe we intend to build a core team of experienced professionals and a highly capable sales team involved with pre-launch planning and other commercial preparation activities and plan to leverage third-party relationships for various support activities. In Europe, patients at high risk for cardiovascular disease tend, in comparison to the United States, to be treated more often by specialists, such as cardiologists rather than by physicians who are general practitioners. This greater concentration of at-risk patients being treated by specialists in Europe should allow for more efficient promotion in Europe than in the United States. We have been active in preparing for reimbursement negotiations which we will commence on a country-by-country basis in Europe, now that VAZKEPA received marketing authorization on March 26, 2021. In most European countries, securing product reimbursement is a requisite to launching.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realize the commercial opportunity of VAZKEPA in Europe.</w:t>
      </w:r>
    </w:p>
    <w:p>
      <w:pPr>
        <w:spacing w:after="0" w:line="114"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We plan to assess other potential partnership opportunities for licensing VASCEPA to partners in other parts of the world. While we believe that there is medical need and opportunity for VASCEPA elsewhere in the world, our current priorities are the geographies described above.</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7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results of the REDUCE-IT STROKE subgroup analyses were presented at the International Stroke Conference 2021 from March 17 - 19, 2021. The REDUCE-IT STROKE analyses examined stroke rates across the enrolled patient population (n=8179). Enrolled patients were required to be treated with statins and other conventional therapies, and all patients had either established cardiovascular disease or diabetes and had other cardiovascular risk factors such as elevated triglyceride levels. Event rates for time to first fatal or nonfatal stroke were 2.4% for VASCEPA vs. 3.3% for placebo for a relative risk reduction of 28% (p=0.01). Ischemic stroke time to first event rates were 2.0% for VASCEPA vs. 3.0% for placebo for a RRR of 36% (p=0.002). Hemorrhagic stroke occurred at low rates with no significant difference for VASCEPA vs. placebo (0.3% vs 0.2%; p=0.55).</w:t>
      </w:r>
    </w:p>
    <w:p>
      <w:pPr>
        <w:spacing w:after="0" w:line="11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Based on our current understanding of the biological effects of a COVID-19 infection, including that patients at high risk of cardiovascular disease are at higher risk of mortality and severe effects from a COVID-19 infection, and based on data related to the mechanism of action and effects of VASCEPA in lowering cardiovascular risk in certain high-risk patients, we believe that VASCEPA could play a beneficial clinical role in helping patients infected by the virus. We are currently supporting investigator initiated studies by providing study drug product and limited financial support to investigators in multiple pilot studies designed to better understand the potential of VASCEPA and its potentially beneficial role. On December 12, 2020, we announced at the National Lipid Association Scientific Sessions 2020 positive clinical results from the first study of VASCEPA in COVID-19 infected outpatients, CardioLink-9. If the results of the other pilot studies are positive, we will evaluate whether additional studies will be appropriate. The clinical effects of VASCEPA are multi-factorial. Multiple mechanisms of action associated with VASCEPA from clinical and mechanistic studies support the rationale to study its effects in patients with the COVID-19 infection. Additional postulated mechanisms that might play a role in the use of VASCEPA in the patients infected with COVID-19 include potential antiviral/antimicrobial effects, fibrosis and cardiac damage mitigation in animal models and anti-inflammatory effects (acute) in pulmonary/lung tissue.</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9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We manage the manufacturing and supply of VASCEPA internally and have done so since we began clinical development of VASCEPA prior to the drug’s marketing approval by U.S. FDA in 2012. We rely on contract manufacturers in each step of our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27" w:name="page28"/>
    <w:bookmarkEnd w:id="27"/>
    <w:p>
      <w:pPr>
        <w:ind w:right="40"/>
        <w:spacing w:after="0" w:line="269" w:lineRule="auto"/>
        <w:rPr>
          <w:sz w:val="20"/>
          <w:szCs w:val="20"/>
          <w:color w:val="auto"/>
        </w:rPr>
      </w:pPr>
      <w:r>
        <w:rPr>
          <w:rFonts w:ascii="Arial" w:cs="Arial" w:eastAsia="Arial" w:hAnsi="Arial"/>
          <w:sz w:val="17"/>
          <w:szCs w:val="17"/>
          <w:color w:val="auto"/>
        </w:rPr>
        <w:t>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In Europe, while certain of our suppliers are approved, after the impact of COVID-19 subsides and more readily allows for regulatory inspections, we will seek to expand the number of our suppliers approved for use in further product sales in Europe.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w:t>
      </w:r>
    </w:p>
    <w:p>
      <w:pPr>
        <w:spacing w:after="0" w:line="7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As of March 31, 2021, approximately 16% of the U.S. population has been fully vaccinated and approximately 30% of the U.S. population has received at least one dose of a vaccine. Despite the growing vaccine rate and growing number of those who are eligible to receive the vaccine, according to CDC data, as of March 31, 2021, new cases of COVID-19 have been and continue to increase in the U.S. and the pandemic’s impact on global populations and economies continues to remain. While we expect the number of new cases to decrease as more of the population is vaccinated, we continue to evaluate the pandemic’s effect on patients, distributors, customers and our employees, as well as on our operations and the operations of our business partners and communities. Given the uncertainties regarding the scope, duration and impact of COVID-19 on our sales, supply, research and development efforts and operations, and on the operations of our customers, suppliers, distributors, other partners and patients, the impact of COVID-19 could impact our current performance and continues to represent a risk to our future performance.</w:t>
      </w:r>
    </w:p>
    <w:p>
      <w:pPr>
        <w:spacing w:after="0" w:line="124"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Our ability to directly promote VASCEPA to healthcare professionals has been limited due to appropriate social distancing practices associated with COVID-19 and by patients electing to forego visiting their doctors for non-urgent medical examinations and/or choosing to not get blood tests which the results of these tests provide useful information to the treatment of cardiovascular risk. These limitations have had a significant impact on slowing VASCEPA prescription and revenue growth. While COVID-19 continues to impact our promotion of VASCEPA, we have seen signs of improvement.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face-to-face customer interactions, in a manner consistent with guidelines from local, state and government health officials in the United States. In the fourth quarter of 2020 and continuing into the first quarter of 2021, the impact of COVID-19 worsened in much of the United States with some physicians again limiting access to face-to-face interactions with our field force personnel. Such access remains variable and challenging due to COVID-19.</w:t>
      </w:r>
    </w:p>
    <w:p>
      <w:pPr>
        <w:spacing w:after="0" w:line="114"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In the United States, in July 2020 we launched our first television-based promotion of VASCEPA emphasizing that it is the first and only U.S. FDA approved drug for the cardiovascular risk reduction indication. As the impact of COVID-19 on much of the United States worsened in the fourth quarter of 2020, we suspended television-based promotion of VASCEPA judging that the cost was not sufficiently justified. We resumed a limited direct-to-consumer campaign in January 2021, including television-based promotion, digital and social media promotion to continue to grow consumer awareness of VASCEPA. We anticipate that at-risk patients will increasingly resume visiting their doctors for non-urgent medical care after they are vaccinated for COVID-19. As more of the population is vaccinated, COVID-19 protocols ease and ordinary course activities resume, we will seek to adjust our promotional initiatives accordingly, including pursuing increased face-to-face interactions with health care professionals and expanding various forms of direct-to-consumer promotion.</w:t>
      </w:r>
    </w:p>
    <w:p>
      <w:pPr>
        <w:spacing w:after="0" w:line="13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Thus far, COVID-19 has not materially impacted our ability to secure and deliver supply of VASCEPA. And, thus far, COVID-19 is not known to have significantly impacted ongoing clinical trials of VASCEPA.</w:t>
      </w:r>
    </w:p>
    <w:p>
      <w:pPr>
        <w:spacing w:after="0" w:line="116"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ultimate impacts of COVID-19 on our business are unknown; however, we are actively monitoring the situation and may take precautionary and preemptive or reactive actions that we determine are in the best interests of our business. We cannot predict the effects that such actions may have on our business or on our financial results, in particular with respect to demand for or access to VASCEPA.</w:t>
      </w:r>
    </w:p>
    <w:p>
      <w:pPr>
        <w:spacing w:after="0" w:line="130" w:lineRule="exact"/>
        <w:rPr>
          <w:sz w:val="20"/>
          <w:szCs w:val="20"/>
          <w:color w:val="auto"/>
        </w:rPr>
      </w:pPr>
    </w:p>
    <w:p>
      <w:pPr>
        <w:ind w:right="120" w:firstLine="544"/>
        <w:spacing w:after="0" w:line="257" w:lineRule="auto"/>
        <w:rPr>
          <w:sz w:val="20"/>
          <w:szCs w:val="20"/>
          <w:color w:val="auto"/>
        </w:rPr>
      </w:pPr>
      <w:r>
        <w:rPr>
          <w:rFonts w:ascii="Arial" w:cs="Arial" w:eastAsia="Arial" w:hAnsi="Arial"/>
          <w:sz w:val="18"/>
          <w:szCs w:val="18"/>
          <w:color w:val="auto"/>
        </w:rPr>
        <w:t>We believe that the overall morale of our employees is good despite the challenges associated with COVID-19. As a result of COVID-19 and its limitations on our promotion of VASCEPA in the United States, we have intentionally slowed the hiring of replacements for our open positions which resulted from ordinary turnover. When we witness our sales representatives increasingly able to resume direct interactions with healthcare professionals, it is our intention to fill a significant number of these positions, provided such replacements are then appropriate to meet our business needs, which we continually evaluate.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28" w:name="page29"/>
    <w:bookmarkEnd w:id="28"/>
    <w:p>
      <w:pPr>
        <w:ind w:left="560"/>
        <w:spacing w:after="0"/>
        <w:rPr>
          <w:sz w:val="20"/>
          <w:szCs w:val="20"/>
          <w:color w:val="auto"/>
        </w:rPr>
      </w:pPr>
      <w:r>
        <w:rPr>
          <w:rFonts w:ascii="Arial" w:cs="Arial" w:eastAsia="Arial" w:hAnsi="Arial"/>
          <w:sz w:val="18"/>
          <w:szCs w:val="18"/>
          <w:i w:val="1"/>
          <w:iCs w:val="1"/>
          <w:color w:val="auto"/>
        </w:rPr>
        <w:t>Management Succession Plans</w:t>
      </w:r>
    </w:p>
    <w:p>
      <w:pPr>
        <w:spacing w:after="0" w:line="171" w:lineRule="exact"/>
        <w:rPr>
          <w:sz w:val="20"/>
          <w:szCs w:val="20"/>
          <w:color w:val="auto"/>
        </w:rPr>
      </w:pPr>
    </w:p>
    <w:p>
      <w:pPr>
        <w:ind w:firstLine="544"/>
        <w:spacing w:after="0" w:line="273" w:lineRule="auto"/>
        <w:rPr>
          <w:sz w:val="20"/>
          <w:szCs w:val="20"/>
          <w:color w:val="auto"/>
        </w:rPr>
      </w:pPr>
      <w:r>
        <w:rPr>
          <w:rFonts w:ascii="Arial" w:cs="Arial" w:eastAsia="Arial" w:hAnsi="Arial"/>
          <w:sz w:val="17"/>
          <w:szCs w:val="17"/>
          <w:color w:val="auto"/>
        </w:rPr>
        <w:t>In April 2021, we announced that John Thero, President and Chief Executive Officer, will retire from his positions as President and Chief Executive Officer and member of the Board of Directors effective August 1, 2021 and will provide phased transitional and consulting services to us thereafter. The Board of Directors has appointed Karim Mikhail, currently our Senior Vice President, Commercial Head Europe, to succeed Mr. Thero as our next President and Chief Executive Officer, as well as, a member of the Board of Directors, effective August 1, 2021. In April 2021, we also announced that Joseph Kennedy will retire from his position as Executive Vice President, General Counsel. A search has commenced to hire a new General Counsel with Mr. Kennedy also intending to support this transition and to provide consulting support on certain legal matters.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75"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i w:val="1"/>
          <w:iCs w:val="1"/>
          <w:color w:val="auto"/>
        </w:rPr>
        <w:t>Product revenue, net</w:t>
      </w:r>
      <w:r>
        <w:rPr>
          <w:rFonts w:ascii="Arial" w:cs="Arial" w:eastAsia="Arial" w:hAnsi="Arial"/>
          <w:sz w:val="16"/>
          <w:szCs w:val="16"/>
          <w:color w:val="auto"/>
        </w:rPr>
        <w:t>. All of our product revenue is derived from product sales of 1-gram and 0.5-gram size capsules of VASCEPA, net of</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allowances, discounts, incentives, rebates, chargebacks and returns. In the United States,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Revenues from product sales are recognized when the Distributor obtains control of our product, which occurs at a point in time, typically upon delivery to the Distributor. Timing of shipments to wholesalers, as used for revenue recognition, and timing of prescriptions as estimated by third-party sources such as Symphony Health and IQVIA may differ from period to period. During the quarters ended March 31, 2021 and 2020, our Product revenue, net included adjustment for co-pay mitigation rebates provided by us to commercially insured patients. Such support is intended for offset for a portion of the out-of-pocket expense that patients are required to pay for VASCEPA based upon the benefit design of their prescription drug coverage. Our cost for these co-payment support payments in both of the quarters ended March 31, 2021 and 2020 was up to $150 per 30-day prescription filled and up to $450 90-day prescription filled.</w:t>
      </w:r>
    </w:p>
    <w:p>
      <w:pPr>
        <w:spacing w:after="0" w:line="20"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Outside of the United States, currently all our product revenue is derived from the sales of VASCEPA to our commercial partners based on the net price for VASCEPA established in our contracts with such partners. These commercial partners then resell the product in their agreed commercial territory. Revenues from product sales to our international commercial partners are recognized when the commercial partners obtain control of our product, which occurs at a point in time, typically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Currently the majority of our product revenue is derived from direct sales of VASCEPA in the United States.</w:t>
      </w:r>
    </w:p>
    <w:p>
      <w:pPr>
        <w:spacing w:after="0" w:line="138" w:lineRule="exact"/>
        <w:rPr>
          <w:sz w:val="20"/>
          <w:szCs w:val="20"/>
          <w:color w:val="auto"/>
        </w:rPr>
      </w:pPr>
    </w:p>
    <w:p>
      <w:pPr>
        <w:jc w:val="both"/>
        <w:ind w:right="540" w:firstLine="510"/>
        <w:spacing w:after="0" w:line="286" w:lineRule="auto"/>
        <w:rPr>
          <w:sz w:val="20"/>
          <w:szCs w:val="20"/>
          <w:color w:val="auto"/>
        </w:rPr>
      </w:pPr>
      <w:r>
        <w:rPr>
          <w:rFonts w:ascii="Arial" w:cs="Arial" w:eastAsia="Arial" w:hAnsi="Arial"/>
          <w:sz w:val="17"/>
          <w:szCs w:val="17"/>
          <w:i w:val="1"/>
          <w:iCs w:val="1"/>
          <w:color w:val="auto"/>
        </w:rPr>
        <w:t>Licensing and royalty revenue</w:t>
      </w:r>
      <w:r>
        <w:rPr>
          <w:rFonts w:ascii="Arial" w:cs="Arial" w:eastAsia="Arial" w:hAnsi="Arial"/>
          <w:sz w:val="17"/>
          <w:szCs w:val="17"/>
          <w:color w:val="auto"/>
        </w:rPr>
        <w:t>. Licensing and royalty revenue currently consists of revenue attributable to receipt of up-front, non-refundable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11"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includes the cost of API for VASCEPA on which revenue was recognized during the period,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122"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Selling, general and administrative expense consists primarily of salaries and other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1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Research and development expense consists primarily of fees paid to professional service providers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independent monitoring of our clinical trials and acquiring and evaluating data in conjunction with our clinical trials, fees paid to independent researchers, costs of qualifying contract manufacturers, costs associated with supporting investigator initiated studies,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We expense research and development costs as incurred.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9" w:name="page30"/>
    <w:bookmarkEnd w:id="29"/>
    <w:p>
      <w:pPr>
        <w:ind w:right="240" w:firstLine="510"/>
        <w:spacing w:after="0" w:line="259" w:lineRule="auto"/>
        <w:rPr>
          <w:sz w:val="20"/>
          <w:szCs w:val="20"/>
          <w:color w:val="auto"/>
        </w:rPr>
      </w:pPr>
      <w:r>
        <w:rPr>
          <w:rFonts w:ascii="Arial" w:cs="Arial" w:eastAsia="Arial" w:hAnsi="Arial"/>
          <w:sz w:val="18"/>
          <w:szCs w:val="18"/>
          <w:i w:val="1"/>
          <w:iCs w:val="1"/>
          <w:color w:val="auto"/>
        </w:rPr>
        <w:t>Interest and other (expense) income, net</w:t>
      </w:r>
      <w:r>
        <w:rPr>
          <w:rFonts w:ascii="Arial" w:cs="Arial" w:eastAsia="Arial" w:hAnsi="Arial"/>
          <w:sz w:val="18"/>
          <w:szCs w:val="18"/>
          <w:color w:val="auto"/>
        </w:rPr>
        <w:t>. Interest expense consists of interest incurred under our December 2012 royalty-bearing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arrangement, which was calculated based on an estimated repayment schedule and was paid in full in 2020. Interest income consists of interest earned on our cash and cash equivalents, as well as our short-term and long-term investments. Other (expense) income, net, consists primarily of foreign exchange losses and gains.</w:t>
      </w:r>
    </w:p>
    <w:p>
      <w:pPr>
        <w:spacing w:after="0" w:line="133"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auto"/>
        </w:rPr>
        <w:t xml:space="preserve">Income tax (provision) benefit. </w:t>
      </w:r>
      <w:r>
        <w:rPr>
          <w:rFonts w:ascii="Arial" w:cs="Arial" w:eastAsia="Arial" w:hAnsi="Arial"/>
          <w:sz w:val="17"/>
          <w:szCs w:val="17"/>
          <w:color w:val="auto"/>
        </w:rPr>
        <w:t>Income tax (provision) benefit, deferred tax assets and liabilities, and reserves for unrecognized tax benefits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best 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first quarters of 2021 and 2020 are not more likely than not to be realized. On March 27, 2020, the Coronavirus Aid, Relief, and Economic Security Act, or CARES Act, was enacted in the United States. Among other provisions, the CARES Act allows businesses to carry back net operating losses arising in years 2018 to 2020 to the five prior tax years.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1"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on Form 10-K for the year ended December 31, 2020. There were no material changes to our critical accounting policies, significant judgments and estimates during the three months ended March 31,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1"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2021 and March 31, 2020</w:t>
      </w:r>
    </w:p>
    <w:p>
      <w:pPr>
        <w:spacing w:after="0" w:line="11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i w:val="1"/>
          <w:iCs w:val="1"/>
          <w:color w:val="auto"/>
        </w:rPr>
        <w:t xml:space="preserve">Total revenue, net. </w:t>
      </w:r>
      <w:r>
        <w:rPr>
          <w:rFonts w:ascii="Arial" w:cs="Arial" w:eastAsia="Arial" w:hAnsi="Arial"/>
          <w:sz w:val="16"/>
          <w:szCs w:val="16"/>
          <w:color w:val="auto"/>
        </w:rPr>
        <w:t>We recorded total revenue, net, of $142.2 million and $155.0 million during the three months ended March 31, 2021 and 2020,</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 decrease of $12.8 million, or 8%. Total revenue, net consists primarily of revenue from the sale of VASCEPA in the United States. In addition to the United States, VASCEPA is currently available by prescription in Canada, Lebanon and the United Arab Emirates through collaborations with third-party companies. As further discussed below, this decrease consists of a $6.2 million decrease from net product revenue from sales of VASCEPA outside of the United States, a $4.6 million decrease in U.S. net product revenue and a $2.0 million decrease in licensing and royalty revenue.</w:t>
      </w:r>
    </w:p>
    <w:p>
      <w:pPr>
        <w:spacing w:after="0" w:line="107" w:lineRule="exact"/>
        <w:rPr>
          <w:sz w:val="20"/>
          <w:szCs w:val="20"/>
          <w:color w:val="auto"/>
        </w:rPr>
      </w:pPr>
    </w:p>
    <w:p>
      <w:pPr>
        <w:ind w:firstLine="544"/>
        <w:spacing w:after="0" w:line="255" w:lineRule="auto"/>
        <w:rPr>
          <w:sz w:val="20"/>
          <w:szCs w:val="20"/>
          <w:color w:val="auto"/>
        </w:rPr>
      </w:pPr>
      <w:r>
        <w:rPr>
          <w:rFonts w:ascii="Arial" w:cs="Arial" w:eastAsia="Arial" w:hAnsi="Arial"/>
          <w:sz w:val="18"/>
          <w:szCs w:val="18"/>
          <w:i w:val="1"/>
          <w:iCs w:val="1"/>
          <w:color w:val="auto"/>
        </w:rPr>
        <w:t xml:space="preserve">Product revenue, net. </w:t>
      </w:r>
      <w:r>
        <w:rPr>
          <w:rFonts w:ascii="Arial" w:cs="Arial" w:eastAsia="Arial" w:hAnsi="Arial"/>
          <w:sz w:val="18"/>
          <w:szCs w:val="18"/>
          <w:color w:val="auto"/>
        </w:rPr>
        <w:t>We recorded product revenue, net, of $141.4 million and $152.2 million during the three months ended March 31,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2020, respectively, a decrease of $10.8 million, or 7%. This decrease was driven primarily by five factors, which are further described below: 1) effectively one fewer week of shipments in the first quarter of 2021 as compared to the first quarter of 2020; 2) COVID-19; 3) generic competition; 4) regional adverse weather conditions and 5) timing of international sales. In addition, compared with other quarters of the year, beginning of the year deductibles under patient insurance plans, which are not unique to VASCEPA, tends to cause some patients to not fill prescriptions particularly for asymptomatic medical conditions.</w:t>
      </w:r>
    </w:p>
    <w:p>
      <w:pPr>
        <w:spacing w:after="0" w:line="138" w:lineRule="exact"/>
        <w:rPr>
          <w:sz w:val="20"/>
          <w:szCs w:val="20"/>
          <w:color w:val="auto"/>
        </w:rPr>
      </w:pPr>
    </w:p>
    <w:p>
      <w:pPr>
        <w:ind w:left="1300" w:right="20" w:hanging="374"/>
        <w:spacing w:after="0" w:line="273"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Fewer weeks – Due to the timing of orders placed by customers and related receipts, there was effectively one fewer weeks of product shipments, 13 weeks, in the first quarter of 2021 compared to 14 weeks in the first quarter of 2020, with the additional week of revenue in the first quarter of 2020 representing approximately $10.8 million. Excluding the additional week of revenue, U.S. net product revenue during the three months ended March 31, 2021 increased by 5% as compared to during the three months ended March 31, 2020 primarily due to increased volume of VASCEPA sales to customers in the United States. Additionally, in the United States, net pricing of VASCEPA remained consistent, with increased coverage from payers in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0" w:name="page31"/>
    <w:bookmarkEnd w:id="30"/>
    <w:p>
      <w:pPr>
        <w:ind w:left="1300" w:right="20" w:hanging="374"/>
        <w:spacing w:after="0" w:line="25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COVID-19 – Prior to the onset of the severe impact of the COVID-19 pandemic late in March 2020, VASCEPA usage was growing rapidly. After the impact of COVID-19 became pronounced, new prescriptions of VASCEPA slowed considerably as many patients reduced their doctors visited for non-urgent care, routine blood tests with lipid panels declined and access of our sales professional to healthcare providers for face-to-face interactions became more limited. Such limitations were particularly pronounced in certain areas of the United States where historical prescription levels of VASCEPA were robust such as Southern California. In response, we adjusted our product promotion, including an overall reduction in sales and marketing expenditures in the three months ended March 31, 2021 compared to the same period in 2020.</w:t>
      </w:r>
    </w:p>
    <w:p>
      <w:pPr>
        <w:spacing w:after="0" w:line="194" w:lineRule="exact"/>
        <w:rPr>
          <w:rFonts w:ascii="Arial" w:cs="Arial" w:eastAsia="Arial" w:hAnsi="Arial"/>
          <w:sz w:val="18"/>
          <w:szCs w:val="18"/>
          <w:color w:val="auto"/>
        </w:rPr>
      </w:pPr>
    </w:p>
    <w:p>
      <w:pPr>
        <w:ind w:left="1300"/>
        <w:spacing w:after="0" w:line="291" w:lineRule="auto"/>
        <w:rPr>
          <w:rFonts w:ascii="Arial" w:cs="Arial" w:eastAsia="Arial" w:hAnsi="Arial"/>
          <w:sz w:val="18"/>
          <w:szCs w:val="18"/>
          <w:color w:val="auto"/>
        </w:rPr>
      </w:pPr>
      <w:r>
        <w:rPr>
          <w:rFonts w:ascii="Arial" w:cs="Arial" w:eastAsia="Arial" w:hAnsi="Arial"/>
          <w:sz w:val="16"/>
          <w:szCs w:val="16"/>
          <w:color w:val="auto"/>
        </w:rPr>
        <w:t>In the fourth quarter of 2020, the impact of COVID-19 worsened in much of the United States, with some physicians who began to allow access to our field based personnel again limiting access to face-to-face interactions. For a U.S. FDA-approved drug like VASCEPA to be prescribed, historically physicians need to have met with their patients for an examination and have received blood test results prior to prescribing the drug to the patient. The first quarter of 2020 included two weeks of significant COVID-19 related impact, while the full three months of the first quarter of 2021 was impacted by COVID-19 and public reports from IQVIA showed patient visits on average during the three months ended March 31, 2021 were down to approximately 78% of the first quarter 2020 pre-COVID levels. We cannot predict the duration of this pandemic and we cannot quantify the impact of COVID-19 on our business beyond March 31, 2021.</w:t>
      </w:r>
    </w:p>
    <w:p>
      <w:pPr>
        <w:spacing w:after="0" w:line="166" w:lineRule="exact"/>
        <w:rPr>
          <w:rFonts w:ascii="Arial" w:cs="Arial" w:eastAsia="Arial" w:hAnsi="Arial"/>
          <w:sz w:val="18"/>
          <w:szCs w:val="18"/>
          <w:color w:val="auto"/>
        </w:rPr>
      </w:pPr>
    </w:p>
    <w:p>
      <w:pPr>
        <w:ind w:left="1300" w:right="320" w:hanging="374"/>
        <w:spacing w:after="0" w:line="291"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Generic competition – Inclusive of generic icosapent ethyl, and excluding the impact of the other effects listed herein, based on prescription levels reported by Symphony Health the icosapent ethyl market increased for the three months ended March 31, 2021 by</w:t>
      </w:r>
    </w:p>
    <w:p>
      <w:pPr>
        <w:ind w:left="1300"/>
        <w:spacing w:after="0" w:line="286" w:lineRule="auto"/>
        <w:rPr>
          <w:rFonts w:ascii="Arial" w:cs="Arial" w:eastAsia="Arial" w:hAnsi="Arial"/>
          <w:sz w:val="16"/>
          <w:szCs w:val="16"/>
          <w:color w:val="auto"/>
        </w:rPr>
      </w:pPr>
      <w:r>
        <w:rPr>
          <w:rFonts w:ascii="Arial" w:cs="Arial" w:eastAsia="Arial" w:hAnsi="Arial"/>
          <w:sz w:val="16"/>
          <w:szCs w:val="16"/>
          <w:color w:val="auto"/>
        </w:rPr>
        <w:t>11% as compared to the three months ended March 31, 2020. Based on available data from Symphony Health, generic prescriptions of icosapent ethyl in the three months ended March 31, 2021 were approximately 9% of total icosapent ethyl prescriptions with branded VASCEPA prescriptions representing the other icosapent ethyl prescriptions. In addition, based on available information we believe that a significant number of icosapent ethyl prescriptions have gone unfilled in the three months ended March 31, 2021, due to general market disruption of order fulfillment processes. These processes at the pharmacy level have favored generic products in that in anticipation of receiving generic supply, in certain circumstances pharmacists have opted to wait to fill prescriptions with generic product by ordering product for later fulfillment. In the case of icosapent ethyl, in many markets generic product has been delayed or unavailable. In addition, we have heard multiple reports of patients finding that the generic product is more expensive than they have historically paid for the branded product resulting in their refusal to fill their prescriptions.</w:t>
      </w:r>
    </w:p>
    <w:p>
      <w:pPr>
        <w:spacing w:after="0" w:line="172" w:lineRule="exact"/>
        <w:rPr>
          <w:rFonts w:ascii="Arial" w:cs="Arial" w:eastAsia="Arial" w:hAnsi="Arial"/>
          <w:sz w:val="16"/>
          <w:szCs w:val="16"/>
          <w:color w:val="auto"/>
        </w:rPr>
      </w:pPr>
    </w:p>
    <w:p>
      <w:pPr>
        <w:ind w:left="1300" w:right="160" w:hanging="374"/>
        <w:spacing w:after="0" w:line="25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Regional adverse weather conditions – The 11% increase in overall icosapent ethyl prescriptions was limited, in part, by severe winter weather and related power outages in part of the United States during the three months ended March 31, 2021. For example, in Texas, where sales of VASCEPA have been historically strong, many doctors closed their offices due to lack of electric power for a substantial portion of February and March 2021.</w:t>
      </w:r>
    </w:p>
    <w:p>
      <w:pPr>
        <w:spacing w:after="0" w:line="186" w:lineRule="exact"/>
        <w:rPr>
          <w:rFonts w:ascii="Arial" w:cs="Arial" w:eastAsia="Arial" w:hAnsi="Arial"/>
          <w:sz w:val="18"/>
          <w:szCs w:val="18"/>
          <w:color w:val="auto"/>
        </w:rPr>
      </w:pPr>
    </w:p>
    <w:p>
      <w:pPr>
        <w:ind w:left="1300" w:right="60" w:hanging="374"/>
        <w:spacing w:after="0" w:line="255"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sales – Further contributing to the decrease in net product revenue during the three months ended March 31, 2021 was a decline in net product revenue recognized from VASCEPA sales outside of the United States. We recognized net product revenue of $0.5 million during the three months ended March 31, 2021 as compared to $6.7 million during the three months ended March 31, 2020, primarily as a result of an initial order during the three months ended March 31, 2020 to ensure availability of adequate product supply for the launch of VASCEPA in Canada. VASCEPA promotion and use outside of the United States has also been limited by the impact of the COVID-19 pandemic.</w:t>
      </w:r>
    </w:p>
    <w:p>
      <w:pPr>
        <w:spacing w:after="0" w:line="138" w:lineRule="exact"/>
        <w:rPr>
          <w:sz w:val="20"/>
          <w:szCs w:val="20"/>
          <w:color w:val="auto"/>
        </w:rPr>
      </w:pPr>
    </w:p>
    <w:p>
      <w:pPr>
        <w:ind w:right="20" w:firstLine="544"/>
        <w:spacing w:after="0" w:line="290" w:lineRule="auto"/>
        <w:rPr>
          <w:sz w:val="20"/>
          <w:szCs w:val="20"/>
          <w:color w:val="auto"/>
        </w:rPr>
      </w:pPr>
      <w:r>
        <w:rPr>
          <w:rFonts w:ascii="Arial" w:cs="Arial" w:eastAsia="Arial" w:hAnsi="Arial"/>
          <w:sz w:val="16"/>
          <w:szCs w:val="16"/>
          <w:color w:val="auto"/>
        </w:rPr>
        <w:t>We remain confident that the patient need for VASCEPA is high and that a significant portion of the slowing of VASCEPA growth is COVID-19 related. While we are optimistic that the worst of the COVID-19 impact is behind us regarding the levels of patients seeking ordinary course doctor visits and lab tests, we expect that COVID-19 will continue, at least in the near term, to impact the level of VASCEPA prescriptions and the degree and timing to which we can, if at all, reaccelerate VASCEPA growth, particularly if there are resurgences in the spread of the infection in various geographies and a reinforcement of social distancing and other protocols. In addition, as patients, pharmacies and payers adjust to the availability, pricing and label of generic competition variability is expected. As a result of the uncertainty of the extent of COVID-19, the impact of generic competition and challenges for most drugs seeking market access in Europe, a process we were only able to formally commence following product approval in March 2021, we are not providing quantified revenue guidance at this time. We will consider resuming revenue guidance when there is greater clarity on the impact of these issues.</w:t>
      </w:r>
    </w:p>
    <w:p>
      <w:pPr>
        <w:spacing w:after="0" w:line="165"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i w:val="1"/>
          <w:iCs w:val="1"/>
          <w:color w:val="auto"/>
        </w:rPr>
        <w:t>Licensing and royalty revenue</w:t>
      </w:r>
      <w:r>
        <w:rPr>
          <w:rFonts w:ascii="Arial" w:cs="Arial" w:eastAsia="Arial" w:hAnsi="Arial"/>
          <w:sz w:val="18"/>
          <w:szCs w:val="18"/>
          <w:color w:val="auto"/>
        </w:rPr>
        <w:t>. Licensing and royalty revenue during the three months ended March 31, 2021 and 2020 was $0.8 million and $2.8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 decrease of $2.0 million, or 72%. Licensing and royalty revenue relates to the recognition of amounts received in connection with the following VASCEPA licensing agreements: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03" w:right="379" w:bottom="1440" w:gutter="0" w:footer="0" w:header="0"/>
        </w:sectPr>
      </w:pPr>
    </w:p>
    <w:bookmarkStart w:id="31" w:name="page32"/>
    <w:bookmarkEnd w:id="31"/>
    <w:p>
      <w:pPr>
        <w:ind w:left="1300" w:hanging="361"/>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Edding – a $15.0 million up-front payment received in February 2015 and a $1.0 million milestone payment achieved in March 2016.</w:t>
      </w:r>
    </w:p>
    <w:p>
      <w:pPr>
        <w:spacing w:after="0" w:line="34" w:lineRule="exact"/>
        <w:rPr>
          <w:rFonts w:ascii="Arial" w:cs="Arial" w:eastAsia="Arial" w:hAnsi="Arial"/>
          <w:sz w:val="17"/>
          <w:szCs w:val="17"/>
          <w:color w:val="auto"/>
        </w:rPr>
      </w:pPr>
    </w:p>
    <w:p>
      <w:pPr>
        <w:ind w:left="1300" w:hanging="361"/>
        <w:spacing w:after="0" w:line="295"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 new indication and label expansion in December 2019, and a $3.8 million milestone payment that was received as a result of obtaining a regulatory exclusivity designation in January 2020.</w:t>
      </w:r>
    </w:p>
    <w:p>
      <w:pPr>
        <w:spacing w:after="0" w:line="10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up-front and milestone payments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130"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9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March 31, 2021 and 2020 was $28.3 million and $34.8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$6.5 million, or 19%.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03"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API included in the calculation of the average cost of goods sold during the quarters ended March 31, 2021 and 2020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2021 to be similar to or modestly lower than 2020. The average cost may be variable from period to period depending upon the timing and quantity of API purchased from each supplier.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overall gross margin on product sales for each of the three months ended March 31, 2021 and 2020 was 80% and 77%, respectively.</w:t>
      </w:r>
    </w:p>
    <w:p>
      <w:pPr>
        <w:spacing w:after="0" w:line="23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March 31, 2021 and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$105.8 million and $133.9 million, respectively, a decrease of $28.1 million, or 21%. Selling, general and administrative expenses for the three months ended March 31, 2021 and 2020 are summarized in the table below:</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23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Selling expense (1)</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General and administrative expense (2)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27,160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105,798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460" w:right="20" w:hanging="371"/>
        <w:spacing w:after="0" w:line="269"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Selling expense for the three months ended March 31, 2021 and 2020 was $66.6 million and $102.5 million, respectively, a decrease of $35.9 million, or 35%. This decrease is primarily due to a decrease in marketing and direct-to-consumer promotions in 2021, as a result of the impact of COVID-19 and our focus on improving the profitability of our operations in the United States. The decrease includes reduced promotional initiatives, reduced travel and intentionally slowing the hiring of replacements for our open positions which resulted from ordinary turnover.</w:t>
      </w:r>
    </w:p>
    <w:p>
      <w:pPr>
        <w:spacing w:after="0" w:line="1" w:lineRule="exact"/>
        <w:rPr>
          <w:rFonts w:ascii="Arial" w:cs="Arial" w:eastAsia="Arial" w:hAnsi="Arial"/>
          <w:sz w:val="17"/>
          <w:szCs w:val="17"/>
          <w:color w:val="auto"/>
        </w:rPr>
      </w:pPr>
    </w:p>
    <w:p>
      <w:pPr>
        <w:ind w:left="460" w:right="80" w:hanging="371"/>
        <w:spacing w:after="0" w:line="265"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and administrative expense for the three months ended March 31, 2021 and 2020 was $27.2 million and $22.5 million, respectively, an increase of $4.7 million, or 21%. This increase is primarily due to increased personnel costs related to preparing for expansion into Europe, offset by a decrease in legal fees related to the ANDA patent litigation in the United States during the three months ended March 31, 2020.</w:t>
      </w:r>
    </w:p>
    <w:p>
      <w:pPr>
        <w:ind w:left="460" w:right="40" w:hanging="371"/>
        <w:spacing w:after="0" w:line="27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Non-cash stock-based compensation expense for the three months ended March 31, 2021 and 2020 was $12.1 million and $9.0 million, respectively, an increase of $3.1 million, or 34%. Non-cash stock-based compensation expense represents the estimated costs associated with equity awards issued to internal personnel supporting our selling, general and administrative functions. The increase is due to an increase in the number awards granted to attract and retain employees in the United States and Europe as well as timing of expenses.</w:t>
      </w:r>
    </w:p>
    <w:p>
      <w:pPr>
        <w:spacing w:after="0" w:line="176" w:lineRule="exact"/>
        <w:rPr>
          <w:sz w:val="20"/>
          <w:szCs w:val="20"/>
          <w:color w:val="auto"/>
        </w:rPr>
      </w:pPr>
    </w:p>
    <w:p>
      <w:pPr>
        <w:ind w:right="460" w:firstLine="468"/>
        <w:spacing w:after="0" w:line="277" w:lineRule="auto"/>
        <w:rPr>
          <w:sz w:val="20"/>
          <w:szCs w:val="20"/>
          <w:color w:val="auto"/>
        </w:rPr>
      </w:pPr>
      <w:r>
        <w:rPr>
          <w:rFonts w:ascii="Arial" w:cs="Arial" w:eastAsia="Arial" w:hAnsi="Arial"/>
          <w:sz w:val="18"/>
          <w:szCs w:val="18"/>
          <w:color w:val="auto"/>
        </w:rPr>
        <w:t>We anticipate our selling, general and administrative expenses to increase throughout 2021 primarily due to the costs associated with preparing VAZKEPA for commercial launch in Europe and subject to market access, launching VAZKEPA in one or more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both"/>
        <w:ind w:right="680"/>
        <w:spacing w:after="0" w:line="263" w:lineRule="auto"/>
        <w:rPr>
          <w:sz w:val="20"/>
          <w:szCs w:val="20"/>
          <w:color w:val="auto"/>
        </w:rPr>
      </w:pPr>
      <w:r>
        <w:rPr>
          <w:rFonts w:ascii="Arial" w:cs="Arial" w:eastAsia="Arial" w:hAnsi="Arial"/>
          <w:sz w:val="18"/>
          <w:szCs w:val="18"/>
          <w:color w:val="auto"/>
        </w:rPr>
        <w:t>countries in Europe during 2021. We plan to expand to approximately 300 professionals by the end of 2021. As we work to increase revenue from VASCEPA, we continuously evaluate all of our spending commitments and priorities and we plan to adjust our level of education and promotional activities based on various factors, including the impact of COVID-19 and generic competition.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w:t>
      </w:r>
      <w:r>
        <w:rPr>
          <w:rFonts w:ascii="Arial" w:cs="Arial" w:eastAsia="Arial" w:hAnsi="Arial"/>
          <w:sz w:val="16"/>
          <w:szCs w:val="16"/>
          <w:color w:val="auto"/>
        </w:rPr>
        <w:t>. Research and development expense for the three months ended March 31, 2021 and 2020 was $9.4 million and</w:t>
      </w:r>
    </w:p>
    <w:p>
      <w:pPr>
        <w:spacing w:after="0" w:line="4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$10.3 million, respectively, a decrease of $0.9 million, or 9%. Research and development expenses for the three months ended March 31, 2021 and 2020 are summarized in the table below:</w:t>
      </w:r>
    </w:p>
    <w:p>
      <w:pPr>
        <w:spacing w:after="0" w:line="258"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200" w:type="dxa"/>
            <w:vAlign w:val="bottom"/>
            <w:tcBorders>
              <w:bottom w:val="single" w:sz="8" w:color="CFF0FC"/>
            </w:tcBorders>
            <w:vMerge w:val="continue"/>
          </w:tcPr>
          <w:p>
            <w:pPr>
              <w:spacing w:after="0"/>
              <w:rPr>
                <w:sz w:val="13"/>
                <w:szCs w:val="13"/>
                <w:color w:val="auto"/>
              </w:rPr>
            </w:pPr>
          </w:p>
        </w:tc>
        <w:tc>
          <w:tcPr>
            <w:tcW w:w="5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7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7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w w:val="97"/>
              </w:rPr>
              <w:t>Research and development expense, excluding non-cash expense</w:t>
            </w:r>
          </w:p>
        </w:tc>
        <w:tc>
          <w:tcPr>
            <w:tcW w:w="54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5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5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00" w:right="140" w:hanging="492"/>
        <w:spacing w:after="0" w:line="274"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The decrease in expenses is primarily driven by the completion of certain analyses performed beyond the REDUCE-IT cardiovascular outcomes trial.</w:t>
      </w:r>
    </w:p>
    <w:p>
      <w:pPr>
        <w:ind w:left="500" w:right="340" w:hanging="492"/>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regulatory filing fees in each of the quarters ended March 31, 2021 and 2020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spacing w:after="0" w:line="1" w:lineRule="exact"/>
        <w:rPr>
          <w:rFonts w:ascii="Arial" w:cs="Arial" w:eastAsia="Arial" w:hAnsi="Arial"/>
          <w:sz w:val="18"/>
          <w:szCs w:val="18"/>
          <w:color w:val="auto"/>
        </w:rPr>
      </w:pPr>
    </w:p>
    <w:p>
      <w:pPr>
        <w:ind w:left="500" w:right="20" w:hanging="492"/>
        <w:spacing w:after="0" w:line="281"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We also exercised certain rights under our strategic collaboration agreement with Mochida, resulting in payments of $1.0 million in each of January 2020, and January 2021, respectively. Also included are costs associated with various other investigations, including other costs in collaboration with Mochida and pilot studies regarding VASCEPA.</w:t>
      </w:r>
    </w:p>
    <w:p>
      <w:pPr>
        <w:spacing w:after="0" w:line="2" w:lineRule="exact"/>
        <w:rPr>
          <w:rFonts w:ascii="Arial" w:cs="Arial" w:eastAsia="Arial" w:hAnsi="Arial"/>
          <w:sz w:val="16"/>
          <w:szCs w:val="16"/>
          <w:color w:val="auto"/>
        </w:rPr>
      </w:pPr>
    </w:p>
    <w:p>
      <w:pPr>
        <w:ind w:left="500" w:right="580" w:hanging="492"/>
        <w:spacing w:after="0" w:line="26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personnel supporting our research and development and regulatory functions.</w:t>
      </w:r>
    </w:p>
    <w:p>
      <w:pPr>
        <w:spacing w:after="0" w:line="18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anticipate our research and development expenses to remain consistent in 2021 with the prior year. We continuously evaluate all of our spending commitments and priorities and we plan to adjust our level of research and development activities based on the impact of COVID-19 and generic competition.</w:t>
      </w:r>
    </w:p>
    <w:p>
      <w:pPr>
        <w:spacing w:after="0" w:line="184" w:lineRule="exact"/>
        <w:rPr>
          <w:sz w:val="20"/>
          <w:szCs w:val="20"/>
          <w:color w:val="auto"/>
        </w:rPr>
      </w:pPr>
    </w:p>
    <w:p>
      <w:pPr>
        <w:ind w:right="240" w:firstLine="600"/>
        <w:spacing w:after="0" w:line="342" w:lineRule="auto"/>
        <w:rPr>
          <w:sz w:val="20"/>
          <w:szCs w:val="20"/>
          <w:color w:val="auto"/>
        </w:rPr>
      </w:pPr>
      <w:r>
        <w:rPr>
          <w:rFonts w:ascii="Arial" w:cs="Arial" w:eastAsia="Arial" w:hAnsi="Arial"/>
          <w:sz w:val="16"/>
          <w:szCs w:val="16"/>
          <w:i w:val="1"/>
          <w:iCs w:val="1"/>
          <w:color w:val="auto"/>
        </w:rPr>
        <w:t>Interest income, net</w:t>
      </w:r>
      <w:r>
        <w:rPr>
          <w:rFonts w:ascii="Arial" w:cs="Arial" w:eastAsia="Arial" w:hAnsi="Arial"/>
          <w:sz w:val="16"/>
          <w:szCs w:val="16"/>
          <w:color w:val="auto"/>
        </w:rPr>
        <w:t>. Net interest income for the three months ended March 31, 2021 and 2020 was $0.5 million and $1.2 million, respectively,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$0.7 million, or 61%. Net interest income for the three months ended March 31, 2021 and 2020 is summarized in the table below:</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vMerge w:val="continue"/>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Debt from royalty-bearing instrument (1):</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40"/>
              <w:spacing w:after="0"/>
              <w:rPr>
                <w:sz w:val="20"/>
                <w:szCs w:val="20"/>
                <w:color w:val="auto"/>
              </w:rPr>
            </w:pPr>
            <w:r>
              <w:rPr>
                <w:rFonts w:ascii="Arial" w:cs="Arial" w:eastAsia="Arial" w:hAnsi="Arial"/>
                <w:sz w:val="18"/>
                <w:szCs w:val="18"/>
                <w:color w:val="auto"/>
              </w:rPr>
              <w:t>Cash interest</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 debt from royalty-bearing instrument interest expense</w:t>
            </w:r>
          </w:p>
        </w:tc>
        <w:tc>
          <w:tcPr>
            <w:tcW w:w="1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 interest expense</w:t>
            </w:r>
          </w:p>
        </w:tc>
        <w:tc>
          <w:tcPr>
            <w:tcW w:w="1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(2)</w:t>
            </w:r>
          </w:p>
        </w:tc>
        <w:tc>
          <w:tcPr>
            <w:tcW w:w="1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 interest income, net</w:t>
            </w:r>
          </w:p>
        </w:tc>
        <w:tc>
          <w:tcPr>
            <w:tcW w:w="1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00" w:hanging="492"/>
        <w:spacing w:after="0" w:line="255"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three months ended March 31, 2021 and 2020 was nil and $1.1 million, respectively. In November 2020, the Company made the final payment on its royalty-bearing instrument and, as a result, no interest from this instrument was recorded in 2021.</w:t>
      </w:r>
    </w:p>
    <w:p>
      <w:pPr>
        <w:spacing w:after="0" w:line="2" w:lineRule="exact"/>
        <w:rPr>
          <w:rFonts w:ascii="Arial" w:cs="Arial" w:eastAsia="Arial" w:hAnsi="Arial"/>
          <w:sz w:val="18"/>
          <w:szCs w:val="18"/>
          <w:color w:val="auto"/>
        </w:rPr>
      </w:pPr>
    </w:p>
    <w:p>
      <w:pPr>
        <w:jc w:val="both"/>
        <w:ind w:left="500" w:right="340" w:hanging="492"/>
        <w:spacing w:after="0" w:line="255"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income for the three months ended March 31, 2021 and 2020 was $0.5 million and $2.4 million, respectively. Interest income represents income earned on cash and investment balances. As a result of COVID-19 and the related economic conditions, interest rates have decreased as compared to the prior year, resulting in a decrease in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9512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right="380" w:firstLine="510"/>
        <w:spacing w:after="0" w:line="277"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the three months ended March 31, 2021 and 2020 was expense of $142 thousand and $91 thousand,</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Other expense, net, primarily consists of gains and losses on foreign exchange transactions.</w:t>
      </w:r>
    </w:p>
    <w:p>
      <w:pPr>
        <w:spacing w:after="0" w:line="11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i w:val="1"/>
          <w:iCs w:val="1"/>
          <w:color w:val="auto"/>
        </w:rPr>
        <w:t xml:space="preserve">Income tax (provision) benefit. </w:t>
      </w:r>
      <w:r>
        <w:rPr>
          <w:rFonts w:ascii="Arial" w:cs="Arial" w:eastAsia="Arial" w:hAnsi="Arial"/>
          <w:sz w:val="17"/>
          <w:szCs w:val="17"/>
          <w:color w:val="auto"/>
        </w:rPr>
        <w:t>Income tax (provision) benefit for the three months ended March 31, 2021 and 2020 was a provision of $0.6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benefit of $2.4 million, respectively. The provision for the three months ended March 31, 2021 is the result of income generated by our U.S. operations for which tax expense has been recognized based on a full year estimated U.S. income tax liability. The income tax benefit recorded for the three months ended March 31, 2020 related to carrybacks of net operating losses as allowed under the CARES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Our aggregate sources of liquidity as of March 31, 2021 are in excess of $500.0 million, with no debt. Our aggregate sources of liquidity include cash and cash equivalents and restricted cash of $294.9 million, short-term investments of $223.7 million and long-term investments of $24.0 million.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58"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consolidated statements of cash flows, are summarized in the following table:</w:t>
      </w:r>
    </w:p>
    <w:p>
      <w:pPr>
        <w:spacing w:after="0" w:line="35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5880" w:type="dxa"/>
            <w:vAlign w:val="bottom"/>
            <w:tcBorders>
              <w:bottom w:val="single" w:sz="8" w:color="CFF0FC"/>
            </w:tcBorders>
            <w:vMerge w:val="continue"/>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58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Increase (decrease) in cash and cash equivalents and restricted cash</w:t>
            </w:r>
          </w:p>
        </w:tc>
        <w:tc>
          <w:tcPr>
            <w:tcW w:w="104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Net cash used in operating activities during the three months ended March 31, 2021 as compared to the net cash provided by operating activities during the same period in 2020 is primarily as a result of an increase in inventory purchases during 2021 as well as costs associated with planning for commercial launch in Europe.</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provided by investing activities during the three months ended March 31, 2021 is primarily due to the proceeds from the maturity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$127.9 million in investment-grade interest bearing instruments, with no purchases of additional securities as compared to the same period in 2020 where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$310.6 million investment-grade interest bearing instruments were purchased, partially offset by the proceeds from the maturity and sale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57" w:lineRule="exact"/>
        <w:rPr>
          <w:sz w:val="20"/>
          <w:szCs w:val="20"/>
          <w:color w:val="auto"/>
        </w:rPr>
      </w:pPr>
    </w:p>
    <w:p>
      <w:pPr>
        <w:ind w:right="260" w:firstLine="510"/>
        <w:spacing w:after="0" w:line="296" w:lineRule="auto"/>
        <w:rPr>
          <w:sz w:val="20"/>
          <w:szCs w:val="20"/>
          <w:color w:val="auto"/>
        </w:rPr>
      </w:pPr>
      <w:r>
        <w:rPr>
          <w:rFonts w:ascii="Arial" w:cs="Arial" w:eastAsia="Arial" w:hAnsi="Arial"/>
          <w:sz w:val="16"/>
          <w:szCs w:val="16"/>
          <w:color w:val="auto"/>
        </w:rPr>
        <w:t>Net cash used in financing activities during the three months ended March 31, 2020 primarily reflects the payments made on our royalty-bearing instrument with CPPIB, with the final payment made in the fourth quarter of 2020. In December 2012, we entered into a financing agreement with BioPharma. Under this agreement, we granted to BioPharma a security interest in future receivables and all related rights to VASCEPA, in exchange for $100.0 million received at the closing of the agreement which occurred in December 2012. In December 2017, BioPharma assigned all rights under this agreement to CPPIB. In the fourth quarter of 2020, we have repaid the remaining amounts outstanding of the agreed upon $150.0 million.</w:t>
      </w:r>
    </w:p>
    <w:p>
      <w:pPr>
        <w:spacing w:after="0" w:line="10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As of March 31, 2021, we had net accounts receivable $151.3 million and inventory of $230.9 million. We have incurred annual operating losses since our inception and, as a result, we had an accumulated deficit of $1.4 billion as of March 31, 2021. We anticipate that quarterly net cash outflows in future periods will continue to be variable as a result of the timing of certain items, including our purchases of API, the impact from COVID-19 on our operations, the generic competition in the United States as a result of our ANDA litigation and commercialization of VAZKEPA in Europe. For Europe, we commenced pre-launch planning and other commercial preparation activities, with plans to expand to approximately 300 professionals by the end of 2021.</w:t>
      </w:r>
    </w:p>
    <w:p>
      <w:pPr>
        <w:spacing w:after="0" w:line="10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believe that our cash and cash equivalents of $291.0 million as of March 31, 2021 together with our short-term investments of $223.7 million as of March 31, 2021, will be sufficient to fund our projected operations for at least twelve months and is adequate to achieve positive cash flow from VASCEPA based on our current plans. We have based this estimate on assumptions that may prove to be wrong, including as a result of the risks discussed under Part II, Item IA, “Risk Factors”, and we could use our capital resources sooner than we expect or fail to achieve positive cash flow.</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0" w:firstLine="510"/>
        <w:spacing w:after="0" w:line="286" w:lineRule="auto"/>
        <w:rPr>
          <w:sz w:val="20"/>
          <w:szCs w:val="20"/>
          <w:color w:val="auto"/>
        </w:rPr>
      </w:pPr>
      <w:r>
        <w:rPr>
          <w:rFonts w:ascii="Arial" w:cs="Arial" w:eastAsia="Arial" w:hAnsi="Arial"/>
          <w:sz w:val="17"/>
          <w:szCs w:val="17"/>
          <w:color w:val="auto"/>
        </w:rPr>
        <w:t>Our contractual obligations consist mainly of payments related to purchase obligations with certain supply chain contracting parties and operating leases related to real estate used as office space. There have been no material changes during the three months ended March 31, 2021 to our contractual obligations as presented in Part II, Item 7 of our Annual Report on Form 10-K for the year ended December 31, 2020.</w:t>
      </w:r>
    </w:p>
    <w:p>
      <w:pPr>
        <w:spacing w:after="0" w:line="1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25, 2021.</w:t>
      </w: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,or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1" w:lineRule="exact"/>
        <w:rPr>
          <w:sz w:val="20"/>
          <w:szCs w:val="20"/>
          <w:color w:val="auto"/>
        </w:rPr>
      </w:pPr>
    </w:p>
    <w:p>
      <w:pPr>
        <w:ind w:right="160" w:firstLine="510"/>
        <w:spacing w:after="0" w:line="273" w:lineRule="auto"/>
        <w:rPr>
          <w:sz w:val="20"/>
          <w:szCs w:val="20"/>
          <w:color w:val="auto"/>
        </w:rPr>
      </w:pPr>
      <w:r>
        <w:rPr>
          <w:rFonts w:ascii="Arial" w:cs="Arial" w:eastAsia="Arial" w:hAnsi="Arial"/>
          <w:sz w:val="17"/>
          <w:szCs w:val="17"/>
          <w:color w:val="auto"/>
        </w:rPr>
        <w:t>As of March 31, 2021, or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2021 our disclosure controls and procedures were effective at the reasonable assurance level.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20" w:firstLine="510"/>
        <w:spacing w:after="0" w:line="263" w:lineRule="auto"/>
        <w:rPr>
          <w:sz w:val="20"/>
          <w:szCs w:val="20"/>
          <w:color w:val="auto"/>
        </w:rPr>
      </w:pPr>
      <w:r>
        <w:rPr>
          <w:rFonts w:ascii="Arial" w:cs="Arial" w:eastAsia="Arial" w:hAnsi="Arial"/>
          <w:sz w:val="18"/>
          <w:szCs w:val="18"/>
          <w:color w:val="auto"/>
        </w:rPr>
        <w:t>During the quarter ended March 31, 2021, there were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2020 includes a discussion of our current legal proceedings. Refer to Note 5 – Commitments and Contingencies in the accompanying Notes to the Condensed Consolidated Financial Statements in this Form 10-Q for further details on our legal proceedings during the three months ended March 31, 2021.</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7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Except those denoted below with a “*”, these risk factors have not been materially updated from our Annual Report on 10-K for the year ended December 31, 2020 filed with the SEC on February 25, 2021, or our Annual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Risk Factors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be aware of in evaluating our business. These risks include, but are not limited to, the following:</w:t>
      </w:r>
    </w:p>
    <w:p>
      <w:pPr>
        <w:spacing w:after="0" w:line="170" w:lineRule="exact"/>
        <w:rPr>
          <w:sz w:val="20"/>
          <w:szCs w:val="20"/>
          <w:color w:val="auto"/>
        </w:rPr>
      </w:pPr>
    </w:p>
    <w:p>
      <w:pPr>
        <w:ind w:left="740" w:right="280" w:hanging="368"/>
        <w:spacing w:after="0" w:line="259"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substantially dependent upon VASCEPA</w:t>
      </w:r>
      <w:r>
        <w:rPr>
          <w:rFonts w:ascii="Arial" w:cs="Arial" w:eastAsia="Arial" w:hAnsi="Arial"/>
          <w:sz w:val="15"/>
          <w:szCs w:val="15"/>
          <w:color w:val="auto"/>
        </w:rPr>
        <w:t>®</w:t>
      </w:r>
      <w:r>
        <w:rPr>
          <w:rFonts w:ascii="Arial" w:cs="Arial" w:eastAsia="Arial" w:hAnsi="Arial"/>
          <w:sz w:val="18"/>
          <w:szCs w:val="18"/>
          <w:color w:val="auto"/>
        </w:rPr>
        <w:t xml:space="preserve"> (icosapent ethyl), its commercialization in the United States and its development and commercialization in Europe and other major markets. In the United States, VASCEPA competes with a generic version of VASCEPA and we could experience increased generic competition in the near term. In Europe VAZKEPA only recently received approval for sale by applicable regulatory authorities and must also obtain relevant pricing approvals.</w:t>
      </w:r>
    </w:p>
    <w:p>
      <w:pPr>
        <w:spacing w:after="0" w:line="186" w:lineRule="exact"/>
        <w:rPr>
          <w:rFonts w:ascii="Arial" w:cs="Arial" w:eastAsia="Arial" w:hAnsi="Arial"/>
          <w:sz w:val="18"/>
          <w:szCs w:val="18"/>
          <w:color w:val="auto"/>
        </w:rPr>
      </w:pPr>
    </w:p>
    <w:p>
      <w:pPr>
        <w:ind w:left="740" w:right="340" w:hanging="368"/>
        <w:spacing w:after="0" w:line="286"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a result of the decision in favor of the two generic drug companies in connection with our ANDA patent trial, which ruling was upheld on appeal by a Federal Circuit panel, a generic version of VASCEPA has launched in the United States, and we could face further generic competition in the near term and our revenues and results of operations could be materially and adversely affected.</w:t>
      </w:r>
    </w:p>
    <w:p>
      <w:pPr>
        <w:spacing w:after="0" w:line="165" w:lineRule="exact"/>
        <w:rPr>
          <w:rFonts w:ascii="Arial" w:cs="Arial" w:eastAsia="Arial" w:hAnsi="Arial"/>
          <w:sz w:val="17"/>
          <w:szCs w:val="17"/>
          <w:color w:val="auto"/>
        </w:rPr>
      </w:pPr>
    </w:p>
    <w:p>
      <w:pPr>
        <w:ind w:left="740" w:right="30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170"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scale and scope of the coronavirus, or COVID-19, pandemic is uncertain and poses a significant threat to public health and infrastructure throughout the world, which could have a negative impact on our business.</w:t>
      </w:r>
    </w:p>
    <w:p>
      <w:pPr>
        <w:spacing w:after="0" w:line="170"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current and planned commercialization efforts may not be successful in increasing sales of VASCEPA in the United States and developing sales internationally.</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promotion of VASCEPA is subject to regulatory scrutiny and associated risk.</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compete effectively against our competitors’ pharmaceutical products.</w:t>
      </w:r>
    </w:p>
    <w:p>
      <w:pPr>
        <w:spacing w:after="0" w:line="225" w:lineRule="exact"/>
        <w:rPr>
          <w:rFonts w:ascii="Arial" w:cs="Arial" w:eastAsia="Arial" w:hAnsi="Arial"/>
          <w:sz w:val="18"/>
          <w:szCs w:val="18"/>
          <w:color w:val="auto"/>
        </w:rPr>
      </w:pPr>
    </w:p>
    <w:p>
      <w:pPr>
        <w:ind w:left="740" w:right="420" w:hanging="368"/>
        <w:spacing w:after="0" w:line="308"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880" w:right="10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commercial value to us of sales of VASCEPA outside the United States may be smaller than we anticipate, including adequacy of product reimbursement which can vary from country to country resulting in potential patient access restrictions.</w:t>
      </w:r>
    </w:p>
    <w:p>
      <w:pPr>
        <w:spacing w:after="0" w:line="21" w:lineRule="exact"/>
        <w:rPr>
          <w:rFonts w:ascii="Arial" w:cs="Arial" w:eastAsia="Arial" w:hAnsi="Arial"/>
          <w:sz w:val="18"/>
          <w:szCs w:val="18"/>
          <w:color w:val="auto"/>
        </w:rPr>
      </w:pPr>
    </w:p>
    <w:p>
      <w:pPr>
        <w:ind w:left="880" w:right="62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supply of product for the commercial market and clinical trials is dependent upon relationships with third-party manufacturers and suppliers.</w:t>
      </w:r>
    </w:p>
    <w:p>
      <w:pPr>
        <w:spacing w:after="0" w:line="21" w:lineRule="exact"/>
        <w:rPr>
          <w:rFonts w:ascii="Arial" w:cs="Arial" w:eastAsia="Arial" w:hAnsi="Arial"/>
          <w:sz w:val="18"/>
          <w:szCs w:val="18"/>
          <w:color w:val="auto"/>
        </w:rPr>
      </w:pPr>
    </w:p>
    <w:p>
      <w:pPr>
        <w:ind w:left="880" w:right="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21"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commercialization of VASCEPA outside the United States is substantially dependent on third parties and other circumstances outside our control.</w:t>
      </w:r>
    </w:p>
    <w:p>
      <w:pPr>
        <w:spacing w:after="0" w:line="21"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dependent on patents, proprietary rights and confidentiality to protect the commercial potential of VASCEPA.</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issued patents may not prevent competitors from competing with VASCEPA, even if we seek to enforce our patent rights.</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can be no assurance that any of our pending patent applications relating to VASCEPA or its use will issue as patents.</w:t>
      </w:r>
    </w:p>
    <w:p>
      <w:pPr>
        <w:spacing w:after="0" w:line="19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94" w:lineRule="exact"/>
        <w:rPr>
          <w:sz w:val="20"/>
          <w:szCs w:val="20"/>
          <w:color w:val="auto"/>
        </w:rPr>
      </w:pPr>
    </w:p>
    <w:p>
      <w:pPr>
        <w:ind w:right="60" w:firstLine="518"/>
        <w:spacing w:after="0" w:line="259" w:lineRule="auto"/>
        <w:tabs>
          <w:tab w:leader="none" w:pos="645"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substantially dependent upon VASCEPA, its commercialization in the United States and its development and commercialization in Europe and other major markets. In the United States, VASCEPA competes with a generic version of VASCEPA and we could experience increased generic competition in the near term. In Europe, VAZKEPA only recently received approval for sale by applicable regulatory authorities and must also obtain relevant pricing approvals.</w:t>
      </w:r>
    </w:p>
    <w:p>
      <w:pPr>
        <w:spacing w:after="0" w:line="133"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success of our company depends on our ability to successfully commercialize our only product,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major markets globally. Much of our near-term financial results and value as a company had depended and currently depend on our ability to execute our development and commercial strategy for VASCEPA in the United States. A generic version of VASCEPA launched in the United States in November 2020, and VASCEPA could face even more competition from generic companies in the United States in the near term in light of the patent litigation rulings against us in this territory. Sales of generic versions of VASCEPA could have a material and adverse impact on our revenues and results of operations in the United States.</w:t>
      </w:r>
    </w:p>
    <w:p>
      <w:pPr>
        <w:spacing w:after="0" w:line="4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continue our development efforts to support regulatory approvals and launch of VASCEPA in major markets outside the United States, and in March 2021 we announced that the European Commission, or the EC, has approved the marketing authorization application for icosapent ethyl, under the brand name VAZKEPA, and hereafter along with VASCEPA, collectively referred to as VASCEPA, to reduce the risk of cardiovascular events in high-risk, statin-treated adult patients who have elevated triglycerides (≥150 mg/dL) and either established cardiovascular disease or diabetes and at least one additional cardiovascular risk factor. We must also obtain pricing approvals for VASCEPA in relevant jurisdictions in Europe, which process is complex and is conducted on a country-by-country basis.</w:t>
      </w:r>
    </w:p>
    <w:p>
      <w:pPr>
        <w:spacing w:after="0" w:line="44" w:lineRule="exact"/>
        <w:rPr>
          <w:sz w:val="20"/>
          <w:szCs w:val="20"/>
          <w:color w:val="auto"/>
        </w:rPr>
      </w:pPr>
    </w:p>
    <w:p>
      <w:pPr>
        <w:ind w:right="300" w:firstLine="510"/>
        <w:spacing w:after="0" w:line="286" w:lineRule="auto"/>
        <w:rPr>
          <w:sz w:val="20"/>
          <w:szCs w:val="20"/>
          <w:color w:val="auto"/>
        </w:rPr>
      </w:pPr>
      <w:r>
        <w:rPr>
          <w:rFonts w:ascii="Arial" w:cs="Arial" w:eastAsia="Arial" w:hAnsi="Arial"/>
          <w:sz w:val="17"/>
          <w:szCs w:val="17"/>
          <w:color w:val="auto"/>
        </w:rPr>
        <w:t>Our expansion and development of VASCEPA outside the United States is generally not subject to the adverse patent ruling in the United States. Development outside the United States is primarily based on the second indication approval for VASCEPA in the United States, use of the drug in the reduction of cardiovascular risk in select high-risk patients, which we believe has significantly more value potential.</w:t>
      </w:r>
    </w:p>
    <w:p>
      <w:pPr>
        <w:spacing w:after="0" w:line="3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have been developing VASCEPA on our own in Europe for the approved indication and are exploring possible strategic collaborations in smaller markets within Europe and in other major markets. We currently have multiple partners for the development and commercialization of VASCEPA in select geographies and intend to consider potential additional partners to commercialize VASCEPA in other parts of the world. For example, we have strategic collaborations for the development and commercialization of VASCEPA in Canada, the Middle East and Greater China. However, we cannot make any guarantees as to the success of these efforts,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ind w:right="80"/>
        <w:spacing w:after="0" w:line="258" w:lineRule="auto"/>
        <w:rPr>
          <w:sz w:val="20"/>
          <w:szCs w:val="20"/>
          <w:color w:val="auto"/>
        </w:rPr>
      </w:pPr>
      <w:r>
        <w:rPr>
          <w:rFonts w:ascii="Arial" w:cs="Arial" w:eastAsia="Arial" w:hAnsi="Arial"/>
          <w:sz w:val="18"/>
          <w:szCs w:val="18"/>
          <w:color w:val="auto"/>
        </w:rPr>
        <w:t>and if commercialization plans for VASCEPA do not meet expectations in major markets such as the United States and Europe, our business and prospects could be materially and adversely affected.</w:t>
      </w:r>
    </w:p>
    <w:p>
      <w:pPr>
        <w:spacing w:after="0" w:line="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development and commercial time cycle for VASCEPA or other products that we may develop from our research and development efforts could result in delays in our ability to achieve commercial success. For example, it took over a decade of preceding product development before we received marketing approval for VAZKEPA in March 2021 from the EC.</w:t>
      </w:r>
    </w:p>
    <w:p>
      <w:pPr>
        <w:spacing w:after="0" w:line="136"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Likewise, if we seek to diversify our development programs or product offerings through licensing or acquisitions, such transactions are also time-consuming, may be dilutive to existing shareholdings, and can be disruptive to operations, and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38"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b w:val="1"/>
          <w:bCs w:val="1"/>
          <w:i w:val="1"/>
          <w:iCs w:val="1"/>
          <w:color w:val="auto"/>
        </w:rPr>
        <w:t>As a result of the decision in favor of the two generic drug companies in connection with our ANDA patent trial, which ruling was upheld on appeal by a Federal Circuit panel, a generic version of VASCEPA has launched in the United States, and we could face further generic competition in the near term and our revenues and results of operations could be materially and adversely affected.</w:t>
      </w:r>
    </w:p>
    <w:p>
      <w:pPr>
        <w:spacing w:after="0" w:line="11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received paragraph IV certification notices from certain companies contending to varying degrees that certain of our patents are invalid, unenforceable and/or will not be infringed by the manufacture, use, sale or offer for sale of a generic form of VASCEPA as described in those companies’ ANDAs. Following receipt of the paragraph IV certifications, beginning in late 2017 we were involved in litigation against these companies, including Dr. Reddy’s Laboratories, Inc., or Dr. Reddy’s or DRL, and Hikma Pharmaceuticals USA Inc., or Hikma, (formerly known as West-Ward), and certain of their affiliates, or the Defendants, in the U.S. District Court for the District of Nevada, or the Nevada Court. In these lawsuits, we sought, among other remedies, an order enjoining each Defendant from marketing generic versions of VASCEPA before the last to expire of the asserted patents in 2030.</w:t>
      </w:r>
    </w:p>
    <w:p>
      <w:pPr>
        <w:spacing w:after="0" w:line="110"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On March 30, 2020, following conclusion of a trial in late January 2020, the Nevada Court issued its ruling in favor of the Defendants. On May 22, 2020 and August 10, 2020, Hikma and Dr. Reddy’s, respectively, received its U.S. FDA approval to market its generic versions of VASCEPA. On September 3, 2020, the U.S. Court of Appeals for the Federal Circuit, or the Federal Circuit, upheld the March ruling by the Nevada Court in favor of the two generic companies. On October 2, 2020, we filed a combined petition for panel rehearing or rehearing en banc. On November 4, 2020, our rehearing and en banc petitions were denied. The mandate of the court was issued on November 12, 2020. On February 11, 2021, we filed a petition for a writ of certiorari with the United States Supreme Court to ask the Court to hear our appeal in this litigation, which is pending.</w:t>
      </w:r>
    </w:p>
    <w:p>
      <w:pPr>
        <w:spacing w:after="0" w:line="110"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November 2020, Hikma launched its generic version of VASCEPA on a limited scale. On November 30, 2020, we filed a patent infringement lawsuit against Hikma affiliate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Although, to date, no generics other than Hikma have been launched, in addition to ANDAs approved for Hikma and Dr. Reddy’s, on September 11, 2020, Teva Pharmaceuticals USA, Inc’s., or Teva’s, ANDA was approved by the U.S. Food and Drug Administration, or U.S. FDA. Apotex Inc., or Apotex, has applied for ANDA approval such application, based on public records, has not yet been approved. We intend to vigorously pursue these ongoing litigation matters, but cannot predict the outcomes or the impact on our business.</w:t>
      </w:r>
    </w:p>
    <w:p>
      <w:pPr>
        <w:spacing w:after="0" w:line="133"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court rulings detailed above could also permit each of Teva and Apotex to launch a generic version of VASCEPA under certain circumstances pursuant to a settlement agreement with us. For example, Teva and Apotex settlement agreements permit such companies to launch their generic version of VASCEPA under royalty-free license from us given that our petition for en banc Federal Circuit review was not granted, after issuance of the Federal Circuit mandate on November 12, 2020. While Teva received U.S. FDA approval of its ANDA, any launch by Apotex would be subject to U.S. FDA approval of the Apotex ANDA and each generic launch is subject to procurement of adequate supply.</w:t>
      </w:r>
    </w:p>
    <w:p>
      <w:pPr>
        <w:spacing w:after="0" w:line="122" w:lineRule="exact"/>
        <w:rPr>
          <w:sz w:val="20"/>
          <w:szCs w:val="20"/>
          <w:color w:val="auto"/>
        </w:rPr>
      </w:pPr>
    </w:p>
    <w:p>
      <w:pPr>
        <w:ind w:right="60" w:firstLine="494"/>
        <w:spacing w:after="0" w:line="255" w:lineRule="auto"/>
        <w:rPr>
          <w:sz w:val="20"/>
          <w:szCs w:val="20"/>
          <w:color w:val="auto"/>
        </w:rPr>
      </w:pPr>
      <w:r>
        <w:rPr>
          <w:rFonts w:ascii="Arial" w:cs="Arial" w:eastAsia="Arial" w:hAnsi="Arial"/>
          <w:sz w:val="18"/>
          <w:szCs w:val="18"/>
          <w:color w:val="auto"/>
        </w:rPr>
        <w:t>Once a generic version of VASCEPA is available in the market, whether based on a generic product with a MARINE indication label or REDUCE-IT indication label it is typically used in many U.S. states to fill a prescription for any use of the drug, subject, in certain circumstances, to state reimbursement law, the potential for patent infringement under certain case law and subject to certain Teva and Apotex settlement agreement terms. We currently face generic competition from Hikma’s generic version of VASCEPA in the United States, and could face increased competition from additional generic entrants in the near term, which could have a material and adverse impact on our revenues and our results of operations. There can be no assurance that we will be successful in preventing</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3" w:right="359" w:bottom="1440" w:gutter="0" w:footer="0" w:header="0"/>
        </w:sectPr>
      </w:pPr>
    </w:p>
    <w:bookmarkStart w:id="38" w:name="page39"/>
    <w:bookmarkEnd w:id="38"/>
    <w:p>
      <w:pPr>
        <w:ind w:right="100"/>
        <w:spacing w:after="0" w:line="277" w:lineRule="auto"/>
        <w:rPr>
          <w:sz w:val="20"/>
          <w:szCs w:val="20"/>
          <w:color w:val="auto"/>
        </w:rPr>
      </w:pPr>
      <w:r>
        <w:rPr>
          <w:rFonts w:ascii="Arial" w:cs="Arial" w:eastAsia="Arial" w:hAnsi="Arial"/>
          <w:sz w:val="18"/>
          <w:szCs w:val="18"/>
          <w:color w:val="auto"/>
        </w:rPr>
        <w:t>use of generic versions of VASCEPA in indications for which they have not been approved by U.S. FDA, even if such use is determined to infringe certain of our patent claims.</w:t>
      </w:r>
    </w:p>
    <w:p>
      <w:pPr>
        <w:spacing w:after="0" w:line="116" w:lineRule="exact"/>
        <w:rPr>
          <w:sz w:val="20"/>
          <w:szCs w:val="20"/>
          <w:color w:val="auto"/>
        </w:rPr>
      </w:pPr>
    </w:p>
    <w:p>
      <w:pPr>
        <w:ind w:right="340" w:firstLine="255"/>
        <w:spacing w:after="0" w:line="286" w:lineRule="auto"/>
        <w:rPr>
          <w:sz w:val="20"/>
          <w:szCs w:val="20"/>
          <w:color w:val="auto"/>
        </w:rPr>
      </w:pPr>
      <w:r>
        <w:rPr>
          <w:rFonts w:ascii="Arial" w:cs="Arial" w:eastAsia="Arial" w:hAnsi="Arial"/>
          <w:sz w:val="17"/>
          <w:szCs w:val="17"/>
          <w:color w:val="auto"/>
        </w:rPr>
        <w:t>Further, although we are pursuing available remedies, including a petition for a writ of certiorari to ask the United States Supreme Court to hear our appeal, we may not be successful in any such efforts, which will be costly and time-consuming to pursue. Such efforts will also require considerable attention of management and could, even if ultimately successful, negatively impact our results of operations.</w:t>
      </w:r>
    </w:p>
    <w:p>
      <w:pPr>
        <w:spacing w:after="0" w:line="111"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Additionally, we believe that VASCEPA is difficult to manufacture and that building capacity to manufacture VASCEPA is time-consuming and expensive. These factors limit the amount of VASCEPA supply available to generic companies, as experienced by Hikma. We do not have direct visibility into the supply levels of any of the generic company and we rely on our own experience together with information from third parties, which information may not be reliable. The generic companies could potentially find or develop sources of qualified VASCEPA supply that are not known to us and that are more efficient or inexpensive than our sources. Furthermore, generic companies could potentially convince our suppliers to prioritize supply to the generic companies ahead of any applicable contractual commitments to supply us. While we anticipate that our suppliers will honor their commitments to us, if generic competitors are successful in gaining an advantage in the supply chain promotional and educational efforts, and potentially manufacture and supply, with respect to VASCEPA will suffer and consequentially VASCEPA prescriptions will likely decrease. In addition, we may need to litigate with such suppliers to protect our rights, which can be costly and distracting to management. Such circumstances could have a material and adverse impact on our revenues and results of operations directly in the United States and potentially outside of the United States as well if supply costs and availability are affected or promotion and education programs reduced.</w:t>
      </w:r>
    </w:p>
    <w:p>
      <w:pPr>
        <w:spacing w:after="0" w:line="19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116"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January 2013, we launched VASCEPA based on the U.S.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U.S. FDA-approved labeling and promotional efforts state this fact.</w:t>
      </w:r>
    </w:p>
    <w:p>
      <w:pPr>
        <w:spacing w:after="0" w:line="12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September 2018, we announced topline results from the REDUCE-IT</w:t>
      </w:r>
      <w:r>
        <w:rPr>
          <w:rFonts w:ascii="Arial" w:cs="Arial" w:eastAsia="Arial" w:hAnsi="Arial"/>
          <w:sz w:val="14"/>
          <w:szCs w:val="14"/>
          <w:color w:val="auto"/>
        </w:rPr>
        <w:t>®</w:t>
      </w:r>
      <w:r>
        <w:rPr>
          <w:rFonts w:ascii="Arial" w:cs="Arial" w:eastAsia="Arial" w:hAnsi="Arial"/>
          <w:sz w:val="17"/>
          <w:szCs w:val="17"/>
          <w:color w:val="auto"/>
        </w:rPr>
        <w:t>, or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U.S. FDA-approved labeling.</w:t>
      </w:r>
    </w:p>
    <w:p>
      <w:pPr>
        <w:spacing w:after="0" w:line="12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December 2019, the U.S.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130"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Despite U.S. FDA approval for this new indication and expanded label for VASCEPA, we may not meet expectations for market acceptance by physicians, patients, healthcare payors and others in the medical community for this new approved use, even if we are successful in our appeal effort.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22" w:lineRule="exact"/>
        <w:rPr>
          <w:sz w:val="20"/>
          <w:szCs w:val="20"/>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and outcome of pending patent litigation efforts;</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commercialization and pricing of any current or potential generic version of VASCEPA;</w:t>
      </w:r>
    </w:p>
    <w:p>
      <w:pPr>
        <w:spacing w:after="0" w:line="103" w:lineRule="exact"/>
        <w:rPr>
          <w:rFonts w:ascii="Arial" w:cs="Arial" w:eastAsia="Arial" w:hAnsi="Arial"/>
          <w:sz w:val="18"/>
          <w:szCs w:val="18"/>
          <w:color w:val="auto"/>
        </w:rPr>
      </w:pPr>
    </w:p>
    <w:p>
      <w:pPr>
        <w:ind w:left="880" w:right="580" w:hanging="373"/>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21" w:lineRule="exact"/>
        <w:rPr>
          <w:rFonts w:ascii="Arial" w:cs="Arial" w:eastAsia="Arial" w:hAnsi="Arial"/>
          <w:sz w:val="18"/>
          <w:szCs w:val="18"/>
          <w:color w:val="auto"/>
        </w:rPr>
      </w:pPr>
    </w:p>
    <w:p>
      <w:pPr>
        <w:ind w:left="880" w:hanging="373"/>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peer review of different elements of REDUCE-IT results over time;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9" w:name="page40"/>
    <w:bookmarkEnd w:id="39"/>
    <w:p>
      <w:pPr>
        <w:ind w:left="380" w:hanging="37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review and analysis of the results of REDUCE-IT by regulatory authorities internationally;</w:t>
      </w:r>
    </w:p>
    <w:p>
      <w:pPr>
        <w:spacing w:after="0" w:line="103" w:lineRule="exact"/>
        <w:rPr>
          <w:rFonts w:ascii="Arial" w:cs="Arial" w:eastAsia="Arial" w:hAnsi="Arial"/>
          <w:sz w:val="18"/>
          <w:szCs w:val="18"/>
          <w:color w:val="auto"/>
        </w:rPr>
      </w:pPr>
    </w:p>
    <w:p>
      <w:pPr>
        <w:ind w:left="380" w:hanging="37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80" w:lineRule="exact"/>
        <w:rPr>
          <w:rFonts w:ascii="Arial" w:cs="Arial" w:eastAsia="Arial" w:hAnsi="Arial"/>
          <w:sz w:val="18"/>
          <w:szCs w:val="18"/>
          <w:color w:val="auto"/>
        </w:rPr>
      </w:pPr>
    </w:p>
    <w:p>
      <w:pPr>
        <w:ind w:left="380" w:hanging="373"/>
        <w:spacing w:after="0"/>
        <w:tabs>
          <w:tab w:leader="none" w:pos="3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convenience and ease of administration compared to alternative treatments;</w:t>
      </w:r>
    </w:p>
    <w:p>
      <w:pPr>
        <w:spacing w:after="0" w:line="57" w:lineRule="exact"/>
        <w:rPr>
          <w:rFonts w:ascii="Arial" w:cs="Arial" w:eastAsia="Arial" w:hAnsi="Arial"/>
          <w:sz w:val="22"/>
          <w:szCs w:val="22"/>
          <w:color w:val="auto"/>
        </w:rPr>
      </w:pPr>
    </w:p>
    <w:p>
      <w:pPr>
        <w:ind w:left="380" w:hanging="373"/>
        <w:spacing w:after="0"/>
        <w:tabs>
          <w:tab w:leader="none" w:pos="3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80" w:lineRule="exact"/>
        <w:rPr>
          <w:rFonts w:ascii="Arial" w:cs="Arial" w:eastAsia="Arial" w:hAnsi="Arial"/>
          <w:sz w:val="22"/>
          <w:szCs w:val="22"/>
          <w:color w:val="auto"/>
        </w:rPr>
      </w:pPr>
    </w:p>
    <w:p>
      <w:pPr>
        <w:ind w:left="380" w:hanging="373"/>
        <w:spacing w:after="0"/>
        <w:tabs>
          <w:tab w:leader="none" w:pos="380" w:val="left"/>
        </w:tabs>
        <w:numPr>
          <w:ilvl w:val="0"/>
          <w:numId w:val="24"/>
        </w:numPr>
        <w:rPr>
          <w:rFonts w:ascii="Arial" w:cs="Arial" w:eastAsia="Arial" w:hAnsi="Arial"/>
          <w:sz w:val="19"/>
          <w:szCs w:val="19"/>
          <w:color w:val="auto"/>
        </w:rPr>
      </w:pPr>
      <w:r>
        <w:rPr>
          <w:rFonts w:ascii="Arial" w:cs="Arial" w:eastAsia="Arial" w:hAnsi="Arial"/>
          <w:sz w:val="16"/>
          <w:szCs w:val="16"/>
          <w:color w:val="auto"/>
        </w:rPr>
        <w:t>the scope, effectiveness and strength of product education, marketing and distribution support, including our sales and marketing team;</w:t>
      </w:r>
    </w:p>
    <w:p>
      <w:pPr>
        <w:spacing w:after="0" w:line="69" w:lineRule="exact"/>
        <w:rPr>
          <w:rFonts w:ascii="Arial" w:cs="Arial" w:eastAsia="Arial" w:hAnsi="Arial"/>
          <w:sz w:val="19"/>
          <w:szCs w:val="19"/>
          <w:color w:val="auto"/>
        </w:rPr>
      </w:pPr>
    </w:p>
    <w:p>
      <w:pPr>
        <w:ind w:left="380" w:hanging="373"/>
        <w:spacing w:after="0"/>
        <w:tabs>
          <w:tab w:leader="none" w:pos="3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publicity concerning VASCEPA or competing products;</w:t>
      </w:r>
    </w:p>
    <w:p>
      <w:pPr>
        <w:spacing w:after="0" w:line="80" w:lineRule="exact"/>
        <w:rPr>
          <w:rFonts w:ascii="Arial" w:cs="Arial" w:eastAsia="Arial" w:hAnsi="Arial"/>
          <w:sz w:val="22"/>
          <w:szCs w:val="22"/>
          <w:color w:val="auto"/>
        </w:rPr>
      </w:pPr>
    </w:p>
    <w:p>
      <w:pPr>
        <w:ind w:left="380" w:hanging="373"/>
        <w:spacing w:after="0" w:line="232" w:lineRule="auto"/>
        <w:tabs>
          <w:tab w:leader="none" w:pos="380" w:val="left"/>
        </w:tabs>
        <w:numPr>
          <w:ilvl w:val="0"/>
          <w:numId w:val="24"/>
        </w:numPr>
        <w:rPr>
          <w:rFonts w:ascii="Arial" w:cs="Arial" w:eastAsia="Arial" w:hAnsi="Arial"/>
          <w:sz w:val="22"/>
          <w:szCs w:val="22"/>
          <w:color w:val="auto"/>
        </w:rPr>
      </w:pPr>
      <w:r>
        <w:rPr>
          <w:rFonts w:ascii="Arial" w:cs="Arial" w:eastAsia="Arial" w:hAnsi="Arial"/>
          <w:sz w:val="18"/>
          <w:szCs w:val="18"/>
          <w:color w:val="auto"/>
        </w:rPr>
        <w:t>our ability to continually promote VASCEPA in the United States consistent with and outside of U.S. FDA-approved labeling and the related perception thereof;</w:t>
      </w:r>
    </w:p>
    <w:p>
      <w:pPr>
        <w:spacing w:after="0" w:line="54" w:lineRule="exact"/>
        <w:rPr>
          <w:rFonts w:ascii="Arial" w:cs="Arial" w:eastAsia="Arial" w:hAnsi="Arial"/>
          <w:sz w:val="22"/>
          <w:szCs w:val="22"/>
          <w:color w:val="auto"/>
        </w:rPr>
      </w:pPr>
    </w:p>
    <w:p>
      <w:pPr>
        <w:ind w:left="380" w:hanging="373"/>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VASCEPA and its prescribe uses, on-label and off-label;</w:t>
      </w:r>
    </w:p>
    <w:p>
      <w:pPr>
        <w:spacing w:after="0" w:line="103" w:lineRule="exact"/>
        <w:rPr>
          <w:rFonts w:ascii="Arial" w:cs="Arial" w:eastAsia="Arial" w:hAnsi="Arial"/>
          <w:sz w:val="18"/>
          <w:szCs w:val="18"/>
          <w:color w:val="auto"/>
        </w:rPr>
      </w:pPr>
    </w:p>
    <w:p>
      <w:pPr>
        <w:ind w:left="380" w:right="20" w:hanging="373"/>
        <w:spacing w:after="0" w:line="325" w:lineRule="auto"/>
        <w:tabs>
          <w:tab w:leader="none" w:pos="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natural disasters, including pandemics such as the recent outbreak of COVID-19 and political unrest that could inhibit our ability to promote VASCEPA regionally and can negatively affect product demand by creating obstacles for patients to seek treatment and fill prescriptions;</w:t>
      </w:r>
    </w:p>
    <w:p>
      <w:pPr>
        <w:spacing w:after="0" w:line="1" w:lineRule="exact"/>
        <w:rPr>
          <w:rFonts w:ascii="Arial" w:cs="Arial" w:eastAsia="Arial" w:hAnsi="Arial"/>
          <w:sz w:val="16"/>
          <w:szCs w:val="16"/>
          <w:color w:val="auto"/>
        </w:rPr>
      </w:pPr>
    </w:p>
    <w:p>
      <w:pPr>
        <w:ind w:left="380" w:right="380" w:hanging="373"/>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21" w:lineRule="exact"/>
        <w:rPr>
          <w:rFonts w:ascii="Arial" w:cs="Arial" w:eastAsia="Arial" w:hAnsi="Arial"/>
          <w:sz w:val="18"/>
          <w:szCs w:val="18"/>
          <w:color w:val="auto"/>
        </w:rPr>
      </w:pPr>
    </w:p>
    <w:p>
      <w:pPr>
        <w:ind w:left="380" w:right="220" w:hanging="373"/>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actual and perceived efficacy of the product and the prevalence and severity of any side effects and warnings in VASCEPA’s approved labeling internationally.</w:t>
      </w:r>
    </w:p>
    <w:p>
      <w:pPr>
        <w:spacing w:after="0" w:line="170"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820" w:top="409" w:right="559" w:bottom="1440" w:gutter="0" w:footer="0" w:header="0"/>
        </w:sectPr>
      </w:pPr>
    </w:p>
    <w:bookmarkStart w:id="40" w:name="page41"/>
    <w:bookmarkEnd w:id="40"/>
    <w:p>
      <w:pPr>
        <w:ind w:firstLine="510"/>
        <w:spacing w:after="0" w:line="286" w:lineRule="auto"/>
        <w:rPr>
          <w:sz w:val="20"/>
          <w:szCs w:val="20"/>
          <w:color w:val="auto"/>
        </w:rPr>
      </w:pPr>
      <w:r>
        <w:rPr>
          <w:rFonts w:ascii="Arial" w:cs="Arial" w:eastAsia="Arial" w:hAnsi="Arial"/>
          <w:sz w:val="16"/>
          <w:szCs w:val="16"/>
          <w:color w:val="auto"/>
        </w:rPr>
        <w:t>For example, two major factors that affect market use of prescription drugs are their perceived cost-effectiveness and the breadth of their use among different patient populations, both on 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U.S. FDA-approved labeling. By contrast, U.S.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U.S. FDA labeling, U.S. FDA-approved labeling that is more closely tied to the patient population studied in a clinical trial could limit use generally and by making reimbursement more difficult.</w:t>
      </w:r>
    </w:p>
    <w:p>
      <w:pPr>
        <w:spacing w:after="0" w:line="187"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The scale and scope of the COVID-19 pandemic is uncertain and poses a significant threat to public health and infrastructure throughout the world, which could have a negative impact on our business.</w:t>
      </w:r>
    </w:p>
    <w:p>
      <w:pPr>
        <w:spacing w:after="0" w:line="116"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global spread of the coronavirus, the COVID-19, has created significant volatility, uncertainty and disruption in healthcare, social and economic infrastructures. The extent to which the coronavirus pandemic impacts our business, operations and financial results will depend on numerous evolving factors that we may not be able to accurately predict or plan around, including:</w:t>
      </w:r>
    </w:p>
    <w:p>
      <w:pPr>
        <w:spacing w:after="0" w:line="76"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duration, volatility and scope of the pandemic;</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pandemic on economic and political activity and actions taken in response;</w:t>
      </w:r>
    </w:p>
    <w:p>
      <w:pPr>
        <w:spacing w:after="0" w:line="9" w:lineRule="exact"/>
        <w:rPr>
          <w:rFonts w:ascii="Arial" w:cs="Arial" w:eastAsia="Arial" w:hAnsi="Arial"/>
          <w:sz w:val="18"/>
          <w:szCs w:val="18"/>
          <w:color w:val="auto"/>
        </w:rPr>
      </w:pPr>
    </w:p>
    <w:p>
      <w:pPr>
        <w:ind w:left="1000" w:right="260" w:hanging="493"/>
        <w:spacing w:after="0" w:line="25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commercialize VASCEPA, including as a result of travel restrictions, social distancing and other containment measures;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enrolment or monitoring of patients in clinical trials, particularly at clinical trial sites located in highly impacted jurisdictions;</w:t>
      </w:r>
    </w:p>
    <w:p>
      <w:pPr>
        <w:spacing w:after="0" w:line="9" w:lineRule="exact"/>
        <w:rPr>
          <w:rFonts w:ascii="Arial" w:cs="Arial" w:eastAsia="Arial" w:hAnsi="Arial"/>
          <w:sz w:val="18"/>
          <w:szCs w:val="18"/>
          <w:color w:val="auto"/>
        </w:rPr>
      </w:pPr>
    </w:p>
    <w:p>
      <w:pPr>
        <w:ind w:left="1000" w:right="440" w:hanging="493"/>
        <w:spacing w:after="0" w:line="25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access, secure and otherwise obtain and deliver sufficient and timely commercial or clinical supplies of VASCEPA to meet demand if the production capabilities of suppliers is disrupted;</w:t>
      </w:r>
    </w:p>
    <w:p>
      <w:pPr>
        <w:ind w:left="1000" w:right="280" w:hanging="493"/>
        <w:spacing w:after="0" w:line="25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in regulatory oversight and actions if regulators and industry professionals are expending significant and unexpected resources addressing COVID-19;</w:t>
      </w:r>
    </w:p>
    <w:p>
      <w:pPr>
        <w:ind w:left="1000" w:right="20" w:hanging="493"/>
        <w:spacing w:after="0" w:line="25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reimbursement from government and health administration authorities, private health insurers and other third-party payors if the system becomes overly strained; and</w:t>
      </w:r>
    </w:p>
    <w:p>
      <w:pPr>
        <w:ind w:left="1000" w:right="680" w:hanging="493"/>
        <w:spacing w:after="0" w:line="26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further or prolonged closures of our and our partners’ offices, operations and facilities impeding our ability to work together as a company and with our business and healthcare partners.</w:t>
      </w:r>
    </w:p>
    <w:p>
      <w:pPr>
        <w:spacing w:after="0" w:line="13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To comply with travel restrictions, social distancing, quarantines and other containment measures implemented in various geographies, in March 2020, we suspended field based face-to-face interactions. We resumed on a limited basis field-based, face-to-face interactions with healthcare providers beginning in June 2020. During the late part of the summer of 2020, substantially all of our field force personnel had the ability to resume face-to-face customer interactions, in a manner consistent with state and local guidance. In the fourth quarter of 2020 and in early 2021, the impact of COVID-19 worsened in much of the United States, with some healthcare professionals again limiting access to face-to-face interactions. Additionally, the number of patient visits to doctors’ offices and patients undergoing blood testing remains down considerably from pre-COVID-19 levels. These circumstances vary geographically and vary over time, with continued risk of resurgences in COVID-19 cases, and reinstitution of protocols, in various geographies. We hope to be able to maintain our substantial resumption of our business efforts, however, given the dynamics related to COVID-19, there can be no assurance that this will be the case. While we have supplemented these face-to-face interactions with virtual outreach, these efforts may not be as impactful as traditional, in-person interactions. Specifically, access to healthcare professionals through the internet or other channels, may not be as productive as in-person interactions.</w:t>
      </w:r>
    </w:p>
    <w:p>
      <w:pPr>
        <w:spacing w:after="0" w:line="128"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Although we have a geographically diversified supply chain for VASCEPA and believe we have sufficient inventory on hand at pharmacies throughout the United States and other markets where it is approved for sale, and at various stages of manufacturing with our suppliers, the global spread of the outbreak and containment measures has been unprecedented and could have a negative impact on the availability of VASCEPA at various points in our supply chain, including limiting the ability of new suppliers to be inspected, which would have a material and adverse effect on our business.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1" w:name="page42"/>
    <w:bookmarkEnd w:id="41"/>
    <w:p>
      <w:pPr>
        <w:ind w:right="40" w:firstLine="510"/>
        <w:spacing w:after="0" w:line="254" w:lineRule="auto"/>
        <w:rPr>
          <w:sz w:val="20"/>
          <w:szCs w:val="20"/>
          <w:color w:val="auto"/>
        </w:rPr>
      </w:pPr>
      <w:r>
        <w:rPr>
          <w:rFonts w:ascii="Arial" w:cs="Arial" w:eastAsia="Arial" w:hAnsi="Arial"/>
          <w:sz w:val="18"/>
          <w:szCs w:val="18"/>
          <w:color w:val="auto"/>
        </w:rPr>
        <w:t>The disruptions associated with the coronavirus pandemic could also delay the timing of a determination on our ability to seek legal remedies as travel, operational resources and personnel are disrupted, with respect to our efforts and capabilities, as well as those of our advisors and the courts. The disruptions associated with the coronavirus pandemic could delay the potential timing of subsequent steps for the launch of commercialization of VAZKEPA in Europe, including plans to hire additional employees in Europe. Additionally, COVID-19 could limit our ability to have access with healthcare professionals to help educate them regarding VAZKEPA so that they are more likely to prescribe it to their at-risk patients. And, similar to our experience in the United States, the effects of COVID-19 and social distancing considerations may reduce the frequency at which at-risk patients seek non-urgent preventative medical care.</w:t>
      </w:r>
    </w:p>
    <w:p>
      <w:pPr>
        <w:spacing w:after="0" w:line="141" w:lineRule="exact"/>
        <w:rPr>
          <w:sz w:val="20"/>
          <w:szCs w:val="20"/>
          <w:color w:val="auto"/>
        </w:rPr>
      </w:pPr>
    </w:p>
    <w:p>
      <w:pPr>
        <w:jc w:val="both"/>
        <w:ind w:right="120" w:firstLine="510"/>
        <w:spacing w:after="0" w:line="340" w:lineRule="auto"/>
        <w:rPr>
          <w:sz w:val="20"/>
          <w:szCs w:val="20"/>
          <w:color w:val="auto"/>
        </w:rPr>
      </w:pPr>
      <w:r>
        <w:rPr>
          <w:rFonts w:ascii="Arial" w:cs="Arial" w:eastAsia="Arial" w:hAnsi="Arial"/>
          <w:sz w:val="15"/>
          <w:szCs w:val="15"/>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7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December 2019, the U.S.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U.S. FDA has approved VASCEPA for this expanded label and new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110" w:lineRule="exact"/>
        <w:rPr>
          <w:sz w:val="20"/>
          <w:szCs w:val="20"/>
          <w:color w:val="auto"/>
        </w:rPr>
      </w:pPr>
    </w:p>
    <w:p>
      <w:pPr>
        <w:ind w:right="260" w:firstLine="510"/>
        <w:spacing w:after="0" w:line="301" w:lineRule="auto"/>
        <w:rPr>
          <w:sz w:val="20"/>
          <w:szCs w:val="20"/>
          <w:color w:val="auto"/>
        </w:rPr>
      </w:pPr>
      <w:r>
        <w:rPr>
          <w:rFonts w:ascii="Arial" w:cs="Arial" w:eastAsia="Arial" w:hAnsi="Arial"/>
          <w:sz w:val="16"/>
          <w:szCs w:val="16"/>
          <w:color w:val="auto"/>
        </w:rPr>
        <w:t>In addition, the same set of data can sometimes be interpreted to reach different conclusions. This was the case when Health Canada approved an indication based on REDUCE-IT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103" w:lineRule="exact"/>
        <w:rPr>
          <w:sz w:val="20"/>
          <w:szCs w:val="20"/>
          <w:color w:val="auto"/>
        </w:rPr>
      </w:pPr>
    </w:p>
    <w:p>
      <w:pPr>
        <w:ind w:right="340" w:firstLine="510"/>
        <w:spacing w:after="0" w:line="325" w:lineRule="auto"/>
        <w:rPr>
          <w:sz w:val="20"/>
          <w:szCs w:val="20"/>
          <w:color w:val="auto"/>
        </w:rPr>
      </w:pPr>
      <w:r>
        <w:rPr>
          <w:rFonts w:ascii="Arial" w:cs="Arial" w:eastAsia="Arial" w:hAnsi="Arial"/>
          <w:sz w:val="16"/>
          <w:szCs w:val="16"/>
          <w:color w:val="auto"/>
        </w:rPr>
        <w:t>Regulatory authorities and medical guideline committees outside of the United States and the EU may consider the following additional factors, which could lead to evaluations of the totality of the efficacy and safety data from REDUCE-IT that differ from those of the U.S. FDA or the EC:</w:t>
      </w:r>
    </w:p>
    <w:p>
      <w:pPr>
        <w:spacing w:after="0" w:line="1" w:lineRule="exact"/>
        <w:rPr>
          <w:sz w:val="20"/>
          <w:szCs w:val="20"/>
          <w:color w:val="auto"/>
        </w:rPr>
      </w:pPr>
    </w:p>
    <w:p>
      <w:pPr>
        <w:ind w:left="880" w:right="48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magnitude of the treatment benefit and related risks on the primary composite endpoint, its components, secondary endpoints and the primary and secondary risk prevention cohorts;</w:t>
      </w:r>
    </w:p>
    <w:p>
      <w:pPr>
        <w:spacing w:after="0" w:line="21"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consideration of which components of the composite or secondary endpoints have the most clinical significance;</w:t>
      </w:r>
    </w:p>
    <w:p>
      <w:pPr>
        <w:spacing w:after="0" w:line="76"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consistency of the primary and secondary outcomes;</w:t>
      </w:r>
    </w:p>
    <w:p>
      <w:pPr>
        <w:spacing w:after="0" w:line="76"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consistency of findings across cohorts and important subgroups;</w:t>
      </w:r>
    </w:p>
    <w:p>
      <w:pPr>
        <w:spacing w:after="0" w:line="76" w:lineRule="exact"/>
        <w:rPr>
          <w:rFonts w:ascii="Arial" w:cs="Arial" w:eastAsia="Arial" w:hAnsi="Arial"/>
          <w:sz w:val="18"/>
          <w:szCs w:val="18"/>
          <w:color w:val="auto"/>
        </w:rPr>
      </w:pPr>
    </w:p>
    <w:p>
      <w:pPr>
        <w:ind w:left="880" w:right="14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safety considerations and risk/benefit considerations (such as related to adverse events such as bleeding and atrial fibrillation generally and in different sub-populations);</w:t>
      </w:r>
    </w:p>
    <w:p>
      <w:pPr>
        <w:spacing w:after="0" w:line="21"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consideration of REDUCE-IT results in the context of other clinical studies;</w:t>
      </w:r>
    </w:p>
    <w:p>
      <w:pPr>
        <w:spacing w:after="0" w:line="76" w:lineRule="exact"/>
        <w:rPr>
          <w:rFonts w:ascii="Arial" w:cs="Arial" w:eastAsia="Arial" w:hAnsi="Arial"/>
          <w:sz w:val="18"/>
          <w:szCs w:val="18"/>
          <w:color w:val="auto"/>
        </w:rPr>
      </w:pPr>
    </w:p>
    <w:p>
      <w:pPr>
        <w:ind w:left="880" w:hanging="373"/>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consideration of the cumulative effect of VASCEPA in studied patients; and</w:t>
      </w:r>
    </w:p>
    <w:p>
      <w:pPr>
        <w:spacing w:after="0" w:line="76"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103"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If regulatory authorities and medical guideline committees outside of the United States and the EU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198"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b w:val="1"/>
          <w:bCs w:val="1"/>
          <w:i w:val="1"/>
          <w:iCs w:val="1"/>
          <w:color w:val="auto"/>
        </w:rPr>
        <w:t>Ongoing clinical trials or new clinical data involving VASCEPA and similar moderate-to-high doses of eicosapentaenoic acid or icosapent ethyl could influence public perception of VASCEPA’s clinical profile and the commercial and regulatory prospects of VASCEPA.</w:t>
      </w:r>
    </w:p>
    <w:p>
      <w:pPr>
        <w:spacing w:after="0" w:line="70"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Ongoing trials of moderate-to-high doses of VASCEPA and icosapent ethyl or a similar, eicosapentaenoic acid, product could provide further information on the effects of VASCEPA and its commercial and regulatory prospects.</w:t>
      </w:r>
    </w:p>
    <w:p>
      <w:pPr>
        <w:spacing w:after="0" w:line="116"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For example, the Randomized Trial for Evaluation in Secondary Prevention Efficacy of Combination Therapy–Statin and EPA (RESPECT-EPA; UMIN Clinical Trials Registry number, UMIN000012069) is a study examining Japanese patients with chronic</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42" w:name="page43"/>
    <w:bookmarkEnd w:id="42"/>
    <w:p>
      <w:pPr>
        <w:ind w:right="60"/>
        <w:spacing w:after="0" w:line="257" w:lineRule="auto"/>
        <w:rPr>
          <w:sz w:val="20"/>
          <w:szCs w:val="20"/>
          <w:color w:val="auto"/>
        </w:rPr>
      </w:pPr>
      <w:r>
        <w:rPr>
          <w:rFonts w:ascii="Arial" w:cs="Arial" w:eastAsia="Arial" w:hAnsi="Arial"/>
          <w:sz w:val="18"/>
          <w:szCs w:val="18"/>
          <w:color w:val="auto"/>
        </w:rPr>
        <w:t>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2021, but could be announced sooner or, due to delay related to COVID-19 or otherwise, later.</w:t>
      </w:r>
    </w:p>
    <w:p>
      <w:pPr>
        <w:spacing w:after="0" w:line="134"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In November 2020, we announced statistically significant topline results from a Phase 3 clinical trial of VASCEPA, conducted by our partner in China, Edding, which investigated VASCEPA as a treatment for patients with very high triglycerides (≥500 mg/dL). Even though such results are similar to the results of the MARINE study, additional clinical development efforts may be necessary in this market to demonstrate the effectiveness of VASCEPA in reducing major adverse cardiovascular events in Chinese patients with persistent cardiovascular risk.</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have also funded investigational studies on the use of VASCEPA in the setting of COVID-19 infection. On December 12, 2020, we announced at the National Lipid Association Scientific Sessions 2020 positive clinical results from the CardioLink-9 Trial, the first results of a study of VASCEPA in COVID-19 infected outpatients. Results from the other investigational studies are expected over the next year.</w:t>
      </w:r>
    </w:p>
    <w:p>
      <w:pPr>
        <w:spacing w:after="0" w:line="130"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the outcomes of one or more of these studies do not meet expectations, the perception of existing clinical results of VASCEPA, such as MARINE or REDUCE-IT, or the perceived clinical profile and commercial value of VASCEPA and its regulatory status may suffer. If this occurs our revenue and business could suffer and our stock price could significantly decline.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current and planned commercialization efforts may not be successful in increasing sales of VASCEPA in the United States.</w:t>
      </w:r>
    </w:p>
    <w:p>
      <w:pPr>
        <w:spacing w:after="0" w:line="183"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It is estimated that over 25 million adults in the United States have elevated triglyceride levels ≥200 mg/dL and that more than 50 million adults in the United States have elevated triglyceride levels ≥150 mg/dL. Approximately two to three million adults in the United States have very high (≥500mg/dL) triglyceride levels, the MARINE patient population. There are approximately five to 15 million people in the United States who meet the specific REDUCE-IT inclusion criteria. Since 1976, mean triglyceride levels have increased in concert with the growing epidemic of obesity, insulin resistance, and type 2 diabetes mellitus. In contrast, mean LDL-C levels have decreased.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face-to-face customer interactions in a manner consistent with guidelines from local, state and government health officials in the United States. In the fourth quarter of 2020 and early 2021, the impact of COVID-19 worsened in much of the United States, with some physicians again limiting access to face-to-face interactions with our field force personnel. Accordingly, we have intentionally slowed the hiring of replacements for our open positions which resulted from ordinary turnover. As we witness our sales representatives increasingly able to resume direct interactions with healthcare professionals, we continually evaluate our needs and it is our intention to fill a significant number of these positions, provided such replacement is appropriate to meet our business needs. Thus, despite this significant expansion of our sales team, it is not large enough to call upon all physicians and we may not have sufficient sales personnel and resources to maximize the sales potential of VASCEPA.</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we are not successful in maintaining a sales force that is rightsized for our efforts to market and sell VASCEPA in the United States, our anticipated revenues or our expenses could be materially and negatively affected, and we may not obtain profitability, may need to cut back on research and development activities or implement other cost-containment measures, or we may need to raise additional funding that could result in substantial dilution or impose considerable restrictions on our business.</w:t>
      </w:r>
    </w:p>
    <w:p>
      <w:pPr>
        <w:spacing w:after="0" w:line="133" w:lineRule="exact"/>
        <w:rPr>
          <w:sz w:val="20"/>
          <w:szCs w:val="20"/>
          <w:color w:val="auto"/>
        </w:rPr>
      </w:pPr>
    </w:p>
    <w:p>
      <w:pPr>
        <w:ind w:right="20" w:firstLine="510"/>
        <w:spacing w:after="0" w:line="292" w:lineRule="auto"/>
        <w:rPr>
          <w:sz w:val="20"/>
          <w:szCs w:val="20"/>
          <w:color w:val="auto"/>
        </w:rPr>
      </w:pPr>
      <w:r>
        <w:rPr>
          <w:rFonts w:ascii="Arial" w:cs="Arial" w:eastAsia="Arial" w:hAnsi="Arial"/>
          <w:sz w:val="16"/>
          <w:szCs w:val="16"/>
          <w:color w:val="auto"/>
        </w:rPr>
        <w:t>Although substantially all of our sales force personnel have the ability to resume face-to-face customer interactions in a manner consistent with state and local guidance, given the dynamics related to COVID-19, there can be no assurance that we will be able to substantially resume or sustain our business efforts. While we have supplemented these face-to-face interactions with virtual outreach, these efforts may not be as successful as traditional, in-person interactions. Specifically, access to healthcare professionals through digital or other channels, may not be as productive as in-person interactions. In the United States, in July 2020 we launched our first ever direct-to- consumer promotional campaign regarding VASCEPA demonstrating results in lowering cardiovascular risk in patients with persistent cardiovascular risk in high risk patients. In September 2020, we launched a new, nationwide television advertisement in connection with our expanded promotional campaign which was further complemented by additional digital, point-of-care and other forms of healthcare professional and patient educational outreach. As the impact of COVID-19 on much of the United States worsened in the fourth quarter of 2020, we suspended television-based promotion of VASCEPA as we determined that the cost was not sufficiently justified in light of the COVID-19 pandemic on patient visits to doctors. We resumed a limited direct-to-consumer campaign in January 2021, including television-based promotion, digital and social media promotion to continue to grow consumer awareness of VASCEPA. There can be no assurance that such promotion will have the intended positive increase in patients asking their healthcare providers regarding VASCEPA or that prescription rates for VASCEPA will increase in the near future or at all from such promotion. Data on increased product usage from similar promotion of other products suggests that the impact of television-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based promotion can be positive and sustained but is rarely immediate in its effect. After assessing the scope, timing and pricing of generic competition, we may also decide to contract our VASCEPA promotional efforts.</w:t>
      </w:r>
    </w:p>
    <w:p>
      <w:pPr>
        <w:spacing w:after="0" w:line="116" w:lineRule="exact"/>
        <w:rPr>
          <w:sz w:val="20"/>
          <w:szCs w:val="20"/>
          <w:color w:val="auto"/>
        </w:rPr>
      </w:pPr>
    </w:p>
    <w:p>
      <w:pPr>
        <w:ind w:right="1160" w:firstLine="518"/>
        <w:spacing w:after="0" w:line="277" w:lineRule="auto"/>
        <w:tabs>
          <w:tab w:leader="none" w:pos="645"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have no experience in commercializing VASCEPA outside of the United States and may be unsuccessful in developing sales internationally.</w:t>
      </w:r>
    </w:p>
    <w:p>
      <w:pPr>
        <w:spacing w:after="0" w:line="116"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While we have been working internally and with partners to support efforts toward approvals and commercialization outside the United States in light of the REDUCE-IT results and the recent EC approval of VAZKEPA, we may be unsuccessful in expanding our global footprint. For example, we plan to launch VAZKEPA on our own in the most commercially significant markets in Europe. The commercial launch of a new pharmaceutical product is a complex and resource heavy undertaking for a company to manage, and we have no prior experience as a company operating a commercial-stage pharmaceutical business in Europe.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could inhibit our efforts to successfully commercialize VASCEPA include:</w:t>
      </w:r>
    </w:p>
    <w:p>
      <w:pPr>
        <w:spacing w:after="0" w:line="77" w:lineRule="exact"/>
        <w:rPr>
          <w:sz w:val="20"/>
          <w:szCs w:val="20"/>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the expiration of regulatory exclusivities and entry into the market of additional generic versions of VASCEPA;</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28"/>
        </w:numPr>
        <w:rPr>
          <w:rFonts w:ascii="Arial" w:cs="Arial" w:eastAsia="Arial" w:hAnsi="Arial"/>
          <w:sz w:val="19"/>
          <w:szCs w:val="19"/>
          <w:color w:val="auto"/>
        </w:rPr>
      </w:pPr>
      <w:r>
        <w:rPr>
          <w:rFonts w:ascii="Arial" w:cs="Arial" w:eastAsia="Arial" w:hAnsi="Arial"/>
          <w:sz w:val="16"/>
          <w:szCs w:val="16"/>
          <w:color w:val="auto"/>
        </w:rPr>
        <w:t>our inability to adequately train our sales and marketing personnel and our inability to adequately monitor compliance with these requirements;</w:t>
      </w:r>
    </w:p>
    <w:p>
      <w:pPr>
        <w:spacing w:after="0" w:line="69" w:lineRule="exact"/>
        <w:rPr>
          <w:rFonts w:ascii="Arial" w:cs="Arial" w:eastAsia="Arial" w:hAnsi="Arial"/>
          <w:sz w:val="19"/>
          <w:szCs w:val="19"/>
          <w:color w:val="auto"/>
        </w:rPr>
      </w:pPr>
    </w:p>
    <w:p>
      <w:pPr>
        <w:ind w:left="880" w:hanging="373"/>
        <w:spacing w:after="0"/>
        <w:tabs>
          <w:tab w:leader="none" w:pos="8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inability of our new sales personnel, to obtain access to or persuade adequate numbers of physicians to prescribe VASCEPA;</w:t>
      </w:r>
    </w:p>
    <w:p>
      <w:pPr>
        <w:spacing w:after="0" w:line="80" w:lineRule="exact"/>
        <w:rPr>
          <w:rFonts w:ascii="Arial" w:cs="Arial" w:eastAsia="Arial" w:hAnsi="Arial"/>
          <w:sz w:val="22"/>
          <w:szCs w:val="22"/>
          <w:color w:val="auto"/>
        </w:rPr>
      </w:pPr>
    </w:p>
    <w:p>
      <w:pPr>
        <w:ind w:left="880" w:right="340" w:hanging="373"/>
        <w:spacing w:after="0" w:line="293" w:lineRule="auto"/>
        <w:tabs>
          <w:tab w:leader="none" w:pos="880" w:val="left"/>
        </w:tabs>
        <w:numPr>
          <w:ilvl w:val="0"/>
          <w:numId w:val="28"/>
        </w:numPr>
        <w:rPr>
          <w:rFonts w:ascii="Arial" w:cs="Arial" w:eastAsia="Arial" w:hAnsi="Arial"/>
          <w:sz w:val="19"/>
          <w:szCs w:val="19"/>
          <w:color w:val="auto"/>
        </w:rPr>
      </w:pPr>
      <w:r>
        <w:rPr>
          <w:rFonts w:ascii="Arial" w:cs="Arial" w:eastAsia="Arial" w:hAnsi="Arial"/>
          <w:sz w:val="16"/>
          <w:szCs w:val="16"/>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8" w:lineRule="exact"/>
        <w:rPr>
          <w:rFonts w:ascii="Arial" w:cs="Arial" w:eastAsia="Arial" w:hAnsi="Arial"/>
          <w:sz w:val="19"/>
          <w:szCs w:val="19"/>
          <w:color w:val="auto"/>
        </w:rPr>
      </w:pPr>
    </w:p>
    <w:p>
      <w:pPr>
        <w:ind w:left="880" w:right="140" w:hanging="373"/>
        <w:spacing w:after="0" w:line="293" w:lineRule="auto"/>
        <w:tabs>
          <w:tab w:leader="none" w:pos="880" w:val="left"/>
        </w:tabs>
        <w:numPr>
          <w:ilvl w:val="0"/>
          <w:numId w:val="28"/>
        </w:numPr>
        <w:rPr>
          <w:rFonts w:ascii="Arial" w:cs="Arial" w:eastAsia="Arial" w:hAnsi="Arial"/>
          <w:sz w:val="19"/>
          <w:szCs w:val="19"/>
          <w:color w:val="auto"/>
        </w:rPr>
      </w:pPr>
      <w:r>
        <w:rPr>
          <w:rFonts w:ascii="Arial" w:cs="Arial" w:eastAsia="Arial" w:hAnsi="Arial"/>
          <w:sz w:val="16"/>
          <w:szCs w:val="16"/>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8" w:lineRule="exact"/>
        <w:rPr>
          <w:rFonts w:ascii="Arial" w:cs="Arial" w:eastAsia="Arial" w:hAnsi="Arial"/>
          <w:sz w:val="19"/>
          <w:szCs w:val="19"/>
          <w:color w:val="auto"/>
        </w:rPr>
      </w:pPr>
    </w:p>
    <w:p>
      <w:pPr>
        <w:ind w:left="880" w:hanging="373"/>
        <w:spacing w:after="0"/>
        <w:tabs>
          <w:tab w:leader="none" w:pos="880" w:val="left"/>
        </w:tabs>
        <w:numPr>
          <w:ilvl w:val="0"/>
          <w:numId w:val="28"/>
        </w:numPr>
        <w:rPr>
          <w:rFonts w:ascii="Arial" w:cs="Arial" w:eastAsia="Arial" w:hAnsi="Arial"/>
          <w:sz w:val="19"/>
          <w:szCs w:val="19"/>
          <w:color w:val="auto"/>
        </w:rPr>
      </w:pPr>
      <w:r>
        <w:rPr>
          <w:rFonts w:ascii="Arial" w:cs="Arial" w:eastAsia="Arial" w:hAnsi="Arial"/>
          <w:sz w:val="16"/>
          <w:szCs w:val="16"/>
          <w:color w:val="auto"/>
        </w:rPr>
        <w:t>if we have overestimated the addressable market or are unable to convince healthcare providers to prescribe, or if patients are unwilling to use,</w:t>
      </w:r>
    </w:p>
    <w:p>
      <w:pPr>
        <w:spacing w:after="0" w:line="13"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18"/>
          <w:szCs w:val="18"/>
          <w:color w:val="auto"/>
        </w:rPr>
        <w:t>VASCEPA;</w:t>
      </w:r>
    </w:p>
    <w:p>
      <w:pPr>
        <w:spacing w:after="0" w:line="60" w:lineRule="exact"/>
        <w:rPr>
          <w:rFonts w:ascii="Arial" w:cs="Arial" w:eastAsia="Arial" w:hAnsi="Arial"/>
          <w:sz w:val="19"/>
          <w:szCs w:val="19"/>
          <w:color w:val="auto"/>
        </w:rPr>
      </w:pPr>
    </w:p>
    <w:p>
      <w:pPr>
        <w:ind w:left="880" w:right="300" w:hanging="373"/>
        <w:spacing w:after="0" w:line="232" w:lineRule="auto"/>
        <w:tabs>
          <w:tab w:leader="none" w:pos="8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43" w:lineRule="exact"/>
        <w:rPr>
          <w:rFonts w:ascii="Arial" w:cs="Arial" w:eastAsia="Arial" w:hAnsi="Arial"/>
          <w:sz w:val="22"/>
          <w:szCs w:val="22"/>
          <w:color w:val="auto"/>
        </w:rPr>
      </w:pPr>
    </w:p>
    <w:p>
      <w:pPr>
        <w:ind w:left="880" w:hanging="373"/>
        <w:spacing w:after="0"/>
        <w:tabs>
          <w:tab w:leader="none" w:pos="880" w:val="left"/>
        </w:tabs>
        <w:numPr>
          <w:ilvl w:val="0"/>
          <w:numId w:val="28"/>
        </w:numPr>
        <w:rPr>
          <w:rFonts w:ascii="Arial" w:cs="Arial" w:eastAsia="Arial" w:hAnsi="Arial"/>
          <w:sz w:val="21"/>
          <w:szCs w:val="21"/>
          <w:color w:val="auto"/>
        </w:rPr>
      </w:pPr>
      <w:r>
        <w:rPr>
          <w:rFonts w:ascii="Arial" w:cs="Arial" w:eastAsia="Arial" w:hAnsi="Arial"/>
          <w:sz w:val="17"/>
          <w:szCs w:val="17"/>
          <w:color w:val="auto"/>
        </w:rPr>
        <w:t>an inability by us or our partners to obtain regulatory and marketing approval or establish marketing channels in foreign jurisdictions;</w:t>
      </w:r>
    </w:p>
    <w:p>
      <w:pPr>
        <w:spacing w:after="0" w:line="57" w:lineRule="exact"/>
        <w:rPr>
          <w:rFonts w:ascii="Arial" w:cs="Arial" w:eastAsia="Arial" w:hAnsi="Arial"/>
          <w:sz w:val="21"/>
          <w:szCs w:val="21"/>
          <w:color w:val="auto"/>
        </w:rPr>
      </w:pPr>
    </w:p>
    <w:p>
      <w:pPr>
        <w:ind w:left="880" w:hanging="373"/>
        <w:spacing w:after="0"/>
        <w:tabs>
          <w:tab w:leader="none" w:pos="880" w:val="left"/>
        </w:tabs>
        <w:numPr>
          <w:ilvl w:val="0"/>
          <w:numId w:val="28"/>
        </w:numPr>
        <w:rPr>
          <w:rFonts w:ascii="Arial" w:cs="Arial" w:eastAsia="Arial" w:hAnsi="Arial"/>
          <w:sz w:val="22"/>
          <w:szCs w:val="22"/>
          <w:color w:val="auto"/>
        </w:rPr>
      </w:pPr>
      <w:r>
        <w:rPr>
          <w:rFonts w:ascii="Arial" w:cs="Arial" w:eastAsia="Arial" w:hAnsi="Arial"/>
          <w:sz w:val="18"/>
          <w:szCs w:val="18"/>
          <w:color w:val="auto"/>
        </w:rPr>
        <w:t>unforeseen costs and expenses associated with operating a new independent sales and marketing organization; and</w:t>
      </w:r>
    </w:p>
    <w:p>
      <w:pPr>
        <w:spacing w:after="0" w:line="80" w:lineRule="exact"/>
        <w:rPr>
          <w:rFonts w:ascii="Arial" w:cs="Arial" w:eastAsia="Arial" w:hAnsi="Arial"/>
          <w:sz w:val="22"/>
          <w:szCs w:val="22"/>
          <w:color w:val="auto"/>
        </w:rPr>
      </w:pPr>
    </w:p>
    <w:p>
      <w:pPr>
        <w:ind w:left="880" w:right="180" w:hanging="373"/>
        <w:spacing w:after="0" w:line="297" w:lineRule="auto"/>
        <w:tabs>
          <w:tab w:leader="none" w:pos="880" w:val="left"/>
        </w:tabs>
        <w:numPr>
          <w:ilvl w:val="0"/>
          <w:numId w:val="28"/>
        </w:numPr>
        <w:rPr>
          <w:rFonts w:ascii="Arial" w:cs="Arial" w:eastAsia="Arial" w:hAnsi="Arial"/>
          <w:sz w:val="19"/>
          <w:szCs w:val="19"/>
          <w:color w:val="auto"/>
        </w:rPr>
      </w:pPr>
      <w:r>
        <w:rPr>
          <w:rFonts w:ascii="Arial" w:cs="Arial" w:eastAsia="Arial" w:hAnsi="Arial"/>
          <w:sz w:val="16"/>
          <w:szCs w:val="16"/>
          <w:color w:val="auto"/>
        </w:rPr>
        <w:t>the impact from COVID-19 on healthcare providers, patients and personnel which may vary considerably from jurisdiction to jurisdiction, as well as on local restrictions and practices, including the complexities of having to understand and navigate multiple sets of protocols.</w:t>
      </w:r>
    </w:p>
    <w:p>
      <w:pPr>
        <w:spacing w:after="0" w:line="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 Our promotion of VASCEPA is subject to regulatory scrutiny and associated risk generally.</w:t>
      </w:r>
    </w:p>
    <w:p>
      <w:pPr>
        <w:spacing w:after="0" w:line="17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False Claims Act. However, case law over the last several years has called into question the extent to which government in the United States, including the U.S. FDA, can, and is willing to seek to, prevent truthful and non-misleading speech related to off-label uses of U.S. FDA-approved products such as VASCEPA.</w:t>
      </w:r>
    </w:p>
    <w:p>
      <w:pPr>
        <w:spacing w:after="0" w:line="13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May 2015, we and a group of independent physicians filed a lawsuit against the U.S.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at the time but was not approved by the U.S. FDA and was thus not covered by then U.S. FDA-approved labeling for the drug. Promotion of an off-label use has generally been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44" w:name="page45"/>
    <w:bookmarkEnd w:id="44"/>
    <w:p>
      <w:pPr>
        <w:ind w:right="20"/>
        <w:spacing w:after="0" w:line="290" w:lineRule="auto"/>
        <w:rPr>
          <w:sz w:val="20"/>
          <w:szCs w:val="20"/>
          <w:color w:val="auto"/>
        </w:rPr>
      </w:pPr>
      <w:r>
        <w:rPr>
          <w:rFonts w:ascii="Arial" w:cs="Arial" w:eastAsia="Arial" w:hAnsi="Arial"/>
          <w:sz w:val="16"/>
          <w:szCs w:val="16"/>
          <w:color w:val="auto"/>
        </w:rPr>
        <w:t xml:space="preserve">considered by the U.S. FDA to be illegal under the FDCA. The lawsuit, captioned </w:t>
      </w:r>
      <w:r>
        <w:rPr>
          <w:rFonts w:ascii="Arial" w:cs="Arial" w:eastAsia="Arial" w:hAnsi="Arial"/>
          <w:sz w:val="16"/>
          <w:szCs w:val="16"/>
          <w:i w:val="1"/>
          <w:iCs w:val="1"/>
          <w:color w:val="auto"/>
        </w:rPr>
        <w:t>Amarin Pharma, Inc., et al. v. Food &amp; Drug Administration, et al.</w:t>
      </w:r>
      <w:r>
        <w:rPr>
          <w:rFonts w:ascii="Arial" w:cs="Arial" w:eastAsia="Arial" w:hAnsi="Arial"/>
          <w:sz w:val="16"/>
          <w:szCs w:val="16"/>
          <w:color w:val="auto"/>
        </w:rPr>
        <w:t>, 119 F. Supp. 3d 196 (S.D.N.Y. 2015), was filed in the United States District Court for the Southern District of New York. In the lawsuit, we contended principally that U.S.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U.S. FDA opposed this lawsuit but did not dispute the veracity of the subject ANCHOR clinical trial data (the safety data from which was already and currently is in U.S. FDA-approved labeling of VASCEPA) or the peer-reviewed research related to VASCEPA and the potential for cardiovascular risk reduction.</w:t>
      </w:r>
    </w:p>
    <w:p>
      <w:pPr>
        <w:spacing w:after="0" w:line="11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U.S. FDA did not appeal the court’s ruling. In March 2016, we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28"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in a manner that we believe is truthful and non-misleading and thus protected under the freedom of speech clause of the First Amendment to the United States Constitution.</w:t>
      </w:r>
    </w:p>
    <w:p>
      <w:pPr>
        <w:spacing w:after="0" w:line="10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Promotional activities in the biotechnology and pharmaceutical industries generally are subject to considerable regulatory scrutiny and, even though we have the benefit of a final settlement in this litigation, our efforts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12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False Claims Act in relation to the sale and marketing of VASCEPA by us and our previous co-marketing partner, Kowa Pharmaceuticals America, Inc. Similarly, in March 2021, the United States Federal Trade Commission, or the FTC, issued a CID to us in connection with the FTC’s investigation of whether we have engaged in, or are engaging in, anticompetitive practices or unfair methods of competition relating to VASCEPA. The CIDs require us to produce documents and answer written questions, or interrogatories, relevant to specified time periods. We are cooperating with the DOJ and FTC, respectively.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Anti-Kickback Statute and False Claims Act or antitrust regulations, we could be subject to significant civil and criminal fines and penalties.</w:t>
      </w:r>
    </w:p>
    <w:p>
      <w:pPr>
        <w:spacing w:after="0" w:line="131" w:lineRule="exact"/>
        <w:rPr>
          <w:sz w:val="20"/>
          <w:szCs w:val="20"/>
          <w:color w:val="auto"/>
        </w:rPr>
      </w:pPr>
    </w:p>
    <w:p>
      <w:pPr>
        <w:ind w:right="360" w:firstLine="510"/>
        <w:spacing w:after="0" w:line="296" w:lineRule="auto"/>
        <w:rPr>
          <w:sz w:val="20"/>
          <w:szCs w:val="20"/>
          <w:color w:val="auto"/>
        </w:rPr>
      </w:pPr>
      <w:r>
        <w:rPr>
          <w:rFonts w:ascii="Arial" w:cs="Arial" w:eastAsia="Arial" w:hAnsi="Arial"/>
          <w:sz w:val="16"/>
          <w:szCs w:val="16"/>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5" w:name="page46"/>
    <w:bookmarkEnd w:id="45"/>
    <w:p>
      <w:pPr>
        <w:ind w:left="52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71"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23"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Our competitors both in the United States and abroad include large, well-established pharmaceutical and generic companies, specialty and generic pharmaceutical sales and marketing companies, and specialized cardiovascular treatment companies. With a generic version of VASCEPA launched by Hikma in November 2020 and further generic versions anticipated, it may not be viable for us to invest in market education to grow the United States market and our ability to maintain current promotional efforts and attract favorable commercial terms in several aspects of our business will likely be adversely affected as we face increased generic competition, or if we launch our own generic version of VASCEPA.</w:t>
      </w:r>
    </w:p>
    <w:p>
      <w:pPr>
        <w:spacing w:after="0" w:line="12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GlaxoSmithKline plc currently sells Lovaza</w:t>
      </w:r>
      <w:r>
        <w:rPr>
          <w:rFonts w:ascii="Arial" w:cs="Arial" w:eastAsia="Arial" w:hAnsi="Arial"/>
          <w:sz w:val="15"/>
          <w:szCs w:val="15"/>
          <w:color w:val="auto"/>
        </w:rPr>
        <w:t>®</w:t>
      </w:r>
      <w:r>
        <w:rPr>
          <w:rFonts w:ascii="Arial" w:cs="Arial" w:eastAsia="Arial" w:hAnsi="Arial"/>
          <w:sz w:val="18"/>
          <w:szCs w:val="18"/>
          <w:color w:val="auto"/>
        </w:rPr>
        <w:t>, a prescription-only omega-3 fatty acid indicated for patients with severe hypertriglyceridemia, which was approved by U.S.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15"/>
          <w:szCs w:val="15"/>
          <w:color w:val="auto"/>
        </w:rPr>
        <w:t>®</w:t>
      </w:r>
      <w:r>
        <w:rPr>
          <w:rFonts w:ascii="Arial" w:cs="Arial" w:eastAsia="Arial" w:hAnsi="Arial"/>
          <w:sz w:val="18"/>
          <w:szCs w:val="18"/>
          <w:color w:val="auto"/>
        </w:rPr>
        <w:t xml:space="preserve"> and Trilipix</w:t>
      </w:r>
      <w:r>
        <w:rPr>
          <w:rFonts w:ascii="Arial" w:cs="Arial" w:eastAsia="Arial" w:hAnsi="Arial"/>
          <w:sz w:val="15"/>
          <w:szCs w:val="15"/>
          <w:color w:val="auto"/>
        </w:rPr>
        <w:t>®</w:t>
      </w:r>
      <w:r>
        <w:rPr>
          <w:rFonts w:ascii="Arial" w:cs="Arial" w:eastAsia="Arial" w:hAnsi="Arial"/>
          <w:sz w:val="18"/>
          <w:szCs w:val="18"/>
          <w:color w:val="auto"/>
        </w:rPr>
        <w:t xml:space="preserve"> for the treatment of severe hypertriglyceridemia and Niaspan</w:t>
      </w:r>
      <w:r>
        <w:rPr>
          <w:rFonts w:ascii="Arial" w:cs="Arial" w:eastAsia="Arial" w:hAnsi="Arial"/>
          <w:sz w:val="15"/>
          <w:szCs w:val="15"/>
          <w:color w:val="auto"/>
        </w:rPr>
        <w:t>®</w:t>
      </w:r>
      <w:r>
        <w:rPr>
          <w:rFonts w:ascii="Arial" w:cs="Arial" w:eastAsia="Arial" w:hAnsi="Arial"/>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U.S. FDA-approved indicated uses, even though such products do not have U.S. FDA approval to reduce CV risk on top of statin therapy.</w:t>
      </w:r>
    </w:p>
    <w:p>
      <w:pPr>
        <w:spacing w:after="0" w:line="14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In addition, in May 2014, Epanova</w:t>
      </w:r>
      <w:r>
        <w:rPr>
          <w:rFonts w:ascii="Arial" w:cs="Arial" w:eastAsia="Arial" w:hAnsi="Arial"/>
          <w:sz w:val="13"/>
          <w:szCs w:val="13"/>
          <w:color w:val="auto"/>
        </w:rPr>
        <w:t>®</w:t>
      </w:r>
      <w:r>
        <w:rPr>
          <w:rFonts w:ascii="Arial" w:cs="Arial" w:eastAsia="Arial" w:hAnsi="Arial"/>
          <w:sz w:val="16"/>
          <w:szCs w:val="16"/>
          <w:color w:val="auto"/>
        </w:rPr>
        <w:t xml:space="preserve"> (omega-3-carboxylic acids) capsules, a free fatty acid form of omega-3 (comprised of 55% EPA and 20% DHA), was approved by the U.S. FDA for patients with severe hypertriglyceridemia. Epanova was developed by Omthera Pharmaceuticals, Inc., and is now owned by AstraZeneca Pharmaceuticals LP, or AstraZeneca. Also, in April 2014, Omtryg, another omega-3-acid fatty acid composition developed by Trygg Pharma AS, received U.S. FDA approval for severe hypertriglyceridemia. Neither Epanova nor Omtryg have been commercially launched, but could launch at any time. AstraZeneca has greater resources than we do, including financial, product development, marketing, personnel and other resources.</w:t>
      </w:r>
    </w:p>
    <w:p>
      <w:pPr>
        <w:spacing w:after="0" w:line="107"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AstraZeneca conducted a long-term outcomes study to assess Statin Residual Risk Reduction With EpaNova in HiGh Cardiovascular Risk PatienTs With Hypertriglyceridemia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American Heart Association’s Scientific Sessions in November 2020, confirming that Epanova failed to meet the primary endpoint of CV risk reduction.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1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During 2018, two outcomes studies were completed of omega-3 mixtures which both failed to achieve their primary endpoints of cardiovascular risk reduction and two meta-analyses were published showing that omega-3 mixtures of both EPA and DHA are not effective in lowering 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13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Likewise, in 2018, results from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UK cohort of over 15,000 individuals with diabetes who do not have atherosclerotic cardiovascular disease. In 2020, an additional Nordic trial known as OMEMI failed to demonstrate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ind w:right="180"/>
        <w:spacing w:after="0" w:line="273" w:lineRule="auto"/>
        <w:rPr>
          <w:sz w:val="20"/>
          <w:szCs w:val="20"/>
          <w:color w:val="auto"/>
        </w:rPr>
      </w:pPr>
      <w:r>
        <w:rPr>
          <w:rFonts w:ascii="Arial" w:cs="Arial" w:eastAsia="Arial" w:hAnsi="Arial"/>
          <w:sz w:val="17"/>
          <w:szCs w:val="17"/>
          <w:color w:val="auto"/>
        </w:rPr>
        <w:t>reduction in cardiovascular events with an omega-3 fatty acid mixture. OMEMI, an investigator-initiated, multi-center, randomized clinical trial, was designed to evaluate the effects of daily treatment with omega-3 fatty acids compared with placebo among elderly patients (ages 70-82) with recent myocardial infarction. Patients received 1.8 g omega-3 fatty acids (930 mg EPA and 660 mg DHA) or placebo (corn oil) daily added to standard of care. Results presented in November 2020 at the American Heart Association’s Scientific Sessions showed no significant differences in cardiovascular events between the treatment groups for the composite primary endpoint (non-fatal MI, unscheduled revascularization, stroke, hospitalization for heart failure or all-cause mortality), nor for the individual components of this endpoint after 2 years.</w:t>
      </w:r>
    </w:p>
    <w:p>
      <w:pPr>
        <w:spacing w:after="0" w:line="124"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14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are also aware of other pharmaceutical companies that are developing products that, if successfully developed, approved and marketed, would compete with VASCEPA. It is not fully clear at this time what the impact of COVID-19 will be on each of these programs.</w:t>
      </w:r>
    </w:p>
    <w:p>
      <w:pPr>
        <w:spacing w:after="0" w:line="116"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34"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Matinas BioPharma, Inc., or Matinas, is developing an omega-3-based therapeutic, MAT9001, for the treatment of severe hypertriglyceridemia and mixed dyslipidemia. In the fourth quarter of 2014 Matinas filed an IND with the U.S.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U.S.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March 2020, Matinas announced that it completed the clinical dosing for a comparative clinical bridging bioavailability study and the in-life portion of a 90-day comparative toxicology study.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In the first quarter of 2021, Matinas announced topline results from the ENHANCE-IT study, stating that LYPDISO, or MAT9001, did not meet statistical significance over VASCEPA on the primary endpoint of percent change from baseline to end of treatment in triglycerides in the pharmacodynamic, or PD, population. A key secondary endpoint in ENHANCE-IT was the measurement of eicosapentaenoic acid levels in the blood, which is regarded as a key surrogate marker in determining cardiovascular risk reduction. In ENHANCE-IT, plasma EPA concentrations were significantly higher with LYPDISO vs. VASCEPA (46% relative percent increase in the change from baseline EPA level vs VASCEPA). Matinas stated that the results from ENHANCE-IT suggest tpotential for LYPDISO as a drug for cardiovascular risk reduction and announced that it is pursuing external partnerships to further develop LYPDISO for cardiovascular outcomes indication. As a result, Matinas no longer plans to pursue an indication for the treatment of sever hypertriglyceridemia, instead focusing on the broader cardiovascular risk reduction indication.</w:t>
      </w:r>
    </w:p>
    <w:p>
      <w:pPr>
        <w:spacing w:after="0" w:line="134"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In June 2018, NeuroBo Pharmaceuticals, Inc. (then-named Gemphire Therapeutics) announced positive topline results from a Phase 2b trial (INDIGO-1) of its drug candidate, gemcabene, in patients with severe hypertriglyceridemia. Gemcabene is an oral, once-daily pill for a number of hypercholesterolemic populations and severe hypertriglyceridemia. In August 2018, the U.S. FDA requested that Gemphire conduct an additional long-term toxicity study before commencing any further clinical testing, thereby effectively placing gemcabene on clinical hold. In March 2020 NeuroBo announced the completion of the requested studies, and in May 2020 the company announced that it received written communication from the U.S. FDA that the clinical development program for Gemcabene remains on partial clinical hold. In June 2019, Gemphire announced top-line clinical results from a Phase 2 trial in Familial Partial Lipodystrophy (FPL)/NASH in which Gemcabene safely met the primary endpoint in a sub-set of patients. Phase 3 studies for homozygous familial hypercholesterol emia (HoFH), heterozygous familial hypercholesterolemia (HeFH) and non-familial hypercholesterolemia in ASCVD patients are planned.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7" w:name="page48"/>
    <w:bookmarkEnd w:id="47"/>
    <w:p>
      <w:pPr>
        <w:ind w:firstLine="510"/>
        <w:spacing w:after="0" w:line="269" w:lineRule="auto"/>
        <w:rPr>
          <w:sz w:val="20"/>
          <w:szCs w:val="20"/>
          <w:color w:val="auto"/>
        </w:rPr>
      </w:pPr>
      <w:r>
        <w:rPr>
          <w:rFonts w:ascii="Arial" w:cs="Arial" w:eastAsia="Arial" w:hAnsi="Arial"/>
          <w:sz w:val="17"/>
          <w:szCs w:val="17"/>
          <w:color w:val="auto"/>
        </w:rPr>
        <w:t>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 In August 2020, Afimmune reported Ph2a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 Phase IIb study of epeleuton in patients with high triglycerides and type 2 diabetes to assess the safety and efficacy of orally administered epeleuton capsules vs placebo in the treatment of hypertriglyceridemia and type 2 diabetes. Results are expected in the fourth quarter of 2021.</w:t>
      </w:r>
    </w:p>
    <w:p>
      <w:pPr>
        <w:spacing w:after="0" w:line="131"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Based on prior communications from the U.S. FDA, including communications in connection with its review of the ANCHOR indication for VASCEPA, it is our understanding that the U.S. FDA is not prepared to approve any therapy for treatment of cardiovascular risk based on biomarker modification without cardiovascular outcomes study data, with the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127"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VASCEPA also faces competition from dietary supplement manufacturers marketing omega-3 products as nutritional supplements. Such products are classified as food, not as prescription drugs or as over-the-counter drugs, by the U.S.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We have taken successful legal action against supplement manufacturers attempting to use the REDUCE-IT results to promote their products. Still,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112"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In March 2021, we announced that the EC has approved the marketing authorization application for VAZKEPA to reduce the risk of cardiovascular events in certain high-risk, statin treated adult patients. With the approval by the EC of VAZKEPA, there is currently no other drug that is approved for cardiovascular risk reduction in Europe in the at-risk patient population studied in REDUCE-IT. In addition, there is currently no other direct competition for Canada and the Middle East. However, consistent with the U.S., our competitors include large, well-established pharmaceutical companies, specialty and generic pharmaceutical companies, marketing companies, and specialized cardiovascular treatment companies.</w:t>
      </w:r>
    </w:p>
    <w:p>
      <w:pPr>
        <w:spacing w:after="0" w:line="10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Arial" w:cs="Arial" w:eastAsia="Arial" w:hAnsi="Arial"/>
          <w:sz w:val="15"/>
          <w:szCs w:val="15"/>
          <w:color w:val="auto"/>
        </w:rPr>
        <w:t>®</w:t>
      </w:r>
      <w:r>
        <w:rPr>
          <w:rFonts w:ascii="Arial" w:cs="Arial" w:eastAsia="Arial" w:hAnsi="Arial"/>
          <w:sz w:val="18"/>
          <w:szCs w:val="18"/>
          <w:color w:val="auto"/>
        </w:rPr>
        <w:t>/Omacor</w:t>
      </w:r>
      <w:r>
        <w:rPr>
          <w:rFonts w:ascii="Arial" w:cs="Arial" w:eastAsia="Arial" w:hAnsi="Arial"/>
          <w:sz w:val="15"/>
          <w:szCs w:val="15"/>
          <w:color w:val="auto"/>
        </w:rPr>
        <w:t>®</w:t>
      </w:r>
      <w:r>
        <w:rPr>
          <w:rFonts w:ascii="Arial" w:cs="Arial" w:eastAsia="Arial" w:hAnsi="Arial"/>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VAZKEPA also faces competition from dietary supplement manufacturers marketing omega-3 productions as nutritional supplements.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Europe, such products are classified as food, not as prescription drugs or as over-the-counter drugs.</w:t>
      </w:r>
    </w:p>
    <w:p>
      <w:pPr>
        <w:spacing w:after="0" w:line="224" w:lineRule="exact"/>
        <w:rPr>
          <w:sz w:val="20"/>
          <w:szCs w:val="20"/>
          <w:color w:val="auto"/>
        </w:rPr>
      </w:pPr>
    </w:p>
    <w:p>
      <w:pPr>
        <w:ind w:right="760" w:firstLine="510"/>
        <w:spacing w:after="0" w:line="277" w:lineRule="auto"/>
        <w:rPr>
          <w:sz w:val="20"/>
          <w:szCs w:val="20"/>
          <w:color w:val="auto"/>
        </w:rPr>
      </w:pPr>
      <w:r>
        <w:rPr>
          <w:rFonts w:ascii="Arial" w:cs="Arial" w:eastAsia="Arial" w:hAnsi="Arial"/>
          <w:sz w:val="18"/>
          <w:szCs w:val="18"/>
          <w:b w:val="1"/>
          <w:bCs w:val="1"/>
          <w:i w:val="1"/>
          <w:iCs w:val="1"/>
          <w:color w:val="auto"/>
        </w:rPr>
        <w:t>As generic company competitors seek to compete with copies of VASCEPA in the United States and elsewhere we could face additional challenges to our patents and additional patent litigation.</w:t>
      </w:r>
    </w:p>
    <w:p>
      <w:pPr>
        <w:spacing w:after="0" w:line="116" w:lineRule="exact"/>
        <w:rPr>
          <w:sz w:val="20"/>
          <w:szCs w:val="20"/>
          <w:color w:val="auto"/>
        </w:rPr>
      </w:pPr>
    </w:p>
    <w:p>
      <w:pPr>
        <w:jc w:val="both"/>
        <w:ind w:right="40" w:firstLine="510"/>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48" w:name="page49"/>
    <w:bookmarkEnd w:id="48"/>
    <w:p>
      <w:pPr>
        <w:ind w:right="40" w:firstLine="510"/>
        <w:spacing w:after="0" w:line="272" w:lineRule="auto"/>
        <w:rPr>
          <w:sz w:val="20"/>
          <w:szCs w:val="20"/>
          <w:color w:val="auto"/>
        </w:rPr>
      </w:pPr>
      <w:r>
        <w:rPr>
          <w:rFonts w:ascii="Arial" w:cs="Arial" w:eastAsia="Arial" w:hAnsi="Arial"/>
          <w:sz w:val="17"/>
          <w:szCs w:val="17"/>
          <w:color w:val="auto"/>
        </w:rPr>
        <w:t>As an alternate path to U.S. FDA approval for modifications of products previously approved by the U.S.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 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123"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38" w:lineRule="exact"/>
        <w:rPr>
          <w:sz w:val="20"/>
          <w:szCs w:val="20"/>
          <w:color w:val="auto"/>
        </w:rPr>
      </w:pPr>
    </w:p>
    <w:p>
      <w:pPr>
        <w:ind w:left="880" w:hanging="373"/>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there is no patent information listed for the reference drug;</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27" w:lineRule="exact"/>
        <w:rPr>
          <w:sz w:val="20"/>
          <w:szCs w:val="20"/>
          <w:color w:val="auto"/>
        </w:rPr>
      </w:pPr>
    </w:p>
    <w:p>
      <w:pPr>
        <w:ind w:left="880" w:right="440" w:hanging="377"/>
        <w:spacing w:after="0" w:line="277" w:lineRule="auto"/>
        <w:rPr>
          <w:sz w:val="20"/>
          <w:szCs w:val="20"/>
          <w:color w:val="auto"/>
        </w:rPr>
      </w:pPr>
      <w:r>
        <w:rPr>
          <w:rFonts w:ascii="Arial" w:cs="Arial" w:eastAsia="Arial" w:hAnsi="Arial"/>
          <w:sz w:val="18"/>
          <w:szCs w:val="18"/>
          <w:color w:val="auto"/>
        </w:rPr>
        <w:t>(IV) the listed patent for the reference drug is invalid, unenforceable, or will not be infringed by the manufacture, use or sale of the product for which the ANDA or 505(b)(2) NDA is submitted.</w:t>
      </w:r>
    </w:p>
    <w:p>
      <w:pPr>
        <w:spacing w:after="0" w:line="11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13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12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unless otherwise agreed,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December 13, 2022, three years from the date of U.S. FDA approval of the REDUCE-IT sNDA. While this three-year exclusivity would generally prevent such an approval based on our REDUCE-IT indication during such time, it does not preclude tentative or final approval of an ANDA based on our MARINE indication. The U.S.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U.S. FDA from approving an NDA that relies only on its own data to support the change or innovation. Regulatory exclusivity is in addition to exclusivity afforded by issued patents related to VASCEPA.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9" w:name="page50"/>
    <w:bookmarkEnd w:id="49"/>
    <w:p>
      <w:pPr>
        <w:ind w:right="60" w:firstLine="510"/>
        <w:spacing w:after="0" w:line="257" w:lineRule="auto"/>
        <w:rPr>
          <w:sz w:val="20"/>
          <w:szCs w:val="20"/>
          <w:color w:val="auto"/>
        </w:rPr>
      </w:pPr>
      <w:r>
        <w:rPr>
          <w:rFonts w:ascii="Arial" w:cs="Arial" w:eastAsia="Arial" w:hAnsi="Arial"/>
          <w:sz w:val="18"/>
          <w:szCs w:val="18"/>
          <w:color w:val="auto"/>
        </w:rPr>
        <w:t>We may also face challenges to the validity of our patents through a procedure known as inter partes review. Inter partes review is a trial proceeding conducted through the Patent Trial and Appeal Board, of the U.S. Patent and Trademark Office.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34"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intend to vigorously enforce our intellectual property rights relating to VASCEPA, but we cannot predict the outcome of the pending lawsuits, any appeals, or any subsequently filed lawsuits or inter partes review.</w:t>
      </w:r>
    </w:p>
    <w:p>
      <w:pPr>
        <w:spacing w:after="0" w:line="11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134"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Generic versions of VASCEPA made available in the market, even if based on a MARINE indication only are often used to fill a prescription for any intended use of the drug. If any approved ANDA filers are able to supply the product in significant commercial quantities, generic companies could introduce generic versions of VASCEPA in the market, as Hikma did in November 2020, although on a limited scale.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10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reputation of VASCEPA or the perceived value of our company and our stock price. For example, our stock price suffered a significant decline following our announcement of the Nevada Court’s ruling in favor of the Defendants and the Federal Circuit ruling upholding the Nevada Court’s ruling.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limiting the extent of market growth and potentially contracting the overall size of the realized market penetration such that, while an authorized generic could be profitable the market opportunity for growth from an authorized generic is likely less than from promotion of a branded drug and we have not launched an authorized generic version of VASCEPA.</w:t>
      </w:r>
    </w:p>
    <w:p>
      <w:pPr>
        <w:spacing w:after="0" w:line="128" w:lineRule="exact"/>
        <w:rPr>
          <w:sz w:val="20"/>
          <w:szCs w:val="20"/>
          <w:color w:val="auto"/>
        </w:rPr>
      </w:pPr>
    </w:p>
    <w:p>
      <w:pPr>
        <w:ind w:right="280" w:firstLine="518"/>
        <w:spacing w:after="0" w:line="255" w:lineRule="auto"/>
        <w:tabs>
          <w:tab w:leader="none" w:pos="645"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active pharmaceutical ingredient in VASCEPA is difficult and time consuming to manufacture, often requires considerable advanced planning and long-term financial commitments to ensure sufficient capacity is available when needed and, perhaps not surprisingly, is reportedly in short supply to our generic competitors, one of which has filed a lawsuit against us claiming we have engaged in anticompetitive practices related to our building of adequate supply for our needs and, in activities we believe were prompted by the generic competitor, government agencies are investigating our business as it relates to the supply of the active pharmaceutical ingredient in VASCEPA. This dynamic could interfere with our business plans.</w:t>
      </w:r>
    </w:p>
    <w:p>
      <w:pPr>
        <w:spacing w:after="0" w:line="138"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The active pharmaceutical ingredient in VASCEPA is difficult and time consuming to manufacture, often requires considerable advanced planning and long-term financial commitments to ensure sufficient capacity is available when needed. We have invested over a decade to develop with individual members of our third-party, active pharmaceutical ingredient supply chain the technical knowhow, manufacturing processes and related regulatory approvals that have helped enable our suppliers to supply our clinical and commercial needs globally. Based on statements made by Hikma and Dr. Reddy’s, the active pharmaceutical ingredient of VASCEPA needed to manufacture their generic versions of VASCEPA is in short supply to them. We believe this may be due to their lack of adequate planning, knowhow and expertise regarding this fragile active ingredient.</w:t>
      </w:r>
    </w:p>
    <w:p>
      <w:pPr>
        <w:spacing w:after="0" w:line="110"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As has been a practice in the generic pharmaceutical industry, on April 27, 2021, Dr. Reddy’s filed a complaint against us in the United States District Court District of New Jersey (case no. 2:21-cv-10309) alleging various antitrust violations stemming from alleged anticompetitive practices related to the supply of active pharmaceutical ingredient of VASCEPA. Damages sought include recovery for alleged economic harm to Dr. Reddy’s, payors, and consumers, treble damages and other costs and fees. Injunctive relief against the alleged violative activities is also being sought by Dr. Reddy’s. Such litigation can be lengthy, costly and could materially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color w:val="auto"/>
        </w:rPr>
        <w:t>affect and disrupt our business. We believe we have valid defenses and will vigorously defend against the claims but cannot predict the outcome.</w:t>
      </w:r>
    </w:p>
    <w:p>
      <w:pPr>
        <w:spacing w:after="0" w:line="183"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have also received a civil investigative demand from the U.S. Federal Trade Commission and a subpoena from the New York Attorney General with respect to practices relating to our supply of the active pharmaceutical ingredient in VASCEPA. We believe such contact from the governments may have been prompted by a generic competitor. We are cooperating with the agencies. The government inquiries require us to produce documents and answer related questions relevant to specified time periods. Such investigations can be lengthy, costly and could materially affect and disrupt our business. We cannot predict when these investigations will be resolved, the outcome of the investigations or their potential impact on our business. If a government determines that we have violated antitrust law, we could be subject to significant civil fines and penalties.</w:t>
      </w:r>
    </w:p>
    <w:p>
      <w:pPr>
        <w:spacing w:after="0" w:line="191"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w:t>
      </w:r>
    </w:p>
    <w:p>
      <w:pPr>
        <w:spacing w:after="0" w:line="70" w:lineRule="exact"/>
        <w:rPr>
          <w:sz w:val="20"/>
          <w:szCs w:val="20"/>
          <w:color w:val="auto"/>
        </w:rPr>
      </w:pPr>
    </w:p>
    <w:p>
      <w:pPr>
        <w:ind w:right="180" w:firstLine="510"/>
        <w:spacing w:after="0" w:line="291" w:lineRule="auto"/>
        <w:rPr>
          <w:sz w:val="20"/>
          <w:szCs w:val="20"/>
          <w:color w:val="auto"/>
        </w:rPr>
      </w:pPr>
      <w:r>
        <w:rPr>
          <w:rFonts w:ascii="Arial" w:cs="Arial" w:eastAsia="Arial" w:hAnsi="Arial"/>
          <w:sz w:val="16"/>
          <w:szCs w:val="16"/>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pharmaceutical grade purity and proven efficacy and safety of 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12" w:lineRule="exact"/>
        <w:rPr>
          <w:sz w:val="20"/>
          <w:szCs w:val="20"/>
          <w:color w:val="auto"/>
        </w:rPr>
      </w:pPr>
    </w:p>
    <w:p>
      <w:pPr>
        <w:ind w:right="40" w:firstLine="510"/>
        <w:spacing w:after="0" w:line="301" w:lineRule="auto"/>
        <w:rPr>
          <w:sz w:val="20"/>
          <w:szCs w:val="20"/>
          <w:color w:val="auto"/>
        </w:rPr>
      </w:pPr>
      <w:r>
        <w:rPr>
          <w:rFonts w:ascii="Arial" w:cs="Arial" w:eastAsia="Arial" w:hAnsi="Arial"/>
          <w:sz w:val="16"/>
          <w:szCs w:val="16"/>
          <w:color w:val="auto"/>
        </w:rPr>
        <w:t>Also, for over a decade, subject to certain limitations, the U.S.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Such companies are not, however, permitted, based on U.S. FDA enforcement activity, to make claims that suggest or imply treatment of cardiovascular disease.</w:t>
      </w:r>
    </w:p>
    <w:p>
      <w:pPr>
        <w:spacing w:after="0" w:line="103"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11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For example, on October 29, 2018, Amarin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Amarin’s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11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Similarly, on August 30, 2017, Amarin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ending this litigation. We have also engaged with U.S. FDA on the topic of synthetically produced omega-3 products through the citizen’s petition process and otherwise.</w:t>
      </w:r>
    </w:p>
    <w:p>
      <w:pPr>
        <w:spacing w:after="0" w:line="124"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While VASCEPA is priced comparatively with, or in some cases lower than, many competing treatments, particularly when taking into account insurance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1" w:name="page52"/>
    <w:bookmarkEnd w:id="51"/>
    <w:p>
      <w:pPr>
        <w:ind w:right="160"/>
        <w:spacing w:after="0" w:line="259" w:lineRule="auto"/>
        <w:rPr>
          <w:sz w:val="20"/>
          <w:szCs w:val="20"/>
          <w:color w:val="auto"/>
        </w:rPr>
      </w:pPr>
      <w:r>
        <w:rPr>
          <w:rFonts w:ascii="Arial" w:cs="Arial" w:eastAsia="Arial" w:hAnsi="Arial"/>
          <w:sz w:val="18"/>
          <w:szCs w:val="18"/>
          <w:color w:val="auto"/>
        </w:rPr>
        <w:t>coverage, such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of VASCEPA’s market acceptance may be less than expected, which would have a negative impact on our revenues and results of operations.</w:t>
      </w:r>
    </w:p>
    <w:p>
      <w:pPr>
        <w:spacing w:after="0" w:line="200" w:lineRule="exact"/>
        <w:rPr>
          <w:sz w:val="20"/>
          <w:szCs w:val="20"/>
          <w:color w:val="auto"/>
        </w:rPr>
      </w:pPr>
    </w:p>
    <w:p>
      <w:pPr>
        <w:ind w:right="220" w:firstLine="510"/>
        <w:spacing w:after="0" w:line="334" w:lineRule="auto"/>
        <w:rPr>
          <w:sz w:val="20"/>
          <w:szCs w:val="20"/>
          <w:color w:val="auto"/>
        </w:rPr>
      </w:pPr>
      <w:r>
        <w:rPr>
          <w:rFonts w:ascii="Arial" w:cs="Arial" w:eastAsia="Arial" w:hAnsi="Arial"/>
          <w:sz w:val="16"/>
          <w:szCs w:val="16"/>
          <w:b w:val="1"/>
          <w:bCs w:val="1"/>
          <w:i w:val="1"/>
          <w:iCs w:val="1"/>
          <w:color w:val="auto"/>
        </w:rPr>
        <w:t>The commercial value to us of sales of VASCEPA outside the United States may be smaller than we anticipate, including adequacy of product reimbursement such as in Europe, which can vary from country to country resulting in potential patient access restrictions.</w:t>
      </w:r>
    </w:p>
    <w:p>
      <w:pPr>
        <w:spacing w:after="0" w:line="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There can be no assurance as to the adequacy for commercial success of VASCEPA outside the United States. For example, despite having received EC approval to commercialize VAZKEPA in Europe and as we expect to obtain, through our partner Edding, marketing approval for VASCEPA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w:t>
      </w:r>
    </w:p>
    <w:p>
      <w:pPr>
        <w:spacing w:after="0" w:line="134"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The time required to secure reimbursement tends to vary from country to country and cannot be reliably predicted at this time. In certain European countries, securing product reimbursement is a requisite to commercial launch.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11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or our partners may even choose to not proceed with marketing VASCEPA in a market, even after a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7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03"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With respect to sales and marketing activities, advertising and promotional materials must comply with U.S.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w:t>
      </w:r>
    </w:p>
    <w:p>
      <w:pPr>
        <w:spacing w:after="0" w:line="123"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We participate in the U.S. Medicaid Drug Rebate Program, the Federal Supply Schedule, or FSS, of the U.S. Department of Veterans Affairs, or the VA, and other government drug programs, and, accordingly, are subject to complex laws and regulations regarding reporting and payment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52" w:name="page53"/>
    <w:bookmarkEnd w:id="52"/>
    <w:p>
      <w:pPr>
        <w:jc w:val="both"/>
        <w:ind w:right="540"/>
        <w:spacing w:after="0" w:line="263" w:lineRule="auto"/>
        <w:rPr>
          <w:sz w:val="20"/>
          <w:szCs w:val="20"/>
          <w:color w:val="auto"/>
        </w:rPr>
      </w:pPr>
      <w:r>
        <w:rPr>
          <w:rFonts w:ascii="Arial" w:cs="Arial" w:eastAsia="Arial" w:hAnsi="Arial"/>
          <w:sz w:val="18"/>
          <w:szCs w:val="18"/>
          <w:color w:val="auto"/>
        </w:rPr>
        <w:t>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30"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Pharmaceuticals America, Inc. As discussed above, in June 2020, we received a civil investigative demand, or CID, from the U.S. Department of Justice, or the DOJ, informing us that the DOJ is investigating whether aspects of our promotional speaker programs and copayment waiver programs during the period from January 1, 2015 to the present violated the U.S. Anti-Kickback Statute and the U.S. False Claims Act in relation to the sale and marketing of VASCEPA by us and our previous co-marketing partner, Kowa Pharmaceuticals America, Inc. The CID requires us to produce documents and answer written questions, or interrogatories, relevant to the specified time period. We are cooperating with the DOJ. We cannot predict when the investigation will be resolved, the outcome of the investigations or its potential impact on our business. Such investigations can be lengthy, costly and could materially affect and disrupt our business. If the government determines that we have violated the Anti-Kickback Statute and False Claims Act, we could be subject to significant civil and criminal fines and penalties.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12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20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3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34" w:lineRule="exact"/>
        <w:rPr>
          <w:sz w:val="20"/>
          <w:szCs w:val="20"/>
          <w:color w:val="auto"/>
        </w:rPr>
      </w:pPr>
    </w:p>
    <w:p>
      <w:pPr>
        <w:jc w:val="both"/>
        <w:ind w:right="100" w:firstLine="510"/>
        <w:spacing w:after="0" w:line="287"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w:t>
      </w:r>
    </w:p>
    <w:p>
      <w:pPr>
        <w:spacing w:after="0" w:line="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unless Congress takes additional action. These cuts reduce reimbursement payments related to our products, which could potentially negatively impact our revenue. However, these Medicare sequester reductions have been suspended through December 31, 2021 due to the COVID-19 pandemic.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30" w:lineRule="exact"/>
        <w:rPr>
          <w:sz w:val="20"/>
          <w:szCs w:val="20"/>
          <w:color w:val="auto"/>
        </w:rPr>
      </w:pPr>
    </w:p>
    <w:p>
      <w:pPr>
        <w:ind w:left="1020" w:hanging="378"/>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76" w:lineRule="exact"/>
        <w:rPr>
          <w:rFonts w:ascii="Arial" w:cs="Arial" w:eastAsia="Arial" w:hAnsi="Arial"/>
          <w:sz w:val="18"/>
          <w:szCs w:val="18"/>
          <w:color w:val="auto"/>
        </w:rPr>
      </w:pPr>
    </w:p>
    <w:p>
      <w:pPr>
        <w:ind w:left="1020" w:right="80" w:hanging="37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21" w:lineRule="exact"/>
        <w:rPr>
          <w:rFonts w:ascii="Arial" w:cs="Arial" w:eastAsia="Arial" w:hAnsi="Arial"/>
          <w:sz w:val="18"/>
          <w:szCs w:val="18"/>
          <w:color w:val="auto"/>
        </w:rPr>
      </w:pPr>
    </w:p>
    <w:p>
      <w:pPr>
        <w:ind w:left="1020" w:right="100" w:hanging="378"/>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116"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53" w:name="page54"/>
    <w:bookmarkEnd w:id="53"/>
    <w:p>
      <w:pPr>
        <w:spacing w:after="0" w:line="283" w:lineRule="auto"/>
        <w:rPr>
          <w:sz w:val="20"/>
          <w:szCs w:val="20"/>
          <w:color w:val="auto"/>
        </w:rPr>
      </w:pPr>
      <w:r>
        <w:rPr>
          <w:rFonts w:ascii="Arial" w:cs="Arial" w:eastAsia="Arial" w:hAnsi="Arial"/>
          <w:sz w:val="16"/>
          <w:szCs w:val="16"/>
          <w:color w:val="auto"/>
        </w:rPr>
        <w:t>to, among other things, bring more transparency to drug pricing, reduce the cost of prescription drugs under Medicare, review the relationship between pricing and manufacturer patient programs, and reform government program reimbursement methodologies for drugs. On July 24, 2020 and September 13, 2020, President Trump announced several executive orders related to prescription drug pricing that seek to implement several of the administration’s proposals. In response, the U.S.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On December 28, 2020, a judge in the U.S. District Court for the Northern District of California granted a preliminary injunction prohibiting CMS from implementing the MFN rule pending completion of the comment and rulemaking process required under the Administrative Procedures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 District of California and that the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products and product candidates.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350"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38" w:lineRule="exact"/>
        <w:rPr>
          <w:sz w:val="20"/>
          <w:szCs w:val="20"/>
          <w:color w:val="auto"/>
        </w:rPr>
      </w:pPr>
    </w:p>
    <w:p>
      <w:pPr>
        <w:ind w:right="20" w:firstLine="510"/>
        <w:spacing w:after="0" w:line="308" w:lineRule="auto"/>
        <w:rPr>
          <w:sz w:val="20"/>
          <w:szCs w:val="20"/>
          <w:color w:val="auto"/>
        </w:rPr>
      </w:pPr>
      <w:r>
        <w:rPr>
          <w:rFonts w:ascii="Arial" w:cs="Arial" w:eastAsia="Arial" w:hAnsi="Arial"/>
          <w:sz w:val="16"/>
          <w:szCs w:val="16"/>
          <w:color w:val="auto"/>
        </w:rPr>
        <w:t>These and similar regulatory dynamics, including the recent entry of a generic version of VASCEPA into the market, and the potential for additional generic version in the near term, can affect our ability to commercialize VASCEPA on commercially reasonable terms and limit the commercial value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VASCEPA.</w:t>
      </w:r>
    </w:p>
    <w:p>
      <w:pPr>
        <w:spacing w:after="0" w:line="22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13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54" w:name="page55"/>
    <w:bookmarkEnd w:id="54"/>
    <w:p>
      <w:pPr>
        <w:ind w:right="160"/>
        <w:spacing w:after="0" w:line="277" w:lineRule="auto"/>
        <w:rPr>
          <w:sz w:val="20"/>
          <w:szCs w:val="20"/>
          <w:color w:val="auto"/>
        </w:rPr>
      </w:pPr>
      <w:r>
        <w:rPr>
          <w:rFonts w:ascii="Arial" w:cs="Arial" w:eastAsia="Arial" w:hAnsi="Arial"/>
          <w:sz w:val="18"/>
          <w:szCs w:val="18"/>
          <w:color w:val="auto"/>
        </w:rPr>
        <w:t>sales and associated rebates, discounts and other price concessions. Our failure to comply with these price reporting and rebate payment obligations could negatively impact our financial results.</w:t>
      </w:r>
    </w:p>
    <w:p>
      <w:pPr>
        <w:spacing w:after="0" w:line="11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1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23"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1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2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12"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5" w:name="page56"/>
    <w:bookmarkEnd w:id="55"/>
    <w:p>
      <w:pPr>
        <w:ind w:right="280"/>
        <w:spacing w:after="0" w:line="277" w:lineRule="auto"/>
        <w:rPr>
          <w:sz w:val="20"/>
          <w:szCs w:val="20"/>
          <w:color w:val="auto"/>
        </w:rPr>
      </w:pPr>
      <w:r>
        <w:rPr>
          <w:rFonts w:ascii="Arial" w:cs="Arial" w:eastAsia="Arial" w:hAnsi="Arial"/>
          <w:sz w:val="18"/>
          <w:szCs w:val="18"/>
          <w:color w:val="auto"/>
        </w:rPr>
        <w:t>action, would be expensive and time-consuming, and could have a material adverse effect on our business, financial condition, results of operations and growth prospects.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Changes in reimbursement procedures by government and other third-party payors may limit our ability to market and sell our approved drugs.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These changes could have a material adverse effect on our business and financial condition.</w:t>
      </w:r>
    </w:p>
    <w:p>
      <w:pPr>
        <w:spacing w:after="0" w:line="7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are increasingly challenging the prices charged for medical products and services. Some third-party payor benefit packages restrict reimbursement, charge copayments to patients, or do not provide coverage for specific drugs or drug classes.</w:t>
      </w:r>
    </w:p>
    <w:p>
      <w:pPr>
        <w:spacing w:after="0" w:line="133"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addition, certain U.S. 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3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Ongoing healthcare legislative and regulatory reform measures may have a material adverse effect on our business and results of operations.</w:t>
      </w:r>
    </w:p>
    <w:p>
      <w:pPr>
        <w:spacing w:after="0" w:line="206"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Certain provisions of the ACA have been subject to judicial challenges, as well as efforts to repeal or replace them or to alter their interpretation or implementation. Multiple Executive Orders were signed during the Trump administration which were designed to delay the implementation of certain provisions of the ACA or otherwise circumvent some of the requirements for health insurance mandated by the ACA. For example, the previous administration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HHS from paying out more in risk corridor payments than it collected, HHS was not required to pay more than $12.0 billion in ACA risk corridor payments owed to insurers under the risk corridor formula. On November 6, 2018, the Federal Circuit declined to rehear the case en banc.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 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(an increase from 50% effective as of January 1, 2019) point-of-sale discounts off negotiated prices of applicable brand drugs to eligible beneficiaries during their coverage gap period as a condition for the manufacturer’s outpatient drugs to be covered under Medicare Part D. Under the Trump administration, CMS issued regulations that gave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On March 2, 2020, the U.S. Supreme Court granted the petitions for writs of certiorari to review this case and held oral arguments on November 10, 2020. It is unclear how the ultimate decision in this case, which is now pending before the U.S. Supreme Court, or other efforts to repeal, replace, or invalidate the ACA or its implementing regulations, or portions thereof, will impact our business. We will continue to evaluate the effect that the ACA and its possible repeal, replacement, or invalidation, in whole or in part, has on our business.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56" w:name="page57"/>
    <w:bookmarkEnd w:id="56"/>
    <w:p>
      <w:pPr>
        <w:ind w:firstLine="510"/>
        <w:spacing w:after="0" w:line="284" w:lineRule="auto"/>
        <w:rPr>
          <w:sz w:val="20"/>
          <w:szCs w:val="20"/>
          <w:color w:val="auto"/>
        </w:rPr>
      </w:pPr>
      <w:r>
        <w:rPr>
          <w:rFonts w:ascii="Arial" w:cs="Arial" w:eastAsia="Arial" w:hAnsi="Arial"/>
          <w:sz w:val="16"/>
          <w:szCs w:val="16"/>
          <w:color w:val="auto"/>
        </w:rPr>
        <w:t>The Trump administration’s budget proposal for fiscal year 2021 included a $135.0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Further,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HHS has already started the process of soliciting feedback on some of these measures and, at the same time, began implementing others under its existing authority. For example, in May 2019, CMS issued a final rule to allow Medicare Advantage Plans the option of using step therapy for Part B drugs beginning January 1, 2020. However, it is unclear whether the Biden administration will challenge, reverse, revoke or otherwise modify these executive and administrative actions. 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 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24"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1" w:lineRule="exact"/>
        <w:rPr>
          <w:sz w:val="20"/>
          <w:szCs w:val="20"/>
          <w:color w:val="auto"/>
        </w:rPr>
      </w:pPr>
    </w:p>
    <w:p>
      <w:pPr>
        <w:ind w:right="20" w:firstLine="510"/>
        <w:spacing w:after="0" w:line="334"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2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7" w:name="page58"/>
    <w:bookmarkEnd w:id="57"/>
    <w:p>
      <w:pPr>
        <w:ind w:left="5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2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REDUCE-IT cardiovascular outcomes trial was conducted in part through clinical sites in the EU. As a result, we are subject to additional privacy restrictions. The collection and use of personal health data in the EU is governed by the provisions of the General Data Protection Regulation, or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EU to the United States. Failure to comply with the requirements of the GDPR, and the related national data protection laws of the EU Member States may result in restrictions against regulatory approval in the EU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194" w:lineRule="exact"/>
        <w:rPr>
          <w:sz w:val="20"/>
          <w:szCs w:val="20"/>
          <w:color w:val="auto"/>
        </w:rPr>
      </w:pPr>
    </w:p>
    <w:p>
      <w:pPr>
        <w:ind w:right="100" w:firstLine="518"/>
        <w:spacing w:after="0" w:line="320" w:lineRule="auto"/>
        <w:tabs>
          <w:tab w:leader="none" w:pos="645" w:val="left"/>
        </w:tabs>
        <w:numPr>
          <w:ilvl w:val="0"/>
          <w:numId w:val="3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 U.S. FDA and other regulatory agencies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9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cardiovascular risk reduction based on the REDUCE-IT study,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former co-promotion partner, Kowa, or our commercialization partners outside the United States or other third-parties that we retain to help us implement our business plan.</w:t>
      </w:r>
    </w:p>
    <w:p>
      <w:pPr>
        <w:spacing w:after="0" w:line="19"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43"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False Claims Act in relation to the sale and marketing of VASCEPA by us and our previous co-marketing partner, Kowa Pharmaceuticals America, Inc. Similarly, in March 2021, the FTC issued a CID to us in connection with the FTC’s investigation of whether we have engaged in, or are engaging in, anticompetitive practices or unfair methods of competition relating to VASCEPA. The CIDs require us to product documents and answer written questions, or interrogatories, relevant to specified time periods. We are cooperating with the DOJ and FTC, respectively.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Anti-Kickback Statute and False Claims Act or antitrust regulations, we could be subject to significant civil and criminal fines and penalties.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8" w:name="page59"/>
    <w:bookmarkEnd w:id="58"/>
    <w:p>
      <w:pPr>
        <w:ind w:right="160" w:firstLine="510"/>
        <w:spacing w:after="0" w:line="342" w:lineRule="auto"/>
        <w:rPr>
          <w:sz w:val="20"/>
          <w:szCs w:val="20"/>
          <w:color w:val="auto"/>
        </w:rPr>
      </w:pPr>
      <w:r>
        <w:rPr>
          <w:rFonts w:ascii="Arial" w:cs="Arial" w:eastAsia="Arial" w:hAnsi="Arial"/>
          <w:sz w:val="16"/>
          <w:szCs w:val="16"/>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70"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34" w:lineRule="exact"/>
        <w:rPr>
          <w:sz w:val="20"/>
          <w:szCs w:val="20"/>
          <w:color w:val="auto"/>
        </w:rPr>
      </w:pPr>
    </w:p>
    <w:p>
      <w:pPr>
        <w:ind w:left="880" w:hanging="373"/>
        <w:spacing w:after="0"/>
        <w:tabs>
          <w:tab w:leader="none" w:pos="8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lack of efficacy during clinical trials;</w:t>
      </w:r>
    </w:p>
    <w:p>
      <w:pPr>
        <w:spacing w:after="0" w:line="57" w:lineRule="exact"/>
        <w:rPr>
          <w:rFonts w:ascii="Arial" w:cs="Arial" w:eastAsia="Arial" w:hAnsi="Arial"/>
          <w:sz w:val="22"/>
          <w:szCs w:val="22"/>
          <w:color w:val="auto"/>
        </w:rPr>
      </w:pPr>
    </w:p>
    <w:p>
      <w:pPr>
        <w:ind w:left="880" w:hanging="373"/>
        <w:spacing w:after="0"/>
        <w:tabs>
          <w:tab w:leader="none" w:pos="8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57" w:lineRule="exact"/>
        <w:rPr>
          <w:rFonts w:ascii="Arial" w:cs="Arial" w:eastAsia="Arial" w:hAnsi="Arial"/>
          <w:sz w:val="22"/>
          <w:szCs w:val="22"/>
          <w:color w:val="auto"/>
        </w:rPr>
      </w:pPr>
    </w:p>
    <w:p>
      <w:pPr>
        <w:ind w:left="880" w:hanging="373"/>
        <w:spacing w:after="0"/>
        <w:tabs>
          <w:tab w:leader="none" w:pos="8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slower than expected rates of patient recruitment;</w:t>
      </w:r>
    </w:p>
    <w:p>
      <w:pPr>
        <w:spacing w:after="0" w:line="57" w:lineRule="exact"/>
        <w:rPr>
          <w:rFonts w:ascii="Arial" w:cs="Arial" w:eastAsia="Arial" w:hAnsi="Arial"/>
          <w:sz w:val="22"/>
          <w:szCs w:val="22"/>
          <w:color w:val="auto"/>
        </w:rPr>
      </w:pPr>
    </w:p>
    <w:p>
      <w:pPr>
        <w:ind w:left="880" w:hanging="373"/>
        <w:spacing w:after="0"/>
        <w:tabs>
          <w:tab w:leader="none" w:pos="8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inability to observe patients adequately after treatment;</w:t>
      </w:r>
    </w:p>
    <w:p>
      <w:pPr>
        <w:spacing w:after="0" w:line="57" w:lineRule="exact"/>
        <w:rPr>
          <w:rFonts w:ascii="Arial" w:cs="Arial" w:eastAsia="Arial" w:hAnsi="Arial"/>
          <w:sz w:val="22"/>
          <w:szCs w:val="22"/>
          <w:color w:val="auto"/>
        </w:rPr>
      </w:pPr>
    </w:p>
    <w:p>
      <w:pPr>
        <w:ind w:left="880" w:hanging="373"/>
        <w:spacing w:after="0"/>
        <w:tabs>
          <w:tab w:leader="none" w:pos="8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changes in regulatory requirements for clinical trials or preclinical studies;</w:t>
      </w:r>
    </w:p>
    <w:p>
      <w:pPr>
        <w:spacing w:after="0" w:line="57" w:lineRule="exact"/>
        <w:rPr>
          <w:rFonts w:ascii="Arial" w:cs="Arial" w:eastAsia="Arial" w:hAnsi="Arial"/>
          <w:sz w:val="22"/>
          <w:szCs w:val="22"/>
          <w:color w:val="auto"/>
        </w:rPr>
      </w:pPr>
    </w:p>
    <w:p>
      <w:pPr>
        <w:ind w:left="880" w:hanging="373"/>
        <w:spacing w:after="0"/>
        <w:tabs>
          <w:tab w:leader="none" w:pos="8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the emergence of unforeseen safety issues in clinical trials or preclinical studies;</w:t>
      </w:r>
    </w:p>
    <w:p>
      <w:pPr>
        <w:spacing w:after="0" w:line="69" w:lineRule="exact"/>
        <w:rPr>
          <w:rFonts w:ascii="Arial" w:cs="Arial" w:eastAsia="Arial" w:hAnsi="Arial"/>
          <w:sz w:val="22"/>
          <w:szCs w:val="22"/>
          <w:color w:val="auto"/>
        </w:rPr>
      </w:pPr>
    </w:p>
    <w:p>
      <w:pPr>
        <w:ind w:left="880" w:hanging="373"/>
        <w:spacing w:after="0"/>
        <w:tabs>
          <w:tab w:leader="none" w:pos="880" w:val="left"/>
        </w:tabs>
        <w:numPr>
          <w:ilvl w:val="0"/>
          <w:numId w:val="35"/>
        </w:numPr>
        <w:rPr>
          <w:rFonts w:ascii="Arial" w:cs="Arial" w:eastAsia="Arial" w:hAnsi="Arial"/>
          <w:sz w:val="21"/>
          <w:szCs w:val="21"/>
          <w:color w:val="auto"/>
        </w:rPr>
      </w:pPr>
      <w:r>
        <w:rPr>
          <w:rFonts w:ascii="Arial" w:cs="Arial" w:eastAsia="Arial" w:hAnsi="Arial"/>
          <w:sz w:val="17"/>
          <w:szCs w:val="17"/>
          <w:color w:val="auto"/>
        </w:rPr>
        <w:t>delay, suspension, or termination of a trial by the institutional review board responsible for overseeing the study at a particular study site;</w:t>
      </w:r>
    </w:p>
    <w:p>
      <w:pPr>
        <w:spacing w:after="0" w:line="80" w:lineRule="exact"/>
        <w:rPr>
          <w:rFonts w:ascii="Arial" w:cs="Arial" w:eastAsia="Arial" w:hAnsi="Arial"/>
          <w:sz w:val="21"/>
          <w:szCs w:val="21"/>
          <w:color w:val="auto"/>
        </w:rPr>
      </w:pPr>
    </w:p>
    <w:p>
      <w:pPr>
        <w:ind w:left="880" w:right="440" w:hanging="373"/>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21"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laws and regulations related to patient data privacy;</w:t>
      </w:r>
    </w:p>
    <w:p>
      <w:pPr>
        <w:spacing w:after="0" w:line="80" w:lineRule="exact"/>
        <w:rPr>
          <w:rFonts w:ascii="Arial" w:cs="Arial" w:eastAsia="Arial" w:hAnsi="Arial"/>
          <w:sz w:val="18"/>
          <w:szCs w:val="18"/>
          <w:color w:val="auto"/>
        </w:rPr>
      </w:pPr>
    </w:p>
    <w:p>
      <w:pPr>
        <w:ind w:left="880" w:hanging="373"/>
        <w:spacing w:after="0"/>
        <w:tabs>
          <w:tab w:leader="none" w:pos="8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government or regulatory delays or “clinical holds” requiring suspension or termination of a trial; and</w:t>
      </w:r>
    </w:p>
    <w:p>
      <w:pPr>
        <w:spacing w:after="0" w:line="57" w:lineRule="exact"/>
        <w:rPr>
          <w:rFonts w:ascii="Arial" w:cs="Arial" w:eastAsia="Arial" w:hAnsi="Arial"/>
          <w:sz w:val="22"/>
          <w:szCs w:val="22"/>
          <w:color w:val="auto"/>
        </w:rPr>
      </w:pPr>
    </w:p>
    <w:p>
      <w:pPr>
        <w:ind w:left="880" w:hanging="373"/>
        <w:spacing w:after="0"/>
        <w:tabs>
          <w:tab w:leader="none" w:pos="880" w:val="left"/>
        </w:tabs>
        <w:numPr>
          <w:ilvl w:val="0"/>
          <w:numId w:val="35"/>
        </w:numPr>
        <w:rPr>
          <w:rFonts w:ascii="Arial" w:cs="Arial" w:eastAsia="Arial" w:hAnsi="Arial"/>
          <w:sz w:val="22"/>
          <w:szCs w:val="22"/>
          <w:color w:val="auto"/>
        </w:rPr>
      </w:pPr>
      <w:r>
        <w:rPr>
          <w:rFonts w:ascii="Arial" w:cs="Arial" w:eastAsia="Arial" w:hAnsi="Arial"/>
          <w:sz w:val="18"/>
          <w:szCs w:val="18"/>
          <w:color w:val="auto"/>
        </w:rPr>
        <w:t>political instability or other social or government protocols affecting our clinical trial sites.</w:t>
      </w:r>
    </w:p>
    <w:p>
      <w:pPr>
        <w:spacing w:after="0" w:line="161"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during the public advisory committee meeting held by U.S.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before the U.S. FDA approval of VASCEPA after review of the MARINE and ANCHOR trials and consideration of other data regarding mineral oil, no strong evidence for biological activity of mineral oil was identified by the agency.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U.S. FDA approved VASCEPA for use in the MARINE indication in July 2012, U.S. FDA did not dispute the veracity of the ANCHOR trial data and, in connection with the March 2016 agreement we reached with the U.S. FDA allowing us to promote the results of the ANCHOR study, the U.S. FDA did not seek to require that we include any qualification related to this earlier question regarding the mineral oil placebo. In addition, 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 Any approvals that are obtained may be limited in scope, may require additional post-approval studies or may require the addition of labeling statements, including boxed warnings,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59" w:name="page60"/>
    <w:bookmarkEnd w:id="59"/>
    <w:p>
      <w:pPr>
        <w:ind w:right="240"/>
        <w:spacing w:after="0" w:line="272" w:lineRule="auto"/>
        <w:rPr>
          <w:sz w:val="20"/>
          <w:szCs w:val="20"/>
          <w:color w:val="auto"/>
        </w:rPr>
      </w:pPr>
      <w:r>
        <w:rPr>
          <w:rFonts w:ascii="Arial" w:cs="Arial" w:eastAsia="Arial" w:hAnsi="Arial"/>
          <w:sz w:val="17"/>
          <w:szCs w:val="17"/>
          <w:color w:val="auto"/>
        </w:rPr>
        <w:t>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191"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b w:val="1"/>
          <w:bCs w:val="1"/>
          <w:i w:val="1"/>
          <w:iCs w:val="1"/>
          <w:color w:val="auto"/>
        </w:rPr>
        <w:t>As we continue to build our infrastructure for commercializing VASCEPA, we may encounter difficulties in managing our growth and expanding our operations successfully.</w:t>
      </w:r>
    </w:p>
    <w:p>
      <w:pPr>
        <w:spacing w:after="0" w:line="3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process of establishing, maintaining and expanding a commercial infrastructure is difficult, expensive and time-consuming. As a result of the COVID-19 pandemic and the related social distancing, in March 2020, we suspended face-to-face interactions between our sales representatives and healthcare professionals. We resumed on a limited basis field-based, face-to-face interactions with healthcare providers beginning in June 2020. During the late part of the summer of 2020, substantially all of our field force personnel were able to resume face-to-face customer interactions in a manner consistent with guidelines from local, state and government health officials in the United States. In the fourth quarter of 2020 and in early 2021, the impact of COVID-19 worsened in much of the United States, with some physicians again limiting access to face-to-face interactions with our field force personnel. Accordingly, we have intentionally slowed the hiring of replacements for our open positions which resulted from ordinary turnover. As we witness our sales representatives increasingly able to resume direct interactions with healthcare professionals, we continue to evaluate our needs and it is our intention to fill a significant number of these positions, provided such replacement is appropriate to meet our business needs. Our sales team promotes VASCEPA to a limited group of physicians and other healthcare professionals in select geographies in the United States and is not large enough to call upon all physicians.</w:t>
      </w:r>
    </w:p>
    <w:p>
      <w:pPr>
        <w:spacing w:after="0" w:line="3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addition to sales force expansion in the United States, we continue to work on our own and with our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For example, in Europe we commenced 2021 with approximately 50 professionals involved in pre-approval and pre-launch planning and other commercial preparation activities, with plans to expand to approximately 300 professionals by the end of 2021.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and such efforts may be disrupted by the COVID-19 protocols. To that end, we must be able to manage our development efforts effectively, and hire, train, integrate and retain additional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81"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b w:val="1"/>
          <w:bCs w:val="1"/>
          <w:i w:val="1"/>
          <w:iCs w:val="1"/>
          <w:color w:val="auto"/>
        </w:rPr>
        <w:t>Our supply of product for the commercial market and clinical trials is dependent upon relationships with third-party manufacturers and suppliers.</w:t>
      </w:r>
    </w:p>
    <w:p>
      <w:pPr>
        <w:spacing w:after="0" w:line="11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12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Any manufacturing problem, natural or manmade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7" w:right="399" w:bottom="1440" w:gutter="0" w:footer="0" w:header="0"/>
        </w:sectPr>
      </w:pPr>
    </w:p>
    <w:bookmarkStart w:id="60" w:name="page61"/>
    <w:bookmarkEnd w:id="60"/>
    <w:p>
      <w:pPr>
        <w:ind w:right="80" w:firstLine="510"/>
        <w:spacing w:after="0" w:line="279" w:lineRule="auto"/>
        <w:rPr>
          <w:sz w:val="20"/>
          <w:szCs w:val="20"/>
          <w:color w:val="auto"/>
        </w:rPr>
      </w:pPr>
      <w:r>
        <w:rPr>
          <w:rFonts w:ascii="Arial" w:cs="Arial" w:eastAsia="Arial" w:hAnsi="Arial"/>
          <w:sz w:val="17"/>
          <w:szCs w:val="17"/>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17"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Expanding manufacturing capacity and qualifying such capacity is complex and subject to numerous regulations and other operational challenges. We require supply capacity to support our direct commercialization of VASCEPA in the United States and VAZKEPA in Europe. We are also committed to providing supply to our commercial partners and distributors in Canada, China and MENA.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for example, prior to commercial launch in China and Europe.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with certain of these expansion plans delayed due to COVID-19 and other market uncertainties. If no additional API supplier is approved by the U.S. FDA as part of an sNDA, our API supply will be limited to the API we purchase from previously approved suppliers. Similarly, the EMA has not initially approved use of each of our suppliers used for VASCEPA in the United States for VAZKEPA in the EU. While we believe that we have sufficient supply of VAZKEPA to support our initial launch plans in Europe, our supply in Europe will be limited until additional suppliers are qualified which qualifications may be delayed by COVID-19 and our exposure to manufacturing issues with our approved suppliers for the EU is less mitigated than is our objective by having more suppliers qualified.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20"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9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116"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203"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11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61" w:name="page62"/>
    <w:bookmarkEnd w:id="61"/>
    <w:p>
      <w:pPr>
        <w:ind w:right="160" w:firstLine="510"/>
        <w:spacing w:after="0" w:line="263"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13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3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There are comparable foreign requirements under ICH guidelines. In addition, COVID-19 has limited the ability of suppliers to be inspected. This review may be costly and time consuming and could delay or prevent the launch of a product.</w:t>
      </w:r>
    </w:p>
    <w:p>
      <w:pPr>
        <w:spacing w:after="0" w:line="122" w:lineRule="exact"/>
        <w:rPr>
          <w:sz w:val="20"/>
          <w:szCs w:val="20"/>
          <w:color w:val="auto"/>
        </w:rPr>
      </w:pPr>
    </w:p>
    <w:p>
      <w:pPr>
        <w:ind w:right="340" w:firstLine="510"/>
        <w:spacing w:after="0" w:line="296" w:lineRule="auto"/>
        <w:rPr>
          <w:sz w:val="20"/>
          <w:szCs w:val="20"/>
          <w:color w:val="auto"/>
        </w:rPr>
      </w:pPr>
      <w:r>
        <w:rPr>
          <w:rFonts w:ascii="Arial" w:cs="Arial" w:eastAsia="Arial" w:hAnsi="Arial"/>
          <w:sz w:val="16"/>
          <w:szCs w:val="16"/>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validations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w:t>
      </w:r>
    </w:p>
    <w:p>
      <w:pPr>
        <w:spacing w:after="0" w:line="107" w:lineRule="exact"/>
        <w:rPr>
          <w:sz w:val="20"/>
          <w:szCs w:val="20"/>
          <w:color w:val="auto"/>
        </w:rPr>
      </w:pPr>
    </w:p>
    <w:p>
      <w:pPr>
        <w:jc w:val="both"/>
        <w:ind w:right="400" w:firstLine="510"/>
        <w:spacing w:after="0" w:line="259" w:lineRule="auto"/>
        <w:rPr>
          <w:sz w:val="20"/>
          <w:szCs w:val="20"/>
          <w:color w:val="auto"/>
        </w:rPr>
      </w:pPr>
      <w:r>
        <w:rPr>
          <w:rFonts w:ascii="Arial" w:cs="Arial" w:eastAsia="Arial" w:hAnsi="Arial"/>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w:t>
      </w:r>
    </w:p>
    <w:p>
      <w:pPr>
        <w:spacing w:after="0" w:line="214"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 and other circumstances outside our control.</w:t>
      </w:r>
    </w:p>
    <w:p>
      <w:pPr>
        <w:spacing w:after="0" w:line="116"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30"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In February 2015, we entered into a Development, Commercialization and Supply Agreement, or the DCS Agreement, with Eddingpharm (Asia) Macao Commercial Offshore Limited, or Edding, related to the development and commercialization of VASCEPA in the China Territory. Under the DCS Agreement, Edding is responsible for development and commercialization activities in the China Territory and associated expenses. Additionally, Edding is required to conduct clinical trials in the China Territory to secure regulatory approval in certain territories. For example, in December 2017, Edding commenced a pivotal clinical trial aimed to demonstrate that VASCEPA lowers triglyceride levels and otherwise has beneficial effects in Chinese patients with severe hypertriglyceridemia (TG &gt;500 mg/dL), as we previously demonstrated with VASEPA in the more diverse population studied in the MARINE study. In November 2020, we announced statistically significant positive topline results from Edding’s Phase 3 clinical trial of VASCEPA. On February 9, 2021, we announced that the regulatory review processes for approval of VASCEPA in Mainland China and Hong Kong have commenced. The Chinese National Medical Products Administration, or NMPA, has accepted for review the new drug application for VASCEPA, submitted by Edding, based on the results from the Phase 3 clinical trial and the results from our prior studies of VASCEPA. We expect to receive a decision from the NMPA in Mainland China near the end of 2021. The Hong Kong Department of Health is evaluating VASCEPA based on current approvals in the United States and Canada. The review process in Hong Kong is expected to conclude near the end of 2021. Even though such results are similar to the MARINE study, additional clinical development efforts may be necessary in this market to demonstrate the effectiveness of VASCEPA in reducing major adverse cardiovascular events in Chinese patients with persistent cardiovascular risk. Any development and regulatory efforts in the China Territory may be negatively impacted by the spread of the coronavirus and the unexpected diversion of resources by regulators and industry professionals to address the coronavirus outbreak. Any development and regulatory efforts in the China Territory may be negatively impacted by heightened political tension between China and the United States, including in connection with COVID-19 and other issues expressed between the countries regarding trade practices, tariffs and honoring intellectual property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2" w:name="page63"/>
    <w:bookmarkEnd w:id="62"/>
    <w:p>
      <w:pPr>
        <w:ind w:right="220"/>
        <w:spacing w:after="0" w:line="277" w:lineRule="auto"/>
        <w:rPr>
          <w:sz w:val="20"/>
          <w:szCs w:val="20"/>
          <w:color w:val="auto"/>
        </w:rPr>
      </w:pPr>
      <w:r>
        <w:rPr>
          <w:rFonts w:ascii="Arial" w:cs="Arial" w:eastAsia="Arial" w:hAnsi="Arial"/>
          <w:sz w:val="18"/>
          <w:szCs w:val="18"/>
          <w:color w:val="auto"/>
        </w:rPr>
        <w:t>rights. If Edding is not able to effectively develop and commercialize VASCEPA in the China Territory, we may not be able to generate revenue from the DCS Agreement resulting from the sale of VASCEPA in the China Territory.</w:t>
      </w:r>
    </w:p>
    <w:p>
      <w:pPr>
        <w:spacing w:after="0" w:line="116"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in Lebanon in March 2018, in United Arab Emirates in July 2018, in Qatar in January 2020 and Bahrain in December 2020. VASCEPA was launched in Lebanon and the United Arab Emirates in June 2018 and February 2019, respectively. VASCEPA is under registration in additional countries in the MENA region. Commercialization across the Middle East and North Africa is subject to similar risks as in the China Territory, and has been negatively impacted by COVID-19 and the destabilized local economy in Saudi Arabia.</w:t>
      </w:r>
    </w:p>
    <w:p>
      <w:pPr>
        <w:spacing w:after="0" w:line="123"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In September 2017, we entered into an agreement with HLS Therapeutics Inc., or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maintaining intellectual property, and continuing the development and funding of REDUCE-IT 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In February 2020, HLS launched VASCEPA in Canada, with strong initial uptake before the impact of COVID-19 pandemic. In July 2020, Patented Medicine Prices Review Board confirmed VASCEPA price is compliant with current guidelines, and CADTH recommended reimbursement for VASCEPA in Canada in secondary prevention population. However, if HLS is not able to effectively commercialize VASCEPA in Canada through effective pricing (initially and over time), reimbursement or otherwise we may not be able to generate revenue from the sale of VASCEPA in Canada.</w:t>
      </w:r>
    </w:p>
    <w:p>
      <w:pPr>
        <w:spacing w:after="0" w:line="11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efforts to launch VAZKEPA on our own in Europe is a complex undertaking for a company that has not launched a product in Europe and could be subject to significant risks of execution to our successful development of VAZKEPA in Europe. While various of our suppliers have been inspected and we do not anticipate supply availability limiting our launch in Europe, COVID-19 has limited the ability of suppliers to be inspected and not all of our suppliers have completed all of the requirements of the European regulatory authorities.</w:t>
      </w:r>
    </w:p>
    <w:p>
      <w:pPr>
        <w:spacing w:after="0" w:line="133"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06" w:lineRule="exact"/>
        <w:rPr>
          <w:sz w:val="20"/>
          <w:szCs w:val="20"/>
          <w:color w:val="auto"/>
        </w:rPr>
      </w:pPr>
    </w:p>
    <w:p>
      <w:pPr>
        <w:ind w:right="140" w:firstLine="518"/>
        <w:spacing w:after="0" w:line="263" w:lineRule="auto"/>
        <w:tabs>
          <w:tab w:leader="none" w:pos="645"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13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31" w:lineRule="exact"/>
        <w:rPr>
          <w:sz w:val="20"/>
          <w:szCs w:val="20"/>
          <w:color w:val="auto"/>
        </w:rPr>
      </w:pPr>
    </w:p>
    <w:p>
      <w:pPr>
        <w:ind w:left="880" w:hanging="373"/>
        <w:spacing w:after="0" w:line="269"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Violations are subject to significant civil and criminal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3" w:name="page64"/>
    <w:bookmarkEnd w:id="63"/>
    <w:p>
      <w:pPr>
        <w:ind w:left="880" w:right="640"/>
        <w:spacing w:after="0" w:line="277" w:lineRule="auto"/>
        <w:rPr>
          <w:sz w:val="20"/>
          <w:szCs w:val="20"/>
          <w:color w:val="auto"/>
        </w:rPr>
      </w:pPr>
      <w:r>
        <w:rPr>
          <w:rFonts w:ascii="Arial" w:cs="Arial" w:eastAsia="Arial" w:hAnsi="Arial"/>
          <w:sz w:val="18"/>
          <w:szCs w:val="18"/>
          <w:color w:val="auto"/>
        </w:rPr>
        <w:t>fines and penalties for each violation, plus up to three times the renumeration involved, imprisonment, and exclusion from government healthcare workers;</w:t>
      </w:r>
    </w:p>
    <w:p>
      <w:pPr>
        <w:spacing w:after="0" w:line="22" w:lineRule="exact"/>
        <w:rPr>
          <w:sz w:val="20"/>
          <w:szCs w:val="20"/>
          <w:color w:val="auto"/>
        </w:rPr>
      </w:pPr>
    </w:p>
    <w:p>
      <w:pPr>
        <w:ind w:left="880" w:hanging="373"/>
        <w:spacing w:after="0" w:line="267"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or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Manufacturers can be held liable under the FCA even when they do not submit claims directly to government payors if they are deemed to “case” the submission of false or fraudulent claims.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A claim that includes items or services resulting from a violations of the federal Anti-Kickback Statute constitutes a false or fraudulent claim under the FCA. When an entity is determined to have violated the FCA, the government may impose civil fines and penalties for each false claim, plus treble damages, and exclude the entity from participation in Medicare, Medicaid and other federal healthcare programs. Pharmaceutical and other healthcare companies also are subject to other federal false claims laws, including, among others, federal criminal healthcare fraud and false statement statutes that extend to non-government health benefit programs;</w:t>
      </w:r>
    </w:p>
    <w:p>
      <w:pPr>
        <w:spacing w:after="0" w:line="42" w:lineRule="exact"/>
        <w:rPr>
          <w:rFonts w:ascii="Arial" w:cs="Arial" w:eastAsia="Arial" w:hAnsi="Arial"/>
          <w:sz w:val="17"/>
          <w:szCs w:val="17"/>
          <w:color w:val="auto"/>
        </w:rPr>
      </w:pPr>
    </w:p>
    <w:p>
      <w:pPr>
        <w:ind w:left="880" w:right="280" w:hanging="373"/>
        <w:spacing w:after="0" w:line="259"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38" w:lineRule="exact"/>
        <w:rPr>
          <w:rFonts w:ascii="Arial" w:cs="Arial" w:eastAsia="Arial" w:hAnsi="Arial"/>
          <w:sz w:val="18"/>
          <w:szCs w:val="18"/>
          <w:color w:val="auto"/>
        </w:rPr>
      </w:pPr>
    </w:p>
    <w:p>
      <w:pPr>
        <w:ind w:left="880" w:right="180" w:hanging="373"/>
        <w:spacing w:after="0" w:line="272"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The Health Information Technology for Economic and Clinical Health Act of 2009, or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8" w:lineRule="exact"/>
        <w:rPr>
          <w:rFonts w:ascii="Arial" w:cs="Arial" w:eastAsia="Arial" w:hAnsi="Arial"/>
          <w:sz w:val="17"/>
          <w:szCs w:val="17"/>
          <w:color w:val="auto"/>
        </w:rPr>
      </w:pPr>
    </w:p>
    <w:p>
      <w:pPr>
        <w:ind w:left="880" w:right="40" w:hanging="373"/>
        <w:spacing w:after="0" w:line="272"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28" w:lineRule="exact"/>
        <w:rPr>
          <w:rFonts w:ascii="Arial" w:cs="Arial" w:eastAsia="Arial" w:hAnsi="Arial"/>
          <w:sz w:val="17"/>
          <w:szCs w:val="17"/>
          <w:color w:val="auto"/>
        </w:rPr>
      </w:pPr>
    </w:p>
    <w:p>
      <w:pPr>
        <w:ind w:left="880" w:right="360" w:hanging="373"/>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21" w:lineRule="exact"/>
        <w:rPr>
          <w:rFonts w:ascii="Arial" w:cs="Arial" w:eastAsia="Arial" w:hAnsi="Arial"/>
          <w:sz w:val="18"/>
          <w:szCs w:val="18"/>
          <w:color w:val="auto"/>
        </w:rPr>
      </w:pPr>
    </w:p>
    <w:p>
      <w:pPr>
        <w:ind w:left="880" w:right="40" w:hanging="373"/>
        <w:spacing w:after="0" w:line="270"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2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16"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line="284" w:lineRule="auto"/>
        <w:rPr>
          <w:sz w:val="20"/>
          <w:szCs w:val="20"/>
          <w:color w:val="auto"/>
        </w:rPr>
      </w:pPr>
      <w:r>
        <w:rPr>
          <w:rFonts w:ascii="Arial" w:cs="Arial" w:eastAsia="Arial" w:hAnsi="Arial"/>
          <w:sz w:val="16"/>
          <w:szCs w:val="16"/>
          <w:color w:val="auto"/>
        </w:rPr>
        <w:t>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in June 2020, we received a CID from the DOJ informing us that the DOJ is investigating whether aspects of our promotional speaker programs and copayment waiver program during the period from January 1, 2015 to the present violated the U.S. Anti-Kickback Statute and the U.S. False Claims Act in relation to the sale and marketing of VASCEPA by us and our previous co-marketing partner, Kowa Pharmaceuticals, Inc. Similarly, in March 2021, the FTC issued a CID to us in connection with the FTC’s investigation of whether we have engaged in, or is engaging in, anticompetitive practices or unfair methods of competition relating to VASCEPA. The CIDs require us to produce documents and answer written questions, or interrogatories, relevant to specified time periods. We [produced the requested information and] are cooperating with the DOJ and FTC, respectively.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Anti-Kickback Statute and False Claims Act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28"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33"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84"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1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7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and we are pursuing an appeal process, it remains the case that our ability to successfully implement our business plan and to protect our products with our intellectual property will depend in large part on our ability to:</w:t>
      </w:r>
    </w:p>
    <w:p>
      <w:pPr>
        <w:ind w:left="880" w:hanging="373"/>
        <w:spacing w:after="0"/>
        <w:tabs>
          <w:tab w:leader="none" w:pos="8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56" w:lineRule="exact"/>
        <w:rPr>
          <w:rFonts w:ascii="Arial" w:cs="Arial" w:eastAsia="Arial" w:hAnsi="Arial"/>
          <w:sz w:val="22"/>
          <w:szCs w:val="22"/>
          <w:color w:val="auto"/>
        </w:rPr>
      </w:pPr>
    </w:p>
    <w:p>
      <w:pPr>
        <w:ind w:left="880" w:hanging="373"/>
        <w:spacing w:after="0"/>
        <w:tabs>
          <w:tab w:leader="none" w:pos="8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preserve any trade secrets relating to our current and future products;</w:t>
      </w:r>
    </w:p>
    <w:p>
      <w:pPr>
        <w:spacing w:after="0" w:line="57" w:lineRule="exact"/>
        <w:rPr>
          <w:rFonts w:ascii="Arial" w:cs="Arial" w:eastAsia="Arial" w:hAnsi="Arial"/>
          <w:sz w:val="22"/>
          <w:szCs w:val="22"/>
          <w:color w:val="auto"/>
        </w:rPr>
      </w:pPr>
    </w:p>
    <w:p>
      <w:pPr>
        <w:ind w:left="880" w:hanging="373"/>
        <w:spacing w:after="0"/>
        <w:tabs>
          <w:tab w:leader="none" w:pos="8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acquire patented or patentable products and technologies; and</w:t>
      </w:r>
    </w:p>
    <w:p>
      <w:pPr>
        <w:spacing w:after="0" w:line="57" w:lineRule="exact"/>
        <w:rPr>
          <w:rFonts w:ascii="Arial" w:cs="Arial" w:eastAsia="Arial" w:hAnsi="Arial"/>
          <w:sz w:val="22"/>
          <w:szCs w:val="22"/>
          <w:color w:val="auto"/>
        </w:rPr>
      </w:pPr>
    </w:p>
    <w:p>
      <w:pPr>
        <w:ind w:left="880" w:hanging="373"/>
        <w:spacing w:after="0"/>
        <w:tabs>
          <w:tab w:leader="none" w:pos="880" w:val="left"/>
        </w:tabs>
        <w:numPr>
          <w:ilvl w:val="0"/>
          <w:numId w:val="39"/>
        </w:numPr>
        <w:rPr>
          <w:rFonts w:ascii="Arial" w:cs="Arial" w:eastAsia="Arial" w:hAnsi="Arial"/>
          <w:sz w:val="22"/>
          <w:szCs w:val="22"/>
          <w:color w:val="auto"/>
        </w:rPr>
      </w:pPr>
      <w:r>
        <w:rPr>
          <w:rFonts w:ascii="Arial" w:cs="Arial" w:eastAsia="Arial" w:hAnsi="Arial"/>
          <w:sz w:val="18"/>
          <w:szCs w:val="18"/>
          <w:color w:val="auto"/>
        </w:rPr>
        <w:t>operate without infringing the proprietary rights of third parties.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5" w:name="page66"/>
    <w:bookmarkEnd w:id="65"/>
    <w:p>
      <w:pPr>
        <w:ind w:right="100" w:firstLine="510"/>
        <w:spacing w:after="0" w:line="308"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112 patent applications in the United States that have been either issued or allowed and more than 30 additional patent applications are pending in the United States. Such 112 allowed and issued applications include the following:</w:t>
      </w:r>
    </w:p>
    <w:p>
      <w:pPr>
        <w:ind w:left="880" w:hanging="373"/>
        <w:spacing w:after="0" w:line="225" w:lineRule="auto"/>
        <w:tabs>
          <w:tab w:leader="none" w:pos="8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one issued U.S. patent directed to a pharmaceutical composition of VASCEPA in a capsule that expires in 2030;</w:t>
      </w:r>
    </w:p>
    <w:p>
      <w:pPr>
        <w:spacing w:after="0" w:line="80" w:lineRule="exact"/>
        <w:rPr>
          <w:rFonts w:ascii="Arial" w:cs="Arial" w:eastAsia="Arial" w:hAnsi="Arial"/>
          <w:sz w:val="22"/>
          <w:szCs w:val="22"/>
          <w:color w:val="auto"/>
        </w:rPr>
      </w:pPr>
    </w:p>
    <w:p>
      <w:pPr>
        <w:ind w:left="88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55 U.S. patents covering or related to the use of VASCEPA in either the MARINE or ANCHOR populations that have terms that expire in 2030 or later;</w:t>
      </w:r>
    </w:p>
    <w:p>
      <w:pPr>
        <w:spacing w:after="0" w:line="21"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23 U.S. patents covering or related to the use of VASCEPA in the REDUCE-IT population with terms expiring in 2033 or later;</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two additional US patents directed to a pharmaceutical composition comprised of free fatty acids with a term that expires in 2030;</w:t>
      </w:r>
    </w:p>
    <w:p>
      <w:pPr>
        <w:spacing w:after="0" w:line="103" w:lineRule="exact"/>
        <w:rPr>
          <w:rFonts w:ascii="Arial" w:cs="Arial" w:eastAsia="Arial" w:hAnsi="Arial"/>
          <w:sz w:val="18"/>
          <w:szCs w:val="18"/>
          <w:color w:val="auto"/>
        </w:rPr>
      </w:pPr>
    </w:p>
    <w:p>
      <w:pPr>
        <w:ind w:left="880" w:hanging="373"/>
        <w:spacing w:after="0" w:line="232" w:lineRule="auto"/>
        <w:tabs>
          <w:tab w:leader="none" w:pos="8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five additional patents related to the use of a pharmaceutical composition comprised of free fatty acids to treat the ANCHOR patient population with a term that expires in 2030 or later;</w:t>
      </w:r>
    </w:p>
    <w:p>
      <w:pPr>
        <w:spacing w:after="0" w:line="54" w:lineRule="exact"/>
        <w:rPr>
          <w:rFonts w:ascii="Arial" w:cs="Arial" w:eastAsia="Arial" w:hAnsi="Arial"/>
          <w:sz w:val="22"/>
          <w:szCs w:val="22"/>
          <w:color w:val="auto"/>
        </w:rPr>
      </w:pPr>
    </w:p>
    <w:p>
      <w:pPr>
        <w:ind w:left="880" w:right="6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two additional patents related to the use of a pharmaceutical composition comprised of free fatty acids to treat the MARINE patient population with a term that expires in 2030;</w:t>
      </w:r>
    </w:p>
    <w:p>
      <w:pPr>
        <w:spacing w:after="0" w:line="21" w:lineRule="exact"/>
        <w:rPr>
          <w:rFonts w:ascii="Arial" w:cs="Arial" w:eastAsia="Arial" w:hAnsi="Arial"/>
          <w:sz w:val="18"/>
          <w:szCs w:val="18"/>
          <w:color w:val="auto"/>
        </w:rPr>
      </w:pPr>
    </w:p>
    <w:p>
      <w:pPr>
        <w:ind w:left="880" w:right="26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three additional patents related to the use of a pharmaceutical composition comprised of free fatty acids to treat the REDUCE-IT population expiring 2033;</w:t>
      </w:r>
    </w:p>
    <w:p>
      <w:pPr>
        <w:spacing w:after="0" w:line="21" w:lineRule="exact"/>
        <w:rPr>
          <w:rFonts w:ascii="Arial" w:cs="Arial" w:eastAsia="Arial" w:hAnsi="Arial"/>
          <w:sz w:val="18"/>
          <w:szCs w:val="18"/>
          <w:color w:val="auto"/>
        </w:rPr>
      </w:pPr>
    </w:p>
    <w:p>
      <w:pPr>
        <w:ind w:left="880" w:right="24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four additional patents related to a pharmaceutical composition comprised of free fatty acids and uses thereof to treat both the MARINE and ANCHOR patient populations with a term that expires in 2030;</w:t>
      </w:r>
    </w:p>
    <w:p>
      <w:pPr>
        <w:spacing w:after="0" w:line="21" w:lineRule="exact"/>
        <w:rPr>
          <w:rFonts w:ascii="Arial" w:cs="Arial" w:eastAsia="Arial" w:hAnsi="Arial"/>
          <w:sz w:val="18"/>
          <w:szCs w:val="18"/>
          <w:color w:val="auto"/>
        </w:rPr>
      </w:pPr>
    </w:p>
    <w:p>
      <w:pPr>
        <w:ind w:left="880" w:right="200" w:hanging="373"/>
        <w:spacing w:after="0" w:line="232" w:lineRule="auto"/>
        <w:tabs>
          <w:tab w:leader="none" w:pos="8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one additional patent related to the use of a pharmaceutical composition comprised of re-esterified EPA triglyceride to treat the REDUCE-IT population expiring 2033;</w:t>
      </w:r>
    </w:p>
    <w:p>
      <w:pPr>
        <w:spacing w:after="0" w:line="32" w:lineRule="exact"/>
        <w:rPr>
          <w:rFonts w:ascii="Arial" w:cs="Arial" w:eastAsia="Arial" w:hAnsi="Arial"/>
          <w:sz w:val="22"/>
          <w:szCs w:val="22"/>
          <w:color w:val="auto"/>
        </w:rPr>
      </w:pPr>
    </w:p>
    <w:p>
      <w:pPr>
        <w:ind w:left="880" w:hanging="373"/>
        <w:spacing w:after="0"/>
        <w:tabs>
          <w:tab w:leader="none" w:pos="8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four additional patents related to a formulation of EPA/DHA and uses thereof with a term that expires in 2030;</w:t>
      </w:r>
    </w:p>
    <w:p>
      <w:pPr>
        <w:spacing w:after="0" w:line="57" w:lineRule="exact"/>
        <w:rPr>
          <w:rFonts w:ascii="Arial" w:cs="Arial" w:eastAsia="Arial" w:hAnsi="Arial"/>
          <w:sz w:val="22"/>
          <w:szCs w:val="22"/>
          <w:color w:val="auto"/>
        </w:rPr>
      </w:pPr>
    </w:p>
    <w:p>
      <w:pPr>
        <w:ind w:left="880" w:hanging="373"/>
        <w:spacing w:after="0"/>
        <w:tabs>
          <w:tab w:leader="none" w:pos="880" w:val="left"/>
        </w:tabs>
        <w:numPr>
          <w:ilvl w:val="0"/>
          <w:numId w:val="40"/>
        </w:numPr>
        <w:rPr>
          <w:rFonts w:ascii="Arial" w:cs="Arial" w:eastAsia="Arial" w:hAnsi="Arial"/>
          <w:sz w:val="22"/>
          <w:szCs w:val="22"/>
          <w:color w:val="auto"/>
        </w:rPr>
      </w:pPr>
      <w:r>
        <w:rPr>
          <w:rFonts w:ascii="Arial" w:cs="Arial" w:eastAsia="Arial" w:hAnsi="Arial"/>
          <w:sz w:val="18"/>
          <w:szCs w:val="18"/>
          <w:color w:val="auto"/>
        </w:rPr>
        <w:t>two additional patents related to the use of VASCEPA to treat obesity with a term that expires in 2034;</w:t>
      </w:r>
    </w:p>
    <w:p>
      <w:pPr>
        <w:spacing w:after="0" w:line="80" w:lineRule="exact"/>
        <w:rPr>
          <w:rFonts w:ascii="Arial" w:cs="Arial" w:eastAsia="Arial" w:hAnsi="Arial"/>
          <w:sz w:val="22"/>
          <w:szCs w:val="22"/>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 additional patent related to the use of VASCEPA to treat prostate cancer with a term that expires in 2037;</w:t>
      </w:r>
    </w:p>
    <w:p>
      <w:pPr>
        <w:spacing w:after="0" w:line="103" w:lineRule="exact"/>
        <w:rPr>
          <w:rFonts w:ascii="Arial" w:cs="Arial" w:eastAsia="Arial" w:hAnsi="Arial"/>
          <w:sz w:val="18"/>
          <w:szCs w:val="18"/>
          <w:color w:val="auto"/>
        </w:rPr>
      </w:pPr>
    </w:p>
    <w:p>
      <w:pPr>
        <w:ind w:left="880" w:right="160" w:hanging="373"/>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four additional patents covering a pharmaceutical composition comprised of EPA and a hydroxyl compound with a term that expires in 2034; and</w:t>
      </w:r>
    </w:p>
    <w:p>
      <w:pPr>
        <w:spacing w:after="0" w:line="21" w:lineRule="exact"/>
        <w:rPr>
          <w:rFonts w:ascii="Arial" w:cs="Arial" w:eastAsia="Arial" w:hAnsi="Arial"/>
          <w:sz w:val="18"/>
          <w:szCs w:val="18"/>
          <w:color w:val="auto"/>
        </w:rPr>
      </w:pPr>
    </w:p>
    <w:p>
      <w:pPr>
        <w:ind w:left="880" w:hanging="373"/>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five additional patents covering a new combination therapy comprised of EPA and another drug.</w:t>
      </w:r>
    </w:p>
    <w:p>
      <w:pPr>
        <w:spacing w:after="0" w:line="17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34"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are the owner of the above-listed patents. We are also the exclusive licensee of certain patents owned by others covering products and products in development.</w:t>
      </w:r>
    </w:p>
    <w:p>
      <w:pPr>
        <w:spacing w:after="0" w:line="116"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currently available by prescription in Canada, Lebanon and the United Arab Emirates.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The European Commission, or EC, approval provides ten years of market protection in the EU. Furthermore, patent protection in Europe includes:</w:t>
      </w:r>
    </w:p>
    <w:p>
      <w:pPr>
        <w:spacing w:after="0" w:line="138"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One allowed patent related to the use of a pharmaceutical composition comprised of 4g of 96% EPA ethyl ester to treat the REDUCE-IT population expiring 2033.</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pending patent applications in Europe have the potential to extend exclusivity into 2039.</w:t>
      </w:r>
    </w:p>
    <w:p>
      <w:pPr>
        <w:spacing w:after="0" w:line="171"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may be dependent in some cases upon third-party licensors to pursue filing, prosecution and maintenance of patent rights or applications owned or controlled by those parties, including, for example, under our collaboration with Mochida. It is possible that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66" w:name="page67"/>
    <w:bookmarkEnd w:id="66"/>
    <w:p>
      <w:pPr>
        <w:ind w:right="20"/>
        <w:spacing w:after="0" w:line="271" w:lineRule="auto"/>
        <w:rPr>
          <w:sz w:val="20"/>
          <w:szCs w:val="20"/>
          <w:color w:val="auto"/>
        </w:rPr>
      </w:pPr>
      <w:r>
        <w:rPr>
          <w:rFonts w:ascii="Arial" w:cs="Arial" w:eastAsia="Arial" w:hAnsi="Arial"/>
          <w:sz w:val="17"/>
          <w:szCs w:val="17"/>
          <w:color w:val="auto"/>
        </w:rPr>
        <w:t>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 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2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38"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issued patents may not prevent competitors from competing with VASCEPA, even if we seek to enforce our patent rights.</w:t>
      </w:r>
    </w:p>
    <w:p>
      <w:pPr>
        <w:spacing w:after="0" w:line="183"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We plan to vigorously defend our rights under issued patents. For example,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We intend to vigorously pursue these ongoing litigation matters, but cannot predict the outcomes or the impact on our business. We likewise plan to engage in similar patent litigation should other competitors arise with products that infringe our intellectual property rights.</w:t>
      </w:r>
    </w:p>
    <w:p>
      <w:pPr>
        <w:spacing w:after="0" w:line="138"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10"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71"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If granted, many of the resulting granted patents from REDUCE-IT, for example, would expire in 2039, beyond the 2030 and 2033 expiration dates of currently issued REDUCE-IT patents. However, no assurance can be given that any of our pending patent applications will be granted or, if they grant, that they will prevent competitors from competing with VASCEPA.</w:t>
      </w:r>
    </w:p>
    <w:p>
      <w:pPr>
        <w:spacing w:after="0" w:line="11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7" w:name="page68"/>
    <w:bookmarkEnd w:id="67"/>
    <w:p>
      <w:pPr>
        <w:ind w:right="60"/>
        <w:spacing w:after="0" w:line="255" w:lineRule="auto"/>
        <w:rPr>
          <w:sz w:val="20"/>
          <w:szCs w:val="20"/>
          <w:color w:val="auto"/>
        </w:rPr>
      </w:pPr>
      <w:r>
        <w:rPr>
          <w:rFonts w:ascii="Arial" w:cs="Arial" w:eastAsia="Arial" w:hAnsi="Arial"/>
          <w:sz w:val="18"/>
          <w:szCs w:val="18"/>
          <w:color w:val="auto"/>
        </w:rPr>
        <w:t>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0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1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8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116" w:lineRule="exact"/>
        <w:rPr>
          <w:sz w:val="20"/>
          <w:szCs w:val="20"/>
          <w:color w:val="auto"/>
        </w:rPr>
      </w:pPr>
    </w:p>
    <w:p>
      <w:pPr>
        <w:ind w:right="180" w:firstLine="510"/>
        <w:spacing w:after="0" w:line="296" w:lineRule="auto"/>
        <w:rPr>
          <w:sz w:val="20"/>
          <w:szCs w:val="20"/>
          <w:color w:val="auto"/>
        </w:rPr>
      </w:pPr>
      <w:r>
        <w:rPr>
          <w:rFonts w:ascii="Arial" w:cs="Arial" w:eastAsia="Arial" w:hAnsi="Arial"/>
          <w:sz w:val="16"/>
          <w:szCs w:val="16"/>
          <w:color w:val="auto"/>
        </w:rPr>
        <w:t>In January 2021, we issued financial and business guidance, including expectations regarding inventory build, and 2021 operating expenses. All such guidance and updates are based on estimates, assumptions and the judgment of management. Because of the inherent nature of estimates, including during the uncertainty of COVID-19’s impact on our business, we have suspended providing net revenue guidance and there could be significant differences between our estimates and the actual amount of product demand. If we fail to realize or if we change or update any element of our publicly disclosed financial guidance as we have done in the past or other expectations about our business change, our stock price could decline in value.</w:t>
      </w:r>
    </w:p>
    <w:p>
      <w:pPr>
        <w:spacing w:after="0" w:line="175" w:lineRule="exact"/>
        <w:rPr>
          <w:sz w:val="20"/>
          <w:szCs w:val="20"/>
          <w:color w:val="auto"/>
        </w:rPr>
      </w:pPr>
    </w:p>
    <w:p>
      <w:pPr>
        <w:ind w:right="380" w:firstLine="518"/>
        <w:spacing w:after="0" w:line="277" w:lineRule="auto"/>
        <w:tabs>
          <w:tab w:leader="none" w:pos="645"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loss of key personnel could have an adverse effect on our business, particularly in light of our recent announcement of management succession plan.</w:t>
      </w:r>
    </w:p>
    <w:p>
      <w:pPr>
        <w:spacing w:after="0" w:line="35"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the departure of any key person could have a significant impact and would be potentially disruptive to our business until such time as a suitable replacement is hired. In April 2021, we announced that John Thero, President and Chief Executive Officer, will retire from his positions as President and Chief Executive Officer and member of the Board of Directors effective August 1, 2021 and will provide phased transitional and consulting services to us thereafter. The Board of Directors has appointed Karim Mikhail, currently our Senior Vice President, Commercial Head Europe, to succeed Mr. Thero as our next President and Chief Executive Officer, as well as, a member of the Board of Directors, effective August 1, 2021. In April 2021, we also announced that Joseph Kennedy will retire from his position as Executive Vice President, General Counsel effective August 1, 2021 (or such later date as may be decided between Mr. Kennedy and the Board of Directors). A search has commenced to hire a new General Counsel, with Mr. Kennedy also intending to support this transition and to provide consulting support on certain legal matters. Although we anticipate smooth transitions, any such changes to senior management, can be disruptive to operations, including by distracting management from our core business and effective employee productivity. Furthermore, because of the specialized nature of our business, as our business plan progresses, we will be highly dependent upon our ability to attract and retain qualified scientific, technical and key management personnel. As we continue to expand our commercialization efforts, particularly on a global scale, we may experience increased turnover among members of our senior management team. We may have difficulty identifying, attracting and integrating new executives to replace any such losses. As we prepare for commercialization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priorities emphasize continued promotion of VASCEPA in the United States, the current and potential threat of generic competition can create employee uncertainty which could lead to increased employee turnover.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7" w:right="419" w:bottom="1440" w:gutter="0" w:footer="0" w:header="0"/>
        </w:sectPr>
      </w:pPr>
    </w:p>
    <w:bookmarkStart w:id="68" w:name="page69"/>
    <w:bookmarkEnd w:id="68"/>
    <w:p>
      <w:pPr>
        <w:ind w:right="40" w:firstLine="510"/>
        <w:spacing w:after="0" w:line="224" w:lineRule="exact"/>
        <w:rPr>
          <w:sz w:val="20"/>
          <w:szCs w:val="20"/>
          <w:color w:val="auto"/>
        </w:rPr>
      </w:pPr>
      <w:r>
        <w:rPr>
          <w:rFonts w:ascii="Arial" w:cs="Arial" w:eastAsia="Arial" w:hAnsi="Arial"/>
          <w:sz w:val="17"/>
          <w:szCs w:val="17"/>
          <w:b w:val="1"/>
          <w:bCs w:val="1"/>
          <w:i w:val="1"/>
          <w:iCs w:val="1"/>
          <w:color w:val="auto"/>
        </w:rPr>
        <w:t>Our internal computer systems, or those of our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clinical research organizations or other contractors or consultants, may fail or suffer security breaches, which could result in a material disruption of our research and development programs.</w:t>
      </w:r>
    </w:p>
    <w:p>
      <w:pPr>
        <w:spacing w:after="0" w:line="148" w:lineRule="exact"/>
        <w:rPr>
          <w:sz w:val="20"/>
          <w:szCs w:val="20"/>
          <w:color w:val="auto"/>
        </w:rPr>
      </w:pPr>
    </w:p>
    <w:p>
      <w:pPr>
        <w:ind w:firstLine="510"/>
        <w:spacing w:after="0" w:line="219" w:lineRule="exact"/>
        <w:rPr>
          <w:sz w:val="20"/>
          <w:szCs w:val="20"/>
          <w:color w:val="auto"/>
        </w:rPr>
      </w:pPr>
      <w:r>
        <w:rPr>
          <w:rFonts w:ascii="Arial" w:cs="Arial" w:eastAsia="Arial" w:hAnsi="Arial"/>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Arial" w:cs="Arial" w:eastAsia="Arial" w:hAnsi="Arial"/>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49"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we cannot guarantee that a more material breach will not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128"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7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16"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7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9" w:name="page70"/>
    <w:bookmarkEnd w:id="69"/>
    <w:p>
      <w:pPr>
        <w:ind w:right="60" w:firstLine="510"/>
        <w:spacing w:after="0" w:line="255" w:lineRule="auto"/>
        <w:rPr>
          <w:sz w:val="20"/>
          <w:szCs w:val="20"/>
          <w:color w:val="auto"/>
        </w:rPr>
      </w:pPr>
      <w:r>
        <w:rPr>
          <w:rFonts w:ascii="Arial" w:cs="Arial" w:eastAsia="Arial" w:hAnsi="Arial"/>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13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38"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Our and our subsidiaries’ income tax returns are periodically examined by various tax authorities, including the Internal Revenue Service, or the IRS, and states.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 significant portion of our sales are to wholesalers in the pharmaceutical industry. Three customers individually accounted for 10% or more of our gross product sales. Customers A, B, and C accounted for 27%, 35%, and 31%, respectively, of gross product sales for the three months ended March 31, 2021, and represented 35%, 36%, and 24%, respectively, of the gross accounts receivable balance as of March 31, 2021. Customers A, B, and C accounted for 24%, 35%, and 32%, respectively, of gross product sales for the three months ended March 31, 2020, and represented 32%, 27%, and 30%, respectively, of the gross accounts receivable balance as of March 31, 2020.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have not yet reached sustained profitability. For the fiscal years ended December 31, 2020, 2019, and 2018, we reported losses of approximately $18.0 million, $22.6 million, and $116.4 million, and we had an accumulated deficit as of December 31, 2020 of $1.4 billion. For the three months ended March 31, 2021 and 2020, we reported losses of approximately $1.6 million and $20.6 million, respectively, and we had an accumulated deficit as of March 31, 2021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 for a full year.</w:t>
      </w:r>
    </w:p>
    <w:p>
      <w:pPr>
        <w:spacing w:after="0" w:line="171"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0" w:name="page71"/>
    <w:bookmarkEnd w:id="70"/>
    <w:p>
      <w:pPr>
        <w:ind w:right="20" w:firstLine="510"/>
        <w:spacing w:after="0" w:line="273" w:lineRule="auto"/>
        <w:rPr>
          <w:sz w:val="20"/>
          <w:szCs w:val="20"/>
          <w:color w:val="auto"/>
        </w:rPr>
      </w:pPr>
      <w:r>
        <w:rPr>
          <w:rFonts w:ascii="Arial" w:cs="Arial" w:eastAsia="Arial" w:hAnsi="Arial"/>
          <w:sz w:val="17"/>
          <w:szCs w:val="17"/>
          <w:color w:val="auto"/>
        </w:rPr>
        <w:t>Even though VASCEPA has been approved by the U.S. FDA for marketing in the United States for two important indications, recently received marketing authorization in Europe and is approved in smaller jurisdictions, it may not gain enough market acceptance to support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continue to generate robust product revenues, we will not become profitable on a sustained basis in the near term, if ever, and may be unable to continue operations without continued funding.</w:t>
      </w:r>
    </w:p>
    <w:p>
      <w:pPr>
        <w:spacing w:after="0" w:line="19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35"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 those risks and uncertainties described in this Part II, Item 1A and the following:</w:t>
      </w:r>
    </w:p>
    <w:p>
      <w:pPr>
        <w:spacing w:after="0" w:line="39" w:lineRule="exact"/>
        <w:rPr>
          <w:sz w:val="20"/>
          <w:szCs w:val="20"/>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recent launch of a generic version of VASCEPA, and the potential launch of additional generic versions;</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continued and prolonged disruption to our business from the COVID-19 pandemic;</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continuing evolution of the medical community’s and the public’s perception of the REDUCE-IT study results;</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level of demand for VASCEPA, due to changes in prescriber sentiment, quarterly changes in Distributor purchases, and other factors;</w:t>
      </w:r>
    </w:p>
    <w:p>
      <w:pPr>
        <w:spacing w:after="0" w:line="115" w:lineRule="exact"/>
        <w:rPr>
          <w:rFonts w:ascii="Arial" w:cs="Arial" w:eastAsia="Arial" w:hAnsi="Arial"/>
          <w:sz w:val="17"/>
          <w:szCs w:val="17"/>
          <w:color w:val="auto"/>
        </w:rPr>
      </w:pPr>
    </w:p>
    <w:p>
      <w:pPr>
        <w:jc w:val="both"/>
        <w:ind w:left="880" w:right="360" w:hanging="373"/>
        <w:spacing w:after="0" w:line="263"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35" w:lineRule="exact"/>
        <w:rPr>
          <w:rFonts w:ascii="Arial" w:cs="Arial" w:eastAsia="Arial" w:hAnsi="Arial"/>
          <w:sz w:val="18"/>
          <w:szCs w:val="18"/>
          <w:color w:val="auto"/>
        </w:rPr>
      </w:pPr>
    </w:p>
    <w:p>
      <w:pPr>
        <w:ind w:left="880" w:right="22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w:t>
      </w:r>
    </w:p>
    <w:p>
      <w:pPr>
        <w:spacing w:after="0" w:line="21" w:lineRule="exact"/>
        <w:rPr>
          <w:rFonts w:ascii="Arial" w:cs="Arial" w:eastAsia="Arial" w:hAnsi="Arial"/>
          <w:sz w:val="18"/>
          <w:szCs w:val="18"/>
          <w:color w:val="auto"/>
        </w:rPr>
      </w:pPr>
    </w:p>
    <w:p>
      <w:pPr>
        <w:ind w:left="880" w:right="400" w:hanging="373"/>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disruptions or delays in our or our partners’ commercial or development activities, including as a result of political instability, civil unrest, terrorism, pandemics or other natural disasters, such as the recent outbreak of coronavirus;</w:t>
      </w:r>
    </w:p>
    <w:p>
      <w:pPr>
        <w:spacing w:after="0" w:line="21" w:lineRule="exact"/>
        <w:rPr>
          <w:rFonts w:ascii="Arial" w:cs="Arial" w:eastAsia="Arial" w:hAnsi="Arial"/>
          <w:sz w:val="18"/>
          <w:szCs w:val="18"/>
          <w:color w:val="auto"/>
        </w:rPr>
      </w:pPr>
    </w:p>
    <w:p>
      <w:pPr>
        <w:ind w:left="880" w:right="20" w:hanging="373"/>
        <w:spacing w:after="0" w:line="263"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and ability of efforts outside the United States, to develop, register and commercialize VASCEPA in Europe, China Territory, several Middle Eastern and North African countries, and Canada, for example, including obtaining necessary regulatory approvals, favorable pricing and establishing marketing channels;</w:t>
      </w:r>
    </w:p>
    <w:p>
      <w:pPr>
        <w:spacing w:after="0" w:line="35"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and</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ongoing regulatory dialogue.</w:t>
      </w:r>
    </w:p>
    <w:p>
      <w:pPr>
        <w:spacing w:after="0" w:line="360" w:lineRule="exact"/>
        <w:rPr>
          <w:sz w:val="20"/>
          <w:szCs w:val="20"/>
          <w:color w:val="auto"/>
        </w:rPr>
      </w:pPr>
    </w:p>
    <w:p>
      <w:pPr>
        <w:ind w:left="260" w:right="34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We currently operate with limited resources. We believe that our cash and cash equivalents balance of $291.0 million and short-term investment balance of $213.2 million as of March 31, 2021 will be sufficient to fund our projected operations for at least 12 months. We have based this estimate on assumptions that may prove to be wrong, and we could use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we may be forced to delay, limit or eliminate certain promotional activities. We anticipate that quarterly net cash outflows in future periods will be variable as a result of the timing of certain items, including our purchases of API, VASCEPA promotional activities from approval by the U.S. FDA for the new indication and expanded label and the impact from COVID-19 on our operations and those of our customers and any current or potential generic competition.</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1" w:name="page72"/>
    <w:bookmarkEnd w:id="71"/>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00" w:right="120" w:hanging="493"/>
        <w:spacing w:after="0" w:line="25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including expenditures such as potential direct-to-consumer advertising and increased sales force sizing,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9"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time and costs involved in obtaining additional regulatory approvals for VASCEPA based on REDUCE-IT results internationally;</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 Changes in tax laws could have a material adverse effect on our business, financial condition and results of operations.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Amarin,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58"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5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4"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As of April 23, 2021, we had 394,771,523 common shares outstanding including 394,574,581 shares held as ADSs and 196,942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right="380"/>
        <w:spacing w:after="0" w:line="277" w:lineRule="auto"/>
        <w:rPr>
          <w:sz w:val="20"/>
          <w:szCs w:val="20"/>
          <w:color w:val="auto"/>
        </w:rPr>
      </w:pPr>
      <w:r>
        <w:rPr>
          <w:rFonts w:ascii="Arial" w:cs="Arial" w:eastAsia="Arial" w:hAnsi="Arial"/>
          <w:sz w:val="18"/>
          <w:szCs w:val="18"/>
          <w:color w:val="auto"/>
        </w:rPr>
        <w:t>amounts of our ADSs, particularly if these sales are in a rapid or disorderly manner, or other investors perceive that these sales could occur, the market price of our ADSs could decrease significantly.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37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Further, the United Kingdom ceased to be a member of the European Union on January 31, 2020, commonly referred to as Brexit , and the 11-month implementation period ended on December 31, 2020 and a new trade deal between the United Kingdom and the European Union was agreed to on December 24, 2020.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181"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If we were to be characterized as a passive foreign investment company there could be adverse consequences to U.S. investors.</w:t>
      </w:r>
    </w:p>
    <w:p>
      <w:pPr>
        <w:spacing w:after="0" w:line="129"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Based on certain estimates of our gross income and gross assets, the latter determined by reference to the expected value of our ADSs and shares, we believe that we will not be classified as a PFIC for the taxable year ended December 31, 2020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6" w:lineRule="exact"/>
        <w:rPr>
          <w:sz w:val="20"/>
          <w:szCs w:val="20"/>
          <w:color w:val="auto"/>
        </w:rPr>
      </w:pPr>
    </w:p>
    <w:p>
      <w:pPr>
        <w:ind w:left="1000" w:hanging="493"/>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5" w:lineRule="exact"/>
        <w:rPr>
          <w:rFonts w:ascii="Arial" w:cs="Arial" w:eastAsia="Arial" w:hAnsi="Arial"/>
          <w:sz w:val="18"/>
          <w:szCs w:val="18"/>
          <w:color w:val="auto"/>
        </w:rPr>
      </w:pPr>
    </w:p>
    <w:p>
      <w:pPr>
        <w:ind w:left="1000" w:right="340" w:hanging="493"/>
        <w:spacing w:after="0" w:line="34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1000" w:right="120" w:hanging="493"/>
        <w:spacing w:after="0" w:line="311"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0" w:lineRule="exact"/>
        <w:rPr>
          <w:rFonts w:ascii="Arial" w:cs="Arial" w:eastAsia="Arial" w:hAnsi="Arial"/>
          <w:sz w:val="16"/>
          <w:szCs w:val="16"/>
          <w:color w:val="auto"/>
        </w:rPr>
      </w:pPr>
    </w:p>
    <w:p>
      <w:pPr>
        <w:ind w:left="1000" w:right="20" w:hanging="493"/>
        <w:spacing w:after="0" w:line="25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79" w:lineRule="exact"/>
        <w:rPr>
          <w:rFonts w:ascii="Arial" w:cs="Arial" w:eastAsia="Arial" w:hAnsi="Arial"/>
          <w:sz w:val="18"/>
          <w:szCs w:val="18"/>
          <w:color w:val="auto"/>
        </w:rPr>
      </w:pPr>
    </w:p>
    <w:p>
      <w:pPr>
        <w:ind w:left="1000" w:right="20" w:hanging="493"/>
        <w:spacing w:after="0" w:line="291"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8" w:lineRule="exact"/>
        <w:rPr>
          <w:rFonts w:ascii="Arial" w:cs="Arial" w:eastAsia="Arial" w:hAnsi="Arial"/>
          <w:sz w:val="16"/>
          <w:szCs w:val="16"/>
          <w:color w:val="auto"/>
        </w:rPr>
      </w:pPr>
    </w:p>
    <w:p>
      <w:pPr>
        <w:ind w:left="1000" w:right="20" w:hanging="493"/>
        <w:spacing w:after="0" w:line="25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79" w:lineRule="exact"/>
        <w:rPr>
          <w:rFonts w:ascii="Arial" w:cs="Arial" w:eastAsia="Arial" w:hAnsi="Arial"/>
          <w:sz w:val="18"/>
          <w:szCs w:val="18"/>
          <w:color w:val="auto"/>
        </w:rPr>
      </w:pPr>
    </w:p>
    <w:p>
      <w:pPr>
        <w:ind w:left="1000" w:hanging="493"/>
        <w:spacing w:after="0" w:line="293"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Shareholder protections found in provisions under the UK City Code on Takeovers and Mergers, or the Takeover Code, do not apply to us.</w:t>
      </w:r>
    </w:p>
    <w:p>
      <w:pPr>
        <w:spacing w:after="0" w:line="10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4" w:name="page75"/>
    <w:bookmarkEnd w:id="74"/>
    <w:p>
      <w:pPr>
        <w:ind w:right="440"/>
        <w:spacing w:after="0" w:line="277" w:lineRule="auto"/>
        <w:rPr>
          <w:sz w:val="20"/>
          <w:szCs w:val="20"/>
          <w:color w:val="auto"/>
        </w:rPr>
      </w:pPr>
      <w:r>
        <w:rPr>
          <w:rFonts w:ascii="Arial" w:cs="Arial" w:eastAsia="Arial" w:hAnsi="Arial"/>
          <w:sz w:val="18"/>
          <w:szCs w:val="18"/>
          <w:color w:val="auto"/>
        </w:rPr>
        <w:t>protections provided under the Takeover Code. The following is a brief summary of some of the most important rules of the Takeover Code which, as noted, does not apply to us:</w:t>
      </w:r>
    </w:p>
    <w:p>
      <w:pPr>
        <w:spacing w:after="0" w:line="35" w:lineRule="exact"/>
        <w:rPr>
          <w:sz w:val="20"/>
          <w:szCs w:val="20"/>
          <w:color w:val="auto"/>
        </w:rPr>
      </w:pPr>
    </w:p>
    <w:p>
      <w:pPr>
        <w:ind w:left="1500" w:right="20" w:hanging="358"/>
        <w:spacing w:after="0" w:line="259" w:lineRule="auto"/>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38" w:lineRule="exact"/>
        <w:rPr>
          <w:rFonts w:ascii="Arial" w:cs="Arial" w:eastAsia="Arial" w:hAnsi="Arial"/>
          <w:sz w:val="18"/>
          <w:szCs w:val="18"/>
          <w:color w:val="auto"/>
        </w:rPr>
      </w:pPr>
    </w:p>
    <w:p>
      <w:pPr>
        <w:ind w:left="1500" w:right="40" w:hanging="358"/>
        <w:spacing w:after="0" w:line="257" w:lineRule="auto"/>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39" w:lineRule="exact"/>
        <w:rPr>
          <w:rFonts w:ascii="Arial" w:cs="Arial" w:eastAsia="Arial" w:hAnsi="Arial"/>
          <w:sz w:val="18"/>
          <w:szCs w:val="18"/>
          <w:color w:val="auto"/>
        </w:rPr>
      </w:pPr>
    </w:p>
    <w:p>
      <w:pPr>
        <w:ind w:left="1500" w:right="60" w:hanging="358"/>
        <w:spacing w:after="0" w:line="255" w:lineRule="auto"/>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43" w:lineRule="exact"/>
        <w:rPr>
          <w:rFonts w:ascii="Arial" w:cs="Arial" w:eastAsia="Arial" w:hAnsi="Arial"/>
          <w:sz w:val="18"/>
          <w:szCs w:val="18"/>
          <w:color w:val="auto"/>
        </w:rPr>
      </w:pPr>
    </w:p>
    <w:p>
      <w:pPr>
        <w:ind w:left="1500" w:right="120" w:hanging="358"/>
        <w:spacing w:after="0" w:line="277" w:lineRule="auto"/>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21" w:lineRule="exact"/>
        <w:rPr>
          <w:rFonts w:ascii="Arial" w:cs="Arial" w:eastAsia="Arial" w:hAnsi="Arial"/>
          <w:sz w:val="18"/>
          <w:szCs w:val="18"/>
          <w:color w:val="auto"/>
        </w:rPr>
      </w:pPr>
    </w:p>
    <w:p>
      <w:pPr>
        <w:ind w:left="1500" w:right="260" w:hanging="358"/>
        <w:spacing w:after="0" w:line="306" w:lineRule="auto"/>
        <w:tabs>
          <w:tab w:leader="none" w:pos="1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1" w:lineRule="exact"/>
        <w:rPr>
          <w:rFonts w:ascii="Arial" w:cs="Arial" w:eastAsia="Arial" w:hAnsi="Arial"/>
          <w:sz w:val="17"/>
          <w:szCs w:val="17"/>
          <w:color w:val="auto"/>
        </w:rPr>
      </w:pPr>
    </w:p>
    <w:p>
      <w:pPr>
        <w:ind w:left="1500" w:hanging="358"/>
        <w:spacing w:after="0" w:line="306" w:lineRule="auto"/>
        <w:tabs>
          <w:tab w:leader="none" w:pos="1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1" w:lineRule="exact"/>
        <w:rPr>
          <w:rFonts w:ascii="Arial" w:cs="Arial" w:eastAsia="Arial" w:hAnsi="Arial"/>
          <w:sz w:val="17"/>
          <w:szCs w:val="17"/>
          <w:color w:val="auto"/>
        </w:rPr>
      </w:pPr>
    </w:p>
    <w:p>
      <w:pPr>
        <w:ind w:left="1500" w:hanging="358"/>
        <w:spacing w:after="0"/>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103" w:lineRule="exact"/>
        <w:rPr>
          <w:rFonts w:ascii="Arial" w:cs="Arial" w:eastAsia="Arial" w:hAnsi="Arial"/>
          <w:sz w:val="18"/>
          <w:szCs w:val="18"/>
          <w:color w:val="auto"/>
        </w:rPr>
      </w:pPr>
    </w:p>
    <w:p>
      <w:pPr>
        <w:ind w:left="1500" w:hanging="358"/>
        <w:spacing w:after="0"/>
        <w:tabs>
          <w:tab w:leader="none" w:pos="1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directors of those parties issuing takeover circulars must include statements taking responsibility for the contents thereof.</w:t>
      </w:r>
    </w:p>
    <w:p>
      <w:pPr>
        <w:spacing w:after="0" w:line="115" w:lineRule="exact"/>
        <w:rPr>
          <w:rFonts w:ascii="Arial" w:cs="Arial" w:eastAsia="Arial" w:hAnsi="Arial"/>
          <w:sz w:val="17"/>
          <w:szCs w:val="17"/>
          <w:color w:val="auto"/>
        </w:rPr>
      </w:pPr>
    </w:p>
    <w:p>
      <w:pPr>
        <w:ind w:left="1500" w:right="20" w:hanging="358"/>
        <w:spacing w:after="0" w:line="277" w:lineRule="auto"/>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21" w:lineRule="exact"/>
        <w:rPr>
          <w:rFonts w:ascii="Arial" w:cs="Arial" w:eastAsia="Arial" w:hAnsi="Arial"/>
          <w:sz w:val="18"/>
          <w:szCs w:val="18"/>
          <w:color w:val="auto"/>
        </w:rPr>
      </w:pPr>
    </w:p>
    <w:p>
      <w:pPr>
        <w:ind w:left="1500" w:hanging="358"/>
        <w:spacing w:after="0"/>
        <w:tabs>
          <w:tab w:leader="none" w:pos="1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Misleading, inaccurate or unsubstantiated statements made in documents or to the media must be publicly corrected immediately.</w:t>
      </w:r>
    </w:p>
    <w:p>
      <w:pPr>
        <w:spacing w:after="0" w:line="126" w:lineRule="exact"/>
        <w:rPr>
          <w:rFonts w:ascii="Arial" w:cs="Arial" w:eastAsia="Arial" w:hAnsi="Arial"/>
          <w:sz w:val="16"/>
          <w:szCs w:val="16"/>
          <w:color w:val="auto"/>
        </w:rPr>
      </w:pPr>
    </w:p>
    <w:p>
      <w:pPr>
        <w:ind w:left="1500" w:right="100" w:hanging="358"/>
        <w:spacing w:after="0" w:line="279" w:lineRule="auto"/>
        <w:tabs>
          <w:tab w:leader="none" w:pos="1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22" w:lineRule="exact"/>
        <w:rPr>
          <w:rFonts w:ascii="Arial" w:cs="Arial" w:eastAsia="Arial" w:hAnsi="Arial"/>
          <w:sz w:val="17"/>
          <w:szCs w:val="17"/>
          <w:color w:val="auto"/>
        </w:rPr>
      </w:pPr>
    </w:p>
    <w:p>
      <w:pPr>
        <w:jc w:val="both"/>
        <w:ind w:left="1500" w:right="620" w:hanging="358"/>
        <w:spacing w:after="0" w:line="263" w:lineRule="auto"/>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35" w:lineRule="exact"/>
        <w:rPr>
          <w:rFonts w:ascii="Arial" w:cs="Arial" w:eastAsia="Arial" w:hAnsi="Arial"/>
          <w:sz w:val="18"/>
          <w:szCs w:val="18"/>
          <w:color w:val="auto"/>
        </w:rPr>
      </w:pPr>
    </w:p>
    <w:p>
      <w:pPr>
        <w:ind w:left="1500" w:right="20" w:hanging="358"/>
        <w:spacing w:after="0" w:line="259" w:lineRule="auto"/>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93" w:right="359" w:bottom="1440" w:gutter="0" w:footer="0" w:header="0"/>
        </w:sectPr>
      </w:pPr>
    </w:p>
    <w:bookmarkStart w:id="75" w:name="page76"/>
    <w:bookmarkEnd w:id="75"/>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2" w:lineRule="exact"/>
        <w:rPr>
          <w:sz w:val="20"/>
          <w:szCs w:val="20"/>
          <w:color w:val="auto"/>
        </w:rPr>
      </w:pPr>
    </w:p>
    <w:p>
      <w:pPr>
        <w:ind w:left="260" w:right="12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77"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75"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13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On June 23, 2016, the UK held a referendum in which a majority of the eligible members of the electorate voted to leave the EU, commonly referred to as Brexit. The UK formally left the EU on January 31, 2020 when the transition period granted by the Withdrawal Agreement ended. Separately, the EU-UK Trade and Cooperation Agreement was entered into between the UK and the EU on December 24, 2020. In addition, the UK is negotiating deals in a number of other areas where cooperation with the EU is required, and there is continued uncertainty as to which EU regulations and directives will be replicated into UK domestic law, or replaced, going forward, and when. Given the recent deal terms and the lack of clarity on future UK laws and regulations and their divergence from, or consistency with, the EU laws and regulations may negatively impact foreign direct investment in the UK, increase costs, depress economic activity and restrict access to capital.</w:t>
      </w:r>
    </w:p>
    <w:p>
      <w:pPr>
        <w:spacing w:after="0" w:line="123"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130"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03"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If the UK and the EU are unable to implement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w:t>
      </w:r>
    </w:p>
    <w:p>
      <w:pPr>
        <w:spacing w:after="0" w:line="13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spacing w:after="0" w:line="259" w:lineRule="auto"/>
        <w:rPr>
          <w:sz w:val="20"/>
          <w:szCs w:val="20"/>
          <w:color w:val="auto"/>
        </w:rPr>
      </w:pPr>
      <w:r>
        <w:rPr>
          <w:rFonts w:ascii="Arial" w:cs="Arial" w:eastAsia="Arial" w:hAnsi="Arial"/>
          <w:sz w:val="18"/>
          <w:szCs w:val="18"/>
          <w:color w:val="auto"/>
        </w:rPr>
        <w:t>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 particularly in regards to the specific terms of any trade deal that is reached between the UK and the EU.</w:t>
      </w:r>
    </w:p>
    <w:p>
      <w:pPr>
        <w:spacing w:after="0" w:line="133"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 could restrict our ability to generate revenue and achieve and sustain profitability.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Negative economic conditions would likely have a negative effect on our ability to obtain financing on acceptable terms.</w:t>
      </w:r>
    </w:p>
    <w:p>
      <w:pPr>
        <w:spacing w:after="0" w:line="171"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continued volatility attributed to COVID-19.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83"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1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7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49" w:lineRule="exact"/>
        <w:rPr>
          <w:sz w:val="20"/>
          <w:szCs w:val="20"/>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03" w:lineRule="exact"/>
        <w:rPr>
          <w:rFonts w:ascii="Arial" w:cs="Arial" w:eastAsia="Arial" w:hAnsi="Arial"/>
          <w:sz w:val="18"/>
          <w:szCs w:val="18"/>
          <w:color w:val="auto"/>
        </w:rPr>
      </w:pPr>
    </w:p>
    <w:p>
      <w:pPr>
        <w:ind w:left="880" w:hanging="373"/>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13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8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Unregistered Sales of Equity Securities and Use of Proceeds</w:t>
            </w:r>
          </w:p>
        </w:tc>
        <w:tc>
          <w:tcPr>
            <w:tcW w:w="1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586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60" w:type="dxa"/>
            <w:vAlign w:val="bottom"/>
            <w:gridSpan w:val="4"/>
          </w:tcPr>
          <w:p>
            <w:pPr>
              <w:ind w:left="520"/>
              <w:spacing w:after="0"/>
              <w:rPr>
                <w:sz w:val="20"/>
                <w:szCs w:val="20"/>
                <w:color w:val="auto"/>
              </w:rPr>
            </w:pPr>
            <w:r>
              <w:rPr>
                <w:rFonts w:ascii="Arial" w:cs="Arial" w:eastAsia="Arial" w:hAnsi="Arial"/>
                <w:sz w:val="18"/>
                <w:szCs w:val="18"/>
                <w:color w:val="auto"/>
              </w:rPr>
              <w:t>Shares purchased in the first quarter of 2021 are as follows:</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5"/>
        </w:trPr>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Average Price</w:t>
            </w:r>
          </w:p>
        </w:tc>
      </w:tr>
      <w:tr>
        <w:trPr>
          <w:trHeight w:val="171"/>
        </w:trPr>
        <w:tc>
          <w:tcPr>
            <w:tcW w:w="860" w:type="dxa"/>
            <w:vAlign w:val="bottom"/>
          </w:tcPr>
          <w:p>
            <w:pPr>
              <w:spacing w:after="0"/>
              <w:rPr>
                <w:sz w:val="14"/>
                <w:szCs w:val="14"/>
                <w:color w:val="auto"/>
              </w:rPr>
            </w:pPr>
          </w:p>
        </w:tc>
        <w:tc>
          <w:tcPr>
            <w:tcW w:w="5000" w:type="dxa"/>
            <w:vAlign w:val="bottom"/>
            <w:gridSpan w:val="3"/>
          </w:tcPr>
          <w:p>
            <w:pPr>
              <w:ind w:left="280"/>
              <w:spacing w:after="0"/>
              <w:rPr>
                <w:sz w:val="20"/>
                <w:szCs w:val="20"/>
                <w:color w:val="auto"/>
              </w:rPr>
            </w:pPr>
            <w:r>
              <w:rPr>
                <w:rFonts w:ascii="Arial" w:cs="Arial" w:eastAsia="Arial" w:hAnsi="Arial"/>
                <w:sz w:val="14"/>
                <w:szCs w:val="14"/>
                <w:b w:val="1"/>
                <w:bCs w:val="1"/>
                <w:i w:val="1"/>
                <w:iCs w:val="1"/>
                <w:color w:val="auto"/>
              </w:rPr>
              <w:t>Period</w:t>
            </w: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 xml:space="preserve">Shares Purchased </w:t>
            </w:r>
            <w:r>
              <w:rPr>
                <w:rFonts w:ascii="Arial" w:cs="Arial" w:eastAsia="Arial" w:hAnsi="Arial"/>
                <w:sz w:val="12"/>
                <w:szCs w:val="12"/>
                <w:b w:val="1"/>
                <w:bCs w:val="1"/>
                <w:color w:val="auto"/>
                <w:w w:val="89"/>
              </w:rPr>
              <w:t>(1)</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Paid per Share</w:t>
            </w:r>
          </w:p>
        </w:tc>
      </w:tr>
      <w:tr>
        <w:trPr>
          <w:trHeight w:val="223"/>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January 1 - 31, 2021</w:t>
            </w:r>
          </w:p>
        </w:tc>
        <w:tc>
          <w:tcPr>
            <w:tcW w:w="20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254,331</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6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February 1 - 28, 2021</w:t>
            </w:r>
          </w:p>
        </w:tc>
        <w:tc>
          <w:tcPr>
            <w:tcW w:w="1920" w:type="dxa"/>
            <w:vAlign w:val="bottom"/>
          </w:tcPr>
          <w:p>
            <w:pPr>
              <w:jc w:val="right"/>
              <w:spacing w:after="0"/>
              <w:rPr>
                <w:sz w:val="20"/>
                <w:szCs w:val="20"/>
                <w:color w:val="auto"/>
              </w:rPr>
            </w:pPr>
            <w:r>
              <w:rPr>
                <w:rFonts w:ascii="Arial" w:cs="Arial" w:eastAsia="Arial" w:hAnsi="Arial"/>
                <w:sz w:val="18"/>
                <w:szCs w:val="18"/>
                <w:color w:val="auto"/>
              </w:rPr>
              <w:t>711,894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r>
      <w:tr>
        <w:trPr>
          <w:trHeight w:val="229"/>
        </w:trPr>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March 1 - 31, 2021</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37,740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FF0FC"/>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5000" w:type="dxa"/>
            <w:vAlign w:val="bottom"/>
            <w:gridSpan w:val="3"/>
          </w:tcPr>
          <w:p>
            <w:pPr>
              <w:ind w:left="28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1,003,965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r>
    </w:tbl>
    <w:p>
      <w:pPr>
        <w:spacing w:after="0" w:line="242" w:lineRule="exact"/>
        <w:rPr>
          <w:sz w:val="20"/>
          <w:szCs w:val="20"/>
          <w:color w:val="auto"/>
        </w:rPr>
      </w:pPr>
    </w:p>
    <w:p>
      <w:pPr>
        <w:ind w:left="500" w:hanging="492"/>
        <w:spacing w:after="0" w:line="277" w:lineRule="auto"/>
        <w:tabs>
          <w:tab w:leader="none" w:pos="500" w:val="left"/>
        </w:tabs>
        <w:numPr>
          <w:ilvl w:val="0"/>
          <w:numId w:val="48"/>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60" w:type="dxa"/>
            <w:vAlign w:val="bottom"/>
          </w:tcPr>
          <w:p>
            <w:pPr>
              <w:spacing w:after="0"/>
              <w:rPr>
                <w:sz w:val="20"/>
                <w:szCs w:val="20"/>
                <w:color w:val="auto"/>
              </w:rPr>
            </w:pPr>
          </w:p>
        </w:tc>
        <w:tc>
          <w:tcPr>
            <w:tcW w:w="3740" w:type="dxa"/>
            <w:vAlign w:val="bottom"/>
            <w:gridSpan w:val="4"/>
          </w:tcPr>
          <w:p>
            <w:pPr>
              <w:ind w:left="320"/>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9080" w:type="dxa"/>
            <w:vAlign w:val="bottom"/>
            <w:gridSpan w:val="8"/>
          </w:tcPr>
          <w:p>
            <w:pPr>
              <w:ind w:left="200"/>
              <w:spacing w:after="0"/>
              <w:rPr>
                <w:sz w:val="20"/>
                <w:szCs w:val="20"/>
                <w:color w:val="auto"/>
              </w:rPr>
            </w:pPr>
            <w:r>
              <w:rPr>
                <w:rFonts w:ascii="Arial" w:cs="Arial" w:eastAsia="Arial" w:hAnsi="Arial"/>
                <w:sz w:val="18"/>
                <w:szCs w:val="18"/>
                <w:color w:val="auto"/>
              </w:rPr>
              <w:t>The following exhibits are incorporated by reference or filed or furnished as part of this report.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80" w:type="dxa"/>
            <w:vAlign w:val="bottom"/>
          </w:tcPr>
          <w:p>
            <w:pPr>
              <w:ind w:left="2260"/>
              <w:spacing w:after="0"/>
              <w:rPr>
                <w:sz w:val="20"/>
                <w:szCs w:val="20"/>
                <w:color w:val="auto"/>
              </w:rPr>
            </w:pPr>
            <w:r>
              <w:rPr>
                <w:rFonts w:ascii="Arial" w:cs="Arial" w:eastAsia="Arial" w:hAnsi="Arial"/>
                <w:sz w:val="14"/>
                <w:szCs w:val="14"/>
                <w:b w:val="1"/>
                <w:bCs w:val="1"/>
                <w:color w:val="auto"/>
              </w:rPr>
              <w:t>Incorporated by Reference Herein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0" w:type="dxa"/>
            <w:vAlign w:val="bottom"/>
            <w:vMerge w:val="restart"/>
          </w:tcPr>
          <w:p>
            <w:pPr>
              <w:spacing w:after="0"/>
              <w:rPr>
                <w:sz w:val="4"/>
                <w:szCs w:val="4"/>
                <w:color w:val="auto"/>
              </w:rPr>
            </w:pPr>
          </w:p>
        </w:tc>
        <w:tc>
          <w:tcPr>
            <w:tcW w:w="440" w:type="dxa"/>
            <w:vAlign w:val="bottom"/>
            <w:vMerge w:val="restart"/>
          </w:tcPr>
          <w:p>
            <w:pPr>
              <w:spacing w:after="0"/>
              <w:rPr>
                <w:sz w:val="4"/>
                <w:szCs w:val="4"/>
                <w:color w:val="auto"/>
              </w:rPr>
            </w:pPr>
          </w:p>
        </w:tc>
        <w:tc>
          <w:tcPr>
            <w:tcW w:w="330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4"/>
                <w:szCs w:val="4"/>
                <w:color w:val="auto"/>
              </w:rPr>
            </w:pPr>
          </w:p>
        </w:tc>
        <w:tc>
          <w:tcPr>
            <w:tcW w:w="47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780" w:type="dxa"/>
            <w:vAlign w:val="bottom"/>
            <w:tcBorders>
              <w:bottom w:val="single" w:sz="8" w:color="auto"/>
            </w:tcBorders>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3300" w:type="dxa"/>
            <w:vAlign w:val="bottom"/>
            <w:tcBorders>
              <w:bottom w:val="single" w:sz="8" w:color="auto"/>
            </w:tcBorders>
            <w:gridSpan w:val="3"/>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tcPr>
          <w:p>
            <w:pPr>
              <w:ind w:left="1880"/>
              <w:spacing w:after="0" w:line="142" w:lineRule="exact"/>
              <w:rPr>
                <w:sz w:val="20"/>
                <w:szCs w:val="20"/>
                <w:color w:val="auto"/>
              </w:rPr>
            </w:pPr>
            <w:r>
              <w:rPr>
                <w:rFonts w:ascii="Arial" w:cs="Arial" w:eastAsia="Arial" w:hAnsi="Arial"/>
                <w:sz w:val="14"/>
                <w:szCs w:val="14"/>
                <w:b w:val="1"/>
                <w:bCs w:val="1"/>
                <w:color w:val="auto"/>
              </w:rPr>
              <w:t>Form</w:t>
            </w:r>
          </w:p>
        </w:tc>
        <w:tc>
          <w:tcPr>
            <w:tcW w:w="1840" w:type="dxa"/>
            <w:vAlign w:val="bottom"/>
            <w:tcBorders>
              <w:bottom w:val="single" w:sz="8" w:color="auto"/>
            </w:tcBorders>
          </w:tcPr>
          <w:p>
            <w:pPr>
              <w:ind w:left="440"/>
              <w:spacing w:after="0" w:line="142" w:lineRule="exact"/>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90"/>
        </w:trPr>
        <w:tc>
          <w:tcPr>
            <w:tcW w:w="78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60" w:type="dxa"/>
            <w:vAlign w:val="bottom"/>
          </w:tcPr>
          <w:p>
            <w:pPr>
              <w:spacing w:after="0"/>
              <w:rPr>
                <w:sz w:val="24"/>
                <w:szCs w:val="24"/>
                <w:color w:val="auto"/>
              </w:rPr>
            </w:pPr>
          </w:p>
        </w:tc>
        <w:tc>
          <w:tcPr>
            <w:tcW w:w="3740" w:type="dxa"/>
            <w:vAlign w:val="bottom"/>
            <w:gridSpan w:val="4"/>
          </w:tcPr>
          <w:p>
            <w:pPr>
              <w:spacing w:after="0"/>
              <w:rPr>
                <w:rFonts w:ascii="Arial" w:cs="Arial" w:eastAsia="Arial" w:hAnsi="Arial"/>
                <w:sz w:val="18"/>
                <w:szCs w:val="18"/>
                <w:color w:val="0000EE"/>
                <w:w w:val="98"/>
              </w:rPr>
            </w:pPr>
            <w:hyperlink w:anchor="page81">
              <w:r>
                <w:rPr>
                  <w:rFonts w:ascii="Arial" w:cs="Arial" w:eastAsia="Arial" w:hAnsi="Arial"/>
                  <w:sz w:val="18"/>
                  <w:szCs w:val="18"/>
                  <w:color w:val="0000EE"/>
                  <w:w w:val="98"/>
                </w:rPr>
                <w:t>Online Office Agreement dated as of March 30,</w:t>
              </w:r>
            </w:hyperlink>
          </w:p>
        </w:tc>
        <w:tc>
          <w:tcPr>
            <w:tcW w:w="4820" w:type="dxa"/>
            <w:vAlign w:val="bottom"/>
            <w:gridSpan w:val="2"/>
          </w:tcPr>
          <w:p>
            <w:pPr>
              <w:ind w:left="40"/>
              <w:spacing w:after="0"/>
              <w:rPr>
                <w:sz w:val="20"/>
                <w:szCs w:val="20"/>
                <w:color w:val="auto"/>
              </w:rPr>
            </w:pPr>
            <w:r>
              <w:rPr>
                <w:rFonts w:ascii="Arial" w:cs="Arial" w:eastAsia="Arial" w:hAnsi="Arial"/>
                <w:sz w:val="18"/>
                <w:szCs w:val="18"/>
                <w:color w:val="auto"/>
              </w:rPr>
              <w:t>Filed herewith</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2021, by and between Amarin Germany GmbH and</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40" w:type="dxa"/>
            <w:vAlign w:val="bottom"/>
            <w:gridSpan w:val="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Regus</w:t>
              </w:r>
            </w:hyperlink>
          </w:p>
        </w:tc>
        <w:tc>
          <w:tcPr>
            <w:tcW w:w="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gridSpan w:val="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60" w:type="dxa"/>
            <w:vAlign w:val="bottom"/>
          </w:tcPr>
          <w:p>
            <w:pPr>
              <w:spacing w:after="0"/>
              <w:rPr>
                <w:sz w:val="24"/>
                <w:szCs w:val="24"/>
                <w:color w:val="auto"/>
              </w:rPr>
            </w:pPr>
          </w:p>
        </w:tc>
        <w:tc>
          <w:tcPr>
            <w:tcW w:w="3740" w:type="dxa"/>
            <w:vAlign w:val="bottom"/>
            <w:gridSpan w:val="4"/>
          </w:tcPr>
          <w:p>
            <w:pPr>
              <w:spacing w:after="0"/>
              <w:rPr>
                <w:rFonts w:ascii="Arial" w:cs="Arial" w:eastAsia="Arial" w:hAnsi="Arial"/>
                <w:sz w:val="18"/>
                <w:szCs w:val="18"/>
                <w:color w:val="0000EE"/>
                <w:w w:val="98"/>
              </w:rPr>
            </w:pPr>
            <w:hyperlink w:anchor="page88">
              <w:r>
                <w:rPr>
                  <w:rFonts w:ascii="Arial" w:cs="Arial" w:eastAsia="Arial" w:hAnsi="Arial"/>
                  <w:sz w:val="18"/>
                  <w:szCs w:val="18"/>
                  <w:color w:val="0000EE"/>
                  <w:w w:val="98"/>
                </w:rPr>
                <w:t>Online Office Agreement dated as of March 30,</w:t>
              </w:r>
            </w:hyperlink>
          </w:p>
        </w:tc>
        <w:tc>
          <w:tcPr>
            <w:tcW w:w="4820" w:type="dxa"/>
            <w:vAlign w:val="bottom"/>
            <w:gridSpan w:val="2"/>
          </w:tcPr>
          <w:p>
            <w:pPr>
              <w:ind w:left="40"/>
              <w:spacing w:after="0"/>
              <w:rPr>
                <w:sz w:val="20"/>
                <w:szCs w:val="20"/>
                <w:color w:val="auto"/>
              </w:rPr>
            </w:pPr>
            <w:r>
              <w:rPr>
                <w:rFonts w:ascii="Arial" w:cs="Arial" w:eastAsia="Arial" w:hAnsi="Arial"/>
                <w:sz w:val="18"/>
                <w:szCs w:val="18"/>
                <w:color w:val="auto"/>
              </w:rPr>
              <w:t>Filed herewith</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2021, by and between Amarin Germany GmbH and</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40" w:type="dxa"/>
            <w:vAlign w:val="bottom"/>
            <w:gridSpan w:val="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Regus</w:t>
              </w:r>
            </w:hyperlink>
          </w:p>
        </w:tc>
        <w:tc>
          <w:tcPr>
            <w:tcW w:w="4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240"/>
          </w:cols>
          <w:pgMar w:left="320" w:top="121" w:right="339" w:bottom="1440" w:gutter="0" w:footer="0" w:header="0"/>
        </w:sectPr>
      </w:pPr>
    </w:p>
    <w:p>
      <w:pPr>
        <w:ind w:left="840" w:hanging="822"/>
        <w:spacing w:after="0" w:line="277" w:lineRule="auto"/>
        <w:tabs>
          <w:tab w:leader="none" w:pos="820" w:val="left"/>
        </w:tabs>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102">
        <w:r>
          <w:rPr>
            <w:rFonts w:ascii="Arial" w:cs="Arial" w:eastAsia="Arial" w:hAnsi="Arial"/>
            <w:sz w:val="18"/>
            <w:szCs w:val="18"/>
            <w:u w:val="single" w:color="auto"/>
            <w:color w:val="0000EE"/>
          </w:rPr>
          <w:t>Amarin Corporation plc Executive Severance and</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Change of Control Plan</w:t>
        </w:r>
      </w:hyperlink>
    </w:p>
    <w:p>
      <w:pPr>
        <w:spacing w:after="0" w:line="76" w:lineRule="exact"/>
        <w:rPr>
          <w:rFonts w:ascii="Arial" w:cs="Arial" w:eastAsia="Arial" w:hAnsi="Arial"/>
          <w:sz w:val="18"/>
          <w:szCs w:val="18"/>
          <w:u w:val="single" w:color="auto"/>
          <w:color w:val="0000EE"/>
        </w:rPr>
      </w:pPr>
    </w:p>
    <w:p>
      <w:pPr>
        <w:jc w:val="both"/>
        <w:ind w:left="840" w:right="40" w:hanging="822"/>
        <w:spacing w:after="0" w:line="263" w:lineRule="auto"/>
        <w:tabs>
          <w:tab w:leader="none" w:pos="820" w:val="left"/>
        </w:tabs>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w:anchor="page95">
        <w:r>
          <w:rPr>
            <w:rFonts w:ascii="Arial" w:cs="Arial" w:eastAsia="Arial" w:hAnsi="Arial"/>
            <w:sz w:val="18"/>
            <w:szCs w:val="18"/>
            <w:u w:val="single" w:color="auto"/>
            <w:color w:val="0000EE"/>
          </w:rPr>
          <w:t>Contract of Employment between Karim Mikhail</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and Amarin Switzerland GmbH, dated April 12,</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2021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1300"/>
        <w:spacing w:after="0" w:line="277" w:lineRule="auto"/>
        <w:rPr>
          <w:sz w:val="20"/>
          <w:szCs w:val="20"/>
          <w:color w:val="auto"/>
        </w:rPr>
      </w:pPr>
      <w:r>
        <w:rPr>
          <w:rFonts w:ascii="Arial" w:cs="Arial" w:eastAsia="Arial" w:hAnsi="Arial"/>
          <w:sz w:val="18"/>
          <w:szCs w:val="18"/>
          <w:color w:val="auto"/>
        </w:rPr>
        <w:t>Current Report on Form 8-K dated January 29, 2021, January 29, 2021 Nile No. 0-21392, as Exhibit 10.1</w:t>
      </w:r>
    </w:p>
    <w:p>
      <w:pPr>
        <w:spacing w:after="0" w:line="7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545" w:lineRule="exact"/>
        <w:rPr>
          <w:rFonts w:ascii="Arial" w:cs="Arial" w:eastAsia="Arial" w:hAnsi="Arial"/>
          <w:sz w:val="18"/>
          <w:szCs w:val="18"/>
          <w:u w:val="single" w:color="auto"/>
          <w:color w:val="0000EE"/>
        </w:rPr>
      </w:pPr>
    </w:p>
    <w:p>
      <w:pPr>
        <w:sectPr>
          <w:pgSz w:w="11900" w:h="16838" w:orient="portrait"/>
          <w:cols w:equalWidth="0" w:num="2">
            <w:col w:w="4420" w:space="200"/>
            <w:col w:w="6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40" w:type="dxa"/>
            <w:vAlign w:val="bottom"/>
            <w:gridSpan w:val="3"/>
          </w:tcPr>
          <w:p>
            <w:pPr>
              <w:ind w:left="100"/>
              <w:spacing w:after="0"/>
              <w:rPr>
                <w:rFonts w:ascii="Arial" w:cs="Arial" w:eastAsia="Arial" w:hAnsi="Arial"/>
                <w:sz w:val="18"/>
                <w:szCs w:val="18"/>
                <w:color w:val="0000EE"/>
              </w:rPr>
            </w:pPr>
            <w:hyperlink w:anchor="page11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720" w:type="dxa"/>
            <w:vAlign w:val="bottom"/>
            <w:gridSpan w:val="12"/>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Certification of President and Chief Executive</w:t>
              </w:r>
            </w:hyperlink>
          </w:p>
        </w:tc>
        <w:tc>
          <w:tcPr>
            <w:tcW w:w="6680" w:type="dxa"/>
            <w:vAlign w:val="bottom"/>
          </w:tcPr>
          <w:p>
            <w:pPr>
              <w:ind w:left="60"/>
              <w:spacing w:after="0"/>
              <w:rPr>
                <w:sz w:val="20"/>
                <w:szCs w:val="20"/>
                <w:color w:val="auto"/>
              </w:rPr>
            </w:pPr>
            <w:r>
              <w:rPr>
                <w:rFonts w:ascii="Arial" w:cs="Arial" w:eastAsia="Arial" w:hAnsi="Arial"/>
                <w:sz w:val="18"/>
                <w:szCs w:val="18"/>
                <w:color w:val="auto"/>
              </w:rPr>
              <w:t>Filed herewith</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Officer (Principal Executive Officer) pursuant to</w:t>
              </w:r>
            </w:hyperlink>
          </w:p>
        </w:tc>
        <w:tc>
          <w:tcPr>
            <w:tcW w:w="220" w:type="dxa"/>
            <w:vAlign w:val="bottom"/>
            <w:gridSpan w:val="3"/>
          </w:tcPr>
          <w:p>
            <w:pPr>
              <w:spacing w:after="0"/>
              <w:rPr>
                <w:sz w:val="17"/>
                <w:szCs w:val="17"/>
                <w:color w:val="auto"/>
              </w:rPr>
            </w:pPr>
          </w:p>
        </w:tc>
        <w:tc>
          <w:tcPr>
            <w:tcW w:w="66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Section 302 of Sarbanes-Oxley Act of 2002</w:t>
              </w:r>
            </w:hyperlink>
          </w:p>
        </w:tc>
        <w:tc>
          <w:tcPr>
            <w:tcW w:w="580" w:type="dxa"/>
            <w:vAlign w:val="bottom"/>
            <w:gridSpan w:val="7"/>
          </w:tcPr>
          <w:p>
            <w:pPr>
              <w:spacing w:after="0"/>
              <w:rPr>
                <w:sz w:val="17"/>
                <w:szCs w:val="17"/>
                <w:color w:val="auto"/>
              </w:rPr>
            </w:pPr>
          </w:p>
        </w:tc>
        <w:tc>
          <w:tcPr>
            <w:tcW w:w="6680" w:type="dxa"/>
            <w:vAlign w:val="bottom"/>
          </w:tcPr>
          <w:p>
            <w:pPr>
              <w:spacing w:after="0"/>
              <w:rPr>
                <w:sz w:val="17"/>
                <w:szCs w:val="17"/>
                <w:color w:val="auto"/>
              </w:rPr>
            </w:pPr>
          </w:p>
        </w:tc>
      </w:tr>
      <w:tr>
        <w:trPr>
          <w:trHeight w:val="318"/>
        </w:trPr>
        <w:tc>
          <w:tcPr>
            <w:tcW w:w="840" w:type="dxa"/>
            <w:vAlign w:val="bottom"/>
            <w:gridSpan w:val="3"/>
          </w:tcPr>
          <w:p>
            <w:pPr>
              <w:ind w:left="100"/>
              <w:spacing w:after="0"/>
              <w:rPr>
                <w:rFonts w:ascii="Arial" w:cs="Arial" w:eastAsia="Arial" w:hAnsi="Arial"/>
                <w:sz w:val="18"/>
                <w:szCs w:val="18"/>
                <w:color w:val="0000EE"/>
              </w:rPr>
            </w:pPr>
            <w:hyperlink w:anchor="page11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720" w:type="dxa"/>
            <w:vAlign w:val="bottom"/>
            <w:gridSpan w:val="12"/>
          </w:tcPr>
          <w:p>
            <w:pPr>
              <w:spacing w:after="0"/>
              <w:rPr>
                <w:rFonts w:ascii="Arial" w:cs="Arial" w:eastAsia="Arial" w:hAnsi="Arial"/>
                <w:sz w:val="18"/>
                <w:szCs w:val="18"/>
                <w:color w:val="0000EE"/>
                <w:w w:val="98"/>
              </w:rPr>
            </w:pPr>
            <w:hyperlink w:anchor="page115">
              <w:r>
                <w:rPr>
                  <w:rFonts w:ascii="Arial" w:cs="Arial" w:eastAsia="Arial" w:hAnsi="Arial"/>
                  <w:sz w:val="18"/>
                  <w:szCs w:val="18"/>
                  <w:color w:val="0000EE"/>
                  <w:w w:val="98"/>
                </w:rPr>
                <w:t>Certification of Senior Vice President and Chief</w:t>
              </w:r>
            </w:hyperlink>
          </w:p>
        </w:tc>
        <w:tc>
          <w:tcPr>
            <w:tcW w:w="6680" w:type="dxa"/>
            <w:vAlign w:val="bottom"/>
          </w:tcPr>
          <w:p>
            <w:pPr>
              <w:ind w:left="60"/>
              <w:spacing w:after="0"/>
              <w:rPr>
                <w:sz w:val="20"/>
                <w:szCs w:val="20"/>
                <w:color w:val="auto"/>
              </w:rPr>
            </w:pPr>
            <w:r>
              <w:rPr>
                <w:rFonts w:ascii="Arial" w:cs="Arial" w:eastAsia="Arial" w:hAnsi="Arial"/>
                <w:sz w:val="18"/>
                <w:szCs w:val="18"/>
                <w:color w:val="auto"/>
              </w:rPr>
              <w:t>Filed herewith</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5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15">
              <w:r>
                <w:rPr>
                  <w:rFonts w:ascii="Arial" w:cs="Arial" w:eastAsia="Arial" w:hAnsi="Arial"/>
                  <w:sz w:val="18"/>
                  <w:szCs w:val="18"/>
                  <w:color w:val="0000EE"/>
                  <w:w w:val="93"/>
                </w:rPr>
                <w:t>Financial Officer (Principal Financial Officer and</w:t>
              </w:r>
            </w:hyperlink>
          </w:p>
        </w:tc>
        <w:tc>
          <w:tcPr>
            <w:tcW w:w="160" w:type="dxa"/>
            <w:vAlign w:val="bottom"/>
            <w:gridSpan w:val="2"/>
          </w:tcPr>
          <w:p>
            <w:pPr>
              <w:spacing w:after="0"/>
              <w:rPr>
                <w:sz w:val="17"/>
                <w:szCs w:val="17"/>
                <w:color w:val="auto"/>
              </w:rPr>
            </w:pPr>
          </w:p>
        </w:tc>
        <w:tc>
          <w:tcPr>
            <w:tcW w:w="66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20" w:type="dxa"/>
            <w:vAlign w:val="bottom"/>
            <w:gridSpan w:val="12"/>
          </w:tcPr>
          <w:p>
            <w:pPr>
              <w:spacing w:after="0" w:line="196" w:lineRule="exact"/>
              <w:rPr>
                <w:rFonts w:ascii="Arial" w:cs="Arial" w:eastAsia="Arial" w:hAnsi="Arial"/>
                <w:sz w:val="18"/>
                <w:szCs w:val="18"/>
                <w:color w:val="0000EE"/>
                <w:w w:val="95"/>
              </w:rPr>
            </w:pPr>
            <w:hyperlink w:anchor="page115">
              <w:r>
                <w:rPr>
                  <w:rFonts w:ascii="Arial" w:cs="Arial" w:eastAsia="Arial" w:hAnsi="Arial"/>
                  <w:sz w:val="18"/>
                  <w:szCs w:val="18"/>
                  <w:color w:val="0000EE"/>
                  <w:w w:val="95"/>
                </w:rPr>
                <w:t>Principal Accounting Officer) pursuant to Section</w:t>
              </w:r>
            </w:hyperlink>
          </w:p>
        </w:tc>
        <w:tc>
          <w:tcPr>
            <w:tcW w:w="66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302 of Sarbanes-Oxley Act of 2002</w:t>
              </w:r>
            </w:hyperlink>
          </w:p>
        </w:tc>
        <w:tc>
          <w:tcPr>
            <w:tcW w:w="1020" w:type="dxa"/>
            <w:vAlign w:val="bottom"/>
            <w:tcBorders>
              <w:top w:val="single" w:sz="8" w:color="0000EE"/>
            </w:tcBorders>
            <w:gridSpan w:val="9"/>
          </w:tcPr>
          <w:p>
            <w:pPr>
              <w:spacing w:after="0"/>
              <w:rPr>
                <w:sz w:val="17"/>
                <w:szCs w:val="17"/>
                <w:color w:val="auto"/>
              </w:rPr>
            </w:pPr>
          </w:p>
        </w:tc>
        <w:tc>
          <w:tcPr>
            <w:tcW w:w="140" w:type="dxa"/>
            <w:vAlign w:val="bottom"/>
          </w:tcPr>
          <w:p>
            <w:pPr>
              <w:spacing w:after="0"/>
              <w:rPr>
                <w:sz w:val="17"/>
                <w:szCs w:val="17"/>
                <w:color w:val="auto"/>
              </w:rPr>
            </w:pPr>
          </w:p>
        </w:tc>
        <w:tc>
          <w:tcPr>
            <w:tcW w:w="6680" w:type="dxa"/>
            <w:vAlign w:val="bottom"/>
          </w:tcPr>
          <w:p>
            <w:pPr>
              <w:spacing w:after="0"/>
              <w:rPr>
                <w:sz w:val="17"/>
                <w:szCs w:val="17"/>
                <w:color w:val="auto"/>
              </w:rPr>
            </w:pPr>
          </w:p>
        </w:tc>
      </w:tr>
      <w:tr>
        <w:trPr>
          <w:trHeight w:val="318"/>
        </w:trPr>
        <w:tc>
          <w:tcPr>
            <w:tcW w:w="840" w:type="dxa"/>
            <w:vAlign w:val="bottom"/>
            <w:gridSpan w:val="3"/>
          </w:tcPr>
          <w:p>
            <w:pPr>
              <w:ind w:left="100"/>
              <w:spacing w:after="0"/>
              <w:rPr>
                <w:rFonts w:ascii="Arial" w:cs="Arial" w:eastAsia="Arial" w:hAnsi="Arial"/>
                <w:sz w:val="18"/>
                <w:szCs w:val="18"/>
                <w:color w:val="0000EE"/>
              </w:rPr>
            </w:pPr>
            <w:hyperlink w:anchor="page116">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3720" w:type="dxa"/>
            <w:vAlign w:val="bottom"/>
            <w:gridSpan w:val="12"/>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Certification of President and Chief Executive</w:t>
              </w:r>
            </w:hyperlink>
          </w:p>
        </w:tc>
        <w:tc>
          <w:tcPr>
            <w:tcW w:w="6680" w:type="dxa"/>
            <w:vAlign w:val="bottom"/>
          </w:tcPr>
          <w:p>
            <w:pPr>
              <w:ind w:left="60"/>
              <w:spacing w:after="0"/>
              <w:rPr>
                <w:sz w:val="20"/>
                <w:szCs w:val="20"/>
                <w:color w:val="auto"/>
              </w:rPr>
            </w:pPr>
            <w:r>
              <w:rPr>
                <w:rFonts w:ascii="Arial" w:cs="Arial" w:eastAsia="Arial" w:hAnsi="Arial"/>
                <w:sz w:val="18"/>
                <w:szCs w:val="18"/>
                <w:color w:val="auto"/>
              </w:rPr>
              <w:t>Furnished herewith</w:t>
            </w:r>
          </w:p>
        </w:tc>
      </w:tr>
      <w:tr>
        <w:trPr>
          <w:trHeight w:val="20"/>
        </w:trPr>
        <w:tc>
          <w:tcPr>
            <w:tcW w:w="1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20" w:type="dxa"/>
            <w:vAlign w:val="bottom"/>
            <w:gridSpan w:val="12"/>
          </w:tcPr>
          <w:p>
            <w:pPr>
              <w:spacing w:after="0" w:line="196" w:lineRule="exact"/>
              <w:rPr>
                <w:rFonts w:ascii="Arial" w:cs="Arial" w:eastAsia="Arial" w:hAnsi="Arial"/>
                <w:sz w:val="18"/>
                <w:szCs w:val="18"/>
                <w:color w:val="0000EE"/>
                <w:w w:val="99"/>
              </w:rPr>
            </w:pPr>
            <w:hyperlink w:anchor="page116">
              <w:r>
                <w:rPr>
                  <w:rFonts w:ascii="Arial" w:cs="Arial" w:eastAsia="Arial" w:hAnsi="Arial"/>
                  <w:sz w:val="18"/>
                  <w:szCs w:val="18"/>
                  <w:color w:val="0000EE"/>
                  <w:w w:val="99"/>
                </w:rPr>
                <w:t>Officer (Principal Executive Officer) and Senior</w:t>
              </w:r>
            </w:hyperlink>
          </w:p>
        </w:tc>
        <w:tc>
          <w:tcPr>
            <w:tcW w:w="66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Vice President and Chief Financial Officer</w:t>
              </w:r>
            </w:hyperlink>
          </w:p>
        </w:tc>
        <w:tc>
          <w:tcPr>
            <w:tcW w:w="260" w:type="dxa"/>
            <w:vAlign w:val="bottom"/>
            <w:gridSpan w:val="4"/>
          </w:tcPr>
          <w:p>
            <w:pPr>
              <w:spacing w:after="0"/>
              <w:rPr>
                <w:sz w:val="17"/>
                <w:szCs w:val="17"/>
                <w:color w:val="auto"/>
              </w:rPr>
            </w:pPr>
          </w:p>
        </w:tc>
        <w:tc>
          <w:tcPr>
            <w:tcW w:w="66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(Principal Financial Officer and Principal</w:t>
              </w:r>
            </w:hyperlink>
          </w:p>
        </w:tc>
        <w:tc>
          <w:tcPr>
            <w:tcW w:w="80" w:type="dxa"/>
            <w:vAlign w:val="bottom"/>
            <w:tcBorders>
              <w:top w:val="single" w:sz="8" w:color="0000EE"/>
            </w:tcBorders>
          </w:tcPr>
          <w:p>
            <w:pPr>
              <w:spacing w:after="0"/>
              <w:rPr>
                <w:sz w:val="17"/>
                <w:szCs w:val="17"/>
                <w:color w:val="auto"/>
              </w:rPr>
            </w:pPr>
          </w:p>
        </w:tc>
        <w:tc>
          <w:tcPr>
            <w:tcW w:w="660" w:type="dxa"/>
            <w:vAlign w:val="bottom"/>
            <w:gridSpan w:val="8"/>
          </w:tcPr>
          <w:p>
            <w:pPr>
              <w:spacing w:after="0"/>
              <w:rPr>
                <w:sz w:val="17"/>
                <w:szCs w:val="17"/>
                <w:color w:val="auto"/>
              </w:rPr>
            </w:pPr>
          </w:p>
        </w:tc>
        <w:tc>
          <w:tcPr>
            <w:tcW w:w="66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16">
              <w:r>
                <w:rPr>
                  <w:rFonts w:ascii="Arial" w:cs="Arial" w:eastAsia="Arial" w:hAnsi="Arial"/>
                  <w:sz w:val="18"/>
                  <w:szCs w:val="18"/>
                  <w:color w:val="0000EE"/>
                  <w:w w:val="92"/>
                </w:rPr>
                <w:t>Accounting Officer) pursuant to Section 906 of</w:t>
              </w:r>
            </w:hyperlink>
          </w:p>
        </w:tc>
        <w:tc>
          <w:tcPr>
            <w:tcW w:w="280" w:type="dxa"/>
            <w:vAlign w:val="bottom"/>
            <w:gridSpan w:val="5"/>
          </w:tcPr>
          <w:p>
            <w:pPr>
              <w:spacing w:after="0"/>
              <w:rPr>
                <w:sz w:val="17"/>
                <w:szCs w:val="17"/>
                <w:color w:val="auto"/>
              </w:rPr>
            </w:pPr>
          </w:p>
        </w:tc>
        <w:tc>
          <w:tcPr>
            <w:tcW w:w="668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20" w:type="dxa"/>
            <w:vAlign w:val="bottom"/>
            <w:gridSpan w:val="12"/>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Sarbanes-Oxley Act of 2002</w:t>
              </w:r>
            </w:hyperlink>
          </w:p>
        </w:tc>
        <w:tc>
          <w:tcPr>
            <w:tcW w:w="6680" w:type="dxa"/>
            <w:vAlign w:val="bottom"/>
          </w:tcPr>
          <w:p>
            <w:pPr>
              <w:spacing w:after="0"/>
              <w:rPr>
                <w:sz w:val="17"/>
                <w:szCs w:val="17"/>
                <w:color w:val="auto"/>
              </w:rPr>
            </w:pPr>
          </w:p>
        </w:tc>
      </w:tr>
      <w:tr>
        <w:trPr>
          <w:trHeight w:val="20"/>
        </w:trPr>
        <w:tc>
          <w:tcPr>
            <w:tcW w:w="840" w:type="dxa"/>
            <w:vAlign w:val="bottom"/>
            <w:gridSpan w:val="3"/>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680" w:type="dxa"/>
            <w:vAlign w:val="bottom"/>
            <w:gridSpan w:val="11"/>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465"/>
        </w:trPr>
        <w:tc>
          <w:tcPr>
            <w:tcW w:w="8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37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w:t>
            </w:r>
          </w:p>
        </w:tc>
        <w:tc>
          <w:tcPr>
            <w:tcW w:w="6680" w:type="dxa"/>
            <w:vAlign w:val="bottom"/>
          </w:tcPr>
          <w:p>
            <w:pPr>
              <w:ind w:left="60"/>
              <w:spacing w:after="0"/>
              <w:rPr>
                <w:sz w:val="20"/>
                <w:szCs w:val="20"/>
                <w:color w:val="auto"/>
              </w:rPr>
            </w:pPr>
            <w:r>
              <w:rPr>
                <w:rFonts w:ascii="Arial" w:cs="Arial" w:eastAsia="Arial" w:hAnsi="Arial"/>
                <w:sz w:val="18"/>
                <w:szCs w:val="18"/>
                <w:color w:val="auto"/>
              </w:rPr>
              <w:t>Filed herewith</w:t>
            </w:r>
          </w:p>
        </w:tc>
      </w:tr>
      <w:tr>
        <w:trPr>
          <w:trHeight w:val="230"/>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680" w:type="dxa"/>
            <w:vAlign w:val="bottom"/>
          </w:tcPr>
          <w:p>
            <w:pPr>
              <w:spacing w:after="0"/>
              <w:rPr>
                <w:sz w:val="20"/>
                <w:szCs w:val="20"/>
                <w:color w:val="auto"/>
              </w:rPr>
            </w:pPr>
          </w:p>
        </w:tc>
      </w:tr>
      <w:tr>
        <w:trPr>
          <w:trHeight w:val="323"/>
        </w:trPr>
        <w:tc>
          <w:tcPr>
            <w:tcW w:w="8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7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w:t>
            </w:r>
          </w:p>
        </w:tc>
        <w:tc>
          <w:tcPr>
            <w:tcW w:w="6680" w:type="dxa"/>
            <w:vAlign w:val="bottom"/>
          </w:tcPr>
          <w:p>
            <w:pPr>
              <w:ind w:left="60"/>
              <w:spacing w:after="0"/>
              <w:rPr>
                <w:sz w:val="20"/>
                <w:szCs w:val="20"/>
                <w:color w:val="auto"/>
              </w:rPr>
            </w:pPr>
            <w:r>
              <w:rPr>
                <w:rFonts w:ascii="Arial" w:cs="Arial" w:eastAsia="Arial" w:hAnsi="Arial"/>
                <w:sz w:val="18"/>
                <w:szCs w:val="18"/>
                <w:color w:val="auto"/>
              </w:rPr>
              <w:t>Filed herewith</w:t>
            </w:r>
          </w:p>
        </w:tc>
      </w:tr>
      <w:tr>
        <w:trPr>
          <w:trHeight w:val="230"/>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6680" w:type="dxa"/>
            <w:vAlign w:val="bottom"/>
          </w:tcPr>
          <w:p>
            <w:pPr>
              <w:spacing w:after="0"/>
              <w:rPr>
                <w:sz w:val="20"/>
                <w:szCs w:val="20"/>
                <w:color w:val="auto"/>
              </w:rPr>
            </w:pPr>
          </w:p>
        </w:tc>
      </w:tr>
      <w:tr>
        <w:trPr>
          <w:trHeight w:val="323"/>
        </w:trPr>
        <w:tc>
          <w:tcPr>
            <w:tcW w:w="8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372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w:t>
            </w:r>
          </w:p>
        </w:tc>
        <w:tc>
          <w:tcPr>
            <w:tcW w:w="6680" w:type="dxa"/>
            <w:vAlign w:val="bottom"/>
          </w:tcPr>
          <w:p>
            <w:pPr>
              <w:ind w:left="60"/>
              <w:spacing w:after="0"/>
              <w:rPr>
                <w:sz w:val="20"/>
                <w:szCs w:val="20"/>
                <w:color w:val="auto"/>
              </w:rPr>
            </w:pPr>
            <w:r>
              <w:rPr>
                <w:rFonts w:ascii="Arial" w:cs="Arial" w:eastAsia="Arial" w:hAnsi="Arial"/>
                <w:sz w:val="18"/>
                <w:szCs w:val="18"/>
                <w:color w:val="auto"/>
              </w:rPr>
              <w:t>Filed herewith</w:t>
            </w:r>
          </w:p>
        </w:tc>
      </w:tr>
      <w:tr>
        <w:trPr>
          <w:trHeight w:val="230"/>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6680" w:type="dxa"/>
            <w:vAlign w:val="bottom"/>
          </w:tcPr>
          <w:p>
            <w:pPr>
              <w:spacing w:after="0"/>
              <w:rPr>
                <w:sz w:val="20"/>
                <w:szCs w:val="20"/>
                <w:color w:val="auto"/>
              </w:rPr>
            </w:pPr>
          </w:p>
        </w:tc>
      </w:tr>
      <w:tr>
        <w:trPr>
          <w:trHeight w:val="323"/>
        </w:trPr>
        <w:tc>
          <w:tcPr>
            <w:tcW w:w="8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720" w:type="dxa"/>
            <w:vAlign w:val="bottom"/>
            <w:gridSpan w:val="12"/>
          </w:tcPr>
          <w:p>
            <w:pPr>
              <w:spacing w:after="0"/>
              <w:rPr>
                <w:sz w:val="20"/>
                <w:szCs w:val="20"/>
                <w:color w:val="auto"/>
              </w:rPr>
            </w:pPr>
            <w:r>
              <w:rPr>
                <w:rFonts w:ascii="Arial" w:cs="Arial" w:eastAsia="Arial" w:hAnsi="Arial"/>
                <w:sz w:val="18"/>
                <w:szCs w:val="18"/>
                <w:color w:val="auto"/>
                <w:w w:val="93"/>
              </w:rPr>
              <w:t>Inline XBRL Taxonomy Extension Label Linkbase</w:t>
            </w:r>
          </w:p>
        </w:tc>
        <w:tc>
          <w:tcPr>
            <w:tcW w:w="6680" w:type="dxa"/>
            <w:vAlign w:val="bottom"/>
          </w:tcPr>
          <w:p>
            <w:pPr>
              <w:ind w:left="60"/>
              <w:spacing w:after="0"/>
              <w:rPr>
                <w:sz w:val="20"/>
                <w:szCs w:val="20"/>
                <w:color w:val="auto"/>
              </w:rPr>
            </w:pPr>
            <w:r>
              <w:rPr>
                <w:rFonts w:ascii="Arial" w:cs="Arial" w:eastAsia="Arial" w:hAnsi="Arial"/>
                <w:sz w:val="18"/>
                <w:szCs w:val="18"/>
                <w:color w:val="auto"/>
              </w:rPr>
              <w:t>Filed herewith</w:t>
            </w:r>
          </w:p>
        </w:tc>
      </w:tr>
      <w:tr>
        <w:trPr>
          <w:trHeight w:val="230"/>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6680" w:type="dxa"/>
            <w:vAlign w:val="bottom"/>
          </w:tcPr>
          <w:p>
            <w:pPr>
              <w:spacing w:after="0"/>
              <w:rPr>
                <w:sz w:val="20"/>
                <w:szCs w:val="20"/>
                <w:color w:val="auto"/>
              </w:rPr>
            </w:pPr>
          </w:p>
        </w:tc>
      </w:tr>
      <w:tr>
        <w:trPr>
          <w:trHeight w:val="323"/>
        </w:trPr>
        <w:tc>
          <w:tcPr>
            <w:tcW w:w="8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720" w:type="dxa"/>
            <w:vAlign w:val="bottom"/>
            <w:gridSpan w:val="12"/>
          </w:tcPr>
          <w:p>
            <w:pPr>
              <w:spacing w:after="0"/>
              <w:rPr>
                <w:sz w:val="20"/>
                <w:szCs w:val="20"/>
                <w:color w:val="auto"/>
              </w:rPr>
            </w:pPr>
            <w:r>
              <w:rPr>
                <w:rFonts w:ascii="Arial" w:cs="Arial" w:eastAsia="Arial" w:hAnsi="Arial"/>
                <w:sz w:val="18"/>
                <w:szCs w:val="18"/>
                <w:color w:val="auto"/>
                <w:w w:val="98"/>
              </w:rPr>
              <w:t>Inline XBRL Taxonomy Extension Presentation</w:t>
            </w:r>
          </w:p>
        </w:tc>
        <w:tc>
          <w:tcPr>
            <w:tcW w:w="6680" w:type="dxa"/>
            <w:vAlign w:val="bottom"/>
          </w:tcPr>
          <w:p>
            <w:pPr>
              <w:ind w:left="60"/>
              <w:spacing w:after="0"/>
              <w:rPr>
                <w:sz w:val="20"/>
                <w:szCs w:val="20"/>
                <w:color w:val="auto"/>
              </w:rPr>
            </w:pPr>
            <w:r>
              <w:rPr>
                <w:rFonts w:ascii="Arial" w:cs="Arial" w:eastAsia="Arial" w:hAnsi="Arial"/>
                <w:sz w:val="18"/>
                <w:szCs w:val="18"/>
                <w:color w:val="auto"/>
              </w:rPr>
              <w:t>Filed herewith</w:t>
            </w:r>
          </w:p>
        </w:tc>
      </w:tr>
      <w:tr>
        <w:trPr>
          <w:trHeight w:val="230"/>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6680" w:type="dxa"/>
            <w:vAlign w:val="bottom"/>
          </w:tcPr>
          <w:p>
            <w:pPr>
              <w:spacing w:after="0"/>
              <w:rPr>
                <w:sz w:val="20"/>
                <w:szCs w:val="20"/>
                <w:color w:val="auto"/>
              </w:rPr>
            </w:pPr>
          </w:p>
        </w:tc>
      </w:tr>
      <w:tr>
        <w:trPr>
          <w:trHeight w:val="323"/>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Cover Page Interactive Data File</w:t>
            </w:r>
          </w:p>
        </w:tc>
        <w:tc>
          <w:tcPr>
            <w:tcW w:w="6680" w:type="dxa"/>
            <w:vAlign w:val="bottom"/>
          </w:tcPr>
          <w:p>
            <w:pPr>
              <w:ind w:left="60"/>
              <w:spacing w:after="0"/>
              <w:rPr>
                <w:sz w:val="20"/>
                <w:szCs w:val="20"/>
                <w:color w:val="auto"/>
              </w:rPr>
            </w:pPr>
            <w:r>
              <w:rPr>
                <w:rFonts w:ascii="Arial" w:cs="Arial" w:eastAsia="Arial" w:hAnsi="Arial"/>
                <w:sz w:val="18"/>
                <w:szCs w:val="18"/>
                <w:color w:val="auto"/>
              </w:rPr>
              <w:t>Filed herewith</w:t>
            </w:r>
          </w:p>
        </w:tc>
      </w:tr>
      <w:tr>
        <w:trPr>
          <w:trHeight w:val="216"/>
        </w:trPr>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(formatted as inline XBRL with applicable</w:t>
            </w:r>
          </w:p>
        </w:tc>
        <w:tc>
          <w:tcPr>
            <w:tcW w:w="668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taxonomy extension information contained in</w:t>
            </w:r>
          </w:p>
        </w:tc>
        <w:tc>
          <w:tcPr>
            <w:tcW w:w="668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Exhibits 101.*)</w:t>
            </w:r>
          </w:p>
        </w:tc>
        <w:tc>
          <w:tcPr>
            <w:tcW w:w="6680" w:type="dxa"/>
            <w:vAlign w:val="bottom"/>
          </w:tcPr>
          <w:p>
            <w:pPr>
              <w:spacing w:after="0"/>
              <w:rPr>
                <w:sz w:val="20"/>
                <w:szCs w:val="20"/>
                <w:color w:val="auto"/>
              </w:rPr>
            </w:pPr>
          </w:p>
        </w:tc>
      </w:tr>
      <w:tr>
        <w:trPr>
          <w:trHeight w:val="769"/>
        </w:trPr>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80" w:type="dxa"/>
            <w:vAlign w:val="bottom"/>
          </w:tcPr>
          <w:p>
            <w:pPr>
              <w:ind w:left="980"/>
              <w:spacing w:after="0"/>
              <w:rPr>
                <w:sz w:val="20"/>
                <w:szCs w:val="20"/>
                <w:color w:val="auto"/>
              </w:rPr>
            </w:pPr>
            <w:r>
              <w:rPr>
                <w:rFonts w:ascii="Arial" w:cs="Arial" w:eastAsia="Arial" w:hAnsi="Arial"/>
                <w:sz w:val="18"/>
                <w:szCs w:val="18"/>
                <w:color w:val="auto"/>
              </w:rPr>
              <w:t>79</w:t>
            </w:r>
          </w:p>
        </w:tc>
      </w:tr>
      <w:tr>
        <w:trPr>
          <w:trHeight w:val="115"/>
        </w:trPr>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546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F. Thero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the 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337" w:right="5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208915</wp:posOffset>
            </wp:positionV>
            <wp:extent cx="7132320" cy="5740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23"/>
          <w:szCs w:val="23"/>
          <w:color w:val="auto"/>
        </w:rPr>
        <w:t>Office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86360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tbl>
      <w:tblPr>
        <w:tblLayout w:type="fixed"/>
        <w:tblInd w:w="30" w:type="dxa"/>
        <w:tblCellMar>
          <w:top w:w="0" w:type="dxa"/>
          <w:left w:w="0" w:type="dxa"/>
          <w:bottom w:w="0" w:type="dxa"/>
          <w:right w:w="0" w:type="dxa"/>
        </w:tblCellMar>
      </w:tblPr>
      <w:tr>
        <w:trPr>
          <w:trHeight w:val="285"/>
        </w:trPr>
        <w:tc>
          <w:tcPr>
            <w:tcW w:w="2720" w:type="dxa"/>
            <w:vAlign w:val="bottom"/>
            <w:tcBorders>
              <w:top w:val="single" w:sz="8" w:color="808080"/>
              <w:left w:val="single" w:sz="8" w:color="808080"/>
              <w:right w:val="single" w:sz="8" w:color="808080"/>
            </w:tcBorders>
          </w:tcPr>
          <w:p>
            <w:pPr>
              <w:ind w:left="140"/>
              <w:spacing w:after="0"/>
              <w:rPr>
                <w:sz w:val="20"/>
                <w:szCs w:val="20"/>
                <w:color w:val="auto"/>
              </w:rPr>
            </w:pPr>
            <w:r>
              <w:rPr>
                <w:rFonts w:ascii="Arial" w:cs="Arial" w:eastAsia="Arial" w:hAnsi="Arial"/>
                <w:sz w:val="14"/>
                <w:szCs w:val="14"/>
                <w:b w:val="1"/>
                <w:bCs w:val="1"/>
                <w:color w:val="auto"/>
              </w:rPr>
              <w:t xml:space="preserve">Agreement Date </w:t>
            </w:r>
            <w:r>
              <w:rPr>
                <w:rFonts w:ascii="Arial" w:cs="Arial" w:eastAsia="Arial" w:hAnsi="Arial"/>
                <w:sz w:val="14"/>
                <w:szCs w:val="14"/>
                <w:color w:val="auto"/>
              </w:rPr>
              <w:t>(dd/mm/yy):</w:t>
            </w:r>
          </w:p>
        </w:tc>
        <w:tc>
          <w:tcPr>
            <w:tcW w:w="2640" w:type="dxa"/>
            <w:vAlign w:val="bottom"/>
            <w:tcBorders>
              <w:top w:val="single" w:sz="8" w:color="808080"/>
              <w:right w:val="single" w:sz="8" w:color="808080"/>
            </w:tcBorders>
          </w:tcPr>
          <w:p>
            <w:pPr>
              <w:jc w:val="right"/>
              <w:ind w:right="1728"/>
              <w:spacing w:after="0"/>
              <w:rPr>
                <w:sz w:val="20"/>
                <w:szCs w:val="20"/>
                <w:color w:val="auto"/>
              </w:rPr>
            </w:pPr>
            <w:r>
              <w:rPr>
                <w:rFonts w:ascii="Arial" w:cs="Arial" w:eastAsia="Arial" w:hAnsi="Arial"/>
                <w:sz w:val="14"/>
                <w:szCs w:val="14"/>
                <w:color w:val="auto"/>
              </w:rPr>
              <w:t>30/03/2021</w:t>
            </w:r>
          </w:p>
        </w:tc>
        <w:tc>
          <w:tcPr>
            <w:tcW w:w="2100" w:type="dxa"/>
            <w:vAlign w:val="bottom"/>
            <w:tcBorders>
              <w:top w:val="single" w:sz="8" w:color="808080"/>
              <w:right w:val="single" w:sz="8" w:color="808080"/>
            </w:tcBorders>
          </w:tcPr>
          <w:p>
            <w:pPr>
              <w:ind w:left="120"/>
              <w:spacing w:after="0"/>
              <w:rPr>
                <w:sz w:val="20"/>
                <w:szCs w:val="20"/>
                <w:color w:val="auto"/>
              </w:rPr>
            </w:pPr>
            <w:r>
              <w:rPr>
                <w:rFonts w:ascii="Arial" w:cs="Arial" w:eastAsia="Arial" w:hAnsi="Arial"/>
                <w:sz w:val="14"/>
                <w:szCs w:val="14"/>
                <w:b w:val="1"/>
                <w:bCs w:val="1"/>
                <w:color w:val="auto"/>
              </w:rPr>
              <w:t>Reference No.:</w:t>
            </w:r>
          </w:p>
        </w:tc>
        <w:tc>
          <w:tcPr>
            <w:tcW w:w="3200" w:type="dxa"/>
            <w:vAlign w:val="bottom"/>
            <w:tcBorders>
              <w:top w:val="single" w:sz="8" w:color="808080"/>
              <w:right w:val="single" w:sz="8" w:color="808080"/>
            </w:tcBorders>
          </w:tcPr>
          <w:p>
            <w:pPr>
              <w:jc w:val="right"/>
              <w:ind w:right="2132"/>
              <w:spacing w:after="0"/>
              <w:rPr>
                <w:sz w:val="20"/>
                <w:szCs w:val="20"/>
                <w:color w:val="auto"/>
              </w:rPr>
            </w:pPr>
            <w:r>
              <w:rPr>
                <w:rFonts w:ascii="Arial" w:cs="Arial" w:eastAsia="Arial" w:hAnsi="Arial"/>
                <w:sz w:val="22"/>
                <w:szCs w:val="22"/>
                <w:color w:val="auto"/>
                <w:w w:val="96"/>
              </w:rPr>
              <w:t>11947229</w:t>
            </w:r>
          </w:p>
        </w:tc>
      </w:tr>
      <w:tr>
        <w:trPr>
          <w:trHeight w:val="93"/>
        </w:trPr>
        <w:tc>
          <w:tcPr>
            <w:tcW w:w="2720" w:type="dxa"/>
            <w:vAlign w:val="bottom"/>
            <w:tcBorders>
              <w:left w:val="single" w:sz="8" w:color="808080"/>
              <w:bottom w:val="single" w:sz="8" w:color="808080"/>
              <w:right w:val="single" w:sz="8" w:color="808080"/>
            </w:tcBorders>
          </w:tcPr>
          <w:p>
            <w:pPr>
              <w:spacing w:after="0"/>
              <w:rPr>
                <w:sz w:val="8"/>
                <w:szCs w:val="8"/>
                <w:color w:val="auto"/>
              </w:rPr>
            </w:pPr>
          </w:p>
        </w:tc>
        <w:tc>
          <w:tcPr>
            <w:tcW w:w="2640" w:type="dxa"/>
            <w:vAlign w:val="bottom"/>
            <w:tcBorders>
              <w:bottom w:val="single" w:sz="8" w:color="808080"/>
              <w:right w:val="single" w:sz="8" w:color="808080"/>
            </w:tcBorders>
          </w:tcPr>
          <w:p>
            <w:pPr>
              <w:spacing w:after="0"/>
              <w:rPr>
                <w:sz w:val="8"/>
                <w:szCs w:val="8"/>
                <w:color w:val="auto"/>
              </w:rPr>
            </w:pPr>
          </w:p>
        </w:tc>
        <w:tc>
          <w:tcPr>
            <w:tcW w:w="2100" w:type="dxa"/>
            <w:vAlign w:val="bottom"/>
            <w:tcBorders>
              <w:bottom w:val="single" w:sz="8" w:color="808080"/>
              <w:right w:val="single" w:sz="8" w:color="808080"/>
            </w:tcBorders>
          </w:tcPr>
          <w:p>
            <w:pPr>
              <w:spacing w:after="0"/>
              <w:rPr>
                <w:sz w:val="8"/>
                <w:szCs w:val="8"/>
                <w:color w:val="auto"/>
              </w:rPr>
            </w:pPr>
          </w:p>
        </w:tc>
        <w:tc>
          <w:tcPr>
            <w:tcW w:w="3200" w:type="dxa"/>
            <w:vAlign w:val="bottom"/>
            <w:tcBorders>
              <w:bottom w:val="single" w:sz="8" w:color="808080"/>
              <w:right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6772275" cy="1054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772275" cy="1054735"/>
                    </a:xfrm>
                    <a:prstGeom prst="rect">
                      <a:avLst/>
                    </a:prstGeom>
                    <a:noFill/>
                  </pic:spPr>
                </pic:pic>
              </a:graphicData>
            </a:graphic>
          </wp:anchor>
        </w:drawing>
      </w:r>
    </w:p>
    <w:p>
      <w:pPr>
        <w:sectPr>
          <w:pgSz w:w="11900" w:h="16838" w:orient="portrait"/>
          <w:cols w:equalWidth="0" w:num="1">
            <w:col w:w="10920"/>
          </w:cols>
          <w:pgMar w:left="640" w:top="346" w:right="339" w:bottom="1440" w:gutter="0" w:footer="0" w:header="0"/>
        </w:sectPr>
      </w:pPr>
    </w:p>
    <w:p>
      <w:pPr>
        <w:spacing w:after="0" w:line="14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Business Centre Address:</w:t>
      </w:r>
    </w:p>
    <w:p>
      <w:pPr>
        <w:spacing w:after="0" w:line="15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FRANKFURT, SIGNATURE THE SQUAIRE Business Center</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Am Flughafen</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Frankfurt</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Hessen 60549</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4"/>
          <w:szCs w:val="14"/>
          <w:color w:val="auto"/>
        </w:rPr>
        <w:t>Germany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1680"/>
        <w:spacing w:after="0"/>
        <w:rPr>
          <w:sz w:val="20"/>
          <w:szCs w:val="20"/>
          <w:color w:val="auto"/>
        </w:rPr>
      </w:pPr>
      <w:r>
        <w:rPr>
          <w:rFonts w:ascii="Arial" w:cs="Arial" w:eastAsia="Arial" w:hAnsi="Arial"/>
          <w:sz w:val="14"/>
          <w:szCs w:val="14"/>
          <w:b w:val="1"/>
          <w:bCs w:val="1"/>
          <w:color w:val="auto"/>
        </w:rPr>
        <w:t>Client Address (Not a Business Centre Address):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00" w:type="dxa"/>
            <w:vAlign w:val="bottom"/>
            <w:tcBorders>
              <w:top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Company Name:</w:t>
            </w:r>
          </w:p>
        </w:tc>
        <w:tc>
          <w:tcPr>
            <w:tcW w:w="3200" w:type="dxa"/>
            <w:vAlign w:val="bottom"/>
            <w:tcBorders>
              <w:top w:val="single" w:sz="8" w:color="808080"/>
            </w:tcBorders>
          </w:tcPr>
          <w:p>
            <w:pPr>
              <w:ind w:left="120"/>
              <w:spacing w:after="0"/>
              <w:rPr>
                <w:sz w:val="20"/>
                <w:szCs w:val="20"/>
                <w:color w:val="auto"/>
              </w:rPr>
            </w:pPr>
            <w:r>
              <w:rPr>
                <w:rFonts w:ascii="Arial" w:cs="Arial" w:eastAsia="Arial" w:hAnsi="Arial"/>
                <w:sz w:val="14"/>
                <w:szCs w:val="14"/>
                <w:color w:val="auto"/>
              </w:rPr>
              <w:t>Amarin Germany GmbH</w:t>
            </w:r>
          </w:p>
        </w:tc>
      </w:tr>
      <w:tr>
        <w:trPr>
          <w:trHeight w:val="39"/>
        </w:trPr>
        <w:tc>
          <w:tcPr>
            <w:tcW w:w="1900" w:type="dxa"/>
            <w:vAlign w:val="bottom"/>
            <w:tcBorders>
              <w:bottom w:val="single" w:sz="8" w:color="808080"/>
              <w:right w:val="single" w:sz="8" w:color="808080"/>
            </w:tcBorders>
          </w:tcPr>
          <w:p>
            <w:pPr>
              <w:spacing w:after="0"/>
              <w:rPr>
                <w:sz w:val="3"/>
                <w:szCs w:val="3"/>
                <w:color w:val="auto"/>
              </w:rPr>
            </w:pPr>
          </w:p>
        </w:tc>
        <w:tc>
          <w:tcPr>
            <w:tcW w:w="3200" w:type="dxa"/>
            <w:vAlign w:val="bottom"/>
            <w:tcBorders>
              <w:bottom w:val="single" w:sz="8" w:color="808080"/>
            </w:tcBorders>
          </w:tcPr>
          <w:p>
            <w:pPr>
              <w:spacing w:after="0"/>
              <w:rPr>
                <w:sz w:val="3"/>
                <w:szCs w:val="3"/>
                <w:color w:val="auto"/>
              </w:rPr>
            </w:pPr>
          </w:p>
        </w:tc>
      </w:tr>
      <w:tr>
        <w:trPr>
          <w:trHeight w:val="224"/>
        </w:trPr>
        <w:tc>
          <w:tcPr>
            <w:tcW w:w="190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Contact Name:</w:t>
            </w:r>
          </w:p>
        </w:tc>
        <w:tc>
          <w:tcPr>
            <w:tcW w:w="3200" w:type="dxa"/>
            <w:vAlign w:val="bottom"/>
          </w:tcPr>
          <w:p>
            <w:pPr>
              <w:ind w:left="120"/>
              <w:spacing w:after="0"/>
              <w:rPr>
                <w:sz w:val="20"/>
                <w:szCs w:val="20"/>
                <w:color w:val="auto"/>
              </w:rPr>
            </w:pPr>
            <w:r>
              <w:rPr>
                <w:rFonts w:ascii="Arial" w:cs="Arial" w:eastAsia="Arial" w:hAnsi="Arial"/>
                <w:sz w:val="14"/>
                <w:szCs w:val="14"/>
                <w:color w:val="auto"/>
              </w:rPr>
              <w:t>Tom Maher</w:t>
            </w:r>
          </w:p>
        </w:tc>
      </w:tr>
      <w:tr>
        <w:trPr>
          <w:trHeight w:val="53"/>
        </w:trPr>
        <w:tc>
          <w:tcPr>
            <w:tcW w:w="1900" w:type="dxa"/>
            <w:vAlign w:val="bottom"/>
            <w:tcBorders>
              <w:bottom w:val="single" w:sz="8" w:color="808080"/>
              <w:right w:val="single" w:sz="8" w:color="808080"/>
            </w:tcBorders>
          </w:tcPr>
          <w:p>
            <w:pPr>
              <w:spacing w:after="0"/>
              <w:rPr>
                <w:sz w:val="4"/>
                <w:szCs w:val="4"/>
                <w:color w:val="auto"/>
              </w:rPr>
            </w:pPr>
          </w:p>
        </w:tc>
        <w:tc>
          <w:tcPr>
            <w:tcW w:w="3200" w:type="dxa"/>
            <w:vAlign w:val="bottom"/>
            <w:tcBorders>
              <w:bottom w:val="single" w:sz="8" w:color="808080"/>
            </w:tcBorders>
          </w:tcPr>
          <w:p>
            <w:pPr>
              <w:spacing w:after="0"/>
              <w:rPr>
                <w:sz w:val="4"/>
                <w:szCs w:val="4"/>
                <w:color w:val="auto"/>
              </w:rPr>
            </w:pPr>
          </w:p>
        </w:tc>
      </w:tr>
      <w:tr>
        <w:trPr>
          <w:trHeight w:val="211"/>
        </w:trPr>
        <w:tc>
          <w:tcPr>
            <w:tcW w:w="190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Address:</w:t>
            </w:r>
          </w:p>
        </w:tc>
        <w:tc>
          <w:tcPr>
            <w:tcW w:w="3200" w:type="dxa"/>
            <w:vAlign w:val="bottom"/>
          </w:tcPr>
          <w:p>
            <w:pPr>
              <w:ind w:left="120"/>
              <w:spacing w:after="0"/>
              <w:rPr>
                <w:sz w:val="20"/>
                <w:szCs w:val="20"/>
                <w:color w:val="auto"/>
              </w:rPr>
            </w:pPr>
            <w:r>
              <w:rPr>
                <w:rFonts w:ascii="Arial" w:cs="Arial" w:eastAsia="Arial" w:hAnsi="Arial"/>
                <w:sz w:val="14"/>
                <w:szCs w:val="14"/>
                <w:color w:val="auto"/>
              </w:rPr>
              <w:t>Maximilianstr. 54</w:t>
            </w:r>
          </w:p>
        </w:tc>
      </w:tr>
      <w:tr>
        <w:trPr>
          <w:trHeight w:val="26"/>
        </w:trPr>
        <w:tc>
          <w:tcPr>
            <w:tcW w:w="1900" w:type="dxa"/>
            <w:vAlign w:val="bottom"/>
            <w:tcBorders>
              <w:bottom w:val="single" w:sz="8" w:color="808080"/>
              <w:right w:val="single" w:sz="8" w:color="808080"/>
            </w:tcBorders>
          </w:tcPr>
          <w:p>
            <w:pPr>
              <w:spacing w:after="0"/>
              <w:rPr>
                <w:sz w:val="2"/>
                <w:szCs w:val="2"/>
                <w:color w:val="auto"/>
              </w:rPr>
            </w:pPr>
          </w:p>
        </w:tc>
        <w:tc>
          <w:tcPr>
            <w:tcW w:w="3200" w:type="dxa"/>
            <w:vAlign w:val="bottom"/>
            <w:tcBorders>
              <w:bottom w:val="single" w:sz="8" w:color="808080"/>
            </w:tcBorders>
          </w:tcPr>
          <w:p>
            <w:pPr>
              <w:spacing w:after="0"/>
              <w:rPr>
                <w:sz w:val="2"/>
                <w:szCs w:val="2"/>
                <w:color w:val="auto"/>
              </w:rPr>
            </w:pPr>
          </w:p>
        </w:tc>
      </w:tr>
      <w:tr>
        <w:trPr>
          <w:trHeight w:val="211"/>
        </w:trPr>
        <w:tc>
          <w:tcPr>
            <w:tcW w:w="190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Address:</w:t>
            </w:r>
          </w:p>
        </w:tc>
        <w:tc>
          <w:tcPr>
            <w:tcW w:w="3200" w:type="dxa"/>
            <w:vAlign w:val="bottom"/>
          </w:tcPr>
          <w:p>
            <w:pPr>
              <w:ind w:left="120"/>
              <w:spacing w:after="0"/>
              <w:rPr>
                <w:sz w:val="20"/>
                <w:szCs w:val="20"/>
                <w:color w:val="auto"/>
              </w:rPr>
            </w:pPr>
            <w:r>
              <w:rPr>
                <w:rFonts w:ascii="Arial" w:cs="Arial" w:eastAsia="Arial" w:hAnsi="Arial"/>
                <w:sz w:val="14"/>
                <w:szCs w:val="14"/>
                <w:color w:val="auto"/>
              </w:rPr>
              <w:t>Munchen, Germany</w:t>
            </w:r>
          </w:p>
        </w:tc>
      </w:tr>
      <w:tr>
        <w:trPr>
          <w:trHeight w:val="26"/>
        </w:trPr>
        <w:tc>
          <w:tcPr>
            <w:tcW w:w="1900" w:type="dxa"/>
            <w:vAlign w:val="bottom"/>
            <w:tcBorders>
              <w:bottom w:val="single" w:sz="8" w:color="808080"/>
              <w:right w:val="single" w:sz="8" w:color="808080"/>
            </w:tcBorders>
          </w:tcPr>
          <w:p>
            <w:pPr>
              <w:spacing w:after="0"/>
              <w:rPr>
                <w:sz w:val="2"/>
                <w:szCs w:val="2"/>
                <w:color w:val="auto"/>
              </w:rPr>
            </w:pPr>
          </w:p>
        </w:tc>
        <w:tc>
          <w:tcPr>
            <w:tcW w:w="3200" w:type="dxa"/>
            <w:vAlign w:val="bottom"/>
            <w:tcBorders>
              <w:bottom w:val="single" w:sz="8" w:color="808080"/>
            </w:tcBorders>
          </w:tcPr>
          <w:p>
            <w:pPr>
              <w:spacing w:after="0"/>
              <w:rPr>
                <w:sz w:val="2"/>
                <w:szCs w:val="2"/>
                <w:color w:val="auto"/>
              </w:rPr>
            </w:pPr>
          </w:p>
        </w:tc>
      </w:tr>
      <w:tr>
        <w:trPr>
          <w:trHeight w:val="211"/>
        </w:trPr>
        <w:tc>
          <w:tcPr>
            <w:tcW w:w="190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Phone &amp; Email:</w:t>
            </w:r>
          </w:p>
        </w:tc>
        <w:tc>
          <w:tcPr>
            <w:tcW w:w="3200" w:type="dxa"/>
            <w:vAlign w:val="bottom"/>
          </w:tcPr>
          <w:p>
            <w:pPr>
              <w:ind w:left="120"/>
              <w:spacing w:after="0"/>
              <w:rPr>
                <w:sz w:val="20"/>
                <w:szCs w:val="20"/>
                <w:color w:val="auto"/>
              </w:rPr>
            </w:pPr>
            <w:r>
              <w:rPr>
                <w:rFonts w:ascii="Arial" w:cs="Arial" w:eastAsia="Arial" w:hAnsi="Arial"/>
                <w:sz w:val="14"/>
                <w:szCs w:val="14"/>
                <w:color w:val="auto"/>
              </w:rPr>
              <w:t>Thomas.zuther@amarincorp.eu</w:t>
            </w:r>
          </w:p>
        </w:tc>
      </w:tr>
      <w:tr>
        <w:trPr>
          <w:trHeight w:val="26"/>
        </w:trPr>
        <w:tc>
          <w:tcPr>
            <w:tcW w:w="1900" w:type="dxa"/>
            <w:vAlign w:val="bottom"/>
            <w:tcBorders>
              <w:bottom w:val="single" w:sz="8" w:color="808080"/>
              <w:right w:val="single" w:sz="8" w:color="808080"/>
            </w:tcBorders>
          </w:tcPr>
          <w:p>
            <w:pPr>
              <w:spacing w:after="0"/>
              <w:rPr>
                <w:sz w:val="2"/>
                <w:szCs w:val="2"/>
                <w:color w:val="auto"/>
              </w:rPr>
            </w:pPr>
          </w:p>
        </w:tc>
        <w:tc>
          <w:tcPr>
            <w:tcW w:w="3200" w:type="dxa"/>
            <w:vAlign w:val="bottom"/>
            <w:tcBorders>
              <w:bottom w:val="single" w:sz="8" w:color="808080"/>
            </w:tcBorders>
          </w:tcPr>
          <w:p>
            <w:pPr>
              <w:spacing w:after="0"/>
              <w:rPr>
                <w:sz w:val="2"/>
                <w:szCs w:val="2"/>
                <w:color w:val="auto"/>
              </w:rPr>
            </w:pPr>
          </w:p>
        </w:tc>
      </w:tr>
    </w:tbl>
    <w:p>
      <w:pPr>
        <w:spacing w:after="0" w:line="74" w:lineRule="exact"/>
        <w:rPr>
          <w:sz w:val="20"/>
          <w:szCs w:val="20"/>
          <w:color w:val="auto"/>
        </w:rPr>
      </w:pPr>
    </w:p>
    <w:p>
      <w:pPr>
        <w:sectPr>
          <w:pgSz w:w="11900" w:h="16838" w:orient="portrait"/>
          <w:cols w:equalWidth="0" w:num="2">
            <w:col w:w="4860" w:space="720"/>
            <w:col w:w="5340"/>
          </w:cols>
          <w:pgMar w:left="640" w:top="346" w:right="339" w:bottom="1440" w:gutter="0" w:footer="0" w:header="0"/>
          <w:type w:val="continuous"/>
        </w:sectPr>
      </w:pPr>
    </w:p>
    <w:tbl>
      <w:tblPr>
        <w:tblLayout w:type="fixed"/>
        <w:tblInd w:w="30" w:type="dxa"/>
        <w:tblCellMar>
          <w:top w:w="0" w:type="dxa"/>
          <w:left w:w="0" w:type="dxa"/>
          <w:bottom w:w="0" w:type="dxa"/>
          <w:right w:w="0" w:type="dxa"/>
        </w:tblCellMar>
      </w:tblPr>
      <w:tr>
        <w:trPr>
          <w:trHeight w:val="258"/>
        </w:trPr>
        <w:tc>
          <w:tcPr>
            <w:tcW w:w="4520" w:type="dxa"/>
            <w:vAlign w:val="bottom"/>
            <w:tcBorders>
              <w:top w:val="single" w:sz="8" w:color="808080"/>
              <w:left w:val="single" w:sz="8" w:color="808080"/>
            </w:tcBorders>
            <w:gridSpan w:val="2"/>
          </w:tcPr>
          <w:p>
            <w:pPr>
              <w:ind w:left="140"/>
              <w:spacing w:after="0"/>
              <w:rPr>
                <w:sz w:val="20"/>
                <w:szCs w:val="20"/>
                <w:color w:val="auto"/>
              </w:rPr>
            </w:pPr>
            <w:r>
              <w:rPr>
                <w:rFonts w:ascii="Arial" w:cs="Arial" w:eastAsia="Arial" w:hAnsi="Arial"/>
                <w:sz w:val="14"/>
                <w:szCs w:val="14"/>
                <w:color w:val="auto"/>
              </w:rPr>
              <w:t>Office Payment Details (excluding tax/GST and excluding services)</w:t>
            </w:r>
          </w:p>
        </w:tc>
        <w:tc>
          <w:tcPr>
            <w:tcW w:w="2240" w:type="dxa"/>
            <w:vAlign w:val="bottom"/>
            <w:tcBorders>
              <w:top w:val="single" w:sz="8" w:color="808080"/>
            </w:tcBorders>
          </w:tcPr>
          <w:p>
            <w:pPr>
              <w:spacing w:after="0"/>
              <w:rPr>
                <w:sz w:val="22"/>
                <w:szCs w:val="22"/>
                <w:color w:val="auto"/>
              </w:rPr>
            </w:pPr>
          </w:p>
        </w:tc>
        <w:tc>
          <w:tcPr>
            <w:tcW w:w="780" w:type="dxa"/>
            <w:vAlign w:val="bottom"/>
            <w:tcBorders>
              <w:top w:val="single" w:sz="8" w:color="808080"/>
            </w:tcBorders>
          </w:tcPr>
          <w:p>
            <w:pPr>
              <w:spacing w:after="0"/>
              <w:rPr>
                <w:sz w:val="22"/>
                <w:szCs w:val="22"/>
                <w:color w:val="auto"/>
              </w:rPr>
            </w:pPr>
          </w:p>
        </w:tc>
        <w:tc>
          <w:tcPr>
            <w:tcW w:w="1460" w:type="dxa"/>
            <w:vAlign w:val="bottom"/>
            <w:tcBorders>
              <w:top w:val="single" w:sz="8" w:color="808080"/>
              <w:right w:val="single" w:sz="8" w:color="808080"/>
            </w:tcBorders>
          </w:tcPr>
          <w:p>
            <w:pPr>
              <w:spacing w:after="0"/>
              <w:rPr>
                <w:sz w:val="22"/>
                <w:szCs w:val="22"/>
                <w:color w:val="auto"/>
              </w:rPr>
            </w:pPr>
          </w:p>
        </w:tc>
        <w:tc>
          <w:tcPr>
            <w:tcW w:w="1660" w:type="dxa"/>
            <w:vAlign w:val="bottom"/>
          </w:tcPr>
          <w:p>
            <w:pPr>
              <w:spacing w:after="0"/>
              <w:rPr>
                <w:sz w:val="22"/>
                <w:szCs w:val="22"/>
                <w:color w:val="auto"/>
              </w:rPr>
            </w:pPr>
          </w:p>
        </w:tc>
      </w:tr>
      <w:tr>
        <w:trPr>
          <w:trHeight w:val="53"/>
        </w:trPr>
        <w:tc>
          <w:tcPr>
            <w:tcW w:w="2280" w:type="dxa"/>
            <w:vAlign w:val="bottom"/>
            <w:tcBorders>
              <w:left w:val="single" w:sz="8" w:color="808080"/>
              <w:bottom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Office Number</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No. of People</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Monthly Office Fee</w:t>
            </w: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ind w:right="788"/>
              <w:spacing w:after="0"/>
              <w:rPr>
                <w:sz w:val="20"/>
                <w:szCs w:val="20"/>
                <w:color w:val="auto"/>
              </w:rPr>
            </w:pPr>
            <w:r>
              <w:rPr>
                <w:rFonts w:ascii="Arial" w:cs="Arial" w:eastAsia="Arial" w:hAnsi="Arial"/>
                <w:sz w:val="14"/>
                <w:szCs w:val="14"/>
                <w:color w:val="auto"/>
              </w:rPr>
              <w:t>Currency</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614</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€1,619.00</w:t>
            </w: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ind w:right="1048"/>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617</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€1,619.00</w:t>
            </w: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ind w:right="1048"/>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618</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€1,619.00</w:t>
            </w: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ind w:right="1048"/>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619</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2</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€2,689.00</w:t>
            </w: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ind w:right="1048"/>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90"/>
        </w:trPr>
        <w:tc>
          <w:tcPr>
            <w:tcW w:w="2280" w:type="dxa"/>
            <w:vAlign w:val="bottom"/>
            <w:tcBorders>
              <w:left w:val="single" w:sz="8" w:color="808080"/>
              <w:bottom w:val="single" w:sz="8" w:color="808080"/>
              <w:right w:val="single" w:sz="8" w:color="808080"/>
            </w:tcBorders>
          </w:tcPr>
          <w:p>
            <w:pPr>
              <w:spacing w:after="0"/>
              <w:rPr>
                <w:sz w:val="24"/>
                <w:szCs w:val="24"/>
                <w:color w:val="auto"/>
              </w:rPr>
            </w:pPr>
          </w:p>
        </w:tc>
        <w:tc>
          <w:tcPr>
            <w:tcW w:w="2240" w:type="dxa"/>
            <w:vAlign w:val="bottom"/>
            <w:tcBorders>
              <w:bottom w:val="single" w:sz="8" w:color="808080"/>
              <w:right w:val="single" w:sz="8" w:color="808080"/>
            </w:tcBorders>
          </w:tcPr>
          <w:p>
            <w:pPr>
              <w:spacing w:after="0"/>
              <w:rPr>
                <w:sz w:val="24"/>
                <w:szCs w:val="24"/>
                <w:color w:val="auto"/>
              </w:rPr>
            </w:pPr>
          </w:p>
        </w:tc>
        <w:tc>
          <w:tcPr>
            <w:tcW w:w="2240" w:type="dxa"/>
            <w:vAlign w:val="bottom"/>
            <w:tcBorders>
              <w:bottom w:val="single" w:sz="8" w:color="808080"/>
              <w:right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right w:val="single" w:sz="8" w:color="808080"/>
            </w:tcBorders>
          </w:tcPr>
          <w:p>
            <w:pPr>
              <w:spacing w:after="0"/>
              <w:rPr>
                <w:sz w:val="24"/>
                <w:szCs w:val="24"/>
                <w:color w:val="auto"/>
              </w:rPr>
            </w:pPr>
          </w:p>
        </w:tc>
        <w:tc>
          <w:tcPr>
            <w:tcW w:w="1660" w:type="dxa"/>
            <w:vAlign w:val="bottom"/>
          </w:tcPr>
          <w:p>
            <w:pPr>
              <w:spacing w:after="0"/>
              <w:rPr>
                <w:sz w:val="24"/>
                <w:szCs w:val="2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Total per Month</w:t>
            </w:r>
          </w:p>
        </w:tc>
        <w:tc>
          <w:tcPr>
            <w:tcW w:w="2240" w:type="dxa"/>
            <w:vAlign w:val="bottom"/>
            <w:tcBorders>
              <w:right w:val="single" w:sz="8" w:color="808080"/>
            </w:tcBorders>
          </w:tcPr>
          <w:p>
            <w:pPr>
              <w:spacing w:after="0"/>
              <w:rPr>
                <w:sz w:val="20"/>
                <w:szCs w:val="20"/>
                <w:color w:val="auto"/>
              </w:rPr>
            </w:pPr>
          </w:p>
        </w:tc>
        <w:tc>
          <w:tcPr>
            <w:tcW w:w="2240" w:type="dxa"/>
            <w:vAlign w:val="bottom"/>
            <w:tcBorders>
              <w:right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808080"/>
            </w:tcBorders>
          </w:tcPr>
          <w:p>
            <w:pPr>
              <w:spacing w:after="0"/>
              <w:rPr>
                <w:sz w:val="20"/>
                <w:szCs w:val="20"/>
                <w:color w:val="auto"/>
              </w:rPr>
            </w:pP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115"/>
        </w:trPr>
        <w:tc>
          <w:tcPr>
            <w:tcW w:w="2280" w:type="dxa"/>
            <w:vAlign w:val="bottom"/>
            <w:tcBorders>
              <w:left w:val="single" w:sz="8" w:color="808080"/>
              <w:bottom w:val="single" w:sz="8" w:color="808080"/>
              <w:right w:val="single" w:sz="8" w:color="808080"/>
            </w:tcBorders>
          </w:tcPr>
          <w:p>
            <w:pPr>
              <w:spacing w:after="0"/>
              <w:rPr>
                <w:sz w:val="10"/>
                <w:szCs w:val="10"/>
                <w:color w:val="auto"/>
              </w:rPr>
            </w:pPr>
          </w:p>
        </w:tc>
        <w:tc>
          <w:tcPr>
            <w:tcW w:w="2240" w:type="dxa"/>
            <w:vAlign w:val="bottom"/>
            <w:tcBorders>
              <w:bottom w:val="single" w:sz="8" w:color="808080"/>
              <w:right w:val="single" w:sz="8" w:color="808080"/>
            </w:tcBorders>
          </w:tcPr>
          <w:p>
            <w:pPr>
              <w:spacing w:after="0"/>
              <w:rPr>
                <w:sz w:val="10"/>
                <w:szCs w:val="10"/>
                <w:color w:val="auto"/>
              </w:rPr>
            </w:pPr>
          </w:p>
        </w:tc>
        <w:tc>
          <w:tcPr>
            <w:tcW w:w="2240" w:type="dxa"/>
            <w:vAlign w:val="bottom"/>
            <w:tcBorders>
              <w:bottom w:val="single" w:sz="8" w:color="808080"/>
              <w:right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right w:val="single" w:sz="8" w:color="808080"/>
            </w:tcBorders>
          </w:tcPr>
          <w:p>
            <w:pPr>
              <w:spacing w:after="0"/>
              <w:rPr>
                <w:sz w:val="10"/>
                <w:szCs w:val="10"/>
                <w:color w:val="auto"/>
              </w:rPr>
            </w:pPr>
          </w:p>
        </w:tc>
        <w:tc>
          <w:tcPr>
            <w:tcW w:w="1660" w:type="dxa"/>
            <w:vAlign w:val="bottom"/>
          </w:tcPr>
          <w:p>
            <w:pPr>
              <w:spacing w:after="0"/>
              <w:rPr>
                <w:sz w:val="10"/>
                <w:szCs w:val="10"/>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Initial Payment</w:t>
            </w:r>
          </w:p>
        </w:tc>
        <w:tc>
          <w:tcPr>
            <w:tcW w:w="2240" w:type="dxa"/>
            <w:vAlign w:val="bottom"/>
          </w:tcPr>
          <w:p>
            <w:pPr>
              <w:ind w:left="20"/>
              <w:spacing w:after="0"/>
              <w:rPr>
                <w:sz w:val="20"/>
                <w:szCs w:val="20"/>
                <w:color w:val="auto"/>
              </w:rPr>
            </w:pPr>
            <w:r>
              <w:rPr>
                <w:rFonts w:ascii="Arial" w:cs="Arial" w:eastAsia="Arial" w:hAnsi="Arial"/>
                <w:sz w:val="14"/>
                <w:szCs w:val="14"/>
                <w:color w:val="auto"/>
              </w:rPr>
              <w:t>First Month’s Fee</w:t>
            </w:r>
          </w:p>
        </w:tc>
        <w:tc>
          <w:tcPr>
            <w:tcW w:w="2240" w:type="dxa"/>
            <w:vAlign w:val="bottom"/>
            <w:tcBorders>
              <w:right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spacing w:after="0"/>
              <w:rPr>
                <w:sz w:val="20"/>
                <w:szCs w:val="20"/>
                <w:color w:val="auto"/>
              </w:rPr>
            </w:pPr>
          </w:p>
        </w:tc>
        <w:tc>
          <w:tcPr>
            <w:tcW w:w="2240" w:type="dxa"/>
            <w:vAlign w:val="bottom"/>
            <w:tcBorders>
              <w:right w:val="single" w:sz="8" w:color="808080"/>
            </w:tcBorders>
          </w:tcPr>
          <w:p>
            <w:pPr>
              <w:ind w:left="20"/>
              <w:spacing w:after="0"/>
              <w:rPr>
                <w:sz w:val="20"/>
                <w:szCs w:val="20"/>
                <w:color w:val="auto"/>
              </w:rPr>
            </w:pPr>
            <w:r>
              <w:rPr>
                <w:rFonts w:ascii="Arial" w:cs="Arial" w:eastAsia="Arial" w:hAnsi="Arial"/>
                <w:sz w:val="14"/>
                <w:szCs w:val="14"/>
                <w:color w:val="auto"/>
              </w:rPr>
              <w:t>Service Retainer</w:t>
            </w:r>
          </w:p>
        </w:tc>
        <w:tc>
          <w:tcPr>
            <w:tcW w:w="2240" w:type="dxa"/>
            <w:vAlign w:val="bottom"/>
            <w:tcBorders>
              <w:right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€15,092</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spacing w:after="0"/>
              <w:rPr>
                <w:sz w:val="20"/>
                <w:szCs w:val="20"/>
                <w:color w:val="auto"/>
              </w:rPr>
            </w:pPr>
          </w:p>
        </w:tc>
        <w:tc>
          <w:tcPr>
            <w:tcW w:w="2240" w:type="dxa"/>
            <w:vAlign w:val="bottom"/>
            <w:tcBorders>
              <w:right w:val="single" w:sz="8" w:color="808080"/>
            </w:tcBorders>
          </w:tcPr>
          <w:p>
            <w:pPr>
              <w:ind w:left="20"/>
              <w:spacing w:after="0"/>
              <w:rPr>
                <w:sz w:val="20"/>
                <w:szCs w:val="20"/>
                <w:color w:val="auto"/>
              </w:rPr>
            </w:pPr>
            <w:r>
              <w:rPr>
                <w:rFonts w:ascii="Arial" w:cs="Arial" w:eastAsia="Arial" w:hAnsi="Arial"/>
                <w:sz w:val="14"/>
                <w:szCs w:val="14"/>
                <w:color w:val="auto"/>
              </w:rPr>
              <w:t>Total Initial Payment</w:t>
            </w:r>
          </w:p>
        </w:tc>
        <w:tc>
          <w:tcPr>
            <w:tcW w:w="2240" w:type="dxa"/>
            <w:vAlign w:val="bottom"/>
            <w:tcBorders>
              <w:right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€15,092</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115"/>
        </w:trPr>
        <w:tc>
          <w:tcPr>
            <w:tcW w:w="2280" w:type="dxa"/>
            <w:vAlign w:val="bottom"/>
            <w:tcBorders>
              <w:left w:val="single" w:sz="8" w:color="808080"/>
              <w:bottom w:val="single" w:sz="8" w:color="808080"/>
              <w:right w:val="single" w:sz="8" w:color="808080"/>
            </w:tcBorders>
          </w:tcPr>
          <w:p>
            <w:pPr>
              <w:spacing w:after="0"/>
              <w:rPr>
                <w:sz w:val="10"/>
                <w:szCs w:val="10"/>
                <w:color w:val="auto"/>
              </w:rPr>
            </w:pPr>
          </w:p>
        </w:tc>
        <w:tc>
          <w:tcPr>
            <w:tcW w:w="2240" w:type="dxa"/>
            <w:vAlign w:val="bottom"/>
            <w:tcBorders>
              <w:bottom w:val="single" w:sz="8" w:color="808080"/>
              <w:right w:val="single" w:sz="8" w:color="808080"/>
            </w:tcBorders>
          </w:tcPr>
          <w:p>
            <w:pPr>
              <w:spacing w:after="0"/>
              <w:rPr>
                <w:sz w:val="10"/>
                <w:szCs w:val="10"/>
                <w:color w:val="auto"/>
              </w:rPr>
            </w:pPr>
          </w:p>
        </w:tc>
        <w:tc>
          <w:tcPr>
            <w:tcW w:w="2240" w:type="dxa"/>
            <w:vAlign w:val="bottom"/>
            <w:tcBorders>
              <w:bottom w:val="single" w:sz="8" w:color="808080"/>
              <w:right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right w:val="single" w:sz="8" w:color="808080"/>
            </w:tcBorders>
          </w:tcPr>
          <w:p>
            <w:pPr>
              <w:spacing w:after="0"/>
              <w:rPr>
                <w:sz w:val="10"/>
                <w:szCs w:val="10"/>
                <w:color w:val="auto"/>
              </w:rPr>
            </w:pPr>
          </w:p>
        </w:tc>
        <w:tc>
          <w:tcPr>
            <w:tcW w:w="1660" w:type="dxa"/>
            <w:vAlign w:val="bottom"/>
          </w:tcPr>
          <w:p>
            <w:pPr>
              <w:spacing w:after="0"/>
              <w:rPr>
                <w:sz w:val="10"/>
                <w:szCs w:val="10"/>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Monthly Payment</w:t>
            </w:r>
          </w:p>
        </w:tc>
        <w:tc>
          <w:tcPr>
            <w:tcW w:w="2240" w:type="dxa"/>
            <w:vAlign w:val="bottom"/>
          </w:tcPr>
          <w:p>
            <w:pPr>
              <w:spacing w:after="0"/>
              <w:rPr>
                <w:sz w:val="20"/>
                <w:szCs w:val="20"/>
                <w:color w:val="auto"/>
              </w:rPr>
            </w:pPr>
            <w:r>
              <w:rPr>
                <w:rFonts w:ascii="Arial" w:cs="Arial" w:eastAsia="Arial" w:hAnsi="Arial"/>
                <w:sz w:val="14"/>
                <w:szCs w:val="14"/>
                <w:color w:val="auto"/>
              </w:rPr>
              <w:t>Total Monthly Payment Thereafter</w:t>
            </w:r>
          </w:p>
        </w:tc>
        <w:tc>
          <w:tcPr>
            <w:tcW w:w="2240" w:type="dxa"/>
            <w:vAlign w:val="bottom"/>
            <w:tcBorders>
              <w:right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€7,546</w:t>
            </w:r>
          </w:p>
        </w:tc>
        <w:tc>
          <w:tcPr>
            <w:tcW w:w="1660" w:type="dxa"/>
            <w:vAlign w:val="bottom"/>
          </w:tcPr>
          <w:p>
            <w:pPr>
              <w:spacing w:after="0"/>
              <w:rPr>
                <w:sz w:val="20"/>
                <w:szCs w:val="20"/>
                <w:color w:val="auto"/>
              </w:rPr>
            </w:pPr>
          </w:p>
        </w:tc>
      </w:tr>
      <w:tr>
        <w:trPr>
          <w:trHeight w:val="52"/>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88"/>
        </w:trPr>
        <w:tc>
          <w:tcPr>
            <w:tcW w:w="2280" w:type="dxa"/>
            <w:vAlign w:val="bottom"/>
            <w:tcBorders>
              <w:bottom w:val="single" w:sz="8" w:color="808080"/>
            </w:tcBorders>
          </w:tcPr>
          <w:p>
            <w:pPr>
              <w:spacing w:after="0"/>
              <w:rPr>
                <w:sz w:val="7"/>
                <w:szCs w:val="7"/>
                <w:color w:val="auto"/>
              </w:rPr>
            </w:pPr>
          </w:p>
        </w:tc>
        <w:tc>
          <w:tcPr>
            <w:tcW w:w="2240" w:type="dxa"/>
            <w:vAlign w:val="bottom"/>
            <w:tcBorders>
              <w:bottom w:val="single" w:sz="8" w:color="808080"/>
            </w:tcBorders>
          </w:tcPr>
          <w:p>
            <w:pPr>
              <w:spacing w:after="0"/>
              <w:rPr>
                <w:sz w:val="7"/>
                <w:szCs w:val="7"/>
                <w:color w:val="auto"/>
              </w:rPr>
            </w:pPr>
          </w:p>
        </w:tc>
        <w:tc>
          <w:tcPr>
            <w:tcW w:w="22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r>
      <w:tr>
        <w:trPr>
          <w:trHeight w:val="225"/>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b w:val="1"/>
                <w:bCs w:val="1"/>
                <w:color w:val="auto"/>
              </w:rPr>
              <w:t>Service Provision</w:t>
            </w:r>
          </w:p>
        </w:tc>
        <w:tc>
          <w:tcPr>
            <w:tcW w:w="224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Start Date</w:t>
            </w:r>
          </w:p>
        </w:tc>
        <w:tc>
          <w:tcPr>
            <w:tcW w:w="2240" w:type="dxa"/>
            <w:vAlign w:val="bottom"/>
            <w:tcBorders>
              <w:right w:val="single" w:sz="8" w:color="808080"/>
            </w:tcBorders>
          </w:tcPr>
          <w:p>
            <w:pPr>
              <w:jc w:val="right"/>
              <w:ind w:right="1308"/>
              <w:spacing w:after="0"/>
              <w:rPr>
                <w:sz w:val="20"/>
                <w:szCs w:val="20"/>
                <w:color w:val="auto"/>
              </w:rPr>
            </w:pPr>
            <w:r>
              <w:rPr>
                <w:rFonts w:ascii="Arial" w:cs="Arial" w:eastAsia="Arial" w:hAnsi="Arial"/>
                <w:sz w:val="14"/>
                <w:szCs w:val="14"/>
                <w:color w:val="auto"/>
              </w:rPr>
              <w:t>01/04/2021</w:t>
            </w:r>
          </w:p>
        </w:tc>
        <w:tc>
          <w:tcPr>
            <w:tcW w:w="780" w:type="dxa"/>
            <w:vAlign w:val="bottom"/>
          </w:tcPr>
          <w:p>
            <w:pPr>
              <w:ind w:left="120"/>
              <w:spacing w:after="0"/>
              <w:rPr>
                <w:sz w:val="20"/>
                <w:szCs w:val="20"/>
                <w:color w:val="auto"/>
              </w:rPr>
            </w:pPr>
            <w:r>
              <w:rPr>
                <w:rFonts w:ascii="Arial" w:cs="Arial" w:eastAsia="Arial" w:hAnsi="Arial"/>
                <w:sz w:val="14"/>
                <w:szCs w:val="14"/>
                <w:color w:val="auto"/>
              </w:rPr>
              <w:t>End Date*</w:t>
            </w:r>
          </w:p>
        </w:tc>
        <w:tc>
          <w:tcPr>
            <w:tcW w:w="1460" w:type="dxa"/>
            <w:vAlign w:val="bottom"/>
            <w:tcBorders>
              <w:right w:val="single" w:sz="8" w:color="808080"/>
            </w:tcBorders>
          </w:tcPr>
          <w:p>
            <w:pPr>
              <w:spacing w:after="0"/>
              <w:rPr>
                <w:sz w:val="19"/>
                <w:szCs w:val="19"/>
                <w:color w:val="auto"/>
              </w:rPr>
            </w:pPr>
          </w:p>
        </w:tc>
        <w:tc>
          <w:tcPr>
            <w:tcW w:w="1660" w:type="dxa"/>
            <w:vAlign w:val="bottom"/>
            <w:tcBorders>
              <w:right w:val="single" w:sz="8" w:color="808080"/>
            </w:tcBorders>
          </w:tcPr>
          <w:p>
            <w:pPr>
              <w:jc w:val="right"/>
              <w:ind w:right="728"/>
              <w:spacing w:after="0"/>
              <w:rPr>
                <w:sz w:val="20"/>
                <w:szCs w:val="20"/>
                <w:color w:val="auto"/>
              </w:rPr>
            </w:pPr>
            <w:r>
              <w:rPr>
                <w:rFonts w:ascii="Arial" w:cs="Arial" w:eastAsia="Arial" w:hAnsi="Arial"/>
                <w:sz w:val="14"/>
                <w:szCs w:val="14"/>
                <w:color w:val="auto"/>
              </w:rPr>
              <w:t>30/06/2022</w:t>
            </w:r>
          </w:p>
        </w:tc>
      </w:tr>
      <w:tr>
        <w:trPr>
          <w:trHeight w:val="52"/>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Borders>
              <w:bottom w:val="single" w:sz="8" w:color="808080"/>
              <w:right w:val="single" w:sz="8" w:color="808080"/>
            </w:tcBorders>
          </w:tcPr>
          <w:p>
            <w:pPr>
              <w:spacing w:after="0"/>
              <w:rPr>
                <w:sz w:val="4"/>
                <w:szCs w:val="4"/>
                <w:color w:val="auto"/>
              </w:rPr>
            </w:pPr>
          </w:p>
        </w:tc>
      </w:tr>
    </w:tbl>
    <w:p>
      <w:pPr>
        <w:spacing w:after="0" w:line="83"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b w:val="1"/>
          <w:bCs w:val="1"/>
          <w:i w:val="1"/>
          <w:iCs w:val="1"/>
          <w:color w:val="auto"/>
        </w:rPr>
        <w:t>*</w:t>
        <w:tab/>
        <w:t>All agreements end on the last calendar day of the month.</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6772275" cy="4457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772275" cy="445770"/>
                    </a:xfrm>
                    <a:prstGeom prst="rect">
                      <a:avLst/>
                    </a:prstGeom>
                    <a:noFill/>
                  </pic:spPr>
                </pic:pic>
              </a:graphicData>
            </a:graphic>
          </wp:anchor>
        </w:drawing>
      </w:r>
    </w:p>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color w:val="auto"/>
        </w:rPr>
        <w:t xml:space="preserve">An Activation fee </w:t>
      </w:r>
      <w:r>
        <w:rPr>
          <w:rFonts w:ascii="Arial" w:cs="Arial" w:eastAsia="Arial" w:hAnsi="Arial"/>
          <w:sz w:val="14"/>
          <w:szCs w:val="14"/>
          <w:u w:val="single" w:color="auto"/>
          <w:color w:val="auto"/>
        </w:rPr>
        <w:t>[______€0.00</w:t>
      </w:r>
      <w:r>
        <w:rPr>
          <w:rFonts w:ascii="Arial" w:cs="Arial" w:eastAsia="Arial" w:hAnsi="Arial"/>
          <w:sz w:val="14"/>
          <w:szCs w:val="14"/>
          <w:color w:val="auto"/>
        </w:rPr>
        <w:t>_____] per occupant will be payable, (a one time, per occupant fee for Office and Coworking (dedicated desk) customers that covers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all aspects of customer onboarding, administration and set-up.)</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4"/>
          <w:szCs w:val="14"/>
          <w:color w:val="auto"/>
        </w:rPr>
        <w:t>Client taking BACK TO WORK Promotion offer of the first two months (April 2021 &amp; May 2021) as free months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We are </w:t>
      </w:r>
      <w:r>
        <w:rPr>
          <w:rFonts w:ascii="Arial" w:cs="Arial" w:eastAsia="Arial" w:hAnsi="Arial"/>
          <w:sz w:val="14"/>
          <w:szCs w:val="14"/>
          <w:u w:val="single" w:color="auto"/>
          <w:color w:val="auto"/>
        </w:rPr>
        <w:t>Frankfurt The Squaire BC GmbH.</w:t>
      </w:r>
    </w:p>
    <w:p>
      <w:pPr>
        <w:spacing w:after="0" w:line="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 xml:space="preserve">This Agreement incorporates our terms of business set out on attached Terms and Conditions, attached House Rules and Service Price Guide (where available) which you confirm you have read and understood. We both agree to comply with those terms and our obligations as set out in them. This agreement is binding from the agreement date and may not be terminated once it is made, except in accordance with its terms. </w:t>
      </w:r>
      <w:r>
        <w:rPr>
          <w:rFonts w:ascii="Arial" w:cs="Arial" w:eastAsia="Arial" w:hAnsi="Arial"/>
          <w:sz w:val="14"/>
          <w:szCs w:val="14"/>
          <w:i w:val="1"/>
          <w:iCs w:val="1"/>
          <w:color w:val="auto"/>
        </w:rPr>
        <w:t>Note that the Agreement does not come to an end automatically. See “Automatic</w:t>
      </w:r>
      <w:r>
        <w:rPr>
          <w:rFonts w:ascii="Arial" w:cs="Arial" w:eastAsia="Arial" w:hAnsi="Arial"/>
          <w:sz w:val="14"/>
          <w:szCs w:val="14"/>
          <w:color w:val="auto"/>
        </w:rPr>
        <w:t xml:space="preserve"> </w:t>
      </w:r>
      <w:r>
        <w:rPr>
          <w:rFonts w:ascii="Arial" w:cs="Arial" w:eastAsia="Arial" w:hAnsi="Arial"/>
          <w:sz w:val="14"/>
          <w:szCs w:val="14"/>
          <w:i w:val="1"/>
          <w:iCs w:val="1"/>
          <w:color w:val="auto"/>
        </w:rPr>
        <w:t>Renewal” section in the terms and conditions for the notice terms if you wish to end your agreement.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20"/>
                <w:szCs w:val="20"/>
                <w:color w:val="auto"/>
              </w:rPr>
            </w:pPr>
            <w:r>
              <w:rPr>
                <w:rFonts w:ascii="Arial" w:cs="Arial" w:eastAsia="Arial" w:hAnsi="Arial"/>
                <w:sz w:val="14"/>
                <w:szCs w:val="14"/>
                <w:color w:val="auto"/>
              </w:rPr>
              <w:t>Name (Printed):</w:t>
            </w: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Tom Maher</w:t>
            </w:r>
          </w:p>
        </w:tc>
      </w:tr>
      <w:tr>
        <w:trPr>
          <w:trHeight w:val="304"/>
        </w:trPr>
        <w:tc>
          <w:tcPr>
            <w:tcW w:w="1840" w:type="dxa"/>
            <w:vAlign w:val="bottom"/>
          </w:tcPr>
          <w:p>
            <w:pPr>
              <w:spacing w:after="0"/>
              <w:rPr>
                <w:sz w:val="20"/>
                <w:szCs w:val="20"/>
                <w:color w:val="auto"/>
              </w:rPr>
            </w:pPr>
            <w:r>
              <w:rPr>
                <w:rFonts w:ascii="Arial" w:cs="Arial" w:eastAsia="Arial" w:hAnsi="Arial"/>
                <w:sz w:val="14"/>
                <w:szCs w:val="14"/>
                <w:color w:val="auto"/>
              </w:rPr>
              <w:t>Title (Printed):</w:t>
            </w: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Managing Director</w:t>
            </w:r>
          </w:p>
        </w:tc>
      </w:tr>
      <w:tr>
        <w:trPr>
          <w:trHeight w:val="304"/>
        </w:trPr>
        <w:tc>
          <w:tcPr>
            <w:tcW w:w="1840" w:type="dxa"/>
            <w:vAlign w:val="bottom"/>
          </w:tcPr>
          <w:p>
            <w:pPr>
              <w:spacing w:after="0"/>
              <w:rPr>
                <w:sz w:val="20"/>
                <w:szCs w:val="20"/>
                <w:color w:val="auto"/>
              </w:rPr>
            </w:pPr>
            <w:r>
              <w:rPr>
                <w:rFonts w:ascii="Arial" w:cs="Arial" w:eastAsia="Arial" w:hAnsi="Arial"/>
                <w:sz w:val="14"/>
                <w:szCs w:val="14"/>
                <w:color w:val="auto"/>
              </w:rPr>
              <w:t>Date:</w:t>
            </w: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31/3/2021</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SIGNED on your behalf (Client)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441960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20"/>
          </w:cols>
          <w:pgMar w:left="640" w:top="346" w:right="339" w:bottom="1440" w:gutter="0" w:footer="0" w:header="0"/>
          <w:type w:val="continuous"/>
        </w:sectPr>
      </w:pPr>
    </w:p>
    <w:bookmarkStart w:id="81" w:name="page82"/>
    <w:bookmarkEnd w:id="81"/>
    <w:p>
      <w:pPr>
        <w:ind w:left="1840"/>
        <w:spacing w:after="0"/>
        <w:rPr>
          <w:sz w:val="20"/>
          <w:szCs w:val="20"/>
          <w:color w:val="auto"/>
        </w:rPr>
      </w:pPr>
      <w:r>
        <w:rPr>
          <w:rFonts w:ascii="Arial" w:cs="Arial" w:eastAsia="Arial" w:hAnsi="Arial"/>
          <w:sz w:val="14"/>
          <w:szCs w:val="14"/>
          <w:color w:val="auto"/>
        </w:rPr>
        <w:t>/s/ Tom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34118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43"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Regus supplies services to you that are subject to VAT at the standard rate in force at the time of delivery of the services to you. By ticking the following “Yes”-box, you confirm that you are entitled to recover 95% or more of the VAT charged on the services.</w:t>
      </w:r>
    </w:p>
    <w:p>
      <w:pPr>
        <w:spacing w:after="0" w:line="122" w:lineRule="exact"/>
        <w:rPr>
          <w:sz w:val="20"/>
          <w:szCs w:val="20"/>
          <w:color w:val="auto"/>
        </w:rPr>
      </w:pPr>
    </w:p>
    <w:p>
      <w:pPr>
        <w:ind w:left="20"/>
        <w:spacing w:after="0"/>
        <w:rPr>
          <w:sz w:val="20"/>
          <w:szCs w:val="20"/>
          <w:color w:val="auto"/>
        </w:rPr>
      </w:pPr>
      <w:r>
        <w:rPr>
          <w:sz w:val="1"/>
          <w:szCs w:val="1"/>
          <w:color w:val="auto"/>
        </w:rPr>
        <w:drawing>
          <wp:inline distT="0" distB="0" distL="0" distR="0">
            <wp:extent cx="145415" cy="1543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Arial" w:cs="Arial" w:eastAsia="Arial" w:hAnsi="Arial"/>
          <w:sz w:val="14"/>
          <w:szCs w:val="14"/>
          <w:color w:val="auto"/>
        </w:rPr>
        <w:t xml:space="preserve"> Yes   </w:t>
      </w:r>
      <w:r>
        <w:rPr>
          <w:sz w:val="1"/>
          <w:szCs w:val="1"/>
          <w:color w:val="auto"/>
        </w:rPr>
        <w:drawing>
          <wp:inline distT="0" distB="0" distL="0" distR="0">
            <wp:extent cx="257175" cy="18859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57175" cy="188595"/>
                    </a:xfrm>
                    <a:prstGeom prst="rect">
                      <a:avLst/>
                    </a:prstGeom>
                    <a:noFill/>
                    <a:ln>
                      <a:noFill/>
                    </a:ln>
                  </pic:spPr>
                </pic:pic>
              </a:graphicData>
            </a:graphic>
          </wp:inline>
        </w:drawing>
      </w:r>
      <w:r>
        <w:rPr>
          <w:rFonts w:ascii="Arial" w:cs="Arial" w:eastAsia="Arial" w:hAnsi="Arial"/>
          <w:sz w:val="14"/>
          <w:szCs w:val="14"/>
          <w:color w:val="auto"/>
        </w:rPr>
        <w:t xml:space="preserve">  No</w:t>
      </w:r>
    </w:p>
    <w:p>
      <w:pPr>
        <w:spacing w:after="0" w:line="151"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4"/>
          <w:szCs w:val="14"/>
          <w:u w:val="single" w:color="auto"/>
          <w:color w:val="auto"/>
        </w:rPr>
        <w:t>/s/ Tom Maher</w:t>
        <w:tab/>
        <w:t>31/3/2021</w:t>
      </w:r>
    </w:p>
    <w:p>
      <w:pPr>
        <w:jc w:val="right"/>
        <w:spacing w:after="0" w:line="225" w:lineRule="auto"/>
        <w:rPr>
          <w:sz w:val="20"/>
          <w:szCs w:val="20"/>
          <w:color w:val="auto"/>
        </w:rPr>
      </w:pPr>
      <w:r>
        <w:rPr>
          <w:rFonts w:ascii="Arial" w:cs="Arial" w:eastAsia="Arial" w:hAnsi="Arial"/>
          <w:sz w:val="14"/>
          <w:szCs w:val="14"/>
          <w:color w:val="auto"/>
        </w:rPr>
        <w:t>Date, Signature</w:t>
      </w:r>
    </w:p>
    <w:p>
      <w:pPr>
        <w:spacing w:after="0"/>
        <w:rPr>
          <w:sz w:val="20"/>
          <w:szCs w:val="20"/>
          <w:color w:val="auto"/>
        </w:rPr>
      </w:pPr>
      <w:r>
        <w:rPr>
          <w:rFonts w:ascii="Arial" w:cs="Arial" w:eastAsia="Arial" w:hAnsi="Arial"/>
          <w:sz w:val="14"/>
          <w:szCs w:val="14"/>
          <w:color w:val="auto"/>
        </w:rPr>
        <w:t>If you have ticked the “No”-box, please refer to the Section below:</w:t>
      </w:r>
    </w:p>
    <w:p>
      <w:pPr>
        <w:ind w:right="200"/>
        <w:spacing w:after="0" w:line="244" w:lineRule="auto"/>
        <w:rPr>
          <w:sz w:val="20"/>
          <w:szCs w:val="20"/>
          <w:color w:val="auto"/>
        </w:rPr>
      </w:pPr>
      <w:r>
        <w:rPr>
          <w:rFonts w:ascii="Arial" w:cs="Arial" w:eastAsia="Arial" w:hAnsi="Arial"/>
          <w:sz w:val="14"/>
          <w:szCs w:val="14"/>
          <w:color w:val="auto"/>
        </w:rPr>
        <w:t>If the services supplied by Regus to the customer are at any time according to law found to be exempt from VAT then Regus will credit the VAT charged to the customer. However, the Charges for the services to the customer will be retroactively Increased for the previous term of the Agreement by an amount equal to the VAT amount that has to be credited to the customer. The credits and the increases in the charges will in each case be offset. From the point at which the services supplied by Regus are found to be exempt, the charges for the services will be increased by the standard VAT rate percentage in force at the time of delivery of the services to the customer. However, the parties are aware of the fact that such an increase will not represent a VAT charge but will be an increase in the service charges. Please sign here to acknowledge that you have read and understood this and that you agree with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6908800</wp:posOffset>
            </wp:positionH>
            <wp:positionV relativeFrom="paragraph">
              <wp:posOffset>179070</wp:posOffset>
            </wp:positionV>
            <wp:extent cx="254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Date,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430530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20"/>
          </w:cols>
          <w:pgMar w:left="640" w:top="374" w:right="339" w:bottom="1440" w:gutter="0" w:footer="0" w:header="0"/>
        </w:sectPr>
      </w:pPr>
    </w:p>
    <w:bookmarkStart w:id="82" w:name="page83"/>
    <w:bookmarkEnd w:id="82"/>
    <w:p>
      <w:pPr>
        <w:ind w:right="560"/>
        <w:spacing w:after="0" w:line="247" w:lineRule="auto"/>
        <w:rPr>
          <w:sz w:val="20"/>
          <w:szCs w:val="20"/>
          <w:color w:val="auto"/>
        </w:rPr>
      </w:pPr>
      <w:r>
        <w:rPr>
          <w:rFonts w:ascii="Arial" w:cs="Arial" w:eastAsia="Arial" w:hAnsi="Arial"/>
          <w:sz w:val="18"/>
          <w:szCs w:val="18"/>
          <w:b w:val="1"/>
          <w:bCs w:val="1"/>
          <w:color w:val="auto"/>
        </w:rPr>
        <w:t>These General Terms and Conditions apply to Office/Co-Working, Virtual Office and Membership agreements for services We supply to You.</w:t>
      </w:r>
    </w:p>
    <w:p>
      <w:pPr>
        <w:spacing w:after="0" w:line="235" w:lineRule="auto"/>
        <w:rPr>
          <w:sz w:val="20"/>
          <w:szCs w:val="20"/>
          <w:color w:val="auto"/>
        </w:rPr>
      </w:pPr>
      <w:r>
        <w:rPr>
          <w:rFonts w:ascii="Arial" w:cs="Arial" w:eastAsia="Arial" w:hAnsi="Arial"/>
          <w:sz w:val="18"/>
          <w:szCs w:val="18"/>
          <w:color w:val="auto"/>
        </w:rPr>
        <w:t>1 . General Agreement</w:t>
      </w:r>
    </w:p>
    <w:p>
      <w:pPr>
        <w:spacing w:after="0" w:line="1" w:lineRule="exact"/>
        <w:rPr>
          <w:sz w:val="20"/>
          <w:szCs w:val="20"/>
          <w:color w:val="auto"/>
        </w:rPr>
      </w:pPr>
    </w:p>
    <w:p>
      <w:pPr>
        <w:ind w:left="1240" w:right="40" w:hanging="431"/>
        <w:spacing w:after="0" w:line="248" w:lineRule="auto"/>
        <w:rPr>
          <w:sz w:val="20"/>
          <w:szCs w:val="20"/>
          <w:color w:val="auto"/>
        </w:rPr>
      </w:pPr>
      <w:r>
        <w:rPr>
          <w:rFonts w:ascii="Arial" w:cs="Arial" w:eastAsia="Arial" w:hAnsi="Arial"/>
          <w:sz w:val="17"/>
          <w:szCs w:val="17"/>
          <w:color w:val="auto"/>
        </w:rPr>
        <w:t>1.1. Nature of an agreement: At all times. each Center remains in Our possession and control. YOU ACCEPT THAT AN AGREEMENT CREATES NO TENANCY INTEREST. LEASEHOLD ESTATE OR OTHER REAL PROPERTY INTEREST IN YOUR FAVOR WITH RESPECT TO THE ACCOMMODATION. Occupation by You is the commercial equivalent of an agreement for accommodation in a hotel. We are giving You the right to share the use of the Center with Us and other clients.</w:t>
      </w:r>
    </w:p>
    <w:p>
      <w:pPr>
        <w:spacing w:after="0" w:line="2" w:lineRule="exact"/>
        <w:rPr>
          <w:sz w:val="20"/>
          <w:szCs w:val="20"/>
          <w:color w:val="auto"/>
        </w:rPr>
      </w:pPr>
    </w:p>
    <w:p>
      <w:pPr>
        <w:ind w:left="1240" w:right="160" w:hanging="431"/>
        <w:spacing w:after="0" w:line="234" w:lineRule="auto"/>
        <w:rPr>
          <w:sz w:val="20"/>
          <w:szCs w:val="20"/>
          <w:color w:val="auto"/>
        </w:rPr>
      </w:pPr>
      <w:r>
        <w:rPr>
          <w:rFonts w:ascii="Arial" w:cs="Arial" w:eastAsia="Arial" w:hAnsi="Arial"/>
          <w:sz w:val="18"/>
          <w:szCs w:val="18"/>
          <w:color w:val="auto"/>
        </w:rPr>
        <w:t>1.2. House Rules: The House Rules. which ore incorporated into these terms and conditions, are primarily in place and enforced to ensure that all clients have a professional environment to work in.</w:t>
      </w:r>
    </w:p>
    <w:p>
      <w:pPr>
        <w:spacing w:after="0" w:line="1" w:lineRule="exact"/>
        <w:rPr>
          <w:sz w:val="20"/>
          <w:szCs w:val="20"/>
          <w:color w:val="auto"/>
        </w:rPr>
      </w:pPr>
    </w:p>
    <w:p>
      <w:pPr>
        <w:ind w:left="1240" w:hanging="431"/>
        <w:spacing w:after="0" w:line="234" w:lineRule="auto"/>
        <w:rPr>
          <w:sz w:val="20"/>
          <w:szCs w:val="20"/>
          <w:color w:val="auto"/>
        </w:rPr>
      </w:pPr>
      <w:r>
        <w:rPr>
          <w:rFonts w:ascii="Arial" w:cs="Arial" w:eastAsia="Arial" w:hAnsi="Arial"/>
          <w:sz w:val="18"/>
          <w:szCs w:val="18"/>
          <w:color w:val="auto"/>
        </w:rPr>
        <w:t>1.3. Availability at the start of an agreement: If for any unfortunate reason We cannot provide the services or accommodation in the Center stated in an agreement by the start date, We will have no liability to You for any loss or damage but You may either move to one of Our other Centers {subject to availability). delay the start of the agreement or cancel it.</w:t>
      </w:r>
    </w:p>
    <w:p>
      <w:pPr>
        <w:spacing w:after="0" w:line="2" w:lineRule="exact"/>
        <w:rPr>
          <w:sz w:val="20"/>
          <w:szCs w:val="20"/>
          <w:color w:val="auto"/>
        </w:rPr>
      </w:pPr>
    </w:p>
    <w:p>
      <w:pPr>
        <w:ind w:left="1240" w:right="20" w:hanging="431"/>
        <w:spacing w:after="0" w:line="23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AUTOMATIC RENEWAL</w:t>
      </w:r>
      <w:r>
        <w:rPr>
          <w:rFonts w:ascii="Arial" w:cs="Arial" w:eastAsia="Arial" w:hAnsi="Arial"/>
          <w:sz w:val="18"/>
          <w:szCs w:val="18"/>
          <w:color w:val="auto"/>
        </w:rPr>
        <w:t xml:space="preserve">: SO THAT WE CAN MANAGE YOUR SERVICES EFFECTIVELY AND TO ENSURE SEAMLESS CONTINUITY OF THOSE SERVICES, ALL AGREEMENTS WILL RENEW AUTOMATICALLY FOR SUCCESSIVE PERIODS EQUAL TO THE CURRENT TERM UNTIL BROUGHT TO AN END BY YOU OR US. ALL PERIODS SHALL RUN TO THE LAST DAY OF THE MONTH IN WHICH THEY WOULD OTHERWISE EXPIRE THE FEES ON ANY RENEWAL WILL BE AT THE THEN PREVAILING MARKET RATE (PRICES ARE SET ANNUALLY SO DEPENDING ON WHEN YOUR AGREEMENT IS DUE TO RENEW, THERE MAY BE A CHANGE IN PRICE). </w:t>
      </w:r>
      <w:r>
        <w:rPr>
          <w:rFonts w:ascii="Arial" w:cs="Arial" w:eastAsia="Arial" w:hAnsi="Arial"/>
          <w:sz w:val="18"/>
          <w:szCs w:val="18"/>
          <w:u w:val="single" w:color="auto"/>
          <w:color w:val="auto"/>
        </w:rPr>
        <w:t>IF YOU DO NOT WISH FOR AN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 xml:space="preserve">TO RENEW THEN YOU CAN CANCEL IT EASILY WITH EFFECT FROM THE END DATE STATED IN THE AGREEMENT. OR AT THE END OF ANY EXTENSION OR RENEWAL PERIOD. BY GIVING US PRIOR NOTICE. NOTICE MUST BE GIVEN THROUGH YOUR ONLINE ACCOUNT OR THROUGH THE APP. THE NOTICE PERIODS REQUIRED ARE AS </w:t>
      </w:r>
      <w:r>
        <w:rPr>
          <w:rFonts w:ascii="Arial" w:cs="Arial" w:eastAsia="Arial" w:hAnsi="Arial"/>
          <w:sz w:val="18"/>
          <w:szCs w:val="18"/>
          <w:color w:val="auto"/>
        </w:rPr>
        <w:t>FOLLOWS:</w:t>
      </w:r>
    </w:p>
    <w:p>
      <w:pPr>
        <w:spacing w:after="0" w:line="7" w:lineRule="exact"/>
        <w:rPr>
          <w:sz w:val="20"/>
          <w:szCs w:val="20"/>
          <w:color w:val="auto"/>
        </w:rPr>
      </w:pPr>
    </w:p>
    <w:tbl>
      <w:tblPr>
        <w:tblLayout w:type="fixed"/>
        <w:tblInd w:w="1240" w:type="dxa"/>
        <w:tblCellMar>
          <w:top w:w="0" w:type="dxa"/>
          <w:left w:w="0" w:type="dxa"/>
          <w:bottom w:w="0" w:type="dxa"/>
          <w:right w:w="0" w:type="dxa"/>
        </w:tblCellMar>
      </w:tblPr>
      <w:tr>
        <w:trPr>
          <w:trHeight w:val="183"/>
        </w:trPr>
        <w:tc>
          <w:tcPr>
            <w:tcW w:w="9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Term</w:t>
            </w: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40"/>
              <w:spacing w:after="0" w:line="182" w:lineRule="exact"/>
              <w:rPr>
                <w:sz w:val="20"/>
                <w:szCs w:val="20"/>
                <w:color w:val="auto"/>
              </w:rPr>
            </w:pPr>
            <w:r>
              <w:rPr>
                <w:rFonts w:ascii="Arial" w:cs="Arial" w:eastAsia="Arial" w:hAnsi="Arial"/>
                <w:sz w:val="18"/>
                <w:szCs w:val="18"/>
                <w:color w:val="auto"/>
                <w:w w:val="98"/>
              </w:rPr>
              <w:t>Notice Period</w:t>
            </w:r>
          </w:p>
        </w:tc>
        <w:tc>
          <w:tcPr>
            <w:tcW w:w="4700" w:type="dxa"/>
            <w:vAlign w:val="bottom"/>
          </w:tcPr>
          <w:p>
            <w:pPr>
              <w:spacing w:after="0"/>
              <w:rPr>
                <w:sz w:val="15"/>
                <w:szCs w:val="15"/>
                <w:color w:val="auto"/>
              </w:rPr>
            </w:pPr>
          </w:p>
        </w:tc>
      </w:tr>
      <w:tr>
        <w:trPr>
          <w:trHeight w:val="209"/>
        </w:trPr>
        <w:tc>
          <w:tcPr>
            <w:tcW w:w="1720" w:type="dxa"/>
            <w:vAlign w:val="bottom"/>
            <w:gridSpan w:val="2"/>
          </w:tcPr>
          <w:p>
            <w:pPr>
              <w:spacing w:after="0"/>
              <w:rPr>
                <w:sz w:val="20"/>
                <w:szCs w:val="20"/>
                <w:color w:val="auto"/>
              </w:rPr>
            </w:pPr>
            <w:r>
              <w:rPr>
                <w:rFonts w:ascii="Arial" w:cs="Arial" w:eastAsia="Arial" w:hAnsi="Arial"/>
                <w:sz w:val="18"/>
                <w:szCs w:val="18"/>
                <w:color w:val="auto"/>
              </w:rPr>
              <w:t>Month-to-Month</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w w:val="99"/>
              </w:rPr>
              <w:t>no less than 1 month’s notice from the 1</w:t>
            </w:r>
            <w:r>
              <w:rPr>
                <w:rFonts w:ascii="Arial" w:cs="Arial" w:eastAsia="Arial" w:hAnsi="Arial"/>
                <w:sz w:val="15"/>
                <w:szCs w:val="15"/>
                <w:color w:val="auto"/>
                <w:w w:val="99"/>
              </w:rPr>
              <w:t>st</w:t>
            </w:r>
            <w:r>
              <w:rPr>
                <w:rFonts w:ascii="Arial" w:cs="Arial" w:eastAsia="Arial" w:hAnsi="Arial"/>
                <w:sz w:val="18"/>
                <w:szCs w:val="18"/>
                <w:color w:val="auto"/>
                <w:w w:val="99"/>
              </w:rPr>
              <w:t xml:space="preserve"> day of any calendar month</w:t>
            </w:r>
          </w:p>
        </w:tc>
      </w:tr>
      <w:tr>
        <w:trPr>
          <w:trHeight w:val="203"/>
        </w:trPr>
        <w:tc>
          <w:tcPr>
            <w:tcW w:w="1720" w:type="dxa"/>
            <w:vAlign w:val="bottom"/>
            <w:gridSpan w:val="2"/>
          </w:tcPr>
          <w:p>
            <w:pPr>
              <w:spacing w:after="0" w:line="202" w:lineRule="exact"/>
              <w:rPr>
                <w:sz w:val="20"/>
                <w:szCs w:val="20"/>
                <w:color w:val="auto"/>
              </w:rPr>
            </w:pPr>
            <w:r>
              <w:rPr>
                <w:rFonts w:ascii="Arial" w:cs="Arial" w:eastAsia="Arial" w:hAnsi="Arial"/>
                <w:sz w:val="18"/>
                <w:szCs w:val="18"/>
                <w:color w:val="auto"/>
              </w:rPr>
              <w:t>3 months</w:t>
            </w:r>
          </w:p>
        </w:tc>
        <w:tc>
          <w:tcPr>
            <w:tcW w:w="59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no less than 2 months’ notice prior to the end of the term</w:t>
            </w:r>
          </w:p>
        </w:tc>
      </w:tr>
      <w:tr>
        <w:trPr>
          <w:trHeight w:val="217"/>
        </w:trPr>
        <w:tc>
          <w:tcPr>
            <w:tcW w:w="1720" w:type="dxa"/>
            <w:vAlign w:val="bottom"/>
            <w:gridSpan w:val="2"/>
          </w:tcPr>
          <w:p>
            <w:pPr>
              <w:spacing w:after="0"/>
              <w:rPr>
                <w:sz w:val="20"/>
                <w:szCs w:val="20"/>
                <w:color w:val="auto"/>
              </w:rPr>
            </w:pPr>
            <w:r>
              <w:rPr>
                <w:rFonts w:ascii="Arial" w:cs="Arial" w:eastAsia="Arial" w:hAnsi="Arial"/>
                <w:sz w:val="18"/>
                <w:szCs w:val="18"/>
                <w:color w:val="auto"/>
              </w:rPr>
              <w:t>More than 3 months</w:t>
            </w: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rPr>
              <w:t>no less than 3 months’ notice prior to the end of the term</w:t>
            </w:r>
          </w:p>
        </w:tc>
      </w:tr>
    </w:tbl>
    <w:p>
      <w:pPr>
        <w:spacing w:after="0" w:line="202" w:lineRule="exact"/>
        <w:rPr>
          <w:sz w:val="20"/>
          <w:szCs w:val="20"/>
          <w:color w:val="auto"/>
        </w:rPr>
      </w:pPr>
    </w:p>
    <w:p>
      <w:pPr>
        <w:ind w:left="1240" w:right="720" w:hanging="431"/>
        <w:spacing w:after="0" w:line="234" w:lineRule="auto"/>
        <w:rPr>
          <w:sz w:val="20"/>
          <w:szCs w:val="20"/>
          <w:color w:val="auto"/>
        </w:rPr>
      </w:pPr>
      <w:r>
        <w:rPr>
          <w:rFonts w:ascii="Arial" w:cs="Arial" w:eastAsia="Arial" w:hAnsi="Arial"/>
          <w:sz w:val="18"/>
          <w:szCs w:val="18"/>
          <w:color w:val="auto"/>
        </w:rPr>
        <w:t>1.5. We may elect not to renew on agreement. If so, We will inform You by email, through the App or Your online account, according to the some notice periods specified above.</w:t>
      </w:r>
    </w:p>
    <w:p>
      <w:pPr>
        <w:spacing w:after="0" w:line="1" w:lineRule="exact"/>
        <w:rPr>
          <w:sz w:val="20"/>
          <w:szCs w:val="20"/>
          <w:color w:val="auto"/>
        </w:rPr>
      </w:pPr>
    </w:p>
    <w:p>
      <w:pPr>
        <w:jc w:val="both"/>
        <w:ind w:left="1240" w:right="120" w:hanging="431"/>
        <w:spacing w:after="0" w:line="234" w:lineRule="auto"/>
        <w:rPr>
          <w:sz w:val="20"/>
          <w:szCs w:val="20"/>
          <w:color w:val="auto"/>
        </w:rPr>
      </w:pPr>
      <w:r>
        <w:rPr>
          <w:rFonts w:ascii="Arial" w:cs="Arial" w:eastAsia="Arial" w:hAnsi="Arial"/>
          <w:sz w:val="18"/>
          <w:szCs w:val="18"/>
          <w:color w:val="auto"/>
        </w:rPr>
        <w:t>1.6. If the Center is no longer available: In the even that We are permanently unable to provide the services and accommodation at the Center stated in an agreement. We will otter You accommodation in one of Our other centers. In the unlikely event we are unable to find an alternative accommodation that is acceptable to You. Your agreement will end and You will only have to pay monthly fees up to that date and for any additional services You have used.</w:t>
      </w:r>
    </w:p>
    <w:p>
      <w:pPr>
        <w:ind w:left="1240" w:right="60" w:hanging="431"/>
        <w:spacing w:after="0" w:line="249" w:lineRule="auto"/>
        <w:rPr>
          <w:sz w:val="20"/>
          <w:szCs w:val="20"/>
          <w:color w:val="auto"/>
        </w:rPr>
      </w:pPr>
      <w:r>
        <w:rPr>
          <w:rFonts w:ascii="Arial" w:cs="Arial" w:eastAsia="Arial" w:hAnsi="Arial"/>
          <w:sz w:val="17"/>
          <w:szCs w:val="17"/>
          <w:color w:val="auto"/>
        </w:rPr>
        <w:t xml:space="preserve">1.7. Ending on agreement immediately: We may put on end to an agreement immediately by giving You notice if </w:t>
      </w:r>
      <w:r>
        <w:rPr>
          <w:rFonts w:ascii="Arial" w:cs="Arial" w:eastAsia="Arial" w:hAnsi="Arial"/>
          <w:sz w:val="18"/>
          <w:szCs w:val="18"/>
          <w:color w:val="auto"/>
        </w:rPr>
        <w:t>(</w:t>
      </w:r>
      <w:r>
        <w:rPr>
          <w:rFonts w:ascii="Arial" w:cs="Arial" w:eastAsia="Arial" w:hAnsi="Arial"/>
          <w:sz w:val="17"/>
          <w:szCs w:val="17"/>
          <w:color w:val="auto"/>
        </w:rPr>
        <w:t>a) You become insolvent or bankrupt; or (b) You breach one of your obligations which cannot be remedied, or which We have given You notice to remedy and which You have failed to remedy within 14 days of that notice: or (c) Your conduct or that of someone at the Center with Your permission or invitation, is incompatible with ordinary office use and, (i) that conduct continues despite You having been given notice. or {iii that conduct is material enough (In Our reasonable opinion) to warrant immediate termination; or (d) You ore in breach of the "Compliance With Law" clause below. If We put on end to an agreement for any of the reasons referred to in this clause. it does not put on end to any of Your financial obligations. including, without limitation. for the remainder of the period for which Your agreement would hove lasted if We had not terminated it.</w:t>
      </w:r>
    </w:p>
    <w:p>
      <w:pPr>
        <w:spacing w:after="0" w:line="2" w:lineRule="exact"/>
        <w:rPr>
          <w:sz w:val="20"/>
          <w:szCs w:val="20"/>
          <w:color w:val="auto"/>
        </w:rPr>
      </w:pPr>
    </w:p>
    <w:p>
      <w:pPr>
        <w:jc w:val="both"/>
        <w:ind w:left="1240" w:right="140" w:hanging="431"/>
        <w:spacing w:after="0"/>
        <w:rPr>
          <w:sz w:val="20"/>
          <w:szCs w:val="20"/>
          <w:color w:val="auto"/>
        </w:rPr>
      </w:pPr>
      <w:r>
        <w:rPr>
          <w:rFonts w:ascii="Arial" w:cs="Arial" w:eastAsia="Arial" w:hAnsi="Arial"/>
          <w:sz w:val="18"/>
          <w:szCs w:val="18"/>
          <w:color w:val="auto"/>
        </w:rPr>
        <w:t>1.8. When on Office agreement ends: When an agreement ends You must vacate Your accommodation immediately, leaving it in the same state and condition as it was when You took it. Upon Your departure or if You choose to relocate loo different room within a Center, we will charge a fixed office restoration service fee to cover normal cleaning and any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3" w:name="page84"/>
    <w:bookmarkEnd w:id="83"/>
    <w:p>
      <w:pPr>
        <w:ind w:left="1232"/>
        <w:spacing w:after="0" w:line="234" w:lineRule="auto"/>
        <w:rPr>
          <w:sz w:val="20"/>
          <w:szCs w:val="20"/>
          <w:color w:val="auto"/>
        </w:rPr>
      </w:pPr>
      <w:r>
        <w:rPr>
          <w:rFonts w:ascii="Arial" w:cs="Arial" w:eastAsia="Arial" w:hAnsi="Arial"/>
          <w:sz w:val="18"/>
          <w:szCs w:val="18"/>
          <w:color w:val="auto"/>
        </w:rPr>
        <w:t>incurred to return the accommodation to its original condition and state. This fee will differ by country and is fisted in the House Rules. We reserve the right to charge additional reasonable fees for any repairs needed above and beyond normal wear and tear. If You leave any properly in the Center. We may dispose of it at Your cost in any way, We choose without owing You any responsibility for it or any proceeds of sale. If You continue to use the accommodation when an agreement has ended. You are responsible for any loss. claim or liability We may incur as a result of Your failure to vacate on time.</w:t>
      </w:r>
    </w:p>
    <w:p>
      <w:pPr>
        <w:spacing w:after="0" w:line="3" w:lineRule="exact"/>
        <w:rPr>
          <w:sz w:val="20"/>
          <w:szCs w:val="20"/>
          <w:color w:val="auto"/>
        </w:rPr>
      </w:pPr>
    </w:p>
    <w:p>
      <w:pPr>
        <w:ind w:left="1232" w:right="180" w:hanging="431"/>
        <w:spacing w:after="0" w:line="234" w:lineRule="auto"/>
        <w:rPr>
          <w:sz w:val="20"/>
          <w:szCs w:val="20"/>
          <w:color w:val="auto"/>
        </w:rPr>
      </w:pPr>
      <w:r>
        <w:rPr>
          <w:rFonts w:ascii="Arial" w:cs="Arial" w:eastAsia="Arial" w:hAnsi="Arial"/>
          <w:sz w:val="18"/>
          <w:szCs w:val="18"/>
          <w:color w:val="auto"/>
        </w:rPr>
        <w:t>1.9. Transferability: Subject to availability (which shall be determined in Our sole discretion) You may transfer Your agreement to alternative accommodation in the IWG network of Centers provided that Your financial commitment remains the same (or increases) and such transfer is not used to extend or renew an existing agreement. Such a transfer may require entry into a new agreement.</w:t>
      </w:r>
    </w:p>
    <w:p>
      <w:pPr>
        <w:ind w:left="432" w:hanging="432"/>
        <w:spacing w:after="0" w:line="238" w:lineRule="auto"/>
        <w:tabs>
          <w:tab w:leader="none" w:pos="432" w:val="left"/>
        </w:tabs>
        <w:numPr>
          <w:ilvl w:val="0"/>
          <w:numId w:val="49"/>
        </w:numPr>
        <w:rPr>
          <w:rFonts w:ascii="Arial" w:cs="Arial" w:eastAsia="Arial" w:hAnsi="Arial"/>
          <w:sz w:val="18"/>
          <w:szCs w:val="18"/>
          <w:color w:val="auto"/>
        </w:rPr>
      </w:pPr>
      <w:r>
        <w:rPr>
          <w:rFonts w:ascii="Arial" w:cs="Arial" w:eastAsia="Arial" w:hAnsi="Arial"/>
          <w:sz w:val="18"/>
          <w:szCs w:val="18"/>
          <w:color w:val="auto"/>
        </w:rPr>
        <w:t>Use of the Centers:</w:t>
      </w:r>
    </w:p>
    <w:p>
      <w:pPr>
        <w:ind w:left="1232" w:right="100" w:hanging="431"/>
        <w:spacing w:after="0" w:line="237" w:lineRule="auto"/>
        <w:rPr>
          <w:sz w:val="20"/>
          <w:szCs w:val="20"/>
          <w:color w:val="auto"/>
        </w:rPr>
      </w:pPr>
      <w:r>
        <w:rPr>
          <w:rFonts w:ascii="Arial" w:cs="Arial" w:eastAsia="Arial" w:hAnsi="Arial"/>
          <w:sz w:val="18"/>
          <w:szCs w:val="18"/>
          <w:color w:val="auto"/>
        </w:rPr>
        <w:t>2.1. Business Operations: You may not carry on a business that competes with Our business of providing serviced offices and flexible working. You may not use Our name (or that of Our affiliates) in any way in connection with Your business. You are only permitted to use the address of a Center as Your registered office address if it is permitted by both low and if We have given You prior written consent (given the administration there is an additional fee chargeable for this service). You must only use the accommodation for office business purposes. If We decide that a request for any particular service is excessive. We reserve the right to charge an additional fee. In order to ensure that the Center provides a great working environment for all, We kindly ask you to limit any excessive visits by members of the public.</w:t>
      </w:r>
    </w:p>
    <w:p>
      <w:pPr>
        <w:ind w:left="792"/>
        <w:spacing w:after="0"/>
        <w:rPr>
          <w:sz w:val="20"/>
          <w:szCs w:val="20"/>
          <w:color w:val="auto"/>
        </w:rPr>
      </w:pPr>
      <w:r>
        <w:rPr>
          <w:rFonts w:ascii="Arial" w:cs="Arial" w:eastAsia="Arial" w:hAnsi="Arial"/>
          <w:sz w:val="18"/>
          <w:szCs w:val="18"/>
          <w:color w:val="auto"/>
        </w:rPr>
        <w:t>2.2.  Accommodation:</w:t>
      </w:r>
    </w:p>
    <w:p>
      <w:pPr>
        <w:spacing w:after="0" w:line="9" w:lineRule="exact"/>
        <w:rPr>
          <w:sz w:val="20"/>
          <w:szCs w:val="20"/>
          <w:color w:val="auto"/>
        </w:rPr>
      </w:pPr>
    </w:p>
    <w:p>
      <w:pPr>
        <w:ind w:left="2392" w:right="200" w:hanging="795"/>
        <w:spacing w:after="0" w:line="248" w:lineRule="auto"/>
        <w:tabs>
          <w:tab w:leader="none" w:pos="2372"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Alterations or Damage: You are liable for any damage caused by You or those in the Center with Your permission, whether express or implied, including but not limited to all employees, contractors and/or agents.</w:t>
      </w:r>
    </w:p>
    <w:p>
      <w:pPr>
        <w:spacing w:after="0" w:line="1" w:lineRule="exact"/>
        <w:rPr>
          <w:sz w:val="20"/>
          <w:szCs w:val="20"/>
          <w:color w:val="auto"/>
        </w:rPr>
      </w:pPr>
    </w:p>
    <w:p>
      <w:pPr>
        <w:ind w:left="2392" w:right="140" w:hanging="795"/>
        <w:spacing w:after="0" w:line="234" w:lineRule="auto"/>
        <w:tabs>
          <w:tab w:leader="none" w:pos="2372"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IT Installations: We take great pride in Out IT infrastructure and its upkeep and, therefore, You must not install any cabling, IT or telecom connections without Our consent, which We may refuse at our absolute discretion. As a condition to Our consent, You must permit Us to oversee any installations (for example, IT or electrical systems) and to verify that such installations do not interfere with the use of the accommodation by other clients or Us or any landlord of the building. Fees for Installation and de-installation will be at Your cost.</w:t>
      </w:r>
    </w:p>
    <w:p>
      <w:pPr>
        <w:spacing w:after="0" w:line="3" w:lineRule="exact"/>
        <w:rPr>
          <w:sz w:val="20"/>
          <w:szCs w:val="20"/>
          <w:color w:val="auto"/>
        </w:rPr>
      </w:pPr>
    </w:p>
    <w:p>
      <w:pPr>
        <w:ind w:left="2392" w:right="120" w:hanging="795"/>
        <w:spacing w:after="0" w:line="234" w:lineRule="auto"/>
        <w:tabs>
          <w:tab w:leader="none" w:pos="2372"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Use of the Accommodation: An agreement will list the accommodation We initially allocate for Your use. You will have a non-exclusive right to the rooms allocated to You. Where the accommodation is a Coworking desk, this can only be used by one individual, it cannot be shared amongst multiple individuals. Occasionally to ensure the efficient running of the Center, We may need to allocate different accommodation to You, but it will be of reasonably equivalent size and We will notify You with respect to such different accommodation in advance.</w:t>
      </w:r>
    </w:p>
    <w:p>
      <w:pPr>
        <w:spacing w:after="0" w:line="18" w:lineRule="exact"/>
        <w:rPr>
          <w:sz w:val="20"/>
          <w:szCs w:val="20"/>
          <w:color w:val="auto"/>
        </w:rPr>
      </w:pPr>
    </w:p>
    <w:p>
      <w:pPr>
        <w:ind w:left="2392" w:right="20" w:hanging="795"/>
        <w:spacing w:after="0" w:line="234" w:lineRule="auto"/>
        <w:tabs>
          <w:tab w:leader="none" w:pos="2372"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Access to the Accommodation: To maintain a high level of service, We may need to enter Your accommodation and may do so at any time, including and without limitation. In an emergency, for cleaning and inspection or in order to resell the space if You have given notice to terminate. We will always endeavor to respect any of Your reasonable security procedures to protect the confidentiality of Your business.</w:t>
      </w:r>
    </w:p>
    <w:p>
      <w:pPr>
        <w:spacing w:after="0" w:line="16" w:lineRule="exact"/>
        <w:rPr>
          <w:sz w:val="20"/>
          <w:szCs w:val="20"/>
          <w:color w:val="auto"/>
        </w:rPr>
      </w:pPr>
    </w:p>
    <w:p>
      <w:pPr>
        <w:ind w:left="792"/>
        <w:spacing w:after="0"/>
        <w:rPr>
          <w:sz w:val="20"/>
          <w:szCs w:val="20"/>
          <w:color w:val="auto"/>
        </w:rPr>
      </w:pPr>
      <w:r>
        <w:rPr>
          <w:rFonts w:ascii="Arial" w:cs="Arial" w:eastAsia="Arial" w:hAnsi="Arial"/>
          <w:sz w:val="18"/>
          <w:szCs w:val="18"/>
          <w:color w:val="auto"/>
        </w:rPr>
        <w:t>2.3.  Membership:</w:t>
      </w:r>
    </w:p>
    <w:p>
      <w:pPr>
        <w:spacing w:after="0" w:line="9" w:lineRule="exact"/>
        <w:rPr>
          <w:sz w:val="20"/>
          <w:szCs w:val="20"/>
          <w:color w:val="auto"/>
        </w:rPr>
      </w:pPr>
    </w:p>
    <w:p>
      <w:pPr>
        <w:ind w:left="2392" w:right="20" w:hanging="795"/>
        <w:spacing w:after="0" w:line="233" w:lineRule="auto"/>
        <w:tabs>
          <w:tab w:leader="none" w:pos="237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If You have subscribed to a Membership Agreement, You will have access to all participating centers worldwide during standard business working hours and subject to availability.</w:t>
      </w:r>
    </w:p>
    <w:p>
      <w:pPr>
        <w:ind w:left="2392" w:hanging="795"/>
        <w:spacing w:after="0"/>
        <w:tabs>
          <w:tab w:leader="none" w:pos="237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 xml:space="preserve">Membership usage: Usage is measured in whole days and unused days cannot be carried over to the </w:t>
      </w:r>
      <w:r>
        <w:rPr>
          <w:rFonts w:ascii="Arial" w:cs="Arial" w:eastAsia="Arial" w:hAnsi="Arial"/>
          <w:sz w:val="19"/>
          <w:szCs w:val="19"/>
          <w:color w:val="auto"/>
        </w:rPr>
        <w:t>f</w:t>
      </w:r>
      <w:r>
        <w:rPr>
          <w:rFonts w:ascii="Arial" w:cs="Arial" w:eastAsia="Arial" w:hAnsi="Arial"/>
          <w:sz w:val="18"/>
          <w:szCs w:val="18"/>
          <w:color w:val="auto"/>
        </w:rPr>
        <w:t>ollowing month. A membership is not intended to be a replacement for a full-time workspace and oil workspaces must be cleared at the end of each day. You are solely responsible for Your belongings at the center at all times. We are not responsible for any property that is left unattended.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84" w:name="page85"/>
    <w:bookmarkEnd w:id="84"/>
    <w:p>
      <w:pPr>
        <w:ind w:left="2392" w:right="80"/>
        <w:spacing w:after="0" w:line="248" w:lineRule="auto"/>
        <w:rPr>
          <w:sz w:val="20"/>
          <w:szCs w:val="20"/>
          <w:color w:val="auto"/>
        </w:rPr>
      </w:pPr>
      <w:r>
        <w:rPr>
          <w:rFonts w:ascii="Arial" w:cs="Arial" w:eastAsia="Arial" w:hAnsi="Arial"/>
          <w:sz w:val="17"/>
          <w:szCs w:val="17"/>
          <w:color w:val="auto"/>
        </w:rPr>
        <w:t>You use more than Your membership entitlement, We will charge You an additional usage fee. You may bring in 1 guest free of charge (subject to fair usage). Any additional guests will be required to purchase a day pass.</w:t>
      </w:r>
    </w:p>
    <w:p>
      <w:pPr>
        <w:spacing w:after="0" w:line="1" w:lineRule="exact"/>
        <w:rPr>
          <w:sz w:val="20"/>
          <w:szCs w:val="20"/>
          <w:color w:val="auto"/>
        </w:rPr>
      </w:pPr>
    </w:p>
    <w:p>
      <w:pPr>
        <w:jc w:val="both"/>
        <w:ind w:left="2392" w:hanging="795"/>
        <w:spacing w:after="0" w:line="252" w:lineRule="auto"/>
        <w:tabs>
          <w:tab w:leader="none" w:pos="2372"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7"/>
          <w:szCs w:val="17"/>
          <w:color w:val="auto"/>
        </w:rPr>
        <w:t>As a Member, You may not use any Center as Your business address without on accompanying office or virtual office agreement in place. Any use of the Center address in such a way will result in on automatic enrollment in the Virtual Office product for the same term as Your membership and You will be invoiced accordingly.</w:t>
      </w:r>
    </w:p>
    <w:p>
      <w:pPr>
        <w:spacing w:after="0" w:line="5" w:lineRule="exact"/>
        <w:rPr>
          <w:sz w:val="20"/>
          <w:szCs w:val="20"/>
          <w:color w:val="auto"/>
        </w:rPr>
      </w:pPr>
    </w:p>
    <w:p>
      <w:pPr>
        <w:ind w:left="1232" w:right="20" w:hanging="431"/>
        <w:spacing w:after="0" w:line="236" w:lineRule="auto"/>
        <w:rPr>
          <w:sz w:val="20"/>
          <w:szCs w:val="20"/>
          <w:color w:val="auto"/>
        </w:rPr>
      </w:pPr>
      <w:r>
        <w:rPr>
          <w:rFonts w:ascii="Arial" w:cs="Arial" w:eastAsia="Arial" w:hAnsi="Arial"/>
          <w:sz w:val="18"/>
          <w:szCs w:val="18"/>
          <w:color w:val="auto"/>
        </w:rPr>
        <w:t>2.4. Compliance with Law: You must comply with all relevant laws and regulations in the conduct of Your business. You must not do anything that may interfere with the use of the Center by Us or by others (including but not limited to political campaigning or immoral activity), cause any nuisance or annoyance, or cause loss or damage to Us (including damage to reputation) or to the owner of any interest in the building. If We have been advised by any government authority or other legislative body that it hos reasonable suspicion that You are conducting criminal activities from the Center, or You ore or will become subject to any government sanctions, then We shall be entitled to terminate any and all of Your agreements with immediate effect. You acknowledge that any breach by You of this clause shall constitute a material default, entitling Us to terminate Your agreement without further notice.</w:t>
      </w:r>
    </w:p>
    <w:p>
      <w:pPr>
        <w:spacing w:after="0" w:line="5" w:lineRule="exact"/>
        <w:rPr>
          <w:sz w:val="20"/>
          <w:szCs w:val="20"/>
          <w:color w:val="auto"/>
        </w:rPr>
      </w:pPr>
    </w:p>
    <w:p>
      <w:pPr>
        <w:ind w:left="792"/>
        <w:spacing w:after="0"/>
        <w:rPr>
          <w:sz w:val="20"/>
          <w:szCs w:val="20"/>
          <w:color w:val="auto"/>
        </w:rPr>
      </w:pPr>
      <w:r>
        <w:rPr>
          <w:rFonts w:ascii="Arial" w:cs="Arial" w:eastAsia="Arial" w:hAnsi="Arial"/>
          <w:sz w:val="18"/>
          <w:szCs w:val="18"/>
          <w:color w:val="auto"/>
        </w:rPr>
        <w:t>2.5.  Ethical Trading: Both We and You shall comply at all times with all relevant anti-slavery, anti-bribery and anti-corruption laws.</w:t>
      </w:r>
    </w:p>
    <w:p>
      <w:pPr>
        <w:spacing w:after="0" w:line="9" w:lineRule="exact"/>
        <w:rPr>
          <w:sz w:val="20"/>
          <w:szCs w:val="20"/>
          <w:color w:val="auto"/>
        </w:rPr>
      </w:pPr>
    </w:p>
    <w:p>
      <w:pPr>
        <w:ind w:left="792"/>
        <w:spacing w:after="0"/>
        <w:rPr>
          <w:sz w:val="20"/>
          <w:szCs w:val="20"/>
          <w:color w:val="auto"/>
        </w:rPr>
      </w:pPr>
      <w:r>
        <w:rPr>
          <w:rFonts w:ascii="Arial" w:cs="Arial" w:eastAsia="Arial" w:hAnsi="Arial"/>
          <w:sz w:val="18"/>
          <w:szCs w:val="18"/>
          <w:color w:val="auto"/>
        </w:rPr>
        <w:t>2.6.  Data Protection:</w:t>
      </w:r>
    </w:p>
    <w:p>
      <w:pPr>
        <w:spacing w:after="0" w:line="9" w:lineRule="exact"/>
        <w:rPr>
          <w:sz w:val="20"/>
          <w:szCs w:val="20"/>
          <w:color w:val="auto"/>
        </w:rPr>
      </w:pPr>
    </w:p>
    <w:p>
      <w:pPr>
        <w:jc w:val="right"/>
        <w:ind w:left="1592" w:right="60"/>
        <w:spacing w:after="0" w:line="242" w:lineRule="auto"/>
        <w:rPr>
          <w:sz w:val="20"/>
          <w:szCs w:val="20"/>
          <w:color w:val="auto"/>
        </w:rPr>
      </w:pPr>
      <w:r>
        <w:rPr>
          <w:rFonts w:ascii="Arial" w:cs="Arial" w:eastAsia="Arial" w:hAnsi="Arial"/>
          <w:sz w:val="18"/>
          <w:szCs w:val="18"/>
          <w:color w:val="auto"/>
        </w:rPr>
        <w:t>2.6.1.    Each party shall comply with all applicable data protection legislation. The basis on which we will process Your personal data is set out in our privacy policies (available on our website at www.iwgplc.com/clientprivacypolicy</w:t>
      </w:r>
    </w:p>
    <w:p>
      <w:pPr>
        <w:ind w:left="2392"/>
        <w:spacing w:after="0" w:line="236" w:lineRule="auto"/>
        <w:rPr>
          <w:sz w:val="20"/>
          <w:szCs w:val="20"/>
          <w:color w:val="auto"/>
        </w:rPr>
      </w:pPr>
      <w:r>
        <w:rPr>
          <w:rFonts w:ascii="Arial" w:cs="Arial" w:eastAsia="Arial" w:hAnsi="Arial"/>
          <w:sz w:val="18"/>
          <w:szCs w:val="18"/>
          <w:color w:val="auto"/>
        </w:rPr>
        <w:t>.)</w:t>
      </w:r>
    </w:p>
    <w:p>
      <w:pPr>
        <w:ind w:left="2392" w:right="480" w:hanging="795"/>
        <w:spacing w:after="0" w:line="234" w:lineRule="auto"/>
        <w:tabs>
          <w:tab w:leader="none" w:pos="2372"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You acknowledge and accept that we may collect and process personal data concerning You and/or your personnel in the course of our agreement for services with you. Such personal data will be processed in accordance with our privacy policy. Where you provide this data to us, you will ensure that you have the necessary consents and notices in place to allow for this.</w:t>
      </w:r>
    </w:p>
    <w:p>
      <w:pPr>
        <w:spacing w:after="0" w:line="16" w:lineRule="exact"/>
        <w:rPr>
          <w:sz w:val="20"/>
          <w:szCs w:val="20"/>
          <w:color w:val="auto"/>
        </w:rPr>
      </w:pPr>
    </w:p>
    <w:p>
      <w:pPr>
        <w:ind w:left="1232" w:right="40" w:hanging="431"/>
        <w:spacing w:after="0" w:line="234" w:lineRule="auto"/>
        <w:rPr>
          <w:sz w:val="20"/>
          <w:szCs w:val="20"/>
          <w:color w:val="auto"/>
        </w:rPr>
      </w:pPr>
      <w:r>
        <w:rPr>
          <w:rFonts w:ascii="Arial" w:cs="Arial" w:eastAsia="Arial" w:hAnsi="Arial"/>
          <w:sz w:val="18"/>
          <w:szCs w:val="18"/>
          <w:color w:val="auto"/>
        </w:rPr>
        <w:t>2.7. Employees: We will both have Invested a great deal in training Our staff, therefore. neither of us may knowingly solicit or offer employment to the other's staff employed in the Center (or for 3 months after they have left their employment). To recompense the other for staff training and investment costs, if either of us breaches this clause the breaching party will pay upon demand to the other the equivalent of 6 months' salary of any employee concerned.</w:t>
      </w:r>
    </w:p>
    <w:p>
      <w:pPr>
        <w:spacing w:after="0" w:line="3" w:lineRule="exact"/>
        <w:rPr>
          <w:sz w:val="20"/>
          <w:szCs w:val="20"/>
          <w:color w:val="auto"/>
        </w:rPr>
      </w:pPr>
    </w:p>
    <w:p>
      <w:pPr>
        <w:ind w:left="1232" w:right="300" w:hanging="431"/>
        <w:spacing w:after="0"/>
        <w:rPr>
          <w:sz w:val="20"/>
          <w:szCs w:val="20"/>
          <w:color w:val="auto"/>
        </w:rPr>
      </w:pPr>
      <w:r>
        <w:rPr>
          <w:rFonts w:ascii="Arial" w:cs="Arial" w:eastAsia="Arial" w:hAnsi="Arial"/>
          <w:sz w:val="18"/>
          <w:szCs w:val="18"/>
          <w:color w:val="auto"/>
        </w:rPr>
        <w:t>2.8. Confidentiality: The terms of on agreement ore confidential. Neither of us may disclose them without the other's consent unless required to do so by law or an official authority. This obligation continues for a period of 3 years after an agreement ends.</w:t>
      </w:r>
    </w:p>
    <w:p>
      <w:pPr>
        <w:ind w:left="1232" w:right="40" w:hanging="431"/>
        <w:spacing w:after="0" w:line="234" w:lineRule="auto"/>
        <w:rPr>
          <w:sz w:val="20"/>
          <w:szCs w:val="20"/>
          <w:color w:val="auto"/>
        </w:rPr>
      </w:pPr>
      <w:r>
        <w:rPr>
          <w:rFonts w:ascii="Arial" w:cs="Arial" w:eastAsia="Arial" w:hAnsi="Arial"/>
          <w:sz w:val="18"/>
          <w:szCs w:val="18"/>
          <w:color w:val="auto"/>
        </w:rPr>
        <w:t>2.9. Assignment: An agreement Is personal to You and cannot be transferred to anyone else without prior consent from Us unless such transfer is required by low. However, We will not unreasonably withhold our consent to assignment lo an affiliate provided that You execute our standard form of assignment. We may transfer any agreement and any and all amounts payable by You under an agreement to any other member of Our group.</w:t>
      </w:r>
    </w:p>
    <w:p>
      <w:pPr>
        <w:spacing w:after="0" w:line="3" w:lineRule="exact"/>
        <w:rPr>
          <w:sz w:val="20"/>
          <w:szCs w:val="20"/>
          <w:color w:val="auto"/>
        </w:rPr>
      </w:pPr>
    </w:p>
    <w:p>
      <w:pPr>
        <w:ind w:left="1232" w:right="40" w:hanging="431"/>
        <w:spacing w:after="0" w:line="234" w:lineRule="auto"/>
        <w:rPr>
          <w:sz w:val="20"/>
          <w:szCs w:val="20"/>
          <w:color w:val="auto"/>
        </w:rPr>
      </w:pPr>
      <w:r>
        <w:rPr>
          <w:rFonts w:ascii="Arial" w:cs="Arial" w:eastAsia="Arial" w:hAnsi="Arial"/>
          <w:sz w:val="18"/>
          <w:szCs w:val="18"/>
          <w:color w:val="auto"/>
        </w:rPr>
        <w:t>2.10. Applicable law: An agreement is interpreted and enforced in accordance with the law of the place where the Center is located other than ln a few specific jurisdictions which ore detailed in the House Rules. We and You both accept the exclusive jurisdiction of the courts of that jurisdiction. If any provision of these terms and conditions is held void or unenforceable under the applicable law, the other provisions shall remain in force.</w:t>
      </w:r>
    </w:p>
    <w:p>
      <w:pPr>
        <w:ind w:left="432" w:hanging="432"/>
        <w:spacing w:after="0" w:line="238" w:lineRule="auto"/>
        <w:tabs>
          <w:tab w:leader="none" w:pos="4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liability to You and Insurance</w:t>
      </w:r>
    </w:p>
    <w:p>
      <w:pPr>
        <w:ind w:left="1232" w:right="80" w:hanging="431"/>
        <w:spacing w:after="0"/>
        <w:rPr>
          <w:sz w:val="20"/>
          <w:szCs w:val="20"/>
          <w:color w:val="auto"/>
        </w:rPr>
      </w:pPr>
      <w:r>
        <w:rPr>
          <w:rFonts w:ascii="Arial" w:cs="Arial" w:eastAsia="Arial" w:hAnsi="Arial"/>
          <w:sz w:val="18"/>
          <w:szCs w:val="18"/>
          <w:color w:val="auto"/>
        </w:rPr>
        <w:t>3.1. The extent of Our liability: To the maximum extent permitted by applicable law. We are not liable to You in respect of any loss or damage You suffer in connection with an agreement, including without limitation any loss or damage arising as a result of our failure to provide a service as a result of mechanical breakdown, strike or other event outside of Our reasonable control otherwise unless We have acted deliberately or have been negligent. In no event shall We be liable for any loss or damage until You provide written notice and give Us a reasonable time to remedy it. If We are liable for failing to provide You with any service under an agreement then, subject to the exclusions and limits set out immediately below, We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368" w:right="359" w:bottom="1440" w:gutter="0" w:footer="0" w:header="0"/>
        </w:sectPr>
      </w:pPr>
    </w:p>
    <w:bookmarkStart w:id="85" w:name="page86"/>
    <w:bookmarkEnd w:id="85"/>
    <w:p>
      <w:pPr>
        <w:ind w:left="1232" w:right="640"/>
        <w:spacing w:after="0" w:line="233" w:lineRule="auto"/>
        <w:rPr>
          <w:sz w:val="20"/>
          <w:szCs w:val="20"/>
          <w:color w:val="auto"/>
        </w:rPr>
      </w:pPr>
      <w:r>
        <w:rPr>
          <w:rFonts w:ascii="Arial" w:cs="Arial" w:eastAsia="Arial" w:hAnsi="Arial"/>
          <w:sz w:val="18"/>
          <w:szCs w:val="18"/>
          <w:color w:val="auto"/>
        </w:rPr>
        <w:t>pay any actual and the reasonable additional expense You have incurred in obtaining the same or similar service from elsewhere.</w:t>
      </w:r>
    </w:p>
    <w:p>
      <w:pPr>
        <w:jc w:val="both"/>
        <w:ind w:left="1232" w:right="240" w:hanging="431"/>
        <w:spacing w:after="0" w:line="236" w:lineRule="auto"/>
        <w:rPr>
          <w:sz w:val="20"/>
          <w:szCs w:val="20"/>
          <w:color w:val="auto"/>
        </w:rPr>
      </w:pPr>
      <w:r>
        <w:rPr>
          <w:rFonts w:ascii="Arial" w:cs="Arial" w:eastAsia="Arial" w:hAnsi="Arial"/>
          <w:sz w:val="18"/>
          <w:szCs w:val="18"/>
          <w:color w:val="auto"/>
        </w:rPr>
        <w:t xml:space="preserve">3.2. Your Insurance: II is Your responsibility to arrange insurance for property which You bring in to the Center, for </w:t>
      </w:r>
      <w:r>
        <w:rPr>
          <w:rFonts w:ascii="Arial" w:cs="Arial" w:eastAsia="Arial" w:hAnsi="Arial"/>
          <w:sz w:val="19"/>
          <w:szCs w:val="19"/>
          <w:color w:val="auto"/>
        </w:rPr>
        <w:t>a</w:t>
      </w:r>
      <w:r>
        <w:rPr>
          <w:rFonts w:ascii="Arial" w:cs="Arial" w:eastAsia="Arial" w:hAnsi="Arial"/>
          <w:sz w:val="18"/>
          <w:szCs w:val="18"/>
          <w:color w:val="auto"/>
        </w:rPr>
        <w:t>ny mail You send or receive and for Your own liability to your employees and to third parties. We strongly recommend that You put such insurance in place.</w:t>
      </w:r>
    </w:p>
    <w:p>
      <w:pPr>
        <w:spacing w:after="0" w:line="2" w:lineRule="exact"/>
        <w:rPr>
          <w:sz w:val="20"/>
          <w:szCs w:val="20"/>
          <w:color w:val="auto"/>
        </w:rPr>
      </w:pPr>
    </w:p>
    <w:p>
      <w:pPr>
        <w:ind w:left="1232" w:right="280" w:hanging="431"/>
        <w:spacing w:after="0" w:line="237" w:lineRule="auto"/>
        <w:rPr>
          <w:sz w:val="20"/>
          <w:szCs w:val="20"/>
          <w:color w:val="auto"/>
        </w:rPr>
      </w:pPr>
      <w:r>
        <w:rPr>
          <w:rFonts w:ascii="Arial" w:cs="Arial" w:eastAsia="Arial" w:hAnsi="Arial"/>
          <w:sz w:val="18"/>
          <w:szCs w:val="18"/>
          <w:color w:val="auto"/>
        </w:rPr>
        <w:t>3.3. IT Services and Obligations: Whilst We have security internet protocols in place and strive to provide seamless internet connectivity. WE DO NOT MAKE ANY REPRESENTATION AND CANNOT GUARANTEE ANY MAINTAINED LEVEL OF CONNECTIVITY TO OUR NETWORK OR TO THE INTERNET, NOR THE LEVEL OF SECURITY OF IT INFORMATION AND DATA THAT YOU PLACE ON IT. You should adopt whatever security measures (such as encryption) You believe are appropriate to Your business. Your sole and exclusive remedy in relation to issues of reduced connectivity which ore within Our reasonable control shall be for Us to rectify the issue within a reasonable time following notice from You to Us.</w:t>
      </w:r>
    </w:p>
    <w:p>
      <w:pPr>
        <w:spacing w:after="0" w:line="2" w:lineRule="exact"/>
        <w:rPr>
          <w:sz w:val="20"/>
          <w:szCs w:val="20"/>
          <w:color w:val="auto"/>
        </w:rPr>
      </w:pPr>
    </w:p>
    <w:p>
      <w:pPr>
        <w:ind w:left="1232" w:right="60" w:hanging="431"/>
        <w:spacing w:after="0" w:line="234" w:lineRule="auto"/>
        <w:rPr>
          <w:sz w:val="20"/>
          <w:szCs w:val="20"/>
          <w:color w:val="auto"/>
        </w:rPr>
      </w:pPr>
      <w:r>
        <w:rPr>
          <w:rFonts w:ascii="Arial" w:cs="Arial" w:eastAsia="Arial" w:hAnsi="Arial"/>
          <w:sz w:val="18"/>
          <w:szCs w:val="18"/>
          <w:color w:val="auto"/>
        </w:rPr>
        <w:t>3.4. EXCLUSION OF CONSEQUENTIAL LOSSES: WE WILL NOT IN ANY CIRCUMSTANCES HAVE ANY LIABILITY TO YOU FOR LOSS OF BUSINESS, LOSS OF PROFITS, LOSS OF ANTICIPATED SAVINGS, LOSS OF OR DAMAGE TO DATA, THIRD PARTY CLAIMS OR ANY CONSEQUENTIAL LOSS. WE STRONGLY RECOMMEND THAT YOU INSURE AGAINST ALL SUCH POTENTIAL LOSS, DAMAGE, EXPENSE OR LIABILITY.</w:t>
      </w:r>
    </w:p>
    <w:p>
      <w:pPr>
        <w:spacing w:after="0" w:line="3" w:lineRule="exact"/>
        <w:rPr>
          <w:sz w:val="20"/>
          <w:szCs w:val="20"/>
          <w:color w:val="auto"/>
        </w:rPr>
      </w:pPr>
    </w:p>
    <w:p>
      <w:pPr>
        <w:ind w:left="792"/>
        <w:spacing w:after="0"/>
        <w:rPr>
          <w:sz w:val="20"/>
          <w:szCs w:val="20"/>
          <w:color w:val="auto"/>
        </w:rPr>
      </w:pPr>
      <w:r>
        <w:rPr>
          <w:rFonts w:ascii="Arial" w:cs="Arial" w:eastAsia="Arial" w:hAnsi="Arial"/>
          <w:sz w:val="18"/>
          <w:szCs w:val="18"/>
          <w:color w:val="auto"/>
        </w:rPr>
        <w:t>3.5.  Financial limits to our liability: In all cases, our liability to You is subject to the following limits:</w:t>
      </w:r>
    </w:p>
    <w:p>
      <w:pPr>
        <w:spacing w:after="0" w:line="9" w:lineRule="exact"/>
        <w:rPr>
          <w:sz w:val="20"/>
          <w:szCs w:val="20"/>
          <w:color w:val="auto"/>
        </w:rPr>
      </w:pPr>
    </w:p>
    <w:p>
      <w:pPr>
        <w:ind w:left="1592"/>
        <w:spacing w:after="0"/>
        <w:tabs>
          <w:tab w:leader="none" w:pos="2372"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without limit for personal injury or death;</w:t>
      </w:r>
    </w:p>
    <w:p>
      <w:pPr>
        <w:spacing w:after="0" w:line="9" w:lineRule="exact"/>
        <w:rPr>
          <w:sz w:val="20"/>
          <w:szCs w:val="20"/>
          <w:color w:val="auto"/>
        </w:rPr>
      </w:pPr>
    </w:p>
    <w:p>
      <w:pPr>
        <w:ind w:left="2392" w:right="240" w:hanging="795"/>
        <w:spacing w:after="0" w:line="234" w:lineRule="auto"/>
        <w:tabs>
          <w:tab w:leader="none" w:pos="2372"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up to a maximum of GBP 1 million (or USO 1.5 million or EUR 1 million or other local equivalent) for any one events or series of connected events for damage to Your personal property; and</w:t>
      </w:r>
    </w:p>
    <w:p>
      <w:pPr>
        <w:spacing w:after="0" w:line="1" w:lineRule="exact"/>
        <w:rPr>
          <w:sz w:val="20"/>
          <w:szCs w:val="20"/>
          <w:color w:val="auto"/>
        </w:rPr>
      </w:pPr>
    </w:p>
    <w:p>
      <w:pPr>
        <w:ind w:left="2392" w:right="60" w:hanging="795"/>
        <w:spacing w:after="0" w:line="234" w:lineRule="auto"/>
        <w:tabs>
          <w:tab w:leader="none" w:pos="2372"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in respect of any other loss or damage, up to a maximum equal to 125% of the total fees paid between the date services under an agreement commenced and the date on which the claim in question arises; or if higher, for office agreements only. GBP SO.ODO/ USD 100,000 / EUR 66,000 (or local equivalent).</w:t>
      </w:r>
    </w:p>
    <w:p>
      <w:pPr>
        <w:ind w:left="432" w:hanging="432"/>
        <w:spacing w:after="0" w:line="237" w:lineRule="auto"/>
        <w:tabs>
          <w:tab w:leader="none" w:pos="4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w:t>
      </w:r>
    </w:p>
    <w:p>
      <w:pPr>
        <w:ind w:left="1232" w:right="120" w:hanging="431"/>
        <w:spacing w:after="0" w:line="234" w:lineRule="auto"/>
        <w:rPr>
          <w:sz w:val="20"/>
          <w:szCs w:val="20"/>
          <w:color w:val="auto"/>
        </w:rPr>
      </w:pPr>
      <w:r>
        <w:rPr>
          <w:rFonts w:ascii="Arial" w:cs="Arial" w:eastAsia="Arial" w:hAnsi="Arial"/>
          <w:sz w:val="18"/>
          <w:szCs w:val="18"/>
          <w:color w:val="auto"/>
        </w:rPr>
        <w:t>4.1. Service Retainer/Deposit: Your service retainer/ deposit will be held by Us without generating interest as security for performance of all Your obligations under an agreement. All requests for the return must be mode through Your online account or App after which the service retainer/deposit or any balance will be returned within 30 days to You once your agreement has ended and when You have settled Your account. We will deduct any outstanding fees and other costs due to Us before returning the balance to You. We may require You to pay an increased retainer/deposit if the monthly office or virtual office fee increases upon renewal, outstanding fees exceed the service retainer/deposit held and/or You frequently fail to pay invoices when due.</w:t>
      </w:r>
    </w:p>
    <w:p>
      <w:pPr>
        <w:spacing w:after="0" w:line="5" w:lineRule="exact"/>
        <w:rPr>
          <w:sz w:val="20"/>
          <w:szCs w:val="20"/>
          <w:color w:val="auto"/>
        </w:rPr>
      </w:pPr>
    </w:p>
    <w:p>
      <w:pPr>
        <w:ind w:left="1232" w:right="280" w:hanging="431"/>
        <w:spacing w:after="0" w:line="237" w:lineRule="auto"/>
        <w:rPr>
          <w:sz w:val="20"/>
          <w:szCs w:val="20"/>
          <w:color w:val="auto"/>
        </w:rPr>
      </w:pPr>
      <w:r>
        <w:rPr>
          <w:rFonts w:ascii="Arial" w:cs="Arial" w:eastAsia="Arial" w:hAnsi="Arial"/>
          <w:sz w:val="18"/>
          <w:szCs w:val="18"/>
          <w:color w:val="auto"/>
        </w:rPr>
        <w:t>4.2. Taxes and duty charges: You agree to pay promptly (i) all sales, use. excise, consumption and any other taxes and license fees which You are required to pay to any governmental authority (and, at Our request, You will provide to Us evidence of such payment) and (ii) any taxes paid by Us to any governmental authority that are attributable to Your accommodation, where applicable, including. without limitation. any gross receipts. rent and occupancy taxes, tangible personal property taxes, duties or other documentary taxes and fees.</w:t>
      </w:r>
    </w:p>
    <w:p>
      <w:pPr>
        <w:spacing w:after="0" w:line="1" w:lineRule="exact"/>
        <w:rPr>
          <w:sz w:val="20"/>
          <w:szCs w:val="20"/>
          <w:color w:val="auto"/>
        </w:rPr>
      </w:pPr>
    </w:p>
    <w:p>
      <w:pPr>
        <w:ind w:left="1232" w:right="140" w:hanging="431"/>
        <w:spacing w:after="0" w:line="236" w:lineRule="auto"/>
        <w:rPr>
          <w:sz w:val="20"/>
          <w:szCs w:val="20"/>
          <w:color w:val="auto"/>
        </w:rPr>
      </w:pPr>
      <w:r>
        <w:rPr>
          <w:rFonts w:ascii="Arial" w:cs="Arial" w:eastAsia="Arial" w:hAnsi="Arial"/>
          <w:sz w:val="18"/>
          <w:szCs w:val="18"/>
          <w:color w:val="auto"/>
        </w:rPr>
        <w:t xml:space="preserve">4.3. Payment: We are continually striving to reduce our environmental impact and support You in doing the same. </w:t>
      </w:r>
      <w:r>
        <w:rPr>
          <w:rFonts w:ascii="Arial" w:cs="Arial" w:eastAsia="Arial" w:hAnsi="Arial"/>
          <w:sz w:val="19"/>
          <w:szCs w:val="19"/>
          <w:color w:val="auto"/>
        </w:rPr>
        <w:t>T</w:t>
      </w:r>
      <w:r>
        <w:rPr>
          <w:rFonts w:ascii="Arial" w:cs="Arial" w:eastAsia="Arial" w:hAnsi="Arial"/>
          <w:sz w:val="18"/>
          <w:szCs w:val="18"/>
          <w:color w:val="auto"/>
        </w:rPr>
        <w:t>herefore, We will send all invoices electronically and You will make payments via on automated method such as Direct Debit or Credit Card, wherever local banking systems permit.</w:t>
      </w:r>
    </w:p>
    <w:p>
      <w:pPr>
        <w:spacing w:after="0" w:line="2" w:lineRule="exact"/>
        <w:rPr>
          <w:sz w:val="20"/>
          <w:szCs w:val="20"/>
          <w:color w:val="auto"/>
        </w:rPr>
      </w:pPr>
    </w:p>
    <w:p>
      <w:pPr>
        <w:ind w:left="1232" w:right="180" w:hanging="431"/>
        <w:spacing w:after="0" w:line="237" w:lineRule="auto"/>
        <w:rPr>
          <w:sz w:val="20"/>
          <w:szCs w:val="20"/>
          <w:color w:val="auto"/>
        </w:rPr>
      </w:pPr>
      <w:r>
        <w:rPr>
          <w:rFonts w:ascii="Arial" w:cs="Arial" w:eastAsia="Arial" w:hAnsi="Arial"/>
          <w:sz w:val="18"/>
          <w:szCs w:val="18"/>
          <w:color w:val="auto"/>
        </w:rPr>
        <w:t>4.4. Late payment: If You do not pay fees when due, a fee will be charged on all overdue balances. This fee will differ by country and is listed in the House Rules. If You dispute any part of an invoice, You must pay the amount not in dispute by the due date or be subject to late fees. We also reserve the right to withhold services (including for the avoidance of doubt, denying You access to the Center where applicable) while there are any outstanding fees and/or interest, or You are in breach of an agreement.</w:t>
      </w:r>
    </w:p>
    <w:p>
      <w:pPr>
        <w:spacing w:after="0" w:line="4" w:lineRule="exact"/>
        <w:rPr>
          <w:sz w:val="20"/>
          <w:szCs w:val="20"/>
          <w:color w:val="auto"/>
        </w:rPr>
      </w:pPr>
    </w:p>
    <w:p>
      <w:pPr>
        <w:ind w:left="1232" w:hanging="431"/>
        <w:spacing w:after="0" w:line="246" w:lineRule="auto"/>
        <w:rPr>
          <w:sz w:val="20"/>
          <w:szCs w:val="20"/>
          <w:color w:val="auto"/>
        </w:rPr>
      </w:pPr>
      <w:r>
        <w:rPr>
          <w:rFonts w:ascii="Arial" w:cs="Arial" w:eastAsia="Arial" w:hAnsi="Arial"/>
          <w:sz w:val="18"/>
          <w:szCs w:val="18"/>
          <w:color w:val="auto"/>
        </w:rPr>
        <w:t>4.5. Insufficient Funds: Due to the additional administration We incur. You will pay a fee for any returned or declined payments due to insufficient funds. This fee will differ by country and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327025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color w:val="auto"/>
        </w:rPr>
        <w:t>listed in the House Rules.</w:t>
      </w:r>
    </w:p>
    <w:p>
      <w:pPr>
        <w:spacing w:after="0" w:line="9" w:lineRule="exact"/>
        <w:rPr>
          <w:sz w:val="20"/>
          <w:szCs w:val="20"/>
          <w:color w:val="auto"/>
        </w:rPr>
      </w:pPr>
    </w:p>
    <w:p>
      <w:pPr>
        <w:ind w:left="440" w:right="200" w:hanging="431"/>
        <w:spacing w:after="0" w:line="237" w:lineRule="auto"/>
        <w:rPr>
          <w:sz w:val="20"/>
          <w:szCs w:val="20"/>
          <w:color w:val="auto"/>
        </w:rPr>
      </w:pPr>
      <w:r>
        <w:rPr>
          <w:rFonts w:ascii="Arial" w:cs="Arial" w:eastAsia="Arial" w:hAnsi="Arial"/>
          <w:sz w:val="18"/>
          <w:szCs w:val="18"/>
          <w:color w:val="auto"/>
        </w:rPr>
        <w:t>4.6. Activation: An activation fee is payable in respect of each agreement You have with Us (including any new agreements entered into under clause 1.9 above). This fee covers the administrative cost of the client onboarding process and account setup. This fee is set out in each Local Services Agreement and is charged on a per occupant basis for Serviced Office and Coworking (dedicated desk), on a per location basis for Virtual Office and on a per person basis for Membership. Further information is set out in the House Rules.</w:t>
      </w:r>
    </w:p>
    <w:p>
      <w:pPr>
        <w:spacing w:after="0" w:line="4" w:lineRule="exact"/>
        <w:rPr>
          <w:sz w:val="20"/>
          <w:szCs w:val="20"/>
          <w:color w:val="auto"/>
        </w:rPr>
      </w:pPr>
    </w:p>
    <w:p>
      <w:pPr>
        <w:ind w:left="440" w:right="20" w:hanging="431"/>
        <w:spacing w:after="0" w:line="234" w:lineRule="auto"/>
        <w:rPr>
          <w:sz w:val="20"/>
          <w:szCs w:val="20"/>
          <w:color w:val="auto"/>
        </w:rPr>
      </w:pPr>
      <w:r>
        <w:rPr>
          <w:rFonts w:ascii="Arial" w:cs="Arial" w:eastAsia="Arial" w:hAnsi="Arial"/>
          <w:sz w:val="18"/>
          <w:szCs w:val="18"/>
          <w:color w:val="auto"/>
        </w:rPr>
        <w:t>4.7. Indexation: If an agreement is for a term of more than 12 months, We will increase the monthly fee on each anniversary of the start date in line with the relevant inflation index detailed in the House Rules.</w:t>
      </w:r>
    </w:p>
    <w:p>
      <w:pPr>
        <w:spacing w:after="0" w:line="1" w:lineRule="exact"/>
        <w:rPr>
          <w:sz w:val="20"/>
          <w:szCs w:val="20"/>
          <w:color w:val="auto"/>
        </w:rPr>
      </w:pPr>
    </w:p>
    <w:p>
      <w:pPr>
        <w:ind w:left="440" w:right="160" w:hanging="431"/>
        <w:spacing w:after="0"/>
        <w:rPr>
          <w:sz w:val="20"/>
          <w:szCs w:val="20"/>
          <w:color w:val="auto"/>
        </w:rPr>
      </w:pPr>
      <w:r>
        <w:rPr>
          <w:rFonts w:ascii="Arial" w:cs="Arial" w:eastAsia="Arial" w:hAnsi="Arial"/>
          <w:sz w:val="18"/>
          <w:szCs w:val="18"/>
          <w:color w:val="auto"/>
        </w:rPr>
        <w:t>4.8. Standard services: Monthly fees, plus applicable taxes, and any recurring services requested by You are payable monthly in advance. Where a daily rate applies, the charge for any such month will be 30 times the daily fee. For a period of less than one month, the fee will be applied on a daily basis.</w:t>
      </w:r>
    </w:p>
    <w:p>
      <w:pPr>
        <w:ind w:left="440" w:right="540" w:hanging="431"/>
        <w:spacing w:after="0" w:line="242" w:lineRule="auto"/>
        <w:rPr>
          <w:sz w:val="20"/>
          <w:szCs w:val="20"/>
          <w:color w:val="auto"/>
        </w:rPr>
      </w:pPr>
      <w:r>
        <w:rPr>
          <w:rFonts w:ascii="Arial" w:cs="Arial" w:eastAsia="Arial" w:hAnsi="Arial"/>
          <w:sz w:val="18"/>
          <w:szCs w:val="18"/>
          <w:color w:val="auto"/>
        </w:rPr>
        <w:t>4.9. Pay-as-you-use and Additional Variable Services: Fees for pay-as-you-use services, plus applicable taxes, are payable monthly in arrears at our standard rates which may change from time to time and are available on request.</w:t>
      </w:r>
    </w:p>
    <w:p>
      <w:pPr>
        <w:spacing w:after="0" w:line="1" w:lineRule="exact"/>
        <w:rPr>
          <w:sz w:val="20"/>
          <w:szCs w:val="20"/>
          <w:color w:val="auto"/>
        </w:rPr>
      </w:pPr>
    </w:p>
    <w:p>
      <w:pPr>
        <w:ind w:left="440" w:right="600" w:hanging="431"/>
        <w:spacing w:after="0" w:line="246" w:lineRule="auto"/>
        <w:rPr>
          <w:sz w:val="20"/>
          <w:szCs w:val="20"/>
          <w:color w:val="auto"/>
        </w:rPr>
      </w:pPr>
      <w:r>
        <w:rPr>
          <w:rFonts w:ascii="Arial" w:cs="Arial" w:eastAsia="Arial" w:hAnsi="Arial"/>
          <w:sz w:val="18"/>
          <w:szCs w:val="18"/>
          <w:color w:val="auto"/>
        </w:rPr>
        <w:t>4.10. Discounts, Promotions and Offers: If You benefited from a special discount, promotion or offer, We will discontinue that discount, promotion or offer without notice if You materially breach Your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Global Terms Feb 2020</w:t>
      </w:r>
    </w:p>
    <w:p>
      <w:pPr>
        <w:sectPr>
          <w:pgSz w:w="11900" w:h="16838" w:orient="portrait"/>
          <w:cols w:equalWidth="0" w:num="1">
            <w:col w:w="10440"/>
          </w:cols>
          <w:pgMar w:left="1120" w:top="368" w:right="339" w:bottom="1440" w:gutter="0" w:footer="0" w:header="0"/>
        </w:sectPr>
      </w:pPr>
    </w:p>
    <w:bookmarkStart w:id="87" w:name="page88"/>
    <w:bookmarkEnd w:id="87"/>
    <w:p>
      <w:pPr>
        <w:jc w:val="right"/>
        <w:ind w:right="20"/>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5740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20"/>
        <w:spacing w:after="0"/>
        <w:rPr>
          <w:sz w:val="20"/>
          <w:szCs w:val="20"/>
          <w:color w:val="auto"/>
        </w:rPr>
      </w:pPr>
      <w:r>
        <w:rPr>
          <w:rFonts w:ascii="Arial" w:cs="Arial" w:eastAsia="Arial" w:hAnsi="Arial"/>
          <w:sz w:val="23"/>
          <w:szCs w:val="23"/>
          <w:color w:val="auto"/>
        </w:rPr>
        <w:t>Office Service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tbl>
      <w:tblPr>
        <w:tblLayout w:type="fixed"/>
        <w:tblInd w:w="350" w:type="dxa"/>
        <w:tblCellMar>
          <w:top w:w="0" w:type="dxa"/>
          <w:left w:w="0" w:type="dxa"/>
          <w:bottom w:w="0" w:type="dxa"/>
          <w:right w:w="0" w:type="dxa"/>
        </w:tblCellMar>
      </w:tblPr>
      <w:tr>
        <w:trPr>
          <w:trHeight w:val="285"/>
        </w:trPr>
        <w:tc>
          <w:tcPr>
            <w:tcW w:w="2720" w:type="dxa"/>
            <w:vAlign w:val="bottom"/>
            <w:tcBorders>
              <w:top w:val="single" w:sz="8" w:color="808080"/>
              <w:left w:val="single" w:sz="8" w:color="808080"/>
              <w:right w:val="single" w:sz="8" w:color="808080"/>
            </w:tcBorders>
          </w:tcPr>
          <w:p>
            <w:pPr>
              <w:ind w:left="140"/>
              <w:spacing w:after="0"/>
              <w:rPr>
                <w:sz w:val="20"/>
                <w:szCs w:val="20"/>
                <w:color w:val="auto"/>
              </w:rPr>
            </w:pPr>
            <w:r>
              <w:rPr>
                <w:rFonts w:ascii="Arial" w:cs="Arial" w:eastAsia="Arial" w:hAnsi="Arial"/>
                <w:sz w:val="14"/>
                <w:szCs w:val="14"/>
                <w:b w:val="1"/>
                <w:bCs w:val="1"/>
                <w:color w:val="auto"/>
              </w:rPr>
              <w:t xml:space="preserve">Agreement Date </w:t>
            </w:r>
            <w:r>
              <w:rPr>
                <w:rFonts w:ascii="Arial" w:cs="Arial" w:eastAsia="Arial" w:hAnsi="Arial"/>
                <w:sz w:val="14"/>
                <w:szCs w:val="14"/>
                <w:color w:val="auto"/>
              </w:rPr>
              <w:t>(dd/mm/yy):</w:t>
            </w:r>
          </w:p>
        </w:tc>
        <w:tc>
          <w:tcPr>
            <w:tcW w:w="2640" w:type="dxa"/>
            <w:vAlign w:val="bottom"/>
            <w:tcBorders>
              <w:top w:val="single" w:sz="8" w:color="808080"/>
              <w:right w:val="single" w:sz="8" w:color="808080"/>
            </w:tcBorders>
          </w:tcPr>
          <w:p>
            <w:pPr>
              <w:jc w:val="right"/>
              <w:ind w:right="1728"/>
              <w:spacing w:after="0"/>
              <w:rPr>
                <w:sz w:val="20"/>
                <w:szCs w:val="20"/>
                <w:color w:val="auto"/>
              </w:rPr>
            </w:pPr>
            <w:r>
              <w:rPr>
                <w:rFonts w:ascii="Arial" w:cs="Arial" w:eastAsia="Arial" w:hAnsi="Arial"/>
                <w:sz w:val="14"/>
                <w:szCs w:val="14"/>
                <w:color w:val="auto"/>
              </w:rPr>
              <w:t>30/03/2021</w:t>
            </w:r>
          </w:p>
        </w:tc>
        <w:tc>
          <w:tcPr>
            <w:tcW w:w="2100" w:type="dxa"/>
            <w:vAlign w:val="bottom"/>
            <w:tcBorders>
              <w:top w:val="single" w:sz="8" w:color="808080"/>
              <w:right w:val="single" w:sz="8" w:color="808080"/>
            </w:tcBorders>
          </w:tcPr>
          <w:p>
            <w:pPr>
              <w:ind w:left="120"/>
              <w:spacing w:after="0"/>
              <w:rPr>
                <w:sz w:val="20"/>
                <w:szCs w:val="20"/>
                <w:color w:val="auto"/>
              </w:rPr>
            </w:pPr>
            <w:r>
              <w:rPr>
                <w:rFonts w:ascii="Arial" w:cs="Arial" w:eastAsia="Arial" w:hAnsi="Arial"/>
                <w:sz w:val="14"/>
                <w:szCs w:val="14"/>
                <w:b w:val="1"/>
                <w:bCs w:val="1"/>
                <w:color w:val="auto"/>
              </w:rPr>
              <w:t>Reference No.:</w:t>
            </w:r>
          </w:p>
        </w:tc>
        <w:tc>
          <w:tcPr>
            <w:tcW w:w="3200" w:type="dxa"/>
            <w:vAlign w:val="bottom"/>
            <w:tcBorders>
              <w:top w:val="single" w:sz="8" w:color="808080"/>
              <w:right w:val="single" w:sz="8" w:color="808080"/>
            </w:tcBorders>
          </w:tcPr>
          <w:p>
            <w:pPr>
              <w:jc w:val="right"/>
              <w:ind w:right="2132"/>
              <w:spacing w:after="0"/>
              <w:rPr>
                <w:sz w:val="20"/>
                <w:szCs w:val="20"/>
                <w:color w:val="auto"/>
              </w:rPr>
            </w:pPr>
            <w:r>
              <w:rPr>
                <w:rFonts w:ascii="Arial" w:cs="Arial" w:eastAsia="Arial" w:hAnsi="Arial"/>
                <w:sz w:val="22"/>
                <w:szCs w:val="22"/>
                <w:color w:val="auto"/>
                <w:w w:val="96"/>
              </w:rPr>
              <w:t>11947313</w:t>
            </w:r>
          </w:p>
        </w:tc>
      </w:tr>
      <w:tr>
        <w:trPr>
          <w:trHeight w:val="93"/>
        </w:trPr>
        <w:tc>
          <w:tcPr>
            <w:tcW w:w="2720" w:type="dxa"/>
            <w:vAlign w:val="bottom"/>
            <w:tcBorders>
              <w:left w:val="single" w:sz="8" w:color="808080"/>
              <w:bottom w:val="single" w:sz="8" w:color="808080"/>
              <w:right w:val="single" w:sz="8" w:color="808080"/>
            </w:tcBorders>
          </w:tcPr>
          <w:p>
            <w:pPr>
              <w:spacing w:after="0"/>
              <w:rPr>
                <w:sz w:val="8"/>
                <w:szCs w:val="8"/>
                <w:color w:val="auto"/>
              </w:rPr>
            </w:pPr>
          </w:p>
        </w:tc>
        <w:tc>
          <w:tcPr>
            <w:tcW w:w="2640" w:type="dxa"/>
            <w:vAlign w:val="bottom"/>
            <w:tcBorders>
              <w:bottom w:val="single" w:sz="8" w:color="808080"/>
              <w:right w:val="single" w:sz="8" w:color="808080"/>
            </w:tcBorders>
          </w:tcPr>
          <w:p>
            <w:pPr>
              <w:spacing w:after="0"/>
              <w:rPr>
                <w:sz w:val="8"/>
                <w:szCs w:val="8"/>
                <w:color w:val="auto"/>
              </w:rPr>
            </w:pPr>
          </w:p>
        </w:tc>
        <w:tc>
          <w:tcPr>
            <w:tcW w:w="2100" w:type="dxa"/>
            <w:vAlign w:val="bottom"/>
            <w:tcBorders>
              <w:bottom w:val="single" w:sz="8" w:color="808080"/>
              <w:right w:val="single" w:sz="8" w:color="808080"/>
            </w:tcBorders>
          </w:tcPr>
          <w:p>
            <w:pPr>
              <w:spacing w:after="0"/>
              <w:rPr>
                <w:sz w:val="8"/>
                <w:szCs w:val="8"/>
                <w:color w:val="auto"/>
              </w:rPr>
            </w:pPr>
          </w:p>
        </w:tc>
        <w:tc>
          <w:tcPr>
            <w:tcW w:w="3200" w:type="dxa"/>
            <w:vAlign w:val="bottom"/>
            <w:tcBorders>
              <w:bottom w:val="single" w:sz="8" w:color="808080"/>
              <w:right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60325</wp:posOffset>
            </wp:positionV>
            <wp:extent cx="6772275" cy="1054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772275" cy="1054100"/>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p>
      <w:pPr>
        <w:spacing w:after="0" w:line="14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Business Centre Address:</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4"/>
          <w:szCs w:val="14"/>
          <w:color w:val="auto"/>
        </w:rPr>
        <w:t>FRANKFURT, SIGNATURE THE SQUAIRE Business Center</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Am Flughafen</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Frankfurt</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Hessen 60549</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Germany</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ind w:right="1700"/>
        <w:spacing w:after="0"/>
        <w:rPr>
          <w:sz w:val="20"/>
          <w:szCs w:val="20"/>
          <w:color w:val="auto"/>
        </w:rPr>
      </w:pPr>
      <w:r>
        <w:rPr>
          <w:rFonts w:ascii="Arial" w:cs="Arial" w:eastAsia="Arial" w:hAnsi="Arial"/>
          <w:sz w:val="14"/>
          <w:szCs w:val="14"/>
          <w:b w:val="1"/>
          <w:bCs w:val="1"/>
          <w:color w:val="auto"/>
        </w:rPr>
        <w:t>Client Address (Not a Business Centre Address):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00" w:type="dxa"/>
            <w:vAlign w:val="bottom"/>
            <w:tcBorders>
              <w:top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Company Name:</w:t>
            </w:r>
          </w:p>
        </w:tc>
        <w:tc>
          <w:tcPr>
            <w:tcW w:w="3200" w:type="dxa"/>
            <w:vAlign w:val="bottom"/>
            <w:tcBorders>
              <w:top w:val="single" w:sz="8" w:color="808080"/>
            </w:tcBorders>
          </w:tcPr>
          <w:p>
            <w:pPr>
              <w:ind w:left="120"/>
              <w:spacing w:after="0"/>
              <w:rPr>
                <w:sz w:val="20"/>
                <w:szCs w:val="20"/>
                <w:color w:val="auto"/>
              </w:rPr>
            </w:pPr>
            <w:r>
              <w:rPr>
                <w:rFonts w:ascii="Arial" w:cs="Arial" w:eastAsia="Arial" w:hAnsi="Arial"/>
                <w:sz w:val="14"/>
                <w:szCs w:val="14"/>
                <w:color w:val="auto"/>
              </w:rPr>
              <w:t>Amarin Germany GmbH</w:t>
            </w:r>
          </w:p>
        </w:tc>
      </w:tr>
      <w:tr>
        <w:trPr>
          <w:trHeight w:val="39"/>
        </w:trPr>
        <w:tc>
          <w:tcPr>
            <w:tcW w:w="1900" w:type="dxa"/>
            <w:vAlign w:val="bottom"/>
            <w:tcBorders>
              <w:bottom w:val="single" w:sz="8" w:color="808080"/>
              <w:right w:val="single" w:sz="8" w:color="808080"/>
            </w:tcBorders>
          </w:tcPr>
          <w:p>
            <w:pPr>
              <w:spacing w:after="0"/>
              <w:rPr>
                <w:sz w:val="3"/>
                <w:szCs w:val="3"/>
                <w:color w:val="auto"/>
              </w:rPr>
            </w:pPr>
          </w:p>
        </w:tc>
        <w:tc>
          <w:tcPr>
            <w:tcW w:w="3200" w:type="dxa"/>
            <w:vAlign w:val="bottom"/>
            <w:tcBorders>
              <w:bottom w:val="single" w:sz="8" w:color="808080"/>
            </w:tcBorders>
          </w:tcPr>
          <w:p>
            <w:pPr>
              <w:spacing w:after="0"/>
              <w:rPr>
                <w:sz w:val="3"/>
                <w:szCs w:val="3"/>
                <w:color w:val="auto"/>
              </w:rPr>
            </w:pPr>
          </w:p>
        </w:tc>
      </w:tr>
      <w:tr>
        <w:trPr>
          <w:trHeight w:val="224"/>
        </w:trPr>
        <w:tc>
          <w:tcPr>
            <w:tcW w:w="190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Contact Name:</w:t>
            </w:r>
          </w:p>
        </w:tc>
        <w:tc>
          <w:tcPr>
            <w:tcW w:w="3200" w:type="dxa"/>
            <w:vAlign w:val="bottom"/>
          </w:tcPr>
          <w:p>
            <w:pPr>
              <w:ind w:left="120"/>
              <w:spacing w:after="0"/>
              <w:rPr>
                <w:sz w:val="20"/>
                <w:szCs w:val="20"/>
                <w:color w:val="auto"/>
              </w:rPr>
            </w:pPr>
            <w:r>
              <w:rPr>
                <w:rFonts w:ascii="Arial" w:cs="Arial" w:eastAsia="Arial" w:hAnsi="Arial"/>
                <w:sz w:val="14"/>
                <w:szCs w:val="14"/>
                <w:color w:val="auto"/>
              </w:rPr>
              <w:t>Tom Maher</w:t>
            </w:r>
          </w:p>
        </w:tc>
      </w:tr>
      <w:tr>
        <w:trPr>
          <w:trHeight w:val="53"/>
        </w:trPr>
        <w:tc>
          <w:tcPr>
            <w:tcW w:w="1900" w:type="dxa"/>
            <w:vAlign w:val="bottom"/>
            <w:tcBorders>
              <w:bottom w:val="single" w:sz="8" w:color="808080"/>
              <w:right w:val="single" w:sz="8" w:color="808080"/>
            </w:tcBorders>
          </w:tcPr>
          <w:p>
            <w:pPr>
              <w:spacing w:after="0"/>
              <w:rPr>
                <w:sz w:val="4"/>
                <w:szCs w:val="4"/>
                <w:color w:val="auto"/>
              </w:rPr>
            </w:pPr>
          </w:p>
        </w:tc>
        <w:tc>
          <w:tcPr>
            <w:tcW w:w="3200" w:type="dxa"/>
            <w:vAlign w:val="bottom"/>
            <w:tcBorders>
              <w:bottom w:val="single" w:sz="8" w:color="808080"/>
            </w:tcBorders>
          </w:tcPr>
          <w:p>
            <w:pPr>
              <w:spacing w:after="0"/>
              <w:rPr>
                <w:sz w:val="4"/>
                <w:szCs w:val="4"/>
                <w:color w:val="auto"/>
              </w:rPr>
            </w:pPr>
          </w:p>
        </w:tc>
      </w:tr>
      <w:tr>
        <w:trPr>
          <w:trHeight w:val="211"/>
        </w:trPr>
        <w:tc>
          <w:tcPr>
            <w:tcW w:w="190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Address:</w:t>
            </w:r>
          </w:p>
        </w:tc>
        <w:tc>
          <w:tcPr>
            <w:tcW w:w="3200" w:type="dxa"/>
            <w:vAlign w:val="bottom"/>
          </w:tcPr>
          <w:p>
            <w:pPr>
              <w:ind w:left="120"/>
              <w:spacing w:after="0"/>
              <w:rPr>
                <w:sz w:val="20"/>
                <w:szCs w:val="20"/>
                <w:color w:val="auto"/>
              </w:rPr>
            </w:pPr>
            <w:r>
              <w:rPr>
                <w:rFonts w:ascii="Arial" w:cs="Arial" w:eastAsia="Arial" w:hAnsi="Arial"/>
                <w:sz w:val="14"/>
                <w:szCs w:val="14"/>
                <w:color w:val="auto"/>
              </w:rPr>
              <w:t>Maximilianstr. 54</w:t>
            </w:r>
          </w:p>
        </w:tc>
      </w:tr>
      <w:tr>
        <w:trPr>
          <w:trHeight w:val="26"/>
        </w:trPr>
        <w:tc>
          <w:tcPr>
            <w:tcW w:w="1900" w:type="dxa"/>
            <w:vAlign w:val="bottom"/>
            <w:tcBorders>
              <w:bottom w:val="single" w:sz="8" w:color="808080"/>
              <w:right w:val="single" w:sz="8" w:color="808080"/>
            </w:tcBorders>
          </w:tcPr>
          <w:p>
            <w:pPr>
              <w:spacing w:after="0"/>
              <w:rPr>
                <w:sz w:val="2"/>
                <w:szCs w:val="2"/>
                <w:color w:val="auto"/>
              </w:rPr>
            </w:pPr>
          </w:p>
        </w:tc>
        <w:tc>
          <w:tcPr>
            <w:tcW w:w="3200" w:type="dxa"/>
            <w:vAlign w:val="bottom"/>
            <w:tcBorders>
              <w:bottom w:val="single" w:sz="8" w:color="808080"/>
            </w:tcBorders>
          </w:tcPr>
          <w:p>
            <w:pPr>
              <w:spacing w:after="0"/>
              <w:rPr>
                <w:sz w:val="2"/>
                <w:szCs w:val="2"/>
                <w:color w:val="auto"/>
              </w:rPr>
            </w:pPr>
          </w:p>
        </w:tc>
      </w:tr>
      <w:tr>
        <w:trPr>
          <w:trHeight w:val="211"/>
        </w:trPr>
        <w:tc>
          <w:tcPr>
            <w:tcW w:w="190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Address:</w:t>
            </w:r>
          </w:p>
        </w:tc>
        <w:tc>
          <w:tcPr>
            <w:tcW w:w="3200" w:type="dxa"/>
            <w:vAlign w:val="bottom"/>
          </w:tcPr>
          <w:p>
            <w:pPr>
              <w:ind w:left="120"/>
              <w:spacing w:after="0"/>
              <w:rPr>
                <w:sz w:val="20"/>
                <w:szCs w:val="20"/>
                <w:color w:val="auto"/>
              </w:rPr>
            </w:pPr>
            <w:r>
              <w:rPr>
                <w:rFonts w:ascii="Arial" w:cs="Arial" w:eastAsia="Arial" w:hAnsi="Arial"/>
                <w:sz w:val="14"/>
                <w:szCs w:val="14"/>
                <w:color w:val="auto"/>
              </w:rPr>
              <w:t>Munchen, Germany</w:t>
            </w:r>
          </w:p>
        </w:tc>
      </w:tr>
      <w:tr>
        <w:trPr>
          <w:trHeight w:val="26"/>
        </w:trPr>
        <w:tc>
          <w:tcPr>
            <w:tcW w:w="1900" w:type="dxa"/>
            <w:vAlign w:val="bottom"/>
            <w:tcBorders>
              <w:bottom w:val="single" w:sz="8" w:color="808080"/>
              <w:right w:val="single" w:sz="8" w:color="808080"/>
            </w:tcBorders>
          </w:tcPr>
          <w:p>
            <w:pPr>
              <w:spacing w:after="0"/>
              <w:rPr>
                <w:sz w:val="2"/>
                <w:szCs w:val="2"/>
                <w:color w:val="auto"/>
              </w:rPr>
            </w:pPr>
          </w:p>
        </w:tc>
        <w:tc>
          <w:tcPr>
            <w:tcW w:w="3200" w:type="dxa"/>
            <w:vAlign w:val="bottom"/>
            <w:tcBorders>
              <w:bottom w:val="single" w:sz="8" w:color="808080"/>
            </w:tcBorders>
          </w:tcPr>
          <w:p>
            <w:pPr>
              <w:spacing w:after="0"/>
              <w:rPr>
                <w:sz w:val="2"/>
                <w:szCs w:val="2"/>
                <w:color w:val="auto"/>
              </w:rPr>
            </w:pPr>
          </w:p>
        </w:tc>
      </w:tr>
      <w:tr>
        <w:trPr>
          <w:trHeight w:val="211"/>
        </w:trPr>
        <w:tc>
          <w:tcPr>
            <w:tcW w:w="190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Phone &amp; Email:</w:t>
            </w:r>
          </w:p>
        </w:tc>
        <w:tc>
          <w:tcPr>
            <w:tcW w:w="3200" w:type="dxa"/>
            <w:vAlign w:val="bottom"/>
          </w:tcPr>
          <w:p>
            <w:pPr>
              <w:ind w:left="120"/>
              <w:spacing w:after="0"/>
              <w:rPr>
                <w:sz w:val="20"/>
                <w:szCs w:val="20"/>
                <w:color w:val="auto"/>
              </w:rPr>
            </w:pPr>
            <w:r>
              <w:rPr>
                <w:rFonts w:ascii="Arial" w:cs="Arial" w:eastAsia="Arial" w:hAnsi="Arial"/>
                <w:sz w:val="14"/>
                <w:szCs w:val="14"/>
                <w:color w:val="auto"/>
              </w:rPr>
              <w:t>Thomas.zuther@amarincorp.eu</w:t>
            </w:r>
          </w:p>
        </w:tc>
      </w:tr>
      <w:tr>
        <w:trPr>
          <w:trHeight w:val="26"/>
        </w:trPr>
        <w:tc>
          <w:tcPr>
            <w:tcW w:w="1900" w:type="dxa"/>
            <w:vAlign w:val="bottom"/>
            <w:tcBorders>
              <w:bottom w:val="single" w:sz="8" w:color="808080"/>
              <w:right w:val="single" w:sz="8" w:color="808080"/>
            </w:tcBorders>
          </w:tcPr>
          <w:p>
            <w:pPr>
              <w:spacing w:after="0"/>
              <w:rPr>
                <w:sz w:val="2"/>
                <w:szCs w:val="2"/>
                <w:color w:val="auto"/>
              </w:rPr>
            </w:pPr>
          </w:p>
        </w:tc>
        <w:tc>
          <w:tcPr>
            <w:tcW w:w="3200" w:type="dxa"/>
            <w:vAlign w:val="bottom"/>
            <w:tcBorders>
              <w:bottom w:val="single" w:sz="8" w:color="808080"/>
            </w:tcBorders>
          </w:tcPr>
          <w:p>
            <w:pPr>
              <w:spacing w:after="0"/>
              <w:rPr>
                <w:sz w:val="2"/>
                <w:szCs w:val="2"/>
                <w:color w:val="auto"/>
              </w:rPr>
            </w:pPr>
          </w:p>
        </w:tc>
      </w:tr>
    </w:tbl>
    <w:p>
      <w:pPr>
        <w:spacing w:after="0" w:line="75" w:lineRule="exact"/>
        <w:rPr>
          <w:sz w:val="20"/>
          <w:szCs w:val="20"/>
          <w:color w:val="auto"/>
        </w:rPr>
      </w:pPr>
    </w:p>
    <w:p>
      <w:pPr>
        <w:sectPr>
          <w:pgSz w:w="11900" w:h="16838" w:orient="portrait"/>
          <w:cols w:equalWidth="0" w:num="2">
            <w:col w:w="5180" w:space="720"/>
            <w:col w:w="5360"/>
          </w:cols>
          <w:pgMar w:left="320" w:top="346" w:right="319" w:bottom="1440" w:gutter="0" w:footer="0" w:header="0"/>
          <w:type w:val="continuous"/>
        </w:sectPr>
      </w:pPr>
    </w:p>
    <w:tbl>
      <w:tblPr>
        <w:tblLayout w:type="fixed"/>
        <w:tblInd w:w="350" w:type="dxa"/>
        <w:tblCellMar>
          <w:top w:w="0" w:type="dxa"/>
          <w:left w:w="0" w:type="dxa"/>
          <w:bottom w:w="0" w:type="dxa"/>
          <w:right w:w="0" w:type="dxa"/>
        </w:tblCellMar>
      </w:tblPr>
      <w:tr>
        <w:trPr>
          <w:trHeight w:val="258"/>
        </w:trPr>
        <w:tc>
          <w:tcPr>
            <w:tcW w:w="4520" w:type="dxa"/>
            <w:vAlign w:val="bottom"/>
            <w:tcBorders>
              <w:top w:val="single" w:sz="8" w:color="808080"/>
              <w:left w:val="single" w:sz="8" w:color="808080"/>
            </w:tcBorders>
            <w:gridSpan w:val="2"/>
          </w:tcPr>
          <w:p>
            <w:pPr>
              <w:ind w:left="140"/>
              <w:spacing w:after="0"/>
              <w:rPr>
                <w:sz w:val="20"/>
                <w:szCs w:val="20"/>
                <w:color w:val="auto"/>
              </w:rPr>
            </w:pPr>
            <w:r>
              <w:rPr>
                <w:rFonts w:ascii="Arial" w:cs="Arial" w:eastAsia="Arial" w:hAnsi="Arial"/>
                <w:sz w:val="14"/>
                <w:szCs w:val="14"/>
                <w:color w:val="auto"/>
              </w:rPr>
              <w:t>Office Payment Details (excluding tax/GST and excluding services)</w:t>
            </w:r>
          </w:p>
        </w:tc>
        <w:tc>
          <w:tcPr>
            <w:tcW w:w="2240" w:type="dxa"/>
            <w:vAlign w:val="bottom"/>
            <w:tcBorders>
              <w:top w:val="single" w:sz="8" w:color="808080"/>
            </w:tcBorders>
          </w:tcPr>
          <w:p>
            <w:pPr>
              <w:spacing w:after="0"/>
              <w:rPr>
                <w:sz w:val="22"/>
                <w:szCs w:val="22"/>
                <w:color w:val="auto"/>
              </w:rPr>
            </w:pPr>
          </w:p>
        </w:tc>
        <w:tc>
          <w:tcPr>
            <w:tcW w:w="780" w:type="dxa"/>
            <w:vAlign w:val="bottom"/>
            <w:tcBorders>
              <w:top w:val="single" w:sz="8" w:color="808080"/>
            </w:tcBorders>
          </w:tcPr>
          <w:p>
            <w:pPr>
              <w:spacing w:after="0"/>
              <w:rPr>
                <w:sz w:val="22"/>
                <w:szCs w:val="22"/>
                <w:color w:val="auto"/>
              </w:rPr>
            </w:pPr>
          </w:p>
        </w:tc>
        <w:tc>
          <w:tcPr>
            <w:tcW w:w="1460" w:type="dxa"/>
            <w:vAlign w:val="bottom"/>
            <w:tcBorders>
              <w:top w:val="single" w:sz="8" w:color="808080"/>
              <w:right w:val="single" w:sz="8" w:color="808080"/>
            </w:tcBorders>
          </w:tcPr>
          <w:p>
            <w:pPr>
              <w:spacing w:after="0"/>
              <w:rPr>
                <w:sz w:val="22"/>
                <w:szCs w:val="22"/>
                <w:color w:val="auto"/>
              </w:rPr>
            </w:pPr>
          </w:p>
        </w:tc>
        <w:tc>
          <w:tcPr>
            <w:tcW w:w="1660" w:type="dxa"/>
            <w:vAlign w:val="bottom"/>
          </w:tcPr>
          <w:p>
            <w:pPr>
              <w:spacing w:after="0"/>
              <w:rPr>
                <w:sz w:val="22"/>
                <w:szCs w:val="22"/>
                <w:color w:val="auto"/>
              </w:rPr>
            </w:pPr>
          </w:p>
        </w:tc>
      </w:tr>
      <w:tr>
        <w:trPr>
          <w:trHeight w:val="52"/>
        </w:trPr>
        <w:tc>
          <w:tcPr>
            <w:tcW w:w="2280" w:type="dxa"/>
            <w:vAlign w:val="bottom"/>
            <w:tcBorders>
              <w:left w:val="single" w:sz="8" w:color="808080"/>
              <w:bottom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Office Number</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No. of People</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Monthly Office Fee</w:t>
            </w: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ind w:right="788"/>
              <w:spacing w:after="0"/>
              <w:rPr>
                <w:sz w:val="20"/>
                <w:szCs w:val="20"/>
                <w:color w:val="auto"/>
              </w:rPr>
            </w:pPr>
            <w:r>
              <w:rPr>
                <w:rFonts w:ascii="Arial" w:cs="Arial" w:eastAsia="Arial" w:hAnsi="Arial"/>
                <w:sz w:val="14"/>
                <w:szCs w:val="14"/>
                <w:color w:val="auto"/>
              </w:rPr>
              <w:t>Currency</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610</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€1,619.00</w:t>
            </w: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ind w:right="1048"/>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611</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€1,619.00</w:t>
            </w: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ind w:right="1048"/>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612</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€1,619.00</w:t>
            </w: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ind w:right="1048"/>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613</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w:t>
            </w:r>
          </w:p>
        </w:tc>
        <w:tc>
          <w:tcPr>
            <w:tcW w:w="2240" w:type="dxa"/>
            <w:vAlign w:val="bottom"/>
            <w:tcBorders>
              <w:right w:val="single" w:sz="8" w:color="808080"/>
            </w:tcBorders>
          </w:tcPr>
          <w:p>
            <w:pPr>
              <w:jc w:val="center"/>
              <w:ind w:right="8"/>
              <w:spacing w:after="0"/>
              <w:rPr>
                <w:sz w:val="20"/>
                <w:szCs w:val="20"/>
                <w:color w:val="auto"/>
              </w:rPr>
            </w:pPr>
            <w:r>
              <w:rPr>
                <w:rFonts w:ascii="Arial" w:cs="Arial" w:eastAsia="Arial" w:hAnsi="Arial"/>
                <w:sz w:val="14"/>
                <w:szCs w:val="14"/>
                <w:color w:val="auto"/>
              </w:rPr>
              <w:t>€1,619.00</w:t>
            </w: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ind w:right="1048"/>
              <w:spacing w:after="0"/>
              <w:rPr>
                <w:sz w:val="20"/>
                <w:szCs w:val="20"/>
                <w:color w:val="auto"/>
              </w:rPr>
            </w:pPr>
            <w:r>
              <w:rPr>
                <w:rFonts w:ascii="Arial" w:cs="Arial" w:eastAsia="Arial" w:hAnsi="Arial"/>
                <w:sz w:val="14"/>
                <w:szCs w:val="14"/>
                <w:color w:val="auto"/>
              </w:rPr>
              <w:t>€</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91"/>
        </w:trPr>
        <w:tc>
          <w:tcPr>
            <w:tcW w:w="2280" w:type="dxa"/>
            <w:vAlign w:val="bottom"/>
            <w:tcBorders>
              <w:left w:val="single" w:sz="8" w:color="808080"/>
              <w:bottom w:val="single" w:sz="8" w:color="808080"/>
              <w:right w:val="single" w:sz="8" w:color="808080"/>
            </w:tcBorders>
          </w:tcPr>
          <w:p>
            <w:pPr>
              <w:spacing w:after="0"/>
              <w:rPr>
                <w:sz w:val="24"/>
                <w:szCs w:val="24"/>
                <w:color w:val="auto"/>
              </w:rPr>
            </w:pPr>
          </w:p>
        </w:tc>
        <w:tc>
          <w:tcPr>
            <w:tcW w:w="2240" w:type="dxa"/>
            <w:vAlign w:val="bottom"/>
            <w:tcBorders>
              <w:bottom w:val="single" w:sz="8" w:color="808080"/>
              <w:right w:val="single" w:sz="8" w:color="808080"/>
            </w:tcBorders>
          </w:tcPr>
          <w:p>
            <w:pPr>
              <w:spacing w:after="0"/>
              <w:rPr>
                <w:sz w:val="24"/>
                <w:szCs w:val="24"/>
                <w:color w:val="auto"/>
              </w:rPr>
            </w:pPr>
          </w:p>
        </w:tc>
        <w:tc>
          <w:tcPr>
            <w:tcW w:w="2240" w:type="dxa"/>
            <w:vAlign w:val="bottom"/>
            <w:tcBorders>
              <w:bottom w:val="single" w:sz="8" w:color="808080"/>
              <w:right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right w:val="single" w:sz="8" w:color="808080"/>
            </w:tcBorders>
          </w:tcPr>
          <w:p>
            <w:pPr>
              <w:spacing w:after="0"/>
              <w:rPr>
                <w:sz w:val="24"/>
                <w:szCs w:val="24"/>
                <w:color w:val="auto"/>
              </w:rPr>
            </w:pPr>
          </w:p>
        </w:tc>
        <w:tc>
          <w:tcPr>
            <w:tcW w:w="1660" w:type="dxa"/>
            <w:vAlign w:val="bottom"/>
          </w:tcPr>
          <w:p>
            <w:pPr>
              <w:spacing w:after="0"/>
              <w:rPr>
                <w:sz w:val="24"/>
                <w:szCs w:val="24"/>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Total per Month</w:t>
            </w:r>
          </w:p>
        </w:tc>
        <w:tc>
          <w:tcPr>
            <w:tcW w:w="2240" w:type="dxa"/>
            <w:vAlign w:val="bottom"/>
            <w:tcBorders>
              <w:right w:val="single" w:sz="8" w:color="808080"/>
            </w:tcBorders>
          </w:tcPr>
          <w:p>
            <w:pPr>
              <w:spacing w:after="0"/>
              <w:rPr>
                <w:sz w:val="20"/>
                <w:szCs w:val="20"/>
                <w:color w:val="auto"/>
              </w:rPr>
            </w:pPr>
          </w:p>
        </w:tc>
        <w:tc>
          <w:tcPr>
            <w:tcW w:w="2240" w:type="dxa"/>
            <w:vAlign w:val="bottom"/>
            <w:tcBorders>
              <w:right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808080"/>
            </w:tcBorders>
          </w:tcPr>
          <w:p>
            <w:pPr>
              <w:spacing w:after="0"/>
              <w:rPr>
                <w:sz w:val="20"/>
                <w:szCs w:val="20"/>
                <w:color w:val="auto"/>
              </w:rPr>
            </w:pPr>
          </w:p>
        </w:tc>
        <w:tc>
          <w:tcPr>
            <w:tcW w:w="1660" w:type="dxa"/>
            <w:vAlign w:val="bottom"/>
          </w:tcPr>
          <w:p>
            <w:pPr>
              <w:spacing w:after="0"/>
              <w:rPr>
                <w:sz w:val="20"/>
                <w:szCs w:val="20"/>
                <w:color w:val="auto"/>
              </w:rPr>
            </w:pPr>
          </w:p>
        </w:tc>
      </w:tr>
      <w:tr>
        <w:trPr>
          <w:trHeight w:val="52"/>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115"/>
        </w:trPr>
        <w:tc>
          <w:tcPr>
            <w:tcW w:w="2280" w:type="dxa"/>
            <w:vAlign w:val="bottom"/>
            <w:tcBorders>
              <w:left w:val="single" w:sz="8" w:color="808080"/>
              <w:bottom w:val="single" w:sz="8" w:color="808080"/>
              <w:right w:val="single" w:sz="8" w:color="808080"/>
            </w:tcBorders>
          </w:tcPr>
          <w:p>
            <w:pPr>
              <w:spacing w:after="0"/>
              <w:rPr>
                <w:sz w:val="10"/>
                <w:szCs w:val="10"/>
                <w:color w:val="auto"/>
              </w:rPr>
            </w:pPr>
          </w:p>
        </w:tc>
        <w:tc>
          <w:tcPr>
            <w:tcW w:w="2240" w:type="dxa"/>
            <w:vAlign w:val="bottom"/>
            <w:tcBorders>
              <w:bottom w:val="single" w:sz="8" w:color="808080"/>
              <w:right w:val="single" w:sz="8" w:color="808080"/>
            </w:tcBorders>
          </w:tcPr>
          <w:p>
            <w:pPr>
              <w:spacing w:after="0"/>
              <w:rPr>
                <w:sz w:val="10"/>
                <w:szCs w:val="10"/>
                <w:color w:val="auto"/>
              </w:rPr>
            </w:pPr>
          </w:p>
        </w:tc>
        <w:tc>
          <w:tcPr>
            <w:tcW w:w="2240" w:type="dxa"/>
            <w:vAlign w:val="bottom"/>
            <w:tcBorders>
              <w:bottom w:val="single" w:sz="8" w:color="808080"/>
              <w:right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right w:val="single" w:sz="8" w:color="808080"/>
            </w:tcBorders>
          </w:tcPr>
          <w:p>
            <w:pPr>
              <w:spacing w:after="0"/>
              <w:rPr>
                <w:sz w:val="10"/>
                <w:szCs w:val="10"/>
                <w:color w:val="auto"/>
              </w:rPr>
            </w:pPr>
          </w:p>
        </w:tc>
        <w:tc>
          <w:tcPr>
            <w:tcW w:w="1660" w:type="dxa"/>
            <w:vAlign w:val="bottom"/>
          </w:tcPr>
          <w:p>
            <w:pPr>
              <w:spacing w:after="0"/>
              <w:rPr>
                <w:sz w:val="10"/>
                <w:szCs w:val="10"/>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Initial Payment</w:t>
            </w:r>
          </w:p>
        </w:tc>
        <w:tc>
          <w:tcPr>
            <w:tcW w:w="2240" w:type="dxa"/>
            <w:vAlign w:val="bottom"/>
          </w:tcPr>
          <w:p>
            <w:pPr>
              <w:ind w:left="20"/>
              <w:spacing w:after="0"/>
              <w:rPr>
                <w:sz w:val="20"/>
                <w:szCs w:val="20"/>
                <w:color w:val="auto"/>
              </w:rPr>
            </w:pPr>
            <w:r>
              <w:rPr>
                <w:rFonts w:ascii="Arial" w:cs="Arial" w:eastAsia="Arial" w:hAnsi="Arial"/>
                <w:sz w:val="14"/>
                <w:szCs w:val="14"/>
                <w:color w:val="auto"/>
              </w:rPr>
              <w:t>First Month’s Fee</w:t>
            </w:r>
          </w:p>
        </w:tc>
        <w:tc>
          <w:tcPr>
            <w:tcW w:w="2240" w:type="dxa"/>
            <w:vAlign w:val="bottom"/>
            <w:tcBorders>
              <w:right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€0.00</w:t>
            </w:r>
          </w:p>
        </w:tc>
        <w:tc>
          <w:tcPr>
            <w:tcW w:w="1660" w:type="dxa"/>
            <w:vAlign w:val="bottom"/>
          </w:tcPr>
          <w:p>
            <w:pPr>
              <w:spacing w:after="0"/>
              <w:rPr>
                <w:sz w:val="20"/>
                <w:szCs w:val="20"/>
                <w:color w:val="auto"/>
              </w:rPr>
            </w:pPr>
          </w:p>
        </w:tc>
      </w:tr>
      <w:tr>
        <w:trPr>
          <w:trHeight w:val="52"/>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spacing w:after="0"/>
              <w:rPr>
                <w:sz w:val="20"/>
                <w:szCs w:val="20"/>
                <w:color w:val="auto"/>
              </w:rPr>
            </w:pPr>
          </w:p>
        </w:tc>
        <w:tc>
          <w:tcPr>
            <w:tcW w:w="2240" w:type="dxa"/>
            <w:vAlign w:val="bottom"/>
            <w:tcBorders>
              <w:right w:val="single" w:sz="8" w:color="808080"/>
            </w:tcBorders>
          </w:tcPr>
          <w:p>
            <w:pPr>
              <w:ind w:left="20"/>
              <w:spacing w:after="0"/>
              <w:rPr>
                <w:sz w:val="20"/>
                <w:szCs w:val="20"/>
                <w:color w:val="auto"/>
              </w:rPr>
            </w:pPr>
            <w:r>
              <w:rPr>
                <w:rFonts w:ascii="Arial" w:cs="Arial" w:eastAsia="Arial" w:hAnsi="Arial"/>
                <w:sz w:val="14"/>
                <w:szCs w:val="14"/>
                <w:color w:val="auto"/>
              </w:rPr>
              <w:t>Service Retainer</w:t>
            </w:r>
          </w:p>
        </w:tc>
        <w:tc>
          <w:tcPr>
            <w:tcW w:w="2240" w:type="dxa"/>
            <w:vAlign w:val="bottom"/>
            <w:tcBorders>
              <w:right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€12,952</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238"/>
        </w:trPr>
        <w:tc>
          <w:tcPr>
            <w:tcW w:w="2280" w:type="dxa"/>
            <w:vAlign w:val="bottom"/>
            <w:tcBorders>
              <w:left w:val="single" w:sz="8" w:color="808080"/>
              <w:right w:val="single" w:sz="8" w:color="808080"/>
            </w:tcBorders>
          </w:tcPr>
          <w:p>
            <w:pPr>
              <w:spacing w:after="0"/>
              <w:rPr>
                <w:sz w:val="20"/>
                <w:szCs w:val="20"/>
                <w:color w:val="auto"/>
              </w:rPr>
            </w:pPr>
          </w:p>
        </w:tc>
        <w:tc>
          <w:tcPr>
            <w:tcW w:w="2240" w:type="dxa"/>
            <w:vAlign w:val="bottom"/>
            <w:tcBorders>
              <w:right w:val="single" w:sz="8" w:color="808080"/>
            </w:tcBorders>
          </w:tcPr>
          <w:p>
            <w:pPr>
              <w:ind w:left="20"/>
              <w:spacing w:after="0"/>
              <w:rPr>
                <w:sz w:val="20"/>
                <w:szCs w:val="20"/>
                <w:color w:val="auto"/>
              </w:rPr>
            </w:pPr>
            <w:r>
              <w:rPr>
                <w:rFonts w:ascii="Arial" w:cs="Arial" w:eastAsia="Arial" w:hAnsi="Arial"/>
                <w:sz w:val="14"/>
                <w:szCs w:val="14"/>
                <w:color w:val="auto"/>
              </w:rPr>
              <w:t>Total Initial Payment</w:t>
            </w:r>
          </w:p>
        </w:tc>
        <w:tc>
          <w:tcPr>
            <w:tcW w:w="2240" w:type="dxa"/>
            <w:vAlign w:val="bottom"/>
            <w:tcBorders>
              <w:right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€12,952</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115"/>
        </w:trPr>
        <w:tc>
          <w:tcPr>
            <w:tcW w:w="2280" w:type="dxa"/>
            <w:vAlign w:val="bottom"/>
            <w:tcBorders>
              <w:left w:val="single" w:sz="8" w:color="808080"/>
              <w:bottom w:val="single" w:sz="8" w:color="808080"/>
              <w:right w:val="single" w:sz="8" w:color="808080"/>
            </w:tcBorders>
          </w:tcPr>
          <w:p>
            <w:pPr>
              <w:spacing w:after="0"/>
              <w:rPr>
                <w:sz w:val="10"/>
                <w:szCs w:val="10"/>
                <w:color w:val="auto"/>
              </w:rPr>
            </w:pPr>
          </w:p>
        </w:tc>
        <w:tc>
          <w:tcPr>
            <w:tcW w:w="2240" w:type="dxa"/>
            <w:vAlign w:val="bottom"/>
            <w:tcBorders>
              <w:bottom w:val="single" w:sz="8" w:color="808080"/>
              <w:right w:val="single" w:sz="8" w:color="808080"/>
            </w:tcBorders>
          </w:tcPr>
          <w:p>
            <w:pPr>
              <w:spacing w:after="0"/>
              <w:rPr>
                <w:sz w:val="10"/>
                <w:szCs w:val="10"/>
                <w:color w:val="auto"/>
              </w:rPr>
            </w:pPr>
          </w:p>
        </w:tc>
        <w:tc>
          <w:tcPr>
            <w:tcW w:w="2240" w:type="dxa"/>
            <w:vAlign w:val="bottom"/>
            <w:tcBorders>
              <w:bottom w:val="single" w:sz="8" w:color="808080"/>
              <w:right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right w:val="single" w:sz="8" w:color="808080"/>
            </w:tcBorders>
          </w:tcPr>
          <w:p>
            <w:pPr>
              <w:spacing w:after="0"/>
              <w:rPr>
                <w:sz w:val="10"/>
                <w:szCs w:val="10"/>
                <w:color w:val="auto"/>
              </w:rPr>
            </w:pPr>
          </w:p>
        </w:tc>
        <w:tc>
          <w:tcPr>
            <w:tcW w:w="1660" w:type="dxa"/>
            <w:vAlign w:val="bottom"/>
          </w:tcPr>
          <w:p>
            <w:pPr>
              <w:spacing w:after="0"/>
              <w:rPr>
                <w:sz w:val="10"/>
                <w:szCs w:val="10"/>
                <w:color w:val="auto"/>
              </w:rPr>
            </w:pPr>
          </w:p>
        </w:tc>
      </w:tr>
      <w:tr>
        <w:trPr>
          <w:trHeight w:val="238"/>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color w:val="auto"/>
              </w:rPr>
              <w:t>Monthly Payment</w:t>
            </w:r>
          </w:p>
        </w:tc>
        <w:tc>
          <w:tcPr>
            <w:tcW w:w="2240" w:type="dxa"/>
            <w:vAlign w:val="bottom"/>
          </w:tcPr>
          <w:p>
            <w:pPr>
              <w:spacing w:after="0"/>
              <w:rPr>
                <w:sz w:val="20"/>
                <w:szCs w:val="20"/>
                <w:color w:val="auto"/>
              </w:rPr>
            </w:pPr>
            <w:r>
              <w:rPr>
                <w:rFonts w:ascii="Arial" w:cs="Arial" w:eastAsia="Arial" w:hAnsi="Arial"/>
                <w:sz w:val="14"/>
                <w:szCs w:val="14"/>
                <w:color w:val="auto"/>
              </w:rPr>
              <w:t>Total Monthly Payment Thereafter</w:t>
            </w:r>
          </w:p>
        </w:tc>
        <w:tc>
          <w:tcPr>
            <w:tcW w:w="2240" w:type="dxa"/>
            <w:vAlign w:val="bottom"/>
            <w:tcBorders>
              <w:right w:val="single" w:sz="8" w:color="808080"/>
            </w:tcBorders>
          </w:tcPr>
          <w:p>
            <w:pPr>
              <w:spacing w:after="0"/>
              <w:rPr>
                <w:sz w:val="20"/>
                <w:szCs w:val="20"/>
                <w:color w:val="auto"/>
              </w:rPr>
            </w:pPr>
          </w:p>
        </w:tc>
        <w:tc>
          <w:tcPr>
            <w:tcW w:w="780" w:type="dxa"/>
            <w:vAlign w:val="bottom"/>
          </w:tcPr>
          <w:p>
            <w:pPr>
              <w:spacing w:after="0"/>
              <w:rPr>
                <w:sz w:val="20"/>
                <w:szCs w:val="20"/>
                <w:color w:val="auto"/>
              </w:rPr>
            </w:pPr>
          </w:p>
        </w:tc>
        <w:tc>
          <w:tcPr>
            <w:tcW w:w="1460" w:type="dxa"/>
            <w:vAlign w:val="bottom"/>
            <w:tcBorders>
              <w:right w:val="single" w:sz="8" w:color="808080"/>
            </w:tcBorders>
          </w:tcPr>
          <w:p>
            <w:pPr>
              <w:jc w:val="right"/>
              <w:spacing w:after="0"/>
              <w:rPr>
                <w:sz w:val="20"/>
                <w:szCs w:val="20"/>
                <w:color w:val="auto"/>
              </w:rPr>
            </w:pPr>
            <w:r>
              <w:rPr>
                <w:rFonts w:ascii="Arial" w:cs="Arial" w:eastAsia="Arial" w:hAnsi="Arial"/>
                <w:sz w:val="14"/>
                <w:szCs w:val="14"/>
                <w:color w:val="auto"/>
              </w:rPr>
              <w:t>€6,476</w:t>
            </w:r>
          </w:p>
        </w:tc>
        <w:tc>
          <w:tcPr>
            <w:tcW w:w="1660" w:type="dxa"/>
            <w:vAlign w:val="bottom"/>
          </w:tcPr>
          <w:p>
            <w:pPr>
              <w:spacing w:after="0"/>
              <w:rPr>
                <w:sz w:val="20"/>
                <w:szCs w:val="20"/>
                <w:color w:val="auto"/>
              </w:rPr>
            </w:pP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Pr>
          <w:p>
            <w:pPr>
              <w:spacing w:after="0"/>
              <w:rPr>
                <w:sz w:val="4"/>
                <w:szCs w:val="4"/>
                <w:color w:val="auto"/>
              </w:rPr>
            </w:pPr>
          </w:p>
        </w:tc>
      </w:tr>
      <w:tr>
        <w:trPr>
          <w:trHeight w:val="88"/>
        </w:trPr>
        <w:tc>
          <w:tcPr>
            <w:tcW w:w="2280" w:type="dxa"/>
            <w:vAlign w:val="bottom"/>
            <w:tcBorders>
              <w:bottom w:val="single" w:sz="8" w:color="808080"/>
            </w:tcBorders>
          </w:tcPr>
          <w:p>
            <w:pPr>
              <w:spacing w:after="0"/>
              <w:rPr>
                <w:sz w:val="7"/>
                <w:szCs w:val="7"/>
                <w:color w:val="auto"/>
              </w:rPr>
            </w:pPr>
          </w:p>
        </w:tc>
        <w:tc>
          <w:tcPr>
            <w:tcW w:w="2240" w:type="dxa"/>
            <w:vAlign w:val="bottom"/>
            <w:tcBorders>
              <w:bottom w:val="single" w:sz="8" w:color="808080"/>
            </w:tcBorders>
          </w:tcPr>
          <w:p>
            <w:pPr>
              <w:spacing w:after="0"/>
              <w:rPr>
                <w:sz w:val="7"/>
                <w:szCs w:val="7"/>
                <w:color w:val="auto"/>
              </w:rPr>
            </w:pPr>
          </w:p>
        </w:tc>
        <w:tc>
          <w:tcPr>
            <w:tcW w:w="22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1660" w:type="dxa"/>
            <w:vAlign w:val="bottom"/>
            <w:tcBorders>
              <w:bottom w:val="single" w:sz="8" w:color="808080"/>
            </w:tcBorders>
          </w:tcPr>
          <w:p>
            <w:pPr>
              <w:spacing w:after="0"/>
              <w:rPr>
                <w:sz w:val="7"/>
                <w:szCs w:val="7"/>
                <w:color w:val="auto"/>
              </w:rPr>
            </w:pPr>
          </w:p>
        </w:tc>
      </w:tr>
      <w:tr>
        <w:trPr>
          <w:trHeight w:val="225"/>
        </w:trPr>
        <w:tc>
          <w:tcPr>
            <w:tcW w:w="2280" w:type="dxa"/>
            <w:vAlign w:val="bottom"/>
            <w:tcBorders>
              <w:left w:val="single" w:sz="8" w:color="808080"/>
              <w:right w:val="single" w:sz="8" w:color="808080"/>
            </w:tcBorders>
          </w:tcPr>
          <w:p>
            <w:pPr>
              <w:ind w:left="140"/>
              <w:spacing w:after="0"/>
              <w:rPr>
                <w:sz w:val="20"/>
                <w:szCs w:val="20"/>
                <w:color w:val="auto"/>
              </w:rPr>
            </w:pPr>
            <w:r>
              <w:rPr>
                <w:rFonts w:ascii="Arial" w:cs="Arial" w:eastAsia="Arial" w:hAnsi="Arial"/>
                <w:sz w:val="14"/>
                <w:szCs w:val="14"/>
                <w:b w:val="1"/>
                <w:bCs w:val="1"/>
                <w:color w:val="auto"/>
              </w:rPr>
              <w:t>Service Provision</w:t>
            </w:r>
          </w:p>
        </w:tc>
        <w:tc>
          <w:tcPr>
            <w:tcW w:w="2240" w:type="dxa"/>
            <w:vAlign w:val="bottom"/>
            <w:tcBorders>
              <w:right w:val="single" w:sz="8" w:color="808080"/>
            </w:tcBorders>
          </w:tcPr>
          <w:p>
            <w:pPr>
              <w:ind w:left="140"/>
              <w:spacing w:after="0"/>
              <w:rPr>
                <w:sz w:val="20"/>
                <w:szCs w:val="20"/>
                <w:color w:val="auto"/>
              </w:rPr>
            </w:pPr>
            <w:r>
              <w:rPr>
                <w:rFonts w:ascii="Arial" w:cs="Arial" w:eastAsia="Arial" w:hAnsi="Arial"/>
                <w:sz w:val="14"/>
                <w:szCs w:val="14"/>
                <w:color w:val="auto"/>
              </w:rPr>
              <w:t>Start Date</w:t>
            </w:r>
          </w:p>
        </w:tc>
        <w:tc>
          <w:tcPr>
            <w:tcW w:w="2240" w:type="dxa"/>
            <w:vAlign w:val="bottom"/>
            <w:tcBorders>
              <w:right w:val="single" w:sz="8" w:color="808080"/>
            </w:tcBorders>
          </w:tcPr>
          <w:p>
            <w:pPr>
              <w:jc w:val="right"/>
              <w:ind w:right="1308"/>
              <w:spacing w:after="0"/>
              <w:rPr>
                <w:sz w:val="20"/>
                <w:szCs w:val="20"/>
                <w:color w:val="auto"/>
              </w:rPr>
            </w:pPr>
            <w:r>
              <w:rPr>
                <w:rFonts w:ascii="Arial" w:cs="Arial" w:eastAsia="Arial" w:hAnsi="Arial"/>
                <w:sz w:val="14"/>
                <w:szCs w:val="14"/>
                <w:color w:val="auto"/>
              </w:rPr>
              <w:t>01/07/2021</w:t>
            </w:r>
          </w:p>
        </w:tc>
        <w:tc>
          <w:tcPr>
            <w:tcW w:w="780" w:type="dxa"/>
            <w:vAlign w:val="bottom"/>
          </w:tcPr>
          <w:p>
            <w:pPr>
              <w:ind w:left="120"/>
              <w:spacing w:after="0"/>
              <w:rPr>
                <w:sz w:val="20"/>
                <w:szCs w:val="20"/>
                <w:color w:val="auto"/>
              </w:rPr>
            </w:pPr>
            <w:r>
              <w:rPr>
                <w:rFonts w:ascii="Arial" w:cs="Arial" w:eastAsia="Arial" w:hAnsi="Arial"/>
                <w:sz w:val="14"/>
                <w:szCs w:val="14"/>
                <w:color w:val="auto"/>
              </w:rPr>
              <w:t>End Date*</w:t>
            </w:r>
          </w:p>
        </w:tc>
        <w:tc>
          <w:tcPr>
            <w:tcW w:w="1460" w:type="dxa"/>
            <w:vAlign w:val="bottom"/>
            <w:tcBorders>
              <w:right w:val="single" w:sz="8" w:color="808080"/>
            </w:tcBorders>
          </w:tcPr>
          <w:p>
            <w:pPr>
              <w:spacing w:after="0"/>
              <w:rPr>
                <w:sz w:val="19"/>
                <w:szCs w:val="19"/>
                <w:color w:val="auto"/>
              </w:rPr>
            </w:pPr>
          </w:p>
        </w:tc>
        <w:tc>
          <w:tcPr>
            <w:tcW w:w="1660" w:type="dxa"/>
            <w:vAlign w:val="bottom"/>
            <w:tcBorders>
              <w:right w:val="single" w:sz="8" w:color="808080"/>
            </w:tcBorders>
          </w:tcPr>
          <w:p>
            <w:pPr>
              <w:jc w:val="right"/>
              <w:ind w:right="728"/>
              <w:spacing w:after="0"/>
              <w:rPr>
                <w:sz w:val="20"/>
                <w:szCs w:val="20"/>
                <w:color w:val="auto"/>
              </w:rPr>
            </w:pPr>
            <w:r>
              <w:rPr>
                <w:rFonts w:ascii="Arial" w:cs="Arial" w:eastAsia="Arial" w:hAnsi="Arial"/>
                <w:sz w:val="14"/>
                <w:szCs w:val="14"/>
                <w:color w:val="auto"/>
              </w:rPr>
              <w:t>30/06/2022</w:t>
            </w:r>
          </w:p>
        </w:tc>
      </w:tr>
      <w:tr>
        <w:trPr>
          <w:trHeight w:val="53"/>
        </w:trPr>
        <w:tc>
          <w:tcPr>
            <w:tcW w:w="2280" w:type="dxa"/>
            <w:vAlign w:val="bottom"/>
            <w:tcBorders>
              <w:left w:val="single" w:sz="8" w:color="808080"/>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2240" w:type="dxa"/>
            <w:vAlign w:val="bottom"/>
            <w:tcBorders>
              <w:bottom w:val="single" w:sz="8" w:color="808080"/>
              <w:right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460" w:type="dxa"/>
            <w:vAlign w:val="bottom"/>
            <w:tcBorders>
              <w:bottom w:val="single" w:sz="8" w:color="808080"/>
              <w:right w:val="single" w:sz="8" w:color="808080"/>
            </w:tcBorders>
          </w:tcPr>
          <w:p>
            <w:pPr>
              <w:spacing w:after="0"/>
              <w:rPr>
                <w:sz w:val="4"/>
                <w:szCs w:val="4"/>
                <w:color w:val="auto"/>
              </w:rPr>
            </w:pPr>
          </w:p>
        </w:tc>
        <w:tc>
          <w:tcPr>
            <w:tcW w:w="1660" w:type="dxa"/>
            <w:vAlign w:val="bottom"/>
            <w:tcBorders>
              <w:bottom w:val="single" w:sz="8" w:color="808080"/>
              <w:right w:val="single" w:sz="8" w:color="808080"/>
            </w:tcBorders>
          </w:tcPr>
          <w:p>
            <w:pPr>
              <w:spacing w:after="0"/>
              <w:rPr>
                <w:sz w:val="4"/>
                <w:szCs w:val="4"/>
                <w:color w:val="auto"/>
              </w:rPr>
            </w:pPr>
          </w:p>
        </w:tc>
      </w:tr>
    </w:tbl>
    <w:p>
      <w:pPr>
        <w:spacing w:after="0" w:line="83" w:lineRule="exact"/>
        <w:rPr>
          <w:sz w:val="20"/>
          <w:szCs w:val="20"/>
          <w:color w:val="auto"/>
        </w:rPr>
      </w:pPr>
    </w:p>
    <w:p>
      <w:pPr>
        <w:ind w:left="320"/>
        <w:spacing w:after="0"/>
        <w:tabs>
          <w:tab w:leader="none" w:pos="480" w:val="left"/>
        </w:tabs>
        <w:rPr>
          <w:sz w:val="20"/>
          <w:szCs w:val="20"/>
          <w:color w:val="auto"/>
        </w:rPr>
      </w:pPr>
      <w:r>
        <w:rPr>
          <w:rFonts w:ascii="Arial" w:cs="Arial" w:eastAsia="Arial" w:hAnsi="Arial"/>
          <w:sz w:val="14"/>
          <w:szCs w:val="14"/>
          <w:b w:val="1"/>
          <w:bCs w:val="1"/>
          <w:i w:val="1"/>
          <w:iCs w:val="1"/>
          <w:color w:val="auto"/>
        </w:rPr>
        <w:t>*</w:t>
        <w:tab/>
        <w:t>All agreements end on the last calendar day of the month.</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6772275" cy="4457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6772275" cy="445770"/>
                    </a:xfrm>
                    <a:prstGeom prst="rect">
                      <a:avLst/>
                    </a:prstGeom>
                    <a:noFill/>
                  </pic:spPr>
                </pic:pic>
              </a:graphicData>
            </a:graphic>
          </wp:anchor>
        </w:drawing>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xml:space="preserve">An Activation fee </w:t>
      </w:r>
      <w:r>
        <w:rPr>
          <w:rFonts w:ascii="Arial" w:cs="Arial" w:eastAsia="Arial" w:hAnsi="Arial"/>
          <w:sz w:val="14"/>
          <w:szCs w:val="14"/>
          <w:u w:val="single" w:color="auto"/>
          <w:color w:val="auto"/>
        </w:rPr>
        <w:t>[______€0.00</w:t>
      </w:r>
      <w:r>
        <w:rPr>
          <w:rFonts w:ascii="Arial" w:cs="Arial" w:eastAsia="Arial" w:hAnsi="Arial"/>
          <w:sz w:val="14"/>
          <w:szCs w:val="14"/>
          <w:color w:val="auto"/>
        </w:rPr>
        <w:t>_____] per occupant will be payable, (a one time, per occupant fee for Office and Coworking (dedicated desk) customers that covers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all aspects of customer onboarding, administration and set-up.)</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Client taking BACK TO WORK Promotion offer of the first two months (July 2021 &amp; August 2021) as free months</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We are </w:t>
      </w:r>
      <w:r>
        <w:rPr>
          <w:rFonts w:ascii="Arial" w:cs="Arial" w:eastAsia="Arial" w:hAnsi="Arial"/>
          <w:sz w:val="14"/>
          <w:szCs w:val="14"/>
          <w:u w:val="single" w:color="auto"/>
          <w:color w:val="auto"/>
        </w:rPr>
        <w:t>Frankfurt The Squaire BC GmbH.</w:t>
      </w:r>
    </w:p>
    <w:p>
      <w:pPr>
        <w:spacing w:after="0" w:line="1" w:lineRule="exact"/>
        <w:rPr>
          <w:sz w:val="20"/>
          <w:szCs w:val="20"/>
          <w:color w:val="auto"/>
        </w:rPr>
      </w:pPr>
    </w:p>
    <w:p>
      <w:pPr>
        <w:ind w:left="320" w:right="80"/>
        <w:spacing w:after="0" w:line="247" w:lineRule="auto"/>
        <w:rPr>
          <w:sz w:val="20"/>
          <w:szCs w:val="20"/>
          <w:color w:val="auto"/>
        </w:rPr>
      </w:pPr>
      <w:r>
        <w:rPr>
          <w:rFonts w:ascii="Arial" w:cs="Arial" w:eastAsia="Arial" w:hAnsi="Arial"/>
          <w:sz w:val="14"/>
          <w:szCs w:val="14"/>
          <w:color w:val="auto"/>
        </w:rPr>
        <w:t xml:space="preserve">This Agreement incorporates our terms of business set out on attached Terms and Conditions, attached House Rules and Service Price Guide (where available) which you confirm you have read and understood. We both agree to comply with those terms and our obligations as set out in them. This agreement is binding from the agreement date and may not be terminated once it is made, except in accordance with its terms. </w:t>
      </w:r>
      <w:r>
        <w:rPr>
          <w:rFonts w:ascii="Arial" w:cs="Arial" w:eastAsia="Arial" w:hAnsi="Arial"/>
          <w:sz w:val="14"/>
          <w:szCs w:val="14"/>
          <w:i w:val="1"/>
          <w:iCs w:val="1"/>
          <w:color w:val="auto"/>
        </w:rPr>
        <w:t>Note that the Agreement does not come to an end automatically. See “Automatic</w:t>
      </w:r>
      <w:r>
        <w:rPr>
          <w:rFonts w:ascii="Arial" w:cs="Arial" w:eastAsia="Arial" w:hAnsi="Arial"/>
          <w:sz w:val="14"/>
          <w:szCs w:val="14"/>
          <w:color w:val="auto"/>
        </w:rPr>
        <w:t xml:space="preserve"> </w:t>
      </w:r>
      <w:r>
        <w:rPr>
          <w:rFonts w:ascii="Arial" w:cs="Arial" w:eastAsia="Arial" w:hAnsi="Arial"/>
          <w:sz w:val="14"/>
          <w:szCs w:val="14"/>
          <w:i w:val="1"/>
          <w:iCs w:val="1"/>
          <w:color w:val="auto"/>
        </w:rPr>
        <w:t>Renewal” section in the terms and conditions for the notice terms if you wish to end your agreement.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tcPr>
          <w:p>
            <w:pPr>
              <w:ind w:left="320"/>
              <w:spacing w:after="0"/>
              <w:rPr>
                <w:sz w:val="20"/>
                <w:szCs w:val="20"/>
                <w:color w:val="auto"/>
              </w:rPr>
            </w:pPr>
            <w:r>
              <w:rPr>
                <w:rFonts w:ascii="Arial" w:cs="Arial" w:eastAsia="Arial" w:hAnsi="Arial"/>
                <w:sz w:val="14"/>
                <w:szCs w:val="14"/>
                <w:color w:val="auto"/>
              </w:rPr>
              <w:t>Name (Printed):</w:t>
            </w: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Tom Maher</w:t>
            </w:r>
          </w:p>
        </w:tc>
        <w:tc>
          <w:tcPr>
            <w:tcW w:w="5560" w:type="dxa"/>
            <w:vAlign w:val="bottom"/>
          </w:tcPr>
          <w:p>
            <w:pPr>
              <w:spacing w:after="0"/>
              <w:rPr>
                <w:sz w:val="14"/>
                <w:szCs w:val="14"/>
                <w:color w:val="auto"/>
              </w:rPr>
            </w:pPr>
          </w:p>
        </w:tc>
      </w:tr>
      <w:tr>
        <w:trPr>
          <w:trHeight w:val="304"/>
        </w:trPr>
        <w:tc>
          <w:tcPr>
            <w:tcW w:w="2160" w:type="dxa"/>
            <w:vAlign w:val="bottom"/>
          </w:tcPr>
          <w:p>
            <w:pPr>
              <w:ind w:left="320"/>
              <w:spacing w:after="0"/>
              <w:rPr>
                <w:sz w:val="20"/>
                <w:szCs w:val="20"/>
                <w:color w:val="auto"/>
              </w:rPr>
            </w:pPr>
            <w:r>
              <w:rPr>
                <w:rFonts w:ascii="Arial" w:cs="Arial" w:eastAsia="Arial" w:hAnsi="Arial"/>
                <w:sz w:val="14"/>
                <w:szCs w:val="14"/>
                <w:color w:val="auto"/>
              </w:rPr>
              <w:t>Title (Printed):</w:t>
            </w: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Managing Director</w:t>
            </w:r>
          </w:p>
        </w:tc>
        <w:tc>
          <w:tcPr>
            <w:tcW w:w="5560" w:type="dxa"/>
            <w:vAlign w:val="bottom"/>
          </w:tcPr>
          <w:p>
            <w:pPr>
              <w:spacing w:after="0"/>
              <w:rPr>
                <w:sz w:val="24"/>
                <w:szCs w:val="24"/>
                <w:color w:val="auto"/>
              </w:rPr>
            </w:pPr>
          </w:p>
        </w:tc>
      </w:tr>
      <w:tr>
        <w:trPr>
          <w:trHeight w:val="304"/>
        </w:trPr>
        <w:tc>
          <w:tcPr>
            <w:tcW w:w="2160" w:type="dxa"/>
            <w:vAlign w:val="bottom"/>
          </w:tcPr>
          <w:p>
            <w:pPr>
              <w:ind w:left="320"/>
              <w:spacing w:after="0"/>
              <w:rPr>
                <w:sz w:val="20"/>
                <w:szCs w:val="20"/>
                <w:color w:val="auto"/>
              </w:rPr>
            </w:pPr>
            <w:r>
              <w:rPr>
                <w:rFonts w:ascii="Arial" w:cs="Arial" w:eastAsia="Arial" w:hAnsi="Arial"/>
                <w:sz w:val="14"/>
                <w:szCs w:val="14"/>
                <w:color w:val="auto"/>
              </w:rPr>
              <w:t>Date:</w:t>
            </w:r>
          </w:p>
        </w:tc>
        <w:tc>
          <w:tcPr>
            <w:tcW w:w="3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31/3/2021</w:t>
            </w:r>
          </w:p>
        </w:tc>
        <w:tc>
          <w:tcPr>
            <w:tcW w:w="5560" w:type="dxa"/>
            <w:vAlign w:val="bottom"/>
          </w:tcPr>
          <w:p>
            <w:pPr>
              <w:spacing w:after="0"/>
              <w:rPr>
                <w:sz w:val="24"/>
                <w:szCs w:val="24"/>
                <w:color w:val="auto"/>
              </w:rPr>
            </w:pPr>
          </w:p>
        </w:tc>
      </w:tr>
      <w:tr>
        <w:trPr>
          <w:trHeight w:val="319"/>
        </w:trPr>
        <w:tc>
          <w:tcPr>
            <w:tcW w:w="2160" w:type="dxa"/>
            <w:vAlign w:val="bottom"/>
          </w:tcPr>
          <w:p>
            <w:pPr>
              <w:ind w:left="320"/>
              <w:spacing w:after="0"/>
              <w:rPr>
                <w:sz w:val="20"/>
                <w:szCs w:val="20"/>
                <w:color w:val="auto"/>
              </w:rPr>
            </w:pPr>
            <w:r>
              <w:rPr>
                <w:rFonts w:ascii="Arial" w:cs="Arial" w:eastAsia="Arial" w:hAnsi="Arial"/>
                <w:sz w:val="14"/>
                <w:szCs w:val="14"/>
                <w:b w:val="1"/>
                <w:bCs w:val="1"/>
                <w:color w:val="auto"/>
              </w:rPr>
              <w:t>SIGNED on your behalf</w:t>
            </w:r>
          </w:p>
        </w:tc>
        <w:tc>
          <w:tcPr>
            <w:tcW w:w="3540" w:type="dxa"/>
            <w:vAlign w:val="bottom"/>
          </w:tcPr>
          <w:p>
            <w:pPr>
              <w:spacing w:after="0"/>
              <w:rPr>
                <w:sz w:val="24"/>
                <w:szCs w:val="24"/>
                <w:color w:val="auto"/>
              </w:rPr>
            </w:pPr>
          </w:p>
        </w:tc>
        <w:tc>
          <w:tcPr>
            <w:tcW w:w="5560" w:type="dxa"/>
            <w:vAlign w:val="bottom"/>
          </w:tcPr>
          <w:p>
            <w:pPr>
              <w:spacing w:after="0"/>
              <w:rPr>
                <w:sz w:val="24"/>
                <w:szCs w:val="24"/>
                <w:color w:val="auto"/>
              </w:rPr>
            </w:pPr>
          </w:p>
        </w:tc>
      </w:tr>
      <w:tr>
        <w:trPr>
          <w:trHeight w:val="694"/>
        </w:trPr>
        <w:tc>
          <w:tcPr>
            <w:tcW w:w="21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type w:val="continuous"/>
        </w:sectPr>
      </w:pPr>
    </w:p>
    <w:bookmarkStart w:id="88" w:name="page89"/>
    <w:bookmarkEnd w:id="88"/>
    <w:p>
      <w:pPr>
        <w:ind w:left="1840"/>
        <w:spacing w:after="0"/>
        <w:rPr>
          <w:sz w:val="20"/>
          <w:szCs w:val="20"/>
          <w:color w:val="auto"/>
        </w:rPr>
      </w:pPr>
      <w:r>
        <w:rPr>
          <w:rFonts w:ascii="Arial" w:cs="Arial" w:eastAsia="Arial" w:hAnsi="Arial"/>
          <w:sz w:val="14"/>
          <w:szCs w:val="14"/>
          <w:color w:val="auto"/>
        </w:rPr>
        <w:t>/s/ Tom Maher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34118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43"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Regus supplies services to you that are subject to VAT at the standard rate in force at the time of delivery of the services to you. By ticking the following “Yes”-box, you confirm that you are entitled to recover 95% or more of the VAT charged on the services.</w:t>
      </w:r>
    </w:p>
    <w:p>
      <w:pPr>
        <w:spacing w:after="0" w:line="122" w:lineRule="exact"/>
        <w:rPr>
          <w:sz w:val="20"/>
          <w:szCs w:val="20"/>
          <w:color w:val="auto"/>
        </w:rPr>
      </w:pPr>
    </w:p>
    <w:p>
      <w:pPr>
        <w:ind w:left="20"/>
        <w:spacing w:after="0"/>
        <w:rPr>
          <w:sz w:val="20"/>
          <w:szCs w:val="20"/>
          <w:color w:val="auto"/>
        </w:rPr>
      </w:pPr>
      <w:r>
        <w:rPr>
          <w:sz w:val="1"/>
          <w:szCs w:val="1"/>
          <w:color w:val="auto"/>
        </w:rPr>
        <w:drawing>
          <wp:inline distT="0" distB="0" distL="0" distR="0">
            <wp:extent cx="145415" cy="1543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45415" cy="154305"/>
                    </a:xfrm>
                    <a:prstGeom prst="rect">
                      <a:avLst/>
                    </a:prstGeom>
                    <a:noFill/>
                    <a:ln>
                      <a:noFill/>
                    </a:ln>
                  </pic:spPr>
                </pic:pic>
              </a:graphicData>
            </a:graphic>
          </wp:inline>
        </w:drawing>
      </w:r>
      <w:r>
        <w:rPr>
          <w:rFonts w:ascii="Arial" w:cs="Arial" w:eastAsia="Arial" w:hAnsi="Arial"/>
          <w:sz w:val="14"/>
          <w:szCs w:val="14"/>
          <w:color w:val="auto"/>
        </w:rPr>
        <w:t xml:space="preserve"> Yes   </w:t>
      </w:r>
      <w:r>
        <w:rPr>
          <w:sz w:val="1"/>
          <w:szCs w:val="1"/>
          <w:color w:val="auto"/>
        </w:rPr>
        <w:drawing>
          <wp:inline distT="0" distB="0" distL="0" distR="0">
            <wp:extent cx="257175" cy="18859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57175" cy="188595"/>
                    </a:xfrm>
                    <a:prstGeom prst="rect">
                      <a:avLst/>
                    </a:prstGeom>
                    <a:noFill/>
                    <a:ln>
                      <a:noFill/>
                    </a:ln>
                  </pic:spPr>
                </pic:pic>
              </a:graphicData>
            </a:graphic>
          </wp:inline>
        </w:drawing>
      </w:r>
      <w:r>
        <w:rPr>
          <w:rFonts w:ascii="Arial" w:cs="Arial" w:eastAsia="Arial" w:hAnsi="Arial"/>
          <w:sz w:val="14"/>
          <w:szCs w:val="14"/>
          <w:color w:val="auto"/>
        </w:rPr>
        <w:t xml:space="preserve">  No</w:t>
      </w:r>
    </w:p>
    <w:p>
      <w:pPr>
        <w:spacing w:after="0" w:line="151" w:lineRule="exact"/>
        <w:rPr>
          <w:sz w:val="20"/>
          <w:szCs w:val="20"/>
          <w:color w:val="auto"/>
        </w:rPr>
      </w:pPr>
    </w:p>
    <w:p>
      <w:pPr>
        <w:jc w:val="right"/>
        <w:spacing w:after="0"/>
        <w:tabs>
          <w:tab w:leader="none" w:pos="620" w:val="left"/>
        </w:tabs>
        <w:rPr>
          <w:sz w:val="20"/>
          <w:szCs w:val="20"/>
          <w:color w:val="auto"/>
        </w:rPr>
      </w:pPr>
      <w:r>
        <w:rPr>
          <w:rFonts w:ascii="Arial" w:cs="Arial" w:eastAsia="Arial" w:hAnsi="Arial"/>
          <w:sz w:val="14"/>
          <w:szCs w:val="14"/>
          <w:u w:val="single" w:color="auto"/>
          <w:color w:val="auto"/>
        </w:rPr>
        <w:t>/s/ Tom Maher</w:t>
        <w:tab/>
        <w:t>31/3/2021</w:t>
      </w:r>
    </w:p>
    <w:p>
      <w:pPr>
        <w:jc w:val="right"/>
        <w:spacing w:after="0" w:line="225" w:lineRule="auto"/>
        <w:rPr>
          <w:sz w:val="20"/>
          <w:szCs w:val="20"/>
          <w:color w:val="auto"/>
        </w:rPr>
      </w:pPr>
      <w:r>
        <w:rPr>
          <w:rFonts w:ascii="Arial" w:cs="Arial" w:eastAsia="Arial" w:hAnsi="Arial"/>
          <w:sz w:val="14"/>
          <w:szCs w:val="14"/>
          <w:color w:val="auto"/>
        </w:rPr>
        <w:t>Date, Signature</w:t>
      </w:r>
    </w:p>
    <w:p>
      <w:pPr>
        <w:spacing w:after="0"/>
        <w:rPr>
          <w:sz w:val="20"/>
          <w:szCs w:val="20"/>
          <w:color w:val="auto"/>
        </w:rPr>
      </w:pPr>
      <w:r>
        <w:rPr>
          <w:rFonts w:ascii="Arial" w:cs="Arial" w:eastAsia="Arial" w:hAnsi="Arial"/>
          <w:sz w:val="14"/>
          <w:szCs w:val="14"/>
          <w:color w:val="auto"/>
        </w:rPr>
        <w:t>If you have ticked the “No”-box, please refer to the Section below:</w:t>
      </w:r>
    </w:p>
    <w:p>
      <w:pPr>
        <w:ind w:right="200"/>
        <w:spacing w:after="0" w:line="244" w:lineRule="auto"/>
        <w:rPr>
          <w:sz w:val="20"/>
          <w:szCs w:val="20"/>
          <w:color w:val="auto"/>
        </w:rPr>
      </w:pPr>
      <w:r>
        <w:rPr>
          <w:rFonts w:ascii="Arial" w:cs="Arial" w:eastAsia="Arial" w:hAnsi="Arial"/>
          <w:sz w:val="14"/>
          <w:szCs w:val="14"/>
          <w:color w:val="auto"/>
        </w:rPr>
        <w:t>If the services supplied by Regus to the customer are at any time according to law found to be exempt from VAT then Regus will credit the VAT charged to the customer. However, the Charges for the services to the customer will be retroactively Increased for the previous term of the Agreement by an amount equal to the VAT amount that has to be credited to the customer. The credits and the increases in the charges will in each case be offset. From the point at which the services supplied by Regus are found to be exempt, the charges for the services will be increased by the standard VAT rate percentage in force at the time of delivery of the services to the customer. However, the parties are aware of the fact that such an increase will not represent a VAT charge but will be an increase in the service charges. Please sign here to acknowledge that you have read and understood this and that you agree with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6908800</wp:posOffset>
            </wp:positionH>
            <wp:positionV relativeFrom="paragraph">
              <wp:posOffset>179070</wp:posOffset>
            </wp:positionV>
            <wp:extent cx="254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Date,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430530</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20"/>
          </w:cols>
          <w:pgMar w:left="640" w:top="374" w:right="339" w:bottom="1440" w:gutter="0" w:footer="0" w:header="0"/>
        </w:sectPr>
      </w:pPr>
    </w:p>
    <w:bookmarkStart w:id="89" w:name="page90"/>
    <w:bookmarkEnd w:id="89"/>
    <w:p>
      <w:pPr>
        <w:ind w:right="560"/>
        <w:spacing w:after="0" w:line="247" w:lineRule="auto"/>
        <w:rPr>
          <w:sz w:val="20"/>
          <w:szCs w:val="20"/>
          <w:color w:val="auto"/>
        </w:rPr>
      </w:pPr>
      <w:r>
        <w:rPr>
          <w:rFonts w:ascii="Arial" w:cs="Arial" w:eastAsia="Arial" w:hAnsi="Arial"/>
          <w:sz w:val="18"/>
          <w:szCs w:val="18"/>
          <w:b w:val="1"/>
          <w:bCs w:val="1"/>
          <w:color w:val="auto"/>
        </w:rPr>
        <w:t>These General Terms and Conditions apply to Office/Co-Working, Virtual Office and Membership agreements for services We supply to You.</w:t>
      </w:r>
    </w:p>
    <w:p>
      <w:pPr>
        <w:spacing w:after="0" w:line="235" w:lineRule="auto"/>
        <w:rPr>
          <w:sz w:val="20"/>
          <w:szCs w:val="20"/>
          <w:color w:val="auto"/>
        </w:rPr>
      </w:pPr>
      <w:r>
        <w:rPr>
          <w:rFonts w:ascii="Arial" w:cs="Arial" w:eastAsia="Arial" w:hAnsi="Arial"/>
          <w:sz w:val="18"/>
          <w:szCs w:val="18"/>
          <w:color w:val="auto"/>
        </w:rPr>
        <w:t>1 . General Agreement</w:t>
      </w:r>
    </w:p>
    <w:p>
      <w:pPr>
        <w:spacing w:after="0" w:line="1" w:lineRule="exact"/>
        <w:rPr>
          <w:sz w:val="20"/>
          <w:szCs w:val="20"/>
          <w:color w:val="auto"/>
        </w:rPr>
      </w:pPr>
    </w:p>
    <w:p>
      <w:pPr>
        <w:ind w:left="1240" w:right="40" w:hanging="431"/>
        <w:spacing w:after="0" w:line="248" w:lineRule="auto"/>
        <w:rPr>
          <w:sz w:val="20"/>
          <w:szCs w:val="20"/>
          <w:color w:val="auto"/>
        </w:rPr>
      </w:pPr>
      <w:r>
        <w:rPr>
          <w:rFonts w:ascii="Arial" w:cs="Arial" w:eastAsia="Arial" w:hAnsi="Arial"/>
          <w:sz w:val="17"/>
          <w:szCs w:val="17"/>
          <w:color w:val="auto"/>
        </w:rPr>
        <w:t>1.1. Nature of an agreement: At all times. each Center remains in Our possession and control. YOU ACCEPT THAT AN AGREEMENT CREATES NO TENANCY INTEREST. LEASEHOLD ESTATE OR OTHER REAL PROPERTY INTEREST IN YOUR FAVOR WITH RESPECT TO THE ACCOMMODATION. Occupation by You is the commercial equivalent of an agreement for accommodation in a hotel. We are giving You the right to share the use of the Center with Us and other clients.</w:t>
      </w:r>
    </w:p>
    <w:p>
      <w:pPr>
        <w:spacing w:after="0" w:line="2" w:lineRule="exact"/>
        <w:rPr>
          <w:sz w:val="20"/>
          <w:szCs w:val="20"/>
          <w:color w:val="auto"/>
        </w:rPr>
      </w:pPr>
    </w:p>
    <w:p>
      <w:pPr>
        <w:ind w:left="1240" w:right="160" w:hanging="431"/>
        <w:spacing w:after="0" w:line="234" w:lineRule="auto"/>
        <w:rPr>
          <w:sz w:val="20"/>
          <w:szCs w:val="20"/>
          <w:color w:val="auto"/>
        </w:rPr>
      </w:pPr>
      <w:r>
        <w:rPr>
          <w:rFonts w:ascii="Arial" w:cs="Arial" w:eastAsia="Arial" w:hAnsi="Arial"/>
          <w:sz w:val="18"/>
          <w:szCs w:val="18"/>
          <w:color w:val="auto"/>
        </w:rPr>
        <w:t>1.2. House Rules: The House Rules. which ore incorporated into these terms and conditions, are primarily in place and enforced to ensure that all clients have a professional environment to work in.</w:t>
      </w:r>
    </w:p>
    <w:p>
      <w:pPr>
        <w:spacing w:after="0" w:line="1" w:lineRule="exact"/>
        <w:rPr>
          <w:sz w:val="20"/>
          <w:szCs w:val="20"/>
          <w:color w:val="auto"/>
        </w:rPr>
      </w:pPr>
    </w:p>
    <w:p>
      <w:pPr>
        <w:ind w:left="1240" w:hanging="431"/>
        <w:spacing w:after="0" w:line="234" w:lineRule="auto"/>
        <w:rPr>
          <w:sz w:val="20"/>
          <w:szCs w:val="20"/>
          <w:color w:val="auto"/>
        </w:rPr>
      </w:pPr>
      <w:r>
        <w:rPr>
          <w:rFonts w:ascii="Arial" w:cs="Arial" w:eastAsia="Arial" w:hAnsi="Arial"/>
          <w:sz w:val="18"/>
          <w:szCs w:val="18"/>
          <w:color w:val="auto"/>
        </w:rPr>
        <w:t>1.3. Availability at the start of an agreement: If for any unfortunate reason We cannot provide the services or accommodation in the Center stated in an agreement by the start date, We will have no liability to You for any loss or damage but You may either move to one of Our other Centers {subject to availability). delay the start of the agreement or cancel it.</w:t>
      </w:r>
    </w:p>
    <w:p>
      <w:pPr>
        <w:spacing w:after="0" w:line="2" w:lineRule="exact"/>
        <w:rPr>
          <w:sz w:val="20"/>
          <w:szCs w:val="20"/>
          <w:color w:val="auto"/>
        </w:rPr>
      </w:pPr>
    </w:p>
    <w:p>
      <w:pPr>
        <w:ind w:left="1240" w:right="20" w:hanging="431"/>
        <w:spacing w:after="0" w:line="231"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AUTOMATIC RENEWAL</w:t>
      </w:r>
      <w:r>
        <w:rPr>
          <w:rFonts w:ascii="Arial" w:cs="Arial" w:eastAsia="Arial" w:hAnsi="Arial"/>
          <w:sz w:val="18"/>
          <w:szCs w:val="18"/>
          <w:color w:val="auto"/>
        </w:rPr>
        <w:t xml:space="preserve">: SO THAT WE CAN MANAGE YOUR SERVICES EFFECTIVELY AND TO ENSURE SEAMLESS CONTINUITY OF THOSE SERVICES, ALL AGREEMENTS WILL RENEW AUTOMATICALLY FOR SUCCESSIVE PERIODS EQUAL TO THE CURRENT TERM UNTIL BROUGHT TO AN END BY YOU OR US. ALL PERIODS SHALL RUN TO THE LAST DAY OF THE MONTH IN WHICH THEY WOULD OTHERWISE EXPIRE THE FEES ON ANY RENEWAL WILL BE AT THE THEN PREVAILING MARKET RATE (PRICES ARE SET ANNUALLY SO DEPENDING ON WHEN YOUR AGREEMENT IS DUE TO RENEW, THERE MAY BE A CHANGE IN PRICE). </w:t>
      </w:r>
      <w:r>
        <w:rPr>
          <w:rFonts w:ascii="Arial" w:cs="Arial" w:eastAsia="Arial" w:hAnsi="Arial"/>
          <w:sz w:val="18"/>
          <w:szCs w:val="18"/>
          <w:u w:val="single" w:color="auto"/>
          <w:color w:val="auto"/>
        </w:rPr>
        <w:t>IF YOU DO NOT WISH FOR AN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 xml:space="preserve">TO RENEW THEN YOU CAN CANCEL IT EASILY WITH EFFECT FROM THE END DATE STATED IN THE AGREEMENT. OR AT THE END OF ANY EXTENSION OR RENEWAL PERIOD. BY GIVING US PRIOR NOTICE. NOTICE MUST BE GIVEN THROUGH YOUR ONLINE ACCOUNT OR THROUGH THE APP. THE NOTICE PERIODS REQUIRED ARE AS </w:t>
      </w:r>
      <w:r>
        <w:rPr>
          <w:rFonts w:ascii="Arial" w:cs="Arial" w:eastAsia="Arial" w:hAnsi="Arial"/>
          <w:sz w:val="18"/>
          <w:szCs w:val="18"/>
          <w:color w:val="auto"/>
        </w:rPr>
        <w:t>FOLLOWS:</w:t>
      </w:r>
    </w:p>
    <w:p>
      <w:pPr>
        <w:spacing w:after="0" w:line="7" w:lineRule="exact"/>
        <w:rPr>
          <w:sz w:val="20"/>
          <w:szCs w:val="20"/>
          <w:color w:val="auto"/>
        </w:rPr>
      </w:pPr>
    </w:p>
    <w:tbl>
      <w:tblPr>
        <w:tblLayout w:type="fixed"/>
        <w:tblInd w:w="1240" w:type="dxa"/>
        <w:tblCellMar>
          <w:top w:w="0" w:type="dxa"/>
          <w:left w:w="0" w:type="dxa"/>
          <w:bottom w:w="0" w:type="dxa"/>
          <w:right w:w="0" w:type="dxa"/>
        </w:tblCellMar>
      </w:tblPr>
      <w:tr>
        <w:trPr>
          <w:trHeight w:val="183"/>
        </w:trPr>
        <w:tc>
          <w:tcPr>
            <w:tcW w:w="92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Term</w:t>
            </w: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40"/>
              <w:spacing w:after="0" w:line="182" w:lineRule="exact"/>
              <w:rPr>
                <w:sz w:val="20"/>
                <w:szCs w:val="20"/>
                <w:color w:val="auto"/>
              </w:rPr>
            </w:pPr>
            <w:r>
              <w:rPr>
                <w:rFonts w:ascii="Arial" w:cs="Arial" w:eastAsia="Arial" w:hAnsi="Arial"/>
                <w:sz w:val="18"/>
                <w:szCs w:val="18"/>
                <w:color w:val="auto"/>
                <w:w w:val="98"/>
              </w:rPr>
              <w:t>Notice Period</w:t>
            </w:r>
          </w:p>
        </w:tc>
        <w:tc>
          <w:tcPr>
            <w:tcW w:w="4700" w:type="dxa"/>
            <w:vAlign w:val="bottom"/>
          </w:tcPr>
          <w:p>
            <w:pPr>
              <w:spacing w:after="0"/>
              <w:rPr>
                <w:sz w:val="15"/>
                <w:szCs w:val="15"/>
                <w:color w:val="auto"/>
              </w:rPr>
            </w:pPr>
          </w:p>
        </w:tc>
      </w:tr>
      <w:tr>
        <w:trPr>
          <w:trHeight w:val="209"/>
        </w:trPr>
        <w:tc>
          <w:tcPr>
            <w:tcW w:w="1720" w:type="dxa"/>
            <w:vAlign w:val="bottom"/>
            <w:gridSpan w:val="2"/>
          </w:tcPr>
          <w:p>
            <w:pPr>
              <w:spacing w:after="0"/>
              <w:rPr>
                <w:sz w:val="20"/>
                <w:szCs w:val="20"/>
                <w:color w:val="auto"/>
              </w:rPr>
            </w:pPr>
            <w:r>
              <w:rPr>
                <w:rFonts w:ascii="Arial" w:cs="Arial" w:eastAsia="Arial" w:hAnsi="Arial"/>
                <w:sz w:val="18"/>
                <w:szCs w:val="18"/>
                <w:color w:val="auto"/>
              </w:rPr>
              <w:t>Month-to-Month</w:t>
            </w:r>
          </w:p>
        </w:tc>
        <w:tc>
          <w:tcPr>
            <w:tcW w:w="5920" w:type="dxa"/>
            <w:vAlign w:val="bottom"/>
            <w:gridSpan w:val="2"/>
          </w:tcPr>
          <w:p>
            <w:pPr>
              <w:ind w:left="460"/>
              <w:spacing w:after="0"/>
              <w:rPr>
                <w:sz w:val="20"/>
                <w:szCs w:val="20"/>
                <w:color w:val="auto"/>
              </w:rPr>
            </w:pPr>
            <w:r>
              <w:rPr>
                <w:rFonts w:ascii="Arial" w:cs="Arial" w:eastAsia="Arial" w:hAnsi="Arial"/>
                <w:sz w:val="18"/>
                <w:szCs w:val="18"/>
                <w:color w:val="auto"/>
                <w:w w:val="99"/>
              </w:rPr>
              <w:t>no less than 1 month’s notice from the 1</w:t>
            </w:r>
            <w:r>
              <w:rPr>
                <w:rFonts w:ascii="Arial" w:cs="Arial" w:eastAsia="Arial" w:hAnsi="Arial"/>
                <w:sz w:val="15"/>
                <w:szCs w:val="15"/>
                <w:color w:val="auto"/>
                <w:w w:val="99"/>
              </w:rPr>
              <w:t>st</w:t>
            </w:r>
            <w:r>
              <w:rPr>
                <w:rFonts w:ascii="Arial" w:cs="Arial" w:eastAsia="Arial" w:hAnsi="Arial"/>
                <w:sz w:val="18"/>
                <w:szCs w:val="18"/>
                <w:color w:val="auto"/>
                <w:w w:val="99"/>
              </w:rPr>
              <w:t xml:space="preserve"> day of any calendar month</w:t>
            </w:r>
          </w:p>
        </w:tc>
      </w:tr>
      <w:tr>
        <w:trPr>
          <w:trHeight w:val="203"/>
        </w:trPr>
        <w:tc>
          <w:tcPr>
            <w:tcW w:w="1720" w:type="dxa"/>
            <w:vAlign w:val="bottom"/>
            <w:gridSpan w:val="2"/>
          </w:tcPr>
          <w:p>
            <w:pPr>
              <w:spacing w:after="0" w:line="202" w:lineRule="exact"/>
              <w:rPr>
                <w:sz w:val="20"/>
                <w:szCs w:val="20"/>
                <w:color w:val="auto"/>
              </w:rPr>
            </w:pPr>
            <w:r>
              <w:rPr>
                <w:rFonts w:ascii="Arial" w:cs="Arial" w:eastAsia="Arial" w:hAnsi="Arial"/>
                <w:sz w:val="18"/>
                <w:szCs w:val="18"/>
                <w:color w:val="auto"/>
              </w:rPr>
              <w:t>3 months</w:t>
            </w:r>
          </w:p>
        </w:tc>
        <w:tc>
          <w:tcPr>
            <w:tcW w:w="592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no less than 2 months’ notice prior to the end of the term</w:t>
            </w:r>
          </w:p>
        </w:tc>
      </w:tr>
      <w:tr>
        <w:trPr>
          <w:trHeight w:val="217"/>
        </w:trPr>
        <w:tc>
          <w:tcPr>
            <w:tcW w:w="1720" w:type="dxa"/>
            <w:vAlign w:val="bottom"/>
            <w:gridSpan w:val="2"/>
          </w:tcPr>
          <w:p>
            <w:pPr>
              <w:spacing w:after="0"/>
              <w:rPr>
                <w:sz w:val="20"/>
                <w:szCs w:val="20"/>
                <w:color w:val="auto"/>
              </w:rPr>
            </w:pPr>
            <w:r>
              <w:rPr>
                <w:rFonts w:ascii="Arial" w:cs="Arial" w:eastAsia="Arial" w:hAnsi="Arial"/>
                <w:sz w:val="18"/>
                <w:szCs w:val="18"/>
                <w:color w:val="auto"/>
              </w:rPr>
              <w:t>More than 3 months</w:t>
            </w:r>
          </w:p>
        </w:tc>
        <w:tc>
          <w:tcPr>
            <w:tcW w:w="5920" w:type="dxa"/>
            <w:vAlign w:val="bottom"/>
            <w:gridSpan w:val="2"/>
          </w:tcPr>
          <w:p>
            <w:pPr>
              <w:ind w:left="140"/>
              <w:spacing w:after="0"/>
              <w:rPr>
                <w:sz w:val="20"/>
                <w:szCs w:val="20"/>
                <w:color w:val="auto"/>
              </w:rPr>
            </w:pPr>
            <w:r>
              <w:rPr>
                <w:rFonts w:ascii="Arial" w:cs="Arial" w:eastAsia="Arial" w:hAnsi="Arial"/>
                <w:sz w:val="18"/>
                <w:szCs w:val="18"/>
                <w:color w:val="auto"/>
              </w:rPr>
              <w:t>no less than 3 months’ notice prior to the end of the term</w:t>
            </w:r>
          </w:p>
        </w:tc>
      </w:tr>
    </w:tbl>
    <w:p>
      <w:pPr>
        <w:spacing w:after="0" w:line="202" w:lineRule="exact"/>
        <w:rPr>
          <w:sz w:val="20"/>
          <w:szCs w:val="20"/>
          <w:color w:val="auto"/>
        </w:rPr>
      </w:pPr>
    </w:p>
    <w:p>
      <w:pPr>
        <w:ind w:left="1240" w:right="720" w:hanging="431"/>
        <w:spacing w:after="0" w:line="234" w:lineRule="auto"/>
        <w:rPr>
          <w:sz w:val="20"/>
          <w:szCs w:val="20"/>
          <w:color w:val="auto"/>
        </w:rPr>
      </w:pPr>
      <w:r>
        <w:rPr>
          <w:rFonts w:ascii="Arial" w:cs="Arial" w:eastAsia="Arial" w:hAnsi="Arial"/>
          <w:sz w:val="18"/>
          <w:szCs w:val="18"/>
          <w:color w:val="auto"/>
        </w:rPr>
        <w:t>1.5. We may elect not to renew on agreement. If so, We will inform You by email, through the App or Your online account, according to the some notice periods specified above.</w:t>
      </w:r>
    </w:p>
    <w:p>
      <w:pPr>
        <w:spacing w:after="0" w:line="1" w:lineRule="exact"/>
        <w:rPr>
          <w:sz w:val="20"/>
          <w:szCs w:val="20"/>
          <w:color w:val="auto"/>
        </w:rPr>
      </w:pPr>
    </w:p>
    <w:p>
      <w:pPr>
        <w:jc w:val="both"/>
        <w:ind w:left="1240" w:right="120" w:hanging="431"/>
        <w:spacing w:after="0" w:line="234" w:lineRule="auto"/>
        <w:rPr>
          <w:sz w:val="20"/>
          <w:szCs w:val="20"/>
          <w:color w:val="auto"/>
        </w:rPr>
      </w:pPr>
      <w:r>
        <w:rPr>
          <w:rFonts w:ascii="Arial" w:cs="Arial" w:eastAsia="Arial" w:hAnsi="Arial"/>
          <w:sz w:val="18"/>
          <w:szCs w:val="18"/>
          <w:color w:val="auto"/>
        </w:rPr>
        <w:t>1.6. If the Center is no longer available: In the even that We are permanently unable to provide the services and accommodation at the Center stated in an agreement. We will otter You accommodation in one of Our other centers. In the unlikely event we are unable to find an alternative accommodation that is acceptable to You. Your agreement will end and You will only have to pay monthly fees up to that date and for any additional services You have used.</w:t>
      </w:r>
    </w:p>
    <w:p>
      <w:pPr>
        <w:ind w:left="1240" w:right="60" w:hanging="431"/>
        <w:spacing w:after="0" w:line="249" w:lineRule="auto"/>
        <w:rPr>
          <w:sz w:val="20"/>
          <w:szCs w:val="20"/>
          <w:color w:val="auto"/>
        </w:rPr>
      </w:pPr>
      <w:r>
        <w:rPr>
          <w:rFonts w:ascii="Arial" w:cs="Arial" w:eastAsia="Arial" w:hAnsi="Arial"/>
          <w:sz w:val="17"/>
          <w:szCs w:val="17"/>
          <w:color w:val="auto"/>
        </w:rPr>
        <w:t xml:space="preserve">1.7. Ending on agreement immediately: We may put on end to an agreement immediately by giving You notice if </w:t>
      </w:r>
      <w:r>
        <w:rPr>
          <w:rFonts w:ascii="Arial" w:cs="Arial" w:eastAsia="Arial" w:hAnsi="Arial"/>
          <w:sz w:val="18"/>
          <w:szCs w:val="18"/>
          <w:color w:val="auto"/>
        </w:rPr>
        <w:t>(</w:t>
      </w:r>
      <w:r>
        <w:rPr>
          <w:rFonts w:ascii="Arial" w:cs="Arial" w:eastAsia="Arial" w:hAnsi="Arial"/>
          <w:sz w:val="17"/>
          <w:szCs w:val="17"/>
          <w:color w:val="auto"/>
        </w:rPr>
        <w:t>a) You become insolvent or bankrupt; or (b) You breach one of your obligations which cannot be remedied, or which We have given You notice to remedy and which You have failed to remedy within 14 days of that notice: or (c) Your conduct or that of someone at the Center with Your permission or invitation, is incompatible with ordinary office use and, (i) that conduct continues despite You having been given notice. or {iii that conduct is material enough (In Our reasonable opinion) to warrant immediate termination; or (d) You ore in breach of the "Compliance With Law" clause below. If We put on end to an agreement for any of the reasons referred to in this clause. it does not put on end to any of Your financial obligations. including, without limitation. for the remainder of the period for which Your agreement would have lasted if We had not terminated it.</w:t>
      </w:r>
    </w:p>
    <w:p>
      <w:pPr>
        <w:spacing w:after="0" w:line="2" w:lineRule="exact"/>
        <w:rPr>
          <w:sz w:val="20"/>
          <w:szCs w:val="20"/>
          <w:color w:val="auto"/>
        </w:rPr>
      </w:pPr>
    </w:p>
    <w:p>
      <w:pPr>
        <w:jc w:val="both"/>
        <w:ind w:left="1240" w:right="140" w:hanging="431"/>
        <w:spacing w:after="0"/>
        <w:rPr>
          <w:sz w:val="20"/>
          <w:szCs w:val="20"/>
          <w:color w:val="auto"/>
        </w:rPr>
      </w:pPr>
      <w:r>
        <w:rPr>
          <w:rFonts w:ascii="Arial" w:cs="Arial" w:eastAsia="Arial" w:hAnsi="Arial"/>
          <w:sz w:val="18"/>
          <w:szCs w:val="18"/>
          <w:color w:val="auto"/>
        </w:rPr>
        <w:t>1.8. When on Office agreement ends: When an agreement ends You must vacate Your accommodation immediately, leaving it in the same state and condition as it was when You took it. Upon Your departure or if You choose to relocate loo different room within a Center, we will charge a fixed office restoration service fee to cover normal cleaning and any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0" w:name="page91"/>
    <w:bookmarkEnd w:id="90"/>
    <w:p>
      <w:pPr>
        <w:ind w:left="1232"/>
        <w:spacing w:after="0" w:line="234" w:lineRule="auto"/>
        <w:rPr>
          <w:sz w:val="20"/>
          <w:szCs w:val="20"/>
          <w:color w:val="auto"/>
        </w:rPr>
      </w:pPr>
      <w:r>
        <w:rPr>
          <w:rFonts w:ascii="Arial" w:cs="Arial" w:eastAsia="Arial" w:hAnsi="Arial"/>
          <w:sz w:val="18"/>
          <w:szCs w:val="18"/>
          <w:color w:val="auto"/>
        </w:rPr>
        <w:t>incurred to return the accommodation to its original condition and state. This fee will differ by country and is fisted in the House Rules. We reserve the right to charge additional reasonable fees for any repairs needed above and beyond normal wear and tear. If You leave any properly in the Center. We may dispose of it at Your cost in any way, We choose without owing You any responsibility for it or any proceeds of sale. If You continue to use the accommodation when an agreement has ended. You are responsible for any loss. claim or liability We may incur as a result of Your failure to vacate on time.</w:t>
      </w:r>
    </w:p>
    <w:p>
      <w:pPr>
        <w:spacing w:after="0" w:line="3" w:lineRule="exact"/>
        <w:rPr>
          <w:sz w:val="20"/>
          <w:szCs w:val="20"/>
          <w:color w:val="auto"/>
        </w:rPr>
      </w:pPr>
    </w:p>
    <w:p>
      <w:pPr>
        <w:ind w:left="1232" w:right="180" w:hanging="431"/>
        <w:spacing w:after="0" w:line="234" w:lineRule="auto"/>
        <w:rPr>
          <w:sz w:val="20"/>
          <w:szCs w:val="20"/>
          <w:color w:val="auto"/>
        </w:rPr>
      </w:pPr>
      <w:r>
        <w:rPr>
          <w:rFonts w:ascii="Arial" w:cs="Arial" w:eastAsia="Arial" w:hAnsi="Arial"/>
          <w:sz w:val="18"/>
          <w:szCs w:val="18"/>
          <w:color w:val="auto"/>
        </w:rPr>
        <w:t>1.9. Transferability: Subject to availability (which shall be determined in Our sole discretion) You may transfer Your agreement to alternative accommodation in the IWG network of Centers provided that Your financial commitment remains the same (or increases) and such transfer is not used to extend or renew an existing agreement. Such a transfer may require entry into a new agreement.</w:t>
      </w:r>
    </w:p>
    <w:p>
      <w:pPr>
        <w:ind w:left="432" w:hanging="432"/>
        <w:spacing w:after="0" w:line="238" w:lineRule="auto"/>
        <w:tabs>
          <w:tab w:leader="none" w:pos="4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Use of the Centers:</w:t>
      </w:r>
    </w:p>
    <w:p>
      <w:pPr>
        <w:ind w:left="1232" w:right="100" w:hanging="431"/>
        <w:spacing w:after="0" w:line="237" w:lineRule="auto"/>
        <w:rPr>
          <w:sz w:val="20"/>
          <w:szCs w:val="20"/>
          <w:color w:val="auto"/>
        </w:rPr>
      </w:pPr>
      <w:r>
        <w:rPr>
          <w:rFonts w:ascii="Arial" w:cs="Arial" w:eastAsia="Arial" w:hAnsi="Arial"/>
          <w:sz w:val="18"/>
          <w:szCs w:val="18"/>
          <w:color w:val="auto"/>
        </w:rPr>
        <w:t>2.1. Business Operations: You may not carry on a business that competes with Our business of providing serviced offices and flexible working. You may not use Our name (or that of Our affiliates) in any way in connection with Your business. You are only permitted to use the address of a Center as Your registered office address if it is permitted by both low and if We have given You prior written consent (given the administration there is an additional fee chargeable for this service). You must only use the accommodation for office business purposes. If We decide that a request for any particular service is excessive. We reserve the right to charge an additional fee. In order to ensure that the Center provides a great working environment for all, We kindly ask you to limit any excessive visits by members of the public.</w:t>
      </w:r>
    </w:p>
    <w:p>
      <w:pPr>
        <w:ind w:left="792"/>
        <w:spacing w:after="0"/>
        <w:rPr>
          <w:sz w:val="20"/>
          <w:szCs w:val="20"/>
          <w:color w:val="auto"/>
        </w:rPr>
      </w:pPr>
      <w:r>
        <w:rPr>
          <w:rFonts w:ascii="Arial" w:cs="Arial" w:eastAsia="Arial" w:hAnsi="Arial"/>
          <w:sz w:val="18"/>
          <w:szCs w:val="18"/>
          <w:color w:val="auto"/>
        </w:rPr>
        <w:t>2.2.  Accommodation:</w:t>
      </w:r>
    </w:p>
    <w:p>
      <w:pPr>
        <w:spacing w:after="0" w:line="9" w:lineRule="exact"/>
        <w:rPr>
          <w:sz w:val="20"/>
          <w:szCs w:val="20"/>
          <w:color w:val="auto"/>
        </w:rPr>
      </w:pPr>
    </w:p>
    <w:p>
      <w:pPr>
        <w:ind w:left="2392" w:right="200" w:hanging="795"/>
        <w:spacing w:after="0" w:line="248" w:lineRule="auto"/>
        <w:tabs>
          <w:tab w:leader="none" w:pos="2372"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Alterations or Damage: You are liable for any damage caused by You or those in the Center with Your permission, whether express or implied, including but not limited to all employees, contractors and/or agents.</w:t>
      </w:r>
    </w:p>
    <w:p>
      <w:pPr>
        <w:spacing w:after="0" w:line="1" w:lineRule="exact"/>
        <w:rPr>
          <w:sz w:val="20"/>
          <w:szCs w:val="20"/>
          <w:color w:val="auto"/>
        </w:rPr>
      </w:pPr>
    </w:p>
    <w:p>
      <w:pPr>
        <w:ind w:left="2392" w:right="140" w:hanging="795"/>
        <w:spacing w:after="0" w:line="234" w:lineRule="auto"/>
        <w:tabs>
          <w:tab w:leader="none" w:pos="2372"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IT Installations: We take great pride in Out IT infrastructure and its upkeep and, therefore, You must not install any cabling, IT or telecom connections without Our consent, which We may refuse at our absolute discretion. As a condition to Our consent, You must permit Us to oversee any installations (for example, IT or electrical systems) and to verify that such installations do not interfere with the use of the accommodation by other clients or Us or any landlord of the building. Fees for Installation and de-installation will be at Your cost.</w:t>
      </w:r>
    </w:p>
    <w:p>
      <w:pPr>
        <w:spacing w:after="0" w:line="3" w:lineRule="exact"/>
        <w:rPr>
          <w:sz w:val="20"/>
          <w:szCs w:val="20"/>
          <w:color w:val="auto"/>
        </w:rPr>
      </w:pPr>
    </w:p>
    <w:p>
      <w:pPr>
        <w:ind w:left="2392" w:right="120" w:hanging="795"/>
        <w:spacing w:after="0" w:line="234" w:lineRule="auto"/>
        <w:tabs>
          <w:tab w:leader="none" w:pos="2372"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Use of the Accommodation: An agreement will list the accommodation We initially allocate for Your use. You will have a non-exclusive right to the rooms allocated to You. Where the accommodation is a Coworking desk, this can only be used by one individual, it cannot be shared amongst multiple individuals. Occasionally to ensure the efficient running of the Center, We may need to allocate different accommodation to You, but it will be of reasonably equivalent size and We will notify You with respect to such different accommodation in advance.</w:t>
      </w:r>
    </w:p>
    <w:p>
      <w:pPr>
        <w:spacing w:after="0" w:line="18" w:lineRule="exact"/>
        <w:rPr>
          <w:sz w:val="20"/>
          <w:szCs w:val="20"/>
          <w:color w:val="auto"/>
        </w:rPr>
      </w:pPr>
    </w:p>
    <w:p>
      <w:pPr>
        <w:ind w:left="2392" w:right="20" w:hanging="795"/>
        <w:spacing w:after="0" w:line="234" w:lineRule="auto"/>
        <w:tabs>
          <w:tab w:leader="none" w:pos="2372"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Access to the Accommodation: To maintain a high level of service, We may need to enter Your accommodation and may do so at any time, including and without limitation. In an emergency, for cleaning and inspection or in order to resell the space if You have given notice to terminate. We will always endeavor to respect any of Your reasonable security procedures to protect the confidentiality of Your business.</w:t>
      </w:r>
    </w:p>
    <w:p>
      <w:pPr>
        <w:spacing w:after="0" w:line="16" w:lineRule="exact"/>
        <w:rPr>
          <w:sz w:val="20"/>
          <w:szCs w:val="20"/>
          <w:color w:val="auto"/>
        </w:rPr>
      </w:pPr>
    </w:p>
    <w:p>
      <w:pPr>
        <w:ind w:left="792"/>
        <w:spacing w:after="0"/>
        <w:rPr>
          <w:sz w:val="20"/>
          <w:szCs w:val="20"/>
          <w:color w:val="auto"/>
        </w:rPr>
      </w:pPr>
      <w:r>
        <w:rPr>
          <w:rFonts w:ascii="Arial" w:cs="Arial" w:eastAsia="Arial" w:hAnsi="Arial"/>
          <w:sz w:val="18"/>
          <w:szCs w:val="18"/>
          <w:color w:val="auto"/>
        </w:rPr>
        <w:t>2.3.  Membership:</w:t>
      </w:r>
    </w:p>
    <w:p>
      <w:pPr>
        <w:spacing w:after="0" w:line="9" w:lineRule="exact"/>
        <w:rPr>
          <w:sz w:val="20"/>
          <w:szCs w:val="20"/>
          <w:color w:val="auto"/>
        </w:rPr>
      </w:pPr>
    </w:p>
    <w:p>
      <w:pPr>
        <w:ind w:left="2392" w:right="20" w:hanging="795"/>
        <w:spacing w:after="0" w:line="233" w:lineRule="auto"/>
        <w:tabs>
          <w:tab w:leader="none" w:pos="2372"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8"/>
          <w:szCs w:val="18"/>
          <w:color w:val="auto"/>
        </w:rPr>
        <w:t>If You have subscribed to a Membership Agreement, You will have access to all participating centers worldwide during standard business working hours and subject to availability.</w:t>
      </w:r>
    </w:p>
    <w:p>
      <w:pPr>
        <w:ind w:left="2392" w:hanging="795"/>
        <w:spacing w:after="0"/>
        <w:tabs>
          <w:tab w:leader="none" w:pos="2372"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 xml:space="preserve">Membership usage: Usage is measured in whole days and unused days cannot be carried over to the </w:t>
      </w:r>
      <w:r>
        <w:rPr>
          <w:rFonts w:ascii="Arial" w:cs="Arial" w:eastAsia="Arial" w:hAnsi="Arial"/>
          <w:sz w:val="19"/>
          <w:szCs w:val="19"/>
          <w:color w:val="auto"/>
        </w:rPr>
        <w:t>f</w:t>
      </w:r>
      <w:r>
        <w:rPr>
          <w:rFonts w:ascii="Arial" w:cs="Arial" w:eastAsia="Arial" w:hAnsi="Arial"/>
          <w:sz w:val="18"/>
          <w:szCs w:val="18"/>
          <w:color w:val="auto"/>
        </w:rPr>
        <w:t>ollowing month. A membership is not intended to be a replacement for a full-time workspace and oil workspaces must be cleared at the end of each day. You are solely responsible for Your belongings at the center at all times. We are not responsible for any property that is left unattended.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91" w:name="page92"/>
    <w:bookmarkEnd w:id="91"/>
    <w:p>
      <w:pPr>
        <w:ind w:left="2392" w:right="80"/>
        <w:spacing w:after="0" w:line="248" w:lineRule="auto"/>
        <w:rPr>
          <w:sz w:val="20"/>
          <w:szCs w:val="20"/>
          <w:color w:val="auto"/>
        </w:rPr>
      </w:pPr>
      <w:r>
        <w:rPr>
          <w:rFonts w:ascii="Arial" w:cs="Arial" w:eastAsia="Arial" w:hAnsi="Arial"/>
          <w:sz w:val="17"/>
          <w:szCs w:val="17"/>
          <w:color w:val="auto"/>
        </w:rPr>
        <w:t>You use more than Your membership entitlement, We will charge You an additional usage fee. You may bring in 1 guest free of charge (subject to fair usage). Any additional guests will be required to purchase a day pass.</w:t>
      </w:r>
    </w:p>
    <w:p>
      <w:pPr>
        <w:spacing w:after="0" w:line="1" w:lineRule="exact"/>
        <w:rPr>
          <w:sz w:val="20"/>
          <w:szCs w:val="20"/>
          <w:color w:val="auto"/>
        </w:rPr>
      </w:pPr>
    </w:p>
    <w:p>
      <w:pPr>
        <w:jc w:val="both"/>
        <w:ind w:left="2392" w:hanging="795"/>
        <w:spacing w:after="0" w:line="252" w:lineRule="auto"/>
        <w:tabs>
          <w:tab w:leader="none" w:pos="2372"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7"/>
          <w:szCs w:val="17"/>
          <w:color w:val="auto"/>
        </w:rPr>
        <w:t>As a Member, You may not use any Center as Your business address without on accompanying office or virtual office agreement in place. Any use of the Center address in such a way will result in on automatic enrollment in the Virtual Office product for the same term as Your membership and You will be invoiced accordingly.</w:t>
      </w:r>
    </w:p>
    <w:p>
      <w:pPr>
        <w:spacing w:after="0" w:line="5" w:lineRule="exact"/>
        <w:rPr>
          <w:sz w:val="20"/>
          <w:szCs w:val="20"/>
          <w:color w:val="auto"/>
        </w:rPr>
      </w:pPr>
    </w:p>
    <w:p>
      <w:pPr>
        <w:ind w:left="1232" w:right="20" w:hanging="431"/>
        <w:spacing w:after="0" w:line="236" w:lineRule="auto"/>
        <w:rPr>
          <w:sz w:val="20"/>
          <w:szCs w:val="20"/>
          <w:color w:val="auto"/>
        </w:rPr>
      </w:pPr>
      <w:r>
        <w:rPr>
          <w:rFonts w:ascii="Arial" w:cs="Arial" w:eastAsia="Arial" w:hAnsi="Arial"/>
          <w:sz w:val="18"/>
          <w:szCs w:val="18"/>
          <w:color w:val="auto"/>
        </w:rPr>
        <w:t>2.4. Compliance with Law: You must comply with all relevant laws and regulations in the conduct of Your business. You must not do anything that may interfere with the use of the Center by Us or by others (including but not limited to political campaigning or immoral activity), cause any nuisance or annoyance, or cause loss or damage to Us (including damage to reputation) or to the owner of any interest in the building. If We have been advised by any government authority or other legislative body that it hos reasonable suspicion that You are conducting criminal activities from the Center, or You ore or will become subject to any government sanctions, then We shall be entitled to terminate any and all of Your agreements with immediate effect. You acknowledge that any breach by You of this clause shall constitute a material default, entitling Us to terminate Your agreement without further notice.</w:t>
      </w:r>
    </w:p>
    <w:p>
      <w:pPr>
        <w:spacing w:after="0" w:line="5" w:lineRule="exact"/>
        <w:rPr>
          <w:sz w:val="20"/>
          <w:szCs w:val="20"/>
          <w:color w:val="auto"/>
        </w:rPr>
      </w:pPr>
    </w:p>
    <w:p>
      <w:pPr>
        <w:ind w:left="792"/>
        <w:spacing w:after="0"/>
        <w:rPr>
          <w:sz w:val="20"/>
          <w:szCs w:val="20"/>
          <w:color w:val="auto"/>
        </w:rPr>
      </w:pPr>
      <w:r>
        <w:rPr>
          <w:rFonts w:ascii="Arial" w:cs="Arial" w:eastAsia="Arial" w:hAnsi="Arial"/>
          <w:sz w:val="18"/>
          <w:szCs w:val="18"/>
          <w:color w:val="auto"/>
        </w:rPr>
        <w:t>2.5.  Ethical Trading: Both We and You shall comply at all times with all relevant anti-slavery, anti-bribery and anti-corruption laws.</w:t>
      </w:r>
    </w:p>
    <w:p>
      <w:pPr>
        <w:spacing w:after="0" w:line="9" w:lineRule="exact"/>
        <w:rPr>
          <w:sz w:val="20"/>
          <w:szCs w:val="20"/>
          <w:color w:val="auto"/>
        </w:rPr>
      </w:pPr>
    </w:p>
    <w:p>
      <w:pPr>
        <w:ind w:left="792"/>
        <w:spacing w:after="0"/>
        <w:rPr>
          <w:sz w:val="20"/>
          <w:szCs w:val="20"/>
          <w:color w:val="auto"/>
        </w:rPr>
      </w:pPr>
      <w:r>
        <w:rPr>
          <w:rFonts w:ascii="Arial" w:cs="Arial" w:eastAsia="Arial" w:hAnsi="Arial"/>
          <w:sz w:val="18"/>
          <w:szCs w:val="18"/>
          <w:color w:val="auto"/>
        </w:rPr>
        <w:t>2.6.  Data Protection:</w:t>
      </w:r>
    </w:p>
    <w:p>
      <w:pPr>
        <w:spacing w:after="0" w:line="9" w:lineRule="exact"/>
        <w:rPr>
          <w:sz w:val="20"/>
          <w:szCs w:val="20"/>
          <w:color w:val="auto"/>
        </w:rPr>
      </w:pPr>
    </w:p>
    <w:p>
      <w:pPr>
        <w:jc w:val="right"/>
        <w:ind w:left="1592" w:right="60"/>
        <w:spacing w:after="0" w:line="242" w:lineRule="auto"/>
        <w:rPr>
          <w:sz w:val="20"/>
          <w:szCs w:val="20"/>
          <w:color w:val="auto"/>
        </w:rPr>
      </w:pPr>
      <w:r>
        <w:rPr>
          <w:rFonts w:ascii="Arial" w:cs="Arial" w:eastAsia="Arial" w:hAnsi="Arial"/>
          <w:sz w:val="18"/>
          <w:szCs w:val="18"/>
          <w:color w:val="auto"/>
        </w:rPr>
        <w:t>2.6.1.    Each party shall comply with all applicable data protection legislation. The basis on which we will process Your personal data is set out in our privacy policies (available on our website at www.iwgplc.com/clientprivacypolicy</w:t>
      </w:r>
    </w:p>
    <w:p>
      <w:pPr>
        <w:ind w:left="2392"/>
        <w:spacing w:after="0" w:line="236" w:lineRule="auto"/>
        <w:rPr>
          <w:sz w:val="20"/>
          <w:szCs w:val="20"/>
          <w:color w:val="auto"/>
        </w:rPr>
      </w:pPr>
      <w:r>
        <w:rPr>
          <w:rFonts w:ascii="Arial" w:cs="Arial" w:eastAsia="Arial" w:hAnsi="Arial"/>
          <w:sz w:val="18"/>
          <w:szCs w:val="18"/>
          <w:color w:val="auto"/>
        </w:rPr>
        <w:t>.)</w:t>
      </w:r>
    </w:p>
    <w:p>
      <w:pPr>
        <w:ind w:left="2392" w:right="480" w:hanging="795"/>
        <w:spacing w:after="0" w:line="234" w:lineRule="auto"/>
        <w:tabs>
          <w:tab w:leader="none" w:pos="2372"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You acknowledge and accept that we may collect and process personal data concerning You and/or your personnel in the course of our agreement for services with you. Such personal data will be processed in accordance with our privacy policy. Where you provide this data to us, you will ensure that you have the necessary consents and notices in place to allow for this.</w:t>
      </w:r>
    </w:p>
    <w:p>
      <w:pPr>
        <w:spacing w:after="0" w:line="16" w:lineRule="exact"/>
        <w:rPr>
          <w:sz w:val="20"/>
          <w:szCs w:val="20"/>
          <w:color w:val="auto"/>
        </w:rPr>
      </w:pPr>
    </w:p>
    <w:p>
      <w:pPr>
        <w:ind w:left="1232" w:right="40" w:hanging="431"/>
        <w:spacing w:after="0" w:line="234" w:lineRule="auto"/>
        <w:rPr>
          <w:sz w:val="20"/>
          <w:szCs w:val="20"/>
          <w:color w:val="auto"/>
        </w:rPr>
      </w:pPr>
      <w:r>
        <w:rPr>
          <w:rFonts w:ascii="Arial" w:cs="Arial" w:eastAsia="Arial" w:hAnsi="Arial"/>
          <w:sz w:val="18"/>
          <w:szCs w:val="18"/>
          <w:color w:val="auto"/>
        </w:rPr>
        <w:t>2.7. Employees: We will both have Invested a great deal in training Our staff, therefore. neither of us may knowingly solicit or offer employment to the other's staff employed in the Center (or for 3 months after they have left their employment). To recompense the other for staff training and investment costs, if either of us breaches this clause the breaching party will pay upon demand to the other the equivalent of 6 months' salary of any employee concerned.</w:t>
      </w:r>
    </w:p>
    <w:p>
      <w:pPr>
        <w:spacing w:after="0" w:line="3" w:lineRule="exact"/>
        <w:rPr>
          <w:sz w:val="20"/>
          <w:szCs w:val="20"/>
          <w:color w:val="auto"/>
        </w:rPr>
      </w:pPr>
    </w:p>
    <w:p>
      <w:pPr>
        <w:ind w:left="1232" w:right="300" w:hanging="431"/>
        <w:spacing w:after="0"/>
        <w:rPr>
          <w:sz w:val="20"/>
          <w:szCs w:val="20"/>
          <w:color w:val="auto"/>
        </w:rPr>
      </w:pPr>
      <w:r>
        <w:rPr>
          <w:rFonts w:ascii="Arial" w:cs="Arial" w:eastAsia="Arial" w:hAnsi="Arial"/>
          <w:sz w:val="18"/>
          <w:szCs w:val="18"/>
          <w:color w:val="auto"/>
        </w:rPr>
        <w:t>2.8. Confidentiality: The terms of on agreement ore confidential. Neither of us may disclose them without the other's consent unless required to do so by law or an official authority. This obligation continues for a period of 3 years after an agreement ends.</w:t>
      </w:r>
    </w:p>
    <w:p>
      <w:pPr>
        <w:ind w:left="1232" w:right="40" w:hanging="431"/>
        <w:spacing w:after="0" w:line="234" w:lineRule="auto"/>
        <w:rPr>
          <w:sz w:val="20"/>
          <w:szCs w:val="20"/>
          <w:color w:val="auto"/>
        </w:rPr>
      </w:pPr>
      <w:r>
        <w:rPr>
          <w:rFonts w:ascii="Arial" w:cs="Arial" w:eastAsia="Arial" w:hAnsi="Arial"/>
          <w:sz w:val="18"/>
          <w:szCs w:val="18"/>
          <w:color w:val="auto"/>
        </w:rPr>
        <w:t>2.9. Assignment: An agreement Is personal to You and cannot be transferred to anyone else without prior consent from Us unless such transfer is required by low. However, We will not unreasonably withhold our consent to assignment lo an affiliate provided that You execute our standard form of assignment. We may transfer any agreement and any and all amounts payable by You under an agreement to any other member of Our group.</w:t>
      </w:r>
    </w:p>
    <w:p>
      <w:pPr>
        <w:spacing w:after="0" w:line="3" w:lineRule="exact"/>
        <w:rPr>
          <w:sz w:val="20"/>
          <w:szCs w:val="20"/>
          <w:color w:val="auto"/>
        </w:rPr>
      </w:pPr>
    </w:p>
    <w:p>
      <w:pPr>
        <w:ind w:left="1232" w:right="40" w:hanging="431"/>
        <w:spacing w:after="0" w:line="234" w:lineRule="auto"/>
        <w:rPr>
          <w:sz w:val="20"/>
          <w:szCs w:val="20"/>
          <w:color w:val="auto"/>
        </w:rPr>
      </w:pPr>
      <w:r>
        <w:rPr>
          <w:rFonts w:ascii="Arial" w:cs="Arial" w:eastAsia="Arial" w:hAnsi="Arial"/>
          <w:sz w:val="18"/>
          <w:szCs w:val="18"/>
          <w:color w:val="auto"/>
        </w:rPr>
        <w:t>2.10. Applicable law: An agreement is interpreted and enforced in accordance with the law of the place where the Center is located other than ln a few specific jurisdictions which ore detailed in the House Rules. We and You both accept the exclusive jurisdiction of the courts of that jurisdiction. If any provision of these terms and conditions is held void or unenforceable under the applicable law, the other provisions shall remain in force.</w:t>
      </w:r>
    </w:p>
    <w:p>
      <w:pPr>
        <w:ind w:left="432" w:hanging="432"/>
        <w:spacing w:after="0" w:line="238" w:lineRule="auto"/>
        <w:tabs>
          <w:tab w:leader="none" w:pos="4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liability to You and Insurance</w:t>
      </w:r>
    </w:p>
    <w:p>
      <w:pPr>
        <w:ind w:left="1232" w:right="80" w:hanging="431"/>
        <w:spacing w:after="0"/>
        <w:rPr>
          <w:sz w:val="20"/>
          <w:szCs w:val="20"/>
          <w:color w:val="auto"/>
        </w:rPr>
      </w:pPr>
      <w:r>
        <w:rPr>
          <w:rFonts w:ascii="Arial" w:cs="Arial" w:eastAsia="Arial" w:hAnsi="Arial"/>
          <w:sz w:val="18"/>
          <w:szCs w:val="18"/>
          <w:color w:val="auto"/>
        </w:rPr>
        <w:t>3.1. The extent of Our liability: To the maximum extent permitted by applicable law. We are not liable to You in respect of any loss or damage You suffer in connection with an agreement, including without limitation any loss or damage arising as a result of our failure to provide a service as a result of mechanical breakdown, strike or other event outside of Our reasonable control otherwise unless We have acted deliberately or have been negligent. In no event shall We be liable for any loss or damage until You provide written notice and give Us a reasonable time to remedy it. If We are liable for failing to provide You with any service under an agreement then, subject to the exclusions and limits set out immediately below, We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330835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12"/>
          </w:cols>
          <w:pgMar w:left="328" w:top="368" w:right="359" w:bottom="1440" w:gutter="0" w:footer="0" w:header="0"/>
        </w:sectPr>
      </w:pPr>
    </w:p>
    <w:bookmarkStart w:id="92" w:name="page93"/>
    <w:bookmarkEnd w:id="92"/>
    <w:p>
      <w:pPr>
        <w:ind w:left="1232" w:right="640"/>
        <w:spacing w:after="0" w:line="233" w:lineRule="auto"/>
        <w:rPr>
          <w:sz w:val="20"/>
          <w:szCs w:val="20"/>
          <w:color w:val="auto"/>
        </w:rPr>
      </w:pPr>
      <w:r>
        <w:rPr>
          <w:rFonts w:ascii="Arial" w:cs="Arial" w:eastAsia="Arial" w:hAnsi="Arial"/>
          <w:sz w:val="18"/>
          <w:szCs w:val="18"/>
          <w:color w:val="auto"/>
        </w:rPr>
        <w:t>pay any actual and the reasonable additional expense You have incurred in obtaining the same or similar service from elsewhere.</w:t>
      </w:r>
    </w:p>
    <w:p>
      <w:pPr>
        <w:jc w:val="both"/>
        <w:ind w:left="1232" w:right="240" w:hanging="431"/>
        <w:spacing w:after="0" w:line="236" w:lineRule="auto"/>
        <w:rPr>
          <w:sz w:val="20"/>
          <w:szCs w:val="20"/>
          <w:color w:val="auto"/>
        </w:rPr>
      </w:pPr>
      <w:r>
        <w:rPr>
          <w:rFonts w:ascii="Arial" w:cs="Arial" w:eastAsia="Arial" w:hAnsi="Arial"/>
          <w:sz w:val="18"/>
          <w:szCs w:val="18"/>
          <w:color w:val="auto"/>
        </w:rPr>
        <w:t xml:space="preserve">3.2. Your Insurance: II is Your responsibility to arrange insurance for property which You bring in to the Center, for </w:t>
      </w:r>
      <w:r>
        <w:rPr>
          <w:rFonts w:ascii="Arial" w:cs="Arial" w:eastAsia="Arial" w:hAnsi="Arial"/>
          <w:sz w:val="19"/>
          <w:szCs w:val="19"/>
          <w:color w:val="auto"/>
        </w:rPr>
        <w:t>a</w:t>
      </w:r>
      <w:r>
        <w:rPr>
          <w:rFonts w:ascii="Arial" w:cs="Arial" w:eastAsia="Arial" w:hAnsi="Arial"/>
          <w:sz w:val="18"/>
          <w:szCs w:val="18"/>
          <w:color w:val="auto"/>
        </w:rPr>
        <w:t>ny mail You send or receive and for Your own liability to your employees and to third parties. We strongly recommend that You put such insurance in place.</w:t>
      </w:r>
    </w:p>
    <w:p>
      <w:pPr>
        <w:spacing w:after="0" w:line="2" w:lineRule="exact"/>
        <w:rPr>
          <w:sz w:val="20"/>
          <w:szCs w:val="20"/>
          <w:color w:val="auto"/>
        </w:rPr>
      </w:pPr>
    </w:p>
    <w:p>
      <w:pPr>
        <w:ind w:left="1232" w:right="280" w:hanging="431"/>
        <w:spacing w:after="0" w:line="237" w:lineRule="auto"/>
        <w:rPr>
          <w:sz w:val="20"/>
          <w:szCs w:val="20"/>
          <w:color w:val="auto"/>
        </w:rPr>
      </w:pPr>
      <w:r>
        <w:rPr>
          <w:rFonts w:ascii="Arial" w:cs="Arial" w:eastAsia="Arial" w:hAnsi="Arial"/>
          <w:sz w:val="18"/>
          <w:szCs w:val="18"/>
          <w:color w:val="auto"/>
        </w:rPr>
        <w:t>3.3. IT Services and Obligations: Whilst We have security internet protocols in place and strive to provide seamless internet connectivity. WE DO NOT MAKE ANY REPRESENTATION AND CANNOT GUARANTEE ANY MAINTAINED LEVEL OF CONNECTIVITY TO OUR NETWORK OR TO THE INTERNET, NOR THE LEVEL OF SECURITY OF IT INFORMATION AND DATA THAT YOU PLACE ON IT. You should adopt whatever security measures (such as encryption) You believe are appropriate to Your business. Your sole and exclusive remedy in relation to issues of reduced connectivity which ore within Our reasonable control shall be for Us to rectify the issue within a reasonable time following notice from You to Us.</w:t>
      </w:r>
    </w:p>
    <w:p>
      <w:pPr>
        <w:spacing w:after="0" w:line="2" w:lineRule="exact"/>
        <w:rPr>
          <w:sz w:val="20"/>
          <w:szCs w:val="20"/>
          <w:color w:val="auto"/>
        </w:rPr>
      </w:pPr>
    </w:p>
    <w:p>
      <w:pPr>
        <w:ind w:left="1232" w:right="60" w:hanging="431"/>
        <w:spacing w:after="0" w:line="234" w:lineRule="auto"/>
        <w:rPr>
          <w:sz w:val="20"/>
          <w:szCs w:val="20"/>
          <w:color w:val="auto"/>
        </w:rPr>
      </w:pPr>
      <w:r>
        <w:rPr>
          <w:rFonts w:ascii="Arial" w:cs="Arial" w:eastAsia="Arial" w:hAnsi="Arial"/>
          <w:sz w:val="18"/>
          <w:szCs w:val="18"/>
          <w:color w:val="auto"/>
        </w:rPr>
        <w:t>3.4. EXCLUSION OF CONSEQUENTIAL LOSSES: WE WILL NOT IN ANY CIRCUMSTANCES HAVE ANY LIABILITY TO YOU FOR LOSS OF BUSINESS, LOSS OF PROFITS, LOSS OF ANTICIPATED SAVINGS, LOSS OF OR DAMAGE TO DATA, THIRD PARTY CLAIMS OR ANY CONSEQUENTIAL LOSS. WE STRONGLY RECOMMEND THAT YOU INSURE AGAINST ALL SUCH POTENTIAL LOSS, DAMAGE, EXPENSE OR LIABILITY.</w:t>
      </w:r>
    </w:p>
    <w:p>
      <w:pPr>
        <w:spacing w:after="0" w:line="3" w:lineRule="exact"/>
        <w:rPr>
          <w:sz w:val="20"/>
          <w:szCs w:val="20"/>
          <w:color w:val="auto"/>
        </w:rPr>
      </w:pPr>
    </w:p>
    <w:p>
      <w:pPr>
        <w:ind w:left="792"/>
        <w:spacing w:after="0"/>
        <w:rPr>
          <w:sz w:val="20"/>
          <w:szCs w:val="20"/>
          <w:color w:val="auto"/>
        </w:rPr>
      </w:pPr>
      <w:r>
        <w:rPr>
          <w:rFonts w:ascii="Arial" w:cs="Arial" w:eastAsia="Arial" w:hAnsi="Arial"/>
          <w:sz w:val="18"/>
          <w:szCs w:val="18"/>
          <w:color w:val="auto"/>
        </w:rPr>
        <w:t>3.5.  Financial limits to our liability: In all cases, our liability to You is subject to the following limits:</w:t>
      </w:r>
    </w:p>
    <w:p>
      <w:pPr>
        <w:spacing w:after="0" w:line="9" w:lineRule="exact"/>
        <w:rPr>
          <w:sz w:val="20"/>
          <w:szCs w:val="20"/>
          <w:color w:val="auto"/>
        </w:rPr>
      </w:pPr>
    </w:p>
    <w:p>
      <w:pPr>
        <w:ind w:left="1592"/>
        <w:spacing w:after="0"/>
        <w:tabs>
          <w:tab w:leader="none" w:pos="2372"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without limit for personal injury or death;</w:t>
      </w:r>
    </w:p>
    <w:p>
      <w:pPr>
        <w:spacing w:after="0" w:line="9" w:lineRule="exact"/>
        <w:rPr>
          <w:sz w:val="20"/>
          <w:szCs w:val="20"/>
          <w:color w:val="auto"/>
        </w:rPr>
      </w:pPr>
    </w:p>
    <w:p>
      <w:pPr>
        <w:ind w:left="2392" w:right="240" w:hanging="795"/>
        <w:spacing w:after="0" w:line="234" w:lineRule="auto"/>
        <w:tabs>
          <w:tab w:leader="none" w:pos="2372"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up to a maximum of GBP 1 million (or USO 1.5 million or EUR 1 million or other local equivalent) for any one events or series of connected events for damage to Your personal property; and</w:t>
      </w:r>
    </w:p>
    <w:p>
      <w:pPr>
        <w:spacing w:after="0" w:line="1" w:lineRule="exact"/>
        <w:rPr>
          <w:sz w:val="20"/>
          <w:szCs w:val="20"/>
          <w:color w:val="auto"/>
        </w:rPr>
      </w:pPr>
    </w:p>
    <w:p>
      <w:pPr>
        <w:ind w:left="2392" w:right="60" w:hanging="795"/>
        <w:spacing w:after="0" w:line="234" w:lineRule="auto"/>
        <w:tabs>
          <w:tab w:leader="none" w:pos="2372"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in respect of any other loss or damage, up to a maximum equal to 125% of the total fees paid between the date services under an agreement commenced and the date on which the claim in question arises; or if higher, for office agreements only. GBP SO.ODO/ USD 100,000 / EUR 66,000 (or local equivalent).</w:t>
      </w:r>
    </w:p>
    <w:p>
      <w:pPr>
        <w:ind w:left="432" w:hanging="432"/>
        <w:spacing w:after="0" w:line="237" w:lineRule="auto"/>
        <w:tabs>
          <w:tab w:leader="none" w:pos="4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Fees</w:t>
      </w:r>
    </w:p>
    <w:p>
      <w:pPr>
        <w:ind w:left="1232" w:right="120" w:hanging="431"/>
        <w:spacing w:after="0" w:line="234" w:lineRule="auto"/>
        <w:rPr>
          <w:sz w:val="20"/>
          <w:szCs w:val="20"/>
          <w:color w:val="auto"/>
        </w:rPr>
      </w:pPr>
      <w:r>
        <w:rPr>
          <w:rFonts w:ascii="Arial" w:cs="Arial" w:eastAsia="Arial" w:hAnsi="Arial"/>
          <w:sz w:val="18"/>
          <w:szCs w:val="18"/>
          <w:color w:val="auto"/>
        </w:rPr>
        <w:t>4.1. Service Retainer/Deposit: Your service retainer/ deposit will be held by Us without generating interest as security for performance of all Your obligations under an agreement. All requests for the return must be mode through Your online account or App after which the service retainer/deposit or any balance will be returned within 30 days to You once your agreement has ended and when You have settled Your account. We will deduct any outstanding fees and other costs due to Us before returning the balance to You. We may require You to pay an increased retainer/deposit if the monthly office or virtual office fee increases upon renewal, outstanding fees exceed the service retainer/deposit held and/or You frequently fail to pay invoices when due.</w:t>
      </w:r>
    </w:p>
    <w:p>
      <w:pPr>
        <w:spacing w:after="0" w:line="5" w:lineRule="exact"/>
        <w:rPr>
          <w:sz w:val="20"/>
          <w:szCs w:val="20"/>
          <w:color w:val="auto"/>
        </w:rPr>
      </w:pPr>
    </w:p>
    <w:p>
      <w:pPr>
        <w:ind w:left="1232" w:right="280" w:hanging="431"/>
        <w:spacing w:after="0" w:line="237" w:lineRule="auto"/>
        <w:rPr>
          <w:sz w:val="20"/>
          <w:szCs w:val="20"/>
          <w:color w:val="auto"/>
        </w:rPr>
      </w:pPr>
      <w:r>
        <w:rPr>
          <w:rFonts w:ascii="Arial" w:cs="Arial" w:eastAsia="Arial" w:hAnsi="Arial"/>
          <w:sz w:val="18"/>
          <w:szCs w:val="18"/>
          <w:color w:val="auto"/>
        </w:rPr>
        <w:t>4.2. Taxes and duty charges: You agree to pay promptly (i) all sales, use. excise, consumption and any other taxes and license fees which You are required to pay to any governmental authority (and, at Our request, You will provide to Us evidence of such payment) and (ii) any taxes paid by Us to any governmental authority that are attributable to Your accommodation, where applicable, including. without limitation. any gross receipts. rent and occupancy taxes, tangible personal property taxes, duties or other documentary taxes and fees.</w:t>
      </w:r>
    </w:p>
    <w:p>
      <w:pPr>
        <w:spacing w:after="0" w:line="1" w:lineRule="exact"/>
        <w:rPr>
          <w:sz w:val="20"/>
          <w:szCs w:val="20"/>
          <w:color w:val="auto"/>
        </w:rPr>
      </w:pPr>
    </w:p>
    <w:p>
      <w:pPr>
        <w:ind w:left="1232" w:right="140" w:hanging="431"/>
        <w:spacing w:after="0" w:line="236" w:lineRule="auto"/>
        <w:rPr>
          <w:sz w:val="20"/>
          <w:szCs w:val="20"/>
          <w:color w:val="auto"/>
        </w:rPr>
      </w:pPr>
      <w:r>
        <w:rPr>
          <w:rFonts w:ascii="Arial" w:cs="Arial" w:eastAsia="Arial" w:hAnsi="Arial"/>
          <w:sz w:val="18"/>
          <w:szCs w:val="18"/>
          <w:color w:val="auto"/>
        </w:rPr>
        <w:t xml:space="preserve">4.3. Payment: We are continually striving to reduce our environmental impact and support You in doing the same. </w:t>
      </w:r>
      <w:r>
        <w:rPr>
          <w:rFonts w:ascii="Arial" w:cs="Arial" w:eastAsia="Arial" w:hAnsi="Arial"/>
          <w:sz w:val="19"/>
          <w:szCs w:val="19"/>
          <w:color w:val="auto"/>
        </w:rPr>
        <w:t>T</w:t>
      </w:r>
      <w:r>
        <w:rPr>
          <w:rFonts w:ascii="Arial" w:cs="Arial" w:eastAsia="Arial" w:hAnsi="Arial"/>
          <w:sz w:val="18"/>
          <w:szCs w:val="18"/>
          <w:color w:val="auto"/>
        </w:rPr>
        <w:t>herefore, We will send all invoices electronically and You will make payments via on automated method such as Direct Debit or Credit Card, wherever local banking systems permit.</w:t>
      </w:r>
    </w:p>
    <w:p>
      <w:pPr>
        <w:spacing w:after="0" w:line="2" w:lineRule="exact"/>
        <w:rPr>
          <w:sz w:val="20"/>
          <w:szCs w:val="20"/>
          <w:color w:val="auto"/>
        </w:rPr>
      </w:pPr>
    </w:p>
    <w:p>
      <w:pPr>
        <w:ind w:left="1232" w:right="180" w:hanging="431"/>
        <w:spacing w:after="0" w:line="237" w:lineRule="auto"/>
        <w:rPr>
          <w:sz w:val="20"/>
          <w:szCs w:val="20"/>
          <w:color w:val="auto"/>
        </w:rPr>
      </w:pPr>
      <w:r>
        <w:rPr>
          <w:rFonts w:ascii="Arial" w:cs="Arial" w:eastAsia="Arial" w:hAnsi="Arial"/>
          <w:sz w:val="18"/>
          <w:szCs w:val="18"/>
          <w:color w:val="auto"/>
        </w:rPr>
        <w:t>4.4. Late payment: If You do not pay fees when due, a fee will be charged on all overdue balances. This fee will differ by country and is listed in the House Rules. If You dispute any part of an invoice, You must pay the amount not in dispute by the due date or be subject to late fees. We also reserve the right to withhold services (including for the avoidance of doubt, denying You access to the Center where applicable) while there are any outstanding fees and/or interest, or You are in breach of an agreement.</w:t>
      </w:r>
    </w:p>
    <w:p>
      <w:pPr>
        <w:spacing w:after="0" w:line="4" w:lineRule="exact"/>
        <w:rPr>
          <w:sz w:val="20"/>
          <w:szCs w:val="20"/>
          <w:color w:val="auto"/>
        </w:rPr>
      </w:pPr>
    </w:p>
    <w:p>
      <w:pPr>
        <w:ind w:left="1232" w:hanging="431"/>
        <w:spacing w:after="0" w:line="246" w:lineRule="auto"/>
        <w:rPr>
          <w:sz w:val="20"/>
          <w:szCs w:val="20"/>
          <w:color w:val="auto"/>
        </w:rPr>
      </w:pPr>
      <w:r>
        <w:rPr>
          <w:rFonts w:ascii="Arial" w:cs="Arial" w:eastAsia="Arial" w:hAnsi="Arial"/>
          <w:sz w:val="18"/>
          <w:szCs w:val="18"/>
          <w:color w:val="auto"/>
        </w:rPr>
        <w:t>4.5. Insufficient Funds: Due to the additional administration We incur. You will pay a fee for any returned or declined payments due to insufficient funds. This fee will differ by country and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327025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93" w:name="page94"/>
    <w:bookmarkEnd w:id="93"/>
    <w:p>
      <w:pPr>
        <w:ind w:left="440"/>
        <w:spacing w:after="0"/>
        <w:rPr>
          <w:sz w:val="20"/>
          <w:szCs w:val="20"/>
          <w:color w:val="auto"/>
        </w:rPr>
      </w:pPr>
      <w:r>
        <w:rPr>
          <w:rFonts w:ascii="Arial" w:cs="Arial" w:eastAsia="Arial" w:hAnsi="Arial"/>
          <w:sz w:val="18"/>
          <w:szCs w:val="18"/>
          <w:color w:val="auto"/>
        </w:rPr>
        <w:t>listed in the House Rules.</w:t>
      </w:r>
    </w:p>
    <w:p>
      <w:pPr>
        <w:spacing w:after="0" w:line="9" w:lineRule="exact"/>
        <w:rPr>
          <w:sz w:val="20"/>
          <w:szCs w:val="20"/>
          <w:color w:val="auto"/>
        </w:rPr>
      </w:pPr>
    </w:p>
    <w:p>
      <w:pPr>
        <w:ind w:left="440" w:right="200" w:hanging="431"/>
        <w:spacing w:after="0" w:line="237" w:lineRule="auto"/>
        <w:rPr>
          <w:sz w:val="20"/>
          <w:szCs w:val="20"/>
          <w:color w:val="auto"/>
        </w:rPr>
      </w:pPr>
      <w:r>
        <w:rPr>
          <w:rFonts w:ascii="Arial" w:cs="Arial" w:eastAsia="Arial" w:hAnsi="Arial"/>
          <w:sz w:val="18"/>
          <w:szCs w:val="18"/>
          <w:color w:val="auto"/>
        </w:rPr>
        <w:t>4.6. Activation: An activation fee is payable in respect of each agreement You have with Us (including any new agreements entered into under clause 1.9 above). This fee covers the administrative cost of the client onboarding process and account setup. This fee is set out in each Local Services Agreement and is charged on a per occupant basis for Serviced Office and Coworking (dedicated desk), on a per location basis for Virtual Office and on a per person basis for Membership. Further information is set out in the House Rules.</w:t>
      </w:r>
    </w:p>
    <w:p>
      <w:pPr>
        <w:spacing w:after="0" w:line="4" w:lineRule="exact"/>
        <w:rPr>
          <w:sz w:val="20"/>
          <w:szCs w:val="20"/>
          <w:color w:val="auto"/>
        </w:rPr>
      </w:pPr>
    </w:p>
    <w:p>
      <w:pPr>
        <w:ind w:left="440" w:right="20" w:hanging="431"/>
        <w:spacing w:after="0" w:line="234" w:lineRule="auto"/>
        <w:rPr>
          <w:sz w:val="20"/>
          <w:szCs w:val="20"/>
          <w:color w:val="auto"/>
        </w:rPr>
      </w:pPr>
      <w:r>
        <w:rPr>
          <w:rFonts w:ascii="Arial" w:cs="Arial" w:eastAsia="Arial" w:hAnsi="Arial"/>
          <w:sz w:val="18"/>
          <w:szCs w:val="18"/>
          <w:color w:val="auto"/>
        </w:rPr>
        <w:t>4.7. Indexation: If an agreement is for a term of more than 12 months, We will increase the monthly fee on each anniversary of the start date in line with the relevant inflation index detailed in the House Rules.</w:t>
      </w:r>
    </w:p>
    <w:p>
      <w:pPr>
        <w:spacing w:after="0" w:line="1" w:lineRule="exact"/>
        <w:rPr>
          <w:sz w:val="20"/>
          <w:szCs w:val="20"/>
          <w:color w:val="auto"/>
        </w:rPr>
      </w:pPr>
    </w:p>
    <w:p>
      <w:pPr>
        <w:ind w:left="440" w:right="160" w:hanging="431"/>
        <w:spacing w:after="0"/>
        <w:rPr>
          <w:sz w:val="20"/>
          <w:szCs w:val="20"/>
          <w:color w:val="auto"/>
        </w:rPr>
      </w:pPr>
      <w:r>
        <w:rPr>
          <w:rFonts w:ascii="Arial" w:cs="Arial" w:eastAsia="Arial" w:hAnsi="Arial"/>
          <w:sz w:val="18"/>
          <w:szCs w:val="18"/>
          <w:color w:val="auto"/>
        </w:rPr>
        <w:t>4.8. Standard services: Monthly fees, plus applicable taxes, and any recurring services requested by You are payable monthly in advance. Where a daily rate applies, the charge for any such month will be 30 times the daily fee. For a period of less than one month, the fee will be applied on a daily basis.</w:t>
      </w:r>
    </w:p>
    <w:p>
      <w:pPr>
        <w:ind w:left="440" w:right="540" w:hanging="431"/>
        <w:spacing w:after="0" w:line="242" w:lineRule="auto"/>
        <w:rPr>
          <w:sz w:val="20"/>
          <w:szCs w:val="20"/>
          <w:color w:val="auto"/>
        </w:rPr>
      </w:pPr>
      <w:r>
        <w:rPr>
          <w:rFonts w:ascii="Arial" w:cs="Arial" w:eastAsia="Arial" w:hAnsi="Arial"/>
          <w:sz w:val="18"/>
          <w:szCs w:val="18"/>
          <w:color w:val="auto"/>
        </w:rPr>
        <w:t>4.9. Pay-as-you-use and Additional Variable Services: Fees for pay-as-you-use services, plus applicable taxes, are payable monthly in arrears at our standard rates which may change from time to time and are available on request.</w:t>
      </w:r>
    </w:p>
    <w:p>
      <w:pPr>
        <w:spacing w:after="0" w:line="1" w:lineRule="exact"/>
        <w:rPr>
          <w:sz w:val="20"/>
          <w:szCs w:val="20"/>
          <w:color w:val="auto"/>
        </w:rPr>
      </w:pPr>
    </w:p>
    <w:p>
      <w:pPr>
        <w:ind w:left="440" w:right="600" w:hanging="431"/>
        <w:spacing w:after="0" w:line="246" w:lineRule="auto"/>
        <w:rPr>
          <w:sz w:val="20"/>
          <w:szCs w:val="20"/>
          <w:color w:val="auto"/>
        </w:rPr>
      </w:pPr>
      <w:r>
        <w:rPr>
          <w:rFonts w:ascii="Arial" w:cs="Arial" w:eastAsia="Arial" w:hAnsi="Arial"/>
          <w:sz w:val="18"/>
          <w:szCs w:val="18"/>
          <w:color w:val="auto"/>
        </w:rPr>
        <w:t>4.10. Discounts, Promotions and Offers: If You benefited from a special discount, promotion or offer, We will discontinue that discount, promotion or offer without notice if You materially breach Your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Global Terms Feb 2020</w:t>
      </w:r>
    </w:p>
    <w:p>
      <w:pPr>
        <w:sectPr>
          <w:pgSz w:w="11900" w:h="16838" w:orient="portrait"/>
          <w:cols w:equalWidth="0" w:num="1">
            <w:col w:w="10440"/>
          </w:cols>
          <w:pgMar w:left="1120" w:top="368"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10.4</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the 12th day of April 2021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Amarin Switzerland GmbH, Grafenauweg 8, 6300 Zug</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‘Company’)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Karim Mikhail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_____________________________________________________________</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CONTRACT OF EMPLOYMENT</w:t>
      </w:r>
    </w:p>
    <w:p>
      <w:pPr>
        <w:spacing w:after="0" w:line="14"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5" w:name="page96"/>
    <w:bookmarkEnd w:id="95"/>
    <w:p>
      <w:pPr>
        <w:spacing w:after="0"/>
        <w:rPr>
          <w:sz w:val="20"/>
          <w:szCs w:val="20"/>
          <w:color w:val="auto"/>
        </w:rPr>
      </w:pPr>
      <w:r>
        <w:rPr>
          <w:rFonts w:ascii="Arial" w:cs="Arial" w:eastAsia="Arial" w:hAnsi="Arial"/>
          <w:sz w:val="22"/>
          <w:szCs w:val="22"/>
          <w:color w:val="auto"/>
        </w:rPr>
        <w:t>THIS AGREEMENT is made the 12th day of April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Amarin Switzerland GmbH, Grafenauweg 8, 6300 Zug (</w:t>
      </w:r>
      <w:r>
        <w:rPr>
          <w:rFonts w:ascii="Arial" w:cs="Arial" w:eastAsia="Arial" w:hAnsi="Arial"/>
          <w:sz w:val="22"/>
          <w:szCs w:val="22"/>
          <w:color w:val="auto"/>
        </w:rPr>
        <w:t>hereinafter the ‘Company’ which expression will where the context</w:t>
      </w:r>
      <w:r>
        <w:rPr>
          <w:rFonts w:ascii="Arial" w:cs="Arial" w:eastAsia="Arial" w:hAnsi="Arial"/>
          <w:sz w:val="22"/>
          <w:szCs w:val="22"/>
          <w:b w:val="1"/>
          <w:bCs w:val="1"/>
          <w:color w:val="auto"/>
        </w:rPr>
        <w:t xml:space="preserve"> </w:t>
      </w:r>
      <w:r>
        <w:rPr>
          <w:rFonts w:ascii="Arial" w:cs="Arial" w:eastAsia="Arial" w:hAnsi="Arial"/>
          <w:sz w:val="22"/>
          <w:szCs w:val="22"/>
          <w:color w:val="auto"/>
        </w:rPr>
        <w:t>so permits or requires include its subsidiaries and associated companies)</w:t>
      </w:r>
      <w:r>
        <w:rPr>
          <w:rFonts w:ascii="Arial" w:cs="Arial" w:eastAsia="Arial" w:hAnsi="Arial"/>
          <w:sz w:val="22"/>
          <w:szCs w:val="22"/>
          <w:b w:val="1"/>
          <w:bCs w:val="1"/>
          <w:color w:val="auto"/>
        </w:rPr>
        <w:t>,</w:t>
      </w:r>
      <w:r>
        <w:rPr>
          <w:rFonts w:ascii="Arial" w:cs="Arial" w:eastAsia="Arial" w:hAnsi="Arial"/>
          <w:sz w:val="22"/>
          <w:szCs w:val="22"/>
          <w:color w:val="auto"/>
        </w:rPr>
        <w:t xml:space="preserve"> of the one part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Karim Mikhail, [*] </w:t>
      </w:r>
      <w:r>
        <w:rPr>
          <w:rFonts w:ascii="Arial" w:cs="Arial" w:eastAsia="Arial" w:hAnsi="Arial"/>
          <w:sz w:val="22"/>
          <w:szCs w:val="22"/>
          <w:color w:val="auto"/>
        </w:rPr>
        <w:t>(hereinafter called the ‘Executive’) of the other part.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is part of the Amarin group of companies and engages in the business of pharmaceuticals.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have entered into an employment contract dated June 17, 2020.</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have decided on a common understanding to enter into a new contract in order to update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as of the 12th day of April 2021.</w:t>
      </w:r>
    </w:p>
    <w:p>
      <w:pPr>
        <w:spacing w:after="0" w:line="3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IT IS HEREBY AGREED AS FOLLOWS:</w:t>
      </w:r>
    </w:p>
    <w:p>
      <w:pPr>
        <w:spacing w:after="0" w:line="206" w:lineRule="exact"/>
        <w:rPr>
          <w:sz w:val="20"/>
          <w:szCs w:val="20"/>
          <w:color w:val="auto"/>
        </w:rPr>
      </w:pPr>
    </w:p>
    <w:p>
      <w:pPr>
        <w:ind w:left="900" w:hanging="892"/>
        <w:spacing w:after="0"/>
        <w:tabs>
          <w:tab w:leader="none" w:pos="90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212" w:lineRule="exact"/>
        <w:rPr>
          <w:rFonts w:ascii="Arial" w:cs="Arial" w:eastAsia="Arial" w:hAnsi="Arial"/>
          <w:sz w:val="22"/>
          <w:szCs w:val="22"/>
          <w:color w:val="auto"/>
        </w:rPr>
      </w:pPr>
    </w:p>
    <w:p>
      <w:pPr>
        <w:ind w:left="1800" w:hanging="891"/>
        <w:spacing w:after="0" w:line="250" w:lineRule="auto"/>
        <w:rPr>
          <w:rFonts w:ascii="Arial" w:cs="Arial" w:eastAsia="Arial" w:hAnsi="Arial"/>
          <w:sz w:val="22"/>
          <w:szCs w:val="22"/>
          <w:color w:val="auto"/>
        </w:rPr>
      </w:pPr>
      <w:r>
        <w:rPr>
          <w:rFonts w:ascii="Arial" w:cs="Arial" w:eastAsia="Arial" w:hAnsi="Arial"/>
          <w:sz w:val="22"/>
          <w:szCs w:val="22"/>
          <w:color w:val="auto"/>
        </w:rPr>
        <w:t>1.1In this Agreement and the schedule hereto, the following expressions will, unless the context otherwise requires, have the following meanings:</w:t>
      </w:r>
    </w:p>
    <w:p>
      <w:pPr>
        <w:spacing w:after="0" w:line="169" w:lineRule="exact"/>
        <w:rPr>
          <w:sz w:val="20"/>
          <w:szCs w:val="20"/>
          <w:color w:val="auto"/>
        </w:rPr>
      </w:pPr>
    </w:p>
    <w:p>
      <w:pPr>
        <w:jc w:val="both"/>
        <w:ind w:left="1800"/>
        <w:spacing w:after="0" w:line="283" w:lineRule="auto"/>
        <w:rPr>
          <w:sz w:val="20"/>
          <w:szCs w:val="20"/>
          <w:color w:val="auto"/>
        </w:rPr>
      </w:pPr>
      <w:r>
        <w:rPr>
          <w:rFonts w:ascii="Arial" w:cs="Arial" w:eastAsia="Arial" w:hAnsi="Arial"/>
          <w:sz w:val="19"/>
          <w:szCs w:val="19"/>
          <w:b w:val="1"/>
          <w:bCs w:val="1"/>
          <w:color w:val="auto"/>
        </w:rPr>
        <w:t xml:space="preserve">“associated company” or “associated companies” </w:t>
      </w:r>
      <w:r>
        <w:rPr>
          <w:rFonts w:ascii="Arial" w:cs="Arial" w:eastAsia="Arial" w:hAnsi="Arial"/>
          <w:sz w:val="19"/>
          <w:szCs w:val="19"/>
          <w:color w:val="auto"/>
        </w:rPr>
        <w:t>means any subsidiary undertaking or joint venture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any holding undertaking of the Company is a subsidiary undertaking, a subsidiary undertaking or joint venture of such a holding undertaking, or an undertaking in which any of the foregoing has a participating interest; and accordingly, “associated companies” of the Company shall include Amarin Pharmaceuticals Ireland Ltd, Amarin Corporation plc and Amarin Pharmaceuticals Inc.;</w:t>
      </w:r>
    </w:p>
    <w:p>
      <w:pPr>
        <w:spacing w:after="0" w:line="143" w:lineRule="exact"/>
        <w:rPr>
          <w:sz w:val="20"/>
          <w:szCs w:val="20"/>
          <w:color w:val="auto"/>
        </w:rPr>
      </w:pPr>
    </w:p>
    <w:p>
      <w:pPr>
        <w:jc w:val="both"/>
        <w:ind w:left="1800" w:right="20"/>
        <w:spacing w:after="0" w:line="256" w:lineRule="auto"/>
        <w:rPr>
          <w:sz w:val="20"/>
          <w:szCs w:val="20"/>
          <w:color w:val="auto"/>
        </w:rPr>
      </w:pPr>
      <w:r>
        <w:rPr>
          <w:rFonts w:ascii="Arial" w:cs="Arial" w:eastAsia="Arial" w:hAnsi="Arial"/>
          <w:sz w:val="22"/>
          <w:szCs w:val="22"/>
          <w:b w:val="1"/>
          <w:bCs w:val="1"/>
          <w:color w:val="auto"/>
        </w:rPr>
        <w:t xml:space="preserve">“the Board” </w:t>
      </w:r>
      <w:r>
        <w:rPr>
          <w:rFonts w:ascii="Arial" w:cs="Arial" w:eastAsia="Arial" w:hAnsi="Arial"/>
          <w:sz w:val="22"/>
          <w:szCs w:val="22"/>
          <w:color w:val="auto"/>
        </w:rPr>
        <w:t>means the Board of Directors of the Company or any duly constituted and authorised</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of the Board;</w:t>
      </w:r>
    </w:p>
    <w:p>
      <w:pPr>
        <w:spacing w:after="0" w:line="162" w:lineRule="exact"/>
        <w:rPr>
          <w:sz w:val="20"/>
          <w:szCs w:val="20"/>
          <w:color w:val="auto"/>
        </w:rPr>
      </w:pPr>
    </w:p>
    <w:p>
      <w:pPr>
        <w:jc w:val="both"/>
        <w:ind w:left="180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w:t>
      </w:r>
      <w:r>
        <w:rPr>
          <w:rFonts w:ascii="Arial" w:cs="Arial" w:eastAsia="Arial" w:hAnsi="Arial"/>
          <w:sz w:val="22"/>
          <w:szCs w:val="22"/>
          <w:color w:val="auto"/>
        </w:rPr>
        <w:t>” means the European Union comprised of 27 member states (Austria, Belgium, Bulgaria, Croatia, Cyprus, the Czech Republic, Denmark, Estonia, Finland, France, Germany, Greece, Hungary, Ireland, Italy, Latvia, Lithuania, Luxembourg, Malta, the Netherlands, Poland, Portugal, Romania, Slovakia, Slovenia, Spain and Sweden).</w:t>
      </w:r>
    </w:p>
    <w:p>
      <w:pPr>
        <w:spacing w:after="0" w:line="18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 xml:space="preserve">“Group” </w:t>
      </w:r>
      <w:r>
        <w:rPr>
          <w:rFonts w:ascii="Arial" w:cs="Arial" w:eastAsia="Arial" w:hAnsi="Arial"/>
          <w:sz w:val="22"/>
          <w:szCs w:val="22"/>
          <w:color w:val="auto"/>
        </w:rPr>
        <w:t>means the Company and its associated companies;</w:t>
      </w:r>
    </w:p>
    <w:p>
      <w:pPr>
        <w:spacing w:after="0" w:line="206" w:lineRule="exact"/>
        <w:rPr>
          <w:sz w:val="20"/>
          <w:szCs w:val="20"/>
          <w:color w:val="auto"/>
        </w:rPr>
      </w:pPr>
    </w:p>
    <w:p>
      <w:pPr>
        <w:jc w:val="both"/>
        <w:ind w:left="1800" w:right="20"/>
        <w:spacing w:after="0" w:line="256" w:lineRule="auto"/>
        <w:rPr>
          <w:sz w:val="20"/>
          <w:szCs w:val="20"/>
          <w:color w:val="auto"/>
        </w:rPr>
      </w:pPr>
      <w:r>
        <w:rPr>
          <w:rFonts w:ascii="Arial" w:cs="Arial" w:eastAsia="Arial" w:hAnsi="Arial"/>
          <w:sz w:val="22"/>
          <w:szCs w:val="22"/>
          <w:b w:val="1"/>
          <w:bCs w:val="1"/>
          <w:color w:val="auto"/>
        </w:rPr>
        <w:t xml:space="preserve">“Restricted Period” </w:t>
      </w:r>
      <w:r>
        <w:rPr>
          <w:rFonts w:ascii="Arial" w:cs="Arial" w:eastAsia="Arial" w:hAnsi="Arial"/>
          <w:sz w:val="22"/>
          <w:szCs w:val="22"/>
          <w:color w:val="auto"/>
        </w:rPr>
        <w:t>means the period of 12 months after the Termination Date and is inclusive of any</w:t>
      </w:r>
      <w:r>
        <w:rPr>
          <w:rFonts w:ascii="Arial" w:cs="Arial" w:eastAsia="Arial" w:hAnsi="Arial"/>
          <w:sz w:val="22"/>
          <w:szCs w:val="22"/>
          <w:b w:val="1"/>
          <w:bCs w:val="1"/>
          <w:color w:val="auto"/>
        </w:rPr>
        <w:t xml:space="preserve"> </w:t>
      </w:r>
      <w:r>
        <w:rPr>
          <w:rFonts w:ascii="Arial" w:cs="Arial" w:eastAsia="Arial" w:hAnsi="Arial"/>
          <w:sz w:val="22"/>
          <w:szCs w:val="22"/>
          <w:color w:val="auto"/>
        </w:rPr>
        <w:t>period of Garden Leave which the Executive may be required to take under clause 18;</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377190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6" w:name="page97"/>
    <w:bookmarkEnd w:id="96"/>
    <w:p>
      <w:pPr>
        <w:ind w:left="1800"/>
        <w:spacing w:after="0" w:line="280" w:lineRule="auto"/>
        <w:rPr>
          <w:sz w:val="20"/>
          <w:szCs w:val="20"/>
          <w:color w:val="auto"/>
        </w:rPr>
      </w:pPr>
      <w:r>
        <w:rPr>
          <w:rFonts w:ascii="Arial" w:cs="Arial" w:eastAsia="Arial" w:hAnsi="Arial"/>
          <w:sz w:val="21"/>
          <w:szCs w:val="21"/>
          <w:b w:val="1"/>
          <w:bCs w:val="1"/>
          <w:color w:val="auto"/>
        </w:rPr>
        <w:t xml:space="preserve">“Restricted Territory” </w:t>
      </w:r>
      <w:r>
        <w:rPr>
          <w:rFonts w:ascii="Arial" w:cs="Arial" w:eastAsia="Arial" w:hAnsi="Arial"/>
          <w:sz w:val="21"/>
          <w:szCs w:val="21"/>
          <w:color w:val="auto"/>
        </w:rPr>
        <w:t>means Switzerland, UK, the EU and the United States of America as well as any</w:t>
      </w:r>
      <w:r>
        <w:rPr>
          <w:rFonts w:ascii="Arial" w:cs="Arial" w:eastAsia="Arial" w:hAnsi="Arial"/>
          <w:sz w:val="21"/>
          <w:szCs w:val="21"/>
          <w:b w:val="1"/>
          <w:bCs w:val="1"/>
          <w:color w:val="auto"/>
        </w:rPr>
        <w:t xml:space="preserve"> </w:t>
      </w:r>
      <w:r>
        <w:rPr>
          <w:rFonts w:ascii="Arial" w:cs="Arial" w:eastAsia="Arial" w:hAnsi="Arial"/>
          <w:sz w:val="21"/>
          <w:szCs w:val="21"/>
          <w:color w:val="auto"/>
        </w:rPr>
        <w:t>countries and/or areas in the world where the Group operates or plans to operate its business.</w:t>
      </w:r>
    </w:p>
    <w:p>
      <w:pPr>
        <w:spacing w:after="0" w:line="139" w:lineRule="exact"/>
        <w:rPr>
          <w:sz w:val="20"/>
          <w:szCs w:val="20"/>
          <w:color w:val="auto"/>
        </w:rPr>
      </w:pPr>
    </w:p>
    <w:p>
      <w:pPr>
        <w:ind w:left="1800"/>
        <w:spacing w:after="0"/>
        <w:rPr>
          <w:sz w:val="20"/>
          <w:szCs w:val="20"/>
          <w:color w:val="auto"/>
        </w:rPr>
      </w:pPr>
      <w:r>
        <w:rPr>
          <w:rFonts w:ascii="Arial" w:cs="Arial" w:eastAsia="Arial" w:hAnsi="Arial"/>
          <w:sz w:val="19"/>
          <w:szCs w:val="19"/>
          <w:b w:val="1"/>
          <w:bCs w:val="1"/>
          <w:color w:val="auto"/>
        </w:rPr>
        <w:t xml:space="preserve">“Termination Date” </w:t>
      </w:r>
      <w:r>
        <w:rPr>
          <w:rFonts w:ascii="Arial" w:cs="Arial" w:eastAsia="Arial" w:hAnsi="Arial"/>
          <w:sz w:val="19"/>
          <w:szCs w:val="19"/>
          <w:color w:val="auto"/>
        </w:rPr>
        <w:t>means the date of termination of the Executive’s employment howsoever arising;</w:t>
      </w:r>
    </w:p>
    <w:p>
      <w:pPr>
        <w:spacing w:after="0" w:line="247" w:lineRule="exact"/>
        <w:rPr>
          <w:sz w:val="20"/>
          <w:szCs w:val="20"/>
          <w:color w:val="auto"/>
        </w:rPr>
      </w:pPr>
    </w:p>
    <w:p>
      <w:pPr>
        <w:jc w:val="both"/>
        <w:ind w:left="1800" w:hanging="890"/>
        <w:spacing w:after="0" w:line="250" w:lineRule="auto"/>
        <w:tabs>
          <w:tab w:leader="none" w:pos="17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expression “the Company” will, unless the context otherwise requires, include any person acting on behalf of the Company within his proper authority.</w:t>
      </w:r>
    </w:p>
    <w:p>
      <w:pPr>
        <w:spacing w:after="0" w:line="175" w:lineRule="exact"/>
        <w:rPr>
          <w:sz w:val="20"/>
          <w:szCs w:val="20"/>
          <w:color w:val="auto"/>
        </w:rPr>
      </w:pPr>
    </w:p>
    <w:p>
      <w:pPr>
        <w:jc w:val="both"/>
        <w:ind w:left="1800" w:hanging="890"/>
        <w:spacing w:after="0"/>
        <w:tabs>
          <w:tab w:leader="none" w:pos="17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2"/>
          <w:szCs w:val="22"/>
          <w:color w:val="auto"/>
        </w:rPr>
        <w:t>Words such as “hereunder”, “hereto”, “hereof” and “herein” and other words commencing with “here” will, unless the context clearly indicates to the contrary, refer to the whole of this Agreement and not to any particular clause, paragraph or sub-paragraph thereof.</w:t>
      </w:r>
    </w:p>
    <w:p>
      <w:pPr>
        <w:spacing w:after="0" w:line="186" w:lineRule="exact"/>
        <w:rPr>
          <w:sz w:val="20"/>
          <w:szCs w:val="20"/>
          <w:color w:val="auto"/>
        </w:rPr>
      </w:pPr>
    </w:p>
    <w:p>
      <w:pPr>
        <w:jc w:val="both"/>
        <w:ind w:left="1800" w:hanging="890"/>
        <w:spacing w:after="0" w:line="250" w:lineRule="auto"/>
        <w:tabs>
          <w:tab w:leader="none" w:pos="17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The expression “person” will, unless the context otherwise requires, include partnerships, companies and other bodies corporate.</w:t>
      </w:r>
    </w:p>
    <w:p>
      <w:pPr>
        <w:spacing w:after="0" w:line="175" w:lineRule="exact"/>
        <w:rPr>
          <w:sz w:val="20"/>
          <w:szCs w:val="20"/>
          <w:color w:val="auto"/>
        </w:rPr>
      </w:pPr>
    </w:p>
    <w:p>
      <w:pPr>
        <w:jc w:val="both"/>
        <w:ind w:left="1800" w:hanging="890"/>
        <w:spacing w:after="0" w:line="250" w:lineRule="auto"/>
        <w:tabs>
          <w:tab w:leader="none" w:pos="17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color w:val="auto"/>
        </w:rPr>
        <w:t>The captions in this Agreement are for convenience of reference only and will not affect the interpretation of any of the provisions hereof.</w:t>
      </w:r>
    </w:p>
    <w:p>
      <w:pPr>
        <w:spacing w:after="0" w:line="169" w:lineRule="exact"/>
        <w:rPr>
          <w:sz w:val="20"/>
          <w:szCs w:val="20"/>
          <w:color w:val="auto"/>
        </w:rPr>
      </w:pPr>
    </w:p>
    <w:p>
      <w:pPr>
        <w:ind w:left="900" w:hanging="892"/>
        <w:spacing w:after="0"/>
        <w:tabs>
          <w:tab w:leader="none" w:pos="90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Appointment</w:t>
      </w:r>
    </w:p>
    <w:p>
      <w:pPr>
        <w:spacing w:after="0" w:line="212" w:lineRule="exact"/>
        <w:rPr>
          <w:rFonts w:ascii="Arial" w:cs="Arial" w:eastAsia="Arial" w:hAnsi="Arial"/>
          <w:sz w:val="22"/>
          <w:szCs w:val="22"/>
          <w:color w:val="auto"/>
        </w:rPr>
      </w:pPr>
    </w:p>
    <w:p>
      <w:pPr>
        <w:ind w:left="900"/>
        <w:spacing w:after="0"/>
        <w:rPr>
          <w:rFonts w:ascii="Arial" w:cs="Arial" w:eastAsia="Arial" w:hAnsi="Arial"/>
          <w:sz w:val="22"/>
          <w:szCs w:val="22"/>
          <w:color w:val="auto"/>
        </w:rPr>
      </w:pPr>
      <w:r>
        <w:rPr>
          <w:rFonts w:ascii="Arial" w:cs="Arial" w:eastAsia="Arial" w:hAnsi="Arial"/>
          <w:sz w:val="22"/>
          <w:szCs w:val="22"/>
          <w:color w:val="auto"/>
        </w:rPr>
        <w:t>2.1</w:t>
      </w:r>
      <w:r>
        <w:rPr>
          <w:rFonts w:ascii="Arial" w:cs="Arial" w:eastAsia="Arial" w:hAnsi="Arial"/>
          <w:sz w:val="19"/>
          <w:szCs w:val="19"/>
          <w:color w:val="auto"/>
        </w:rPr>
        <w:t>The Executive currently holds the position Senior Vice President – Commercial Head Europe.</w:t>
      </w:r>
    </w:p>
    <w:p>
      <w:pPr>
        <w:spacing w:after="0" w:line="206" w:lineRule="exact"/>
        <w:rPr>
          <w:rFonts w:ascii="Arial" w:cs="Arial" w:eastAsia="Arial" w:hAnsi="Arial"/>
          <w:sz w:val="22"/>
          <w:szCs w:val="22"/>
          <w:color w:val="auto"/>
        </w:rPr>
      </w:pPr>
    </w:p>
    <w:p>
      <w:pPr>
        <w:ind w:left="1800" w:hanging="891"/>
        <w:spacing w:after="0" w:line="282" w:lineRule="auto"/>
        <w:rPr>
          <w:rFonts w:ascii="Arial" w:cs="Arial" w:eastAsia="Arial" w:hAnsi="Arial"/>
          <w:sz w:val="22"/>
          <w:szCs w:val="22"/>
          <w:color w:val="auto"/>
        </w:rPr>
      </w:pPr>
      <w:r>
        <w:rPr>
          <w:rFonts w:ascii="Arial" w:cs="Arial" w:eastAsia="Arial" w:hAnsi="Arial"/>
          <w:sz w:val="22"/>
          <w:szCs w:val="22"/>
          <w:color w:val="auto"/>
        </w:rPr>
        <w:t>2.2</w:t>
      </w:r>
      <w:r>
        <w:rPr>
          <w:rFonts w:ascii="Arial" w:cs="Arial" w:eastAsia="Arial" w:hAnsi="Arial"/>
          <w:sz w:val="19"/>
          <w:szCs w:val="19"/>
          <w:color w:val="auto"/>
        </w:rPr>
        <w:t>The Company hereby requests the Executive, and the Executive hereby agrees, to serve as Chief Executive Officer (‘CEO’) of the Company (instead of SVP - Commercial Head Europe), and as President and CEO of Amarin Corporation plc, without further compensation beyond that which is set forth herein, commencing on the date of retirement of John Thero, current President and CEO of Amarin Corporation plc, which is anticipated to occur on August 1, 2021 (such actual date, the ‘CEO Start Date’).</w:t>
      </w:r>
    </w:p>
    <w:p>
      <w:pPr>
        <w:spacing w:after="0" w:line="147" w:lineRule="exact"/>
        <w:rPr>
          <w:rFonts w:ascii="Arial" w:cs="Arial" w:eastAsia="Arial" w:hAnsi="Arial"/>
          <w:sz w:val="22"/>
          <w:szCs w:val="22"/>
          <w:color w:val="auto"/>
        </w:rPr>
      </w:pPr>
    </w:p>
    <w:p>
      <w:pPr>
        <w:ind w:left="1800" w:hanging="891"/>
        <w:spacing w:after="0" w:line="249" w:lineRule="auto"/>
        <w:rPr>
          <w:rFonts w:ascii="Arial" w:cs="Arial" w:eastAsia="Arial" w:hAnsi="Arial"/>
          <w:sz w:val="22"/>
          <w:szCs w:val="22"/>
          <w:color w:val="auto"/>
        </w:rPr>
      </w:pPr>
      <w:r>
        <w:rPr>
          <w:rFonts w:ascii="Arial" w:cs="Arial" w:eastAsia="Arial" w:hAnsi="Arial"/>
          <w:sz w:val="22"/>
          <w:szCs w:val="22"/>
          <w:color w:val="auto"/>
        </w:rPr>
        <w:t>2.3</w:t>
      </w:r>
      <w:r>
        <w:rPr>
          <w:rFonts w:ascii="Arial" w:cs="Arial" w:eastAsia="Arial" w:hAnsi="Arial"/>
          <w:sz w:val="21"/>
          <w:szCs w:val="21"/>
          <w:color w:val="auto"/>
        </w:rPr>
        <w:t>The Company hereby also requests the Executive, and the Executive hereby agrees, to serve on the Board of Directors of Amarin Corporation plc commencing on the CEO Start Date, without further compensation beyond that which is set forth herein. The Executive shall be deemed to have resigned from the Board of Directors of Amarin Corporation plc upon ceasing to serve as CEO for any reason, on termination of this Agreement or at any other time upon request of the Company.</w:t>
      </w:r>
    </w:p>
    <w:p>
      <w:pPr>
        <w:spacing w:after="0" w:line="178" w:lineRule="exact"/>
        <w:rPr>
          <w:rFonts w:ascii="Arial" w:cs="Arial" w:eastAsia="Arial" w:hAnsi="Arial"/>
          <w:sz w:val="22"/>
          <w:szCs w:val="22"/>
          <w:color w:val="auto"/>
        </w:rPr>
      </w:pPr>
    </w:p>
    <w:p>
      <w:pPr>
        <w:ind w:left="1800" w:hanging="891"/>
        <w:spacing w:after="0" w:line="257" w:lineRule="auto"/>
        <w:rPr>
          <w:rFonts w:ascii="Arial" w:cs="Arial" w:eastAsia="Arial" w:hAnsi="Arial"/>
          <w:sz w:val="22"/>
          <w:szCs w:val="22"/>
          <w:color w:val="auto"/>
        </w:rPr>
      </w:pPr>
      <w:r>
        <w:rPr>
          <w:rFonts w:ascii="Arial" w:cs="Arial" w:eastAsia="Arial" w:hAnsi="Arial"/>
          <w:sz w:val="22"/>
          <w:szCs w:val="22"/>
          <w:color w:val="auto"/>
        </w:rPr>
        <w:t>2.4</w:t>
      </w:r>
      <w:r>
        <w:rPr>
          <w:rFonts w:ascii="Arial" w:cs="Arial" w:eastAsia="Arial" w:hAnsi="Arial"/>
          <w:sz w:val="21"/>
          <w:szCs w:val="21"/>
          <w:color w:val="auto"/>
        </w:rPr>
        <w:t>The Company acknowledges the Executive’s original start date with the Company on July 1, 2020 for the purpose of any statutory provision and any provision of this Agreement which require the calculation of the Executive’s period of continuous employment (for seniority purposes).</w:t>
      </w:r>
    </w:p>
    <w:p>
      <w:pPr>
        <w:spacing w:after="0" w:line="169" w:lineRule="exact"/>
        <w:rPr>
          <w:rFonts w:ascii="Arial" w:cs="Arial" w:eastAsia="Arial" w:hAnsi="Arial"/>
          <w:sz w:val="22"/>
          <w:szCs w:val="22"/>
          <w:color w:val="auto"/>
        </w:rPr>
      </w:pPr>
    </w:p>
    <w:p>
      <w:pPr>
        <w:ind w:left="1800" w:hanging="891"/>
        <w:spacing w:after="0" w:line="250" w:lineRule="auto"/>
        <w:rPr>
          <w:rFonts w:ascii="Arial" w:cs="Arial" w:eastAsia="Arial" w:hAnsi="Arial"/>
          <w:sz w:val="22"/>
          <w:szCs w:val="22"/>
          <w:color w:val="auto"/>
        </w:rPr>
      </w:pPr>
      <w:r>
        <w:rPr>
          <w:rFonts w:ascii="Arial" w:cs="Arial" w:eastAsia="Arial" w:hAnsi="Arial"/>
          <w:sz w:val="22"/>
          <w:szCs w:val="22"/>
          <w:color w:val="auto"/>
        </w:rPr>
        <w:t>2.5The Executive will report to such person or persons as may be determined from time to time by the Board or its authorized representative (the "</w:t>
      </w:r>
      <w:r>
        <w:rPr>
          <w:rFonts w:ascii="Arial" w:cs="Arial" w:eastAsia="Arial" w:hAnsi="Arial"/>
          <w:sz w:val="22"/>
          <w:szCs w:val="22"/>
          <w:b w:val="1"/>
          <w:bCs w:val="1"/>
          <w:color w:val="auto"/>
        </w:rPr>
        <w:t>Reporting Authority</w:t>
      </w:r>
      <w:r>
        <w:rPr>
          <w:rFonts w:ascii="Arial" w:cs="Arial" w:eastAsia="Arial" w:hAnsi="Arial"/>
          <w:sz w:val="22"/>
          <w:szCs w:val="22"/>
          <w:color w:val="auto"/>
        </w:rPr>
        <w: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7" w:name="page98"/>
    <w:bookmarkEnd w:id="97"/>
    <w:p>
      <w:pPr>
        <w:ind w:left="900" w:hanging="892"/>
        <w:spacing w:after="0"/>
        <w:tabs>
          <w:tab w:leader="none" w:pos="900" w:val="left"/>
        </w:tabs>
        <w:numPr>
          <w:ilvl w:val="0"/>
          <w:numId w:val="57"/>
        </w:numPr>
        <w:rPr>
          <w:rFonts w:ascii="Arial" w:cs="Arial" w:eastAsia="Arial" w:hAnsi="Arial"/>
          <w:sz w:val="22"/>
          <w:szCs w:val="22"/>
          <w:color w:val="auto"/>
        </w:rPr>
      </w:pPr>
      <w:r>
        <w:rPr>
          <w:rFonts w:ascii="Arial" w:cs="Arial" w:eastAsia="Arial" w:hAnsi="Arial"/>
          <w:sz w:val="22"/>
          <w:szCs w:val="22"/>
          <w:b w:val="1"/>
          <w:bCs w:val="1"/>
          <w:color w:val="auto"/>
        </w:rPr>
        <w:t>Duties and Responsibilities</w:t>
      </w:r>
    </w:p>
    <w:p>
      <w:pPr>
        <w:spacing w:after="0" w:line="212" w:lineRule="exact"/>
        <w:rPr>
          <w:rFonts w:ascii="Arial" w:cs="Arial" w:eastAsia="Arial" w:hAnsi="Arial"/>
          <w:sz w:val="22"/>
          <w:szCs w:val="22"/>
          <w:color w:val="auto"/>
        </w:rPr>
      </w:pPr>
    </w:p>
    <w:p>
      <w:pPr>
        <w:ind w:left="900"/>
        <w:spacing w:after="0"/>
        <w:rPr>
          <w:rFonts w:ascii="Arial" w:cs="Arial" w:eastAsia="Arial" w:hAnsi="Arial"/>
          <w:sz w:val="22"/>
          <w:szCs w:val="22"/>
          <w:color w:val="auto"/>
        </w:rPr>
      </w:pPr>
      <w:r>
        <w:rPr>
          <w:rFonts w:ascii="Arial" w:cs="Arial" w:eastAsia="Arial" w:hAnsi="Arial"/>
          <w:sz w:val="22"/>
          <w:szCs w:val="22"/>
          <w:color w:val="auto"/>
        </w:rPr>
        <w:t>3.1</w:t>
      </w:r>
      <w:r>
        <w:rPr>
          <w:rFonts w:ascii="Arial" w:cs="Arial" w:eastAsia="Arial" w:hAnsi="Arial"/>
          <w:sz w:val="19"/>
          <w:szCs w:val="19"/>
          <w:color w:val="auto"/>
        </w:rPr>
        <w:t>The Executive will:</w:t>
      </w:r>
    </w:p>
    <w:p>
      <w:pPr>
        <w:spacing w:after="0" w:line="206" w:lineRule="exact"/>
        <w:rPr>
          <w:rFonts w:ascii="Arial" w:cs="Arial" w:eastAsia="Arial" w:hAnsi="Arial"/>
          <w:sz w:val="22"/>
          <w:szCs w:val="22"/>
          <w:color w:val="auto"/>
        </w:rPr>
      </w:pPr>
    </w:p>
    <w:p>
      <w:pPr>
        <w:jc w:val="both"/>
        <w:ind w:left="2680" w:hanging="890"/>
        <w:spacing w:after="0"/>
        <w:tabs>
          <w:tab w:leader="none" w:pos="26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faithfully and diligently perform such job duties and exercise such powers in relation to the Company and the business of the Group, not being inconsistent with his position, as the Reporting Authority will from time to time assign to or vest in him;</w:t>
      </w:r>
    </w:p>
    <w:p>
      <w:pPr>
        <w:spacing w:after="0" w:line="186" w:lineRule="exact"/>
        <w:rPr>
          <w:rFonts w:ascii="Arial" w:cs="Arial" w:eastAsia="Arial" w:hAnsi="Arial"/>
          <w:sz w:val="22"/>
          <w:szCs w:val="22"/>
          <w:color w:val="auto"/>
        </w:rPr>
      </w:pPr>
    </w:p>
    <w:p>
      <w:pPr>
        <w:ind w:left="2680" w:hanging="890"/>
        <w:spacing w:after="0"/>
        <w:tabs>
          <w:tab w:leader="none" w:pos="26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report on a timely basis and be accountable to the Board via the Reporting Authority;</w:t>
      </w:r>
    </w:p>
    <w:p>
      <w:pPr>
        <w:spacing w:after="0" w:line="206" w:lineRule="exact"/>
        <w:rPr>
          <w:rFonts w:ascii="Arial" w:cs="Arial" w:eastAsia="Arial" w:hAnsi="Arial"/>
          <w:sz w:val="22"/>
          <w:szCs w:val="22"/>
          <w:color w:val="auto"/>
        </w:rPr>
      </w:pPr>
    </w:p>
    <w:p>
      <w:pPr>
        <w:jc w:val="both"/>
        <w:ind w:left="2680" w:hanging="890"/>
        <w:spacing w:after="0"/>
        <w:tabs>
          <w:tab w:leader="none" w:pos="26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in the discharge of such duties and in the exercise of such powers, observe and comply with all lawful directions, resolutions, policies, procedures and regulations from time to time made or given by the Board or the Reporting Authority;</w:t>
      </w:r>
    </w:p>
    <w:p>
      <w:pPr>
        <w:spacing w:after="0" w:line="186" w:lineRule="exact"/>
        <w:rPr>
          <w:rFonts w:ascii="Arial" w:cs="Arial" w:eastAsia="Arial" w:hAnsi="Arial"/>
          <w:sz w:val="22"/>
          <w:szCs w:val="22"/>
          <w:color w:val="auto"/>
        </w:rPr>
      </w:pPr>
    </w:p>
    <w:p>
      <w:pPr>
        <w:jc w:val="both"/>
        <w:ind w:left="2680" w:hanging="890"/>
        <w:spacing w:after="0"/>
        <w:tabs>
          <w:tab w:leader="none" w:pos="26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devote the whole of his time and attention during business hours to the discharge of his duties hereunder and use his best endeavours to promote the interests, welfare and reputation of the Company and associated companies;</w:t>
      </w:r>
    </w:p>
    <w:p>
      <w:pPr>
        <w:spacing w:after="0" w:line="186" w:lineRule="exact"/>
        <w:rPr>
          <w:rFonts w:ascii="Arial" w:cs="Arial" w:eastAsia="Arial" w:hAnsi="Arial"/>
          <w:sz w:val="22"/>
          <w:szCs w:val="22"/>
          <w:color w:val="auto"/>
        </w:rPr>
      </w:pPr>
    </w:p>
    <w:p>
      <w:pPr>
        <w:jc w:val="both"/>
        <w:ind w:left="2680" w:hanging="890"/>
        <w:spacing w:after="0" w:line="236" w:lineRule="auto"/>
        <w:tabs>
          <w:tab w:leader="none" w:pos="26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in pursuance of his duties hereunder, perform such management services for any associated company in particular for Amarin Corporation plc and without any further remuneration, unless agreed by the Board or the Reporting Authority, accept such offices in the Company and/or such associated companies as the Board or the Reporting Authority may from time to time reasonably require;</w:t>
      </w:r>
    </w:p>
    <w:p>
      <w:pPr>
        <w:spacing w:after="0" w:line="187" w:lineRule="exact"/>
        <w:rPr>
          <w:rFonts w:ascii="Arial" w:cs="Arial" w:eastAsia="Arial" w:hAnsi="Arial"/>
          <w:sz w:val="22"/>
          <w:szCs w:val="22"/>
          <w:color w:val="auto"/>
        </w:rPr>
      </w:pPr>
    </w:p>
    <w:p>
      <w:pPr>
        <w:jc w:val="both"/>
        <w:ind w:left="2680" w:hanging="890"/>
        <w:spacing w:after="0" w:line="297" w:lineRule="auto"/>
        <w:tabs>
          <w:tab w:leader="none" w:pos="26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except to the extent, if any, permitted by the Group and/or Company code of ethics, not directly or indirectly give or receive gifts, incentives or inducements to or from any person or company in the carrying out of any activity in connection with the Company and/or any associated company;</w:t>
      </w:r>
    </w:p>
    <w:p>
      <w:pPr>
        <w:spacing w:after="0" w:line="133" w:lineRule="exact"/>
        <w:rPr>
          <w:rFonts w:ascii="Arial" w:cs="Arial" w:eastAsia="Arial" w:hAnsi="Arial"/>
          <w:sz w:val="19"/>
          <w:szCs w:val="19"/>
          <w:color w:val="auto"/>
        </w:rPr>
      </w:pPr>
    </w:p>
    <w:p>
      <w:pPr>
        <w:jc w:val="both"/>
        <w:ind w:left="2680" w:hanging="890"/>
        <w:spacing w:after="0"/>
        <w:tabs>
          <w:tab w:leader="none" w:pos="26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save as agreed under clause 4.3, not during his tenure of office engage directly or indirectly in any other trade, business, profession or calling unless approved in accordance with Group and/or Company policies and procedures;</w:t>
      </w:r>
    </w:p>
    <w:p>
      <w:pPr>
        <w:spacing w:after="0" w:line="186" w:lineRule="exact"/>
        <w:rPr>
          <w:rFonts w:ascii="Arial" w:cs="Arial" w:eastAsia="Arial" w:hAnsi="Arial"/>
          <w:sz w:val="22"/>
          <w:szCs w:val="22"/>
          <w:color w:val="auto"/>
        </w:rPr>
      </w:pPr>
    </w:p>
    <w:p>
      <w:pPr>
        <w:jc w:val="both"/>
        <w:ind w:left="2680" w:hanging="890"/>
        <w:spacing w:after="0" w:line="238" w:lineRule="auto"/>
        <w:tabs>
          <w:tab w:leader="none" w:pos="26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not purchase or license any entity or product, enter into any debt on behalf of the Company or in any way pledge the credit of the Company except so far as he may be specifically authorised from time to time to do so by the Board and the Reporting Authority whether generally or in any particular case.</w:t>
      </w:r>
    </w:p>
    <w:p>
      <w:pPr>
        <w:spacing w:after="0" w:line="185" w:lineRule="exact"/>
        <w:rPr>
          <w:sz w:val="20"/>
          <w:szCs w:val="20"/>
          <w:color w:val="auto"/>
        </w:rPr>
      </w:pPr>
    </w:p>
    <w:p>
      <w:pPr>
        <w:jc w:val="both"/>
        <w:ind w:left="1800" w:hanging="890"/>
        <w:spacing w:after="0" w:line="238" w:lineRule="auto"/>
        <w:tabs>
          <w:tab w:leader="none" w:pos="17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Without prejudice to the generality of the foregoing, the Executive acknowledges that he will be expected to perform and carry out all job duties, acts and obligations and to comply with such directions as may be designated by any of the Reporting Authority or the Board to be reasonably consistent with his position. The Executive acknowledges that during the course of his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8" w:name="page99"/>
    <w:bookmarkEnd w:id="98"/>
    <w:p>
      <w:pPr>
        <w:ind w:left="1800" w:right="20"/>
        <w:spacing w:after="0" w:line="328" w:lineRule="auto"/>
        <w:rPr>
          <w:sz w:val="20"/>
          <w:szCs w:val="20"/>
          <w:color w:val="auto"/>
        </w:rPr>
      </w:pPr>
      <w:r>
        <w:rPr>
          <w:rFonts w:ascii="Arial" w:cs="Arial" w:eastAsia="Arial" w:hAnsi="Arial"/>
          <w:sz w:val="19"/>
          <w:szCs w:val="19"/>
          <w:color w:val="auto"/>
        </w:rPr>
        <w:t>employment with the Company, it may be necessary to expand or contract his duties within the general scope of his position, which may include a change of title and increased or reduced responsibilities..</w:t>
      </w:r>
    </w:p>
    <w:p>
      <w:pPr>
        <w:spacing w:after="0" w:line="105" w:lineRule="exact"/>
        <w:rPr>
          <w:sz w:val="20"/>
          <w:szCs w:val="20"/>
          <w:color w:val="auto"/>
        </w:rPr>
      </w:pPr>
    </w:p>
    <w:p>
      <w:pPr>
        <w:jc w:val="both"/>
        <w:ind w:left="1800" w:hanging="890"/>
        <w:spacing w:after="0"/>
        <w:tabs>
          <w:tab w:leader="none" w:pos="17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2"/>
          <w:szCs w:val="22"/>
          <w:color w:val="auto"/>
        </w:rPr>
        <w:t>Without prejudice to the generality of the provisions of this clause, the key duties and responsibilities of the Executive will include those reasonably notified by any of the Reporting Authority or the Board to the Executive from time to time.</w:t>
      </w:r>
    </w:p>
    <w:p>
      <w:pPr>
        <w:spacing w:after="0" w:line="186" w:lineRule="exact"/>
        <w:rPr>
          <w:sz w:val="20"/>
          <w:szCs w:val="20"/>
          <w:color w:val="auto"/>
        </w:rPr>
      </w:pPr>
    </w:p>
    <w:p>
      <w:pPr>
        <w:jc w:val="both"/>
        <w:ind w:left="1800" w:hanging="890"/>
        <w:spacing w:after="0"/>
        <w:tabs>
          <w:tab w:leader="none" w:pos="17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22"/>
          <w:szCs w:val="22"/>
          <w:color w:val="auto"/>
        </w:rPr>
        <w:t>The Executive will act diligently and use all reasonable efforts to achieve such performance and other specific targets as may be reasonably set from time to time by any of the Reporting Authority or the Board and notified to the Executive.</w:t>
      </w:r>
    </w:p>
    <w:p>
      <w:pPr>
        <w:spacing w:after="0" w:line="180" w:lineRule="exact"/>
        <w:rPr>
          <w:sz w:val="20"/>
          <w:szCs w:val="20"/>
          <w:color w:val="auto"/>
        </w:rPr>
      </w:pPr>
    </w:p>
    <w:p>
      <w:pPr>
        <w:ind w:left="900" w:hanging="892"/>
        <w:spacing w:after="0"/>
        <w:tabs>
          <w:tab w:leader="none" w:pos="90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Conduct and Standards</w:t>
      </w:r>
    </w:p>
    <w:p>
      <w:pPr>
        <w:spacing w:after="0" w:line="212" w:lineRule="exact"/>
        <w:rPr>
          <w:rFonts w:ascii="Arial" w:cs="Arial" w:eastAsia="Arial" w:hAnsi="Arial"/>
          <w:sz w:val="22"/>
          <w:szCs w:val="22"/>
          <w:color w:val="auto"/>
        </w:rPr>
      </w:pPr>
    </w:p>
    <w:p>
      <w:pPr>
        <w:ind w:left="1800" w:hanging="891"/>
        <w:spacing w:after="0" w:line="328" w:lineRule="auto"/>
        <w:rPr>
          <w:rFonts w:ascii="Arial" w:cs="Arial" w:eastAsia="Arial" w:hAnsi="Arial"/>
          <w:sz w:val="22"/>
          <w:szCs w:val="22"/>
          <w:color w:val="auto"/>
        </w:rPr>
      </w:pPr>
      <w:r>
        <w:rPr>
          <w:rFonts w:ascii="Arial" w:cs="Arial" w:eastAsia="Arial" w:hAnsi="Arial"/>
          <w:sz w:val="22"/>
          <w:szCs w:val="22"/>
          <w:color w:val="auto"/>
        </w:rPr>
        <w:t>4.1</w:t>
      </w:r>
      <w:r>
        <w:rPr>
          <w:rFonts w:ascii="Arial" w:cs="Arial" w:eastAsia="Arial" w:hAnsi="Arial"/>
          <w:sz w:val="19"/>
          <w:szCs w:val="19"/>
          <w:color w:val="auto"/>
        </w:rPr>
        <w:t>The Executive hereby warrants that his performance of the provisions of this Agreement will not infringe the rights of any third party or cause the Executive to be in breach of any of his obligations to a third party.</w:t>
      </w:r>
    </w:p>
    <w:p>
      <w:pPr>
        <w:spacing w:after="0" w:line="104" w:lineRule="exact"/>
        <w:rPr>
          <w:rFonts w:ascii="Arial" w:cs="Arial" w:eastAsia="Arial" w:hAnsi="Arial"/>
          <w:sz w:val="22"/>
          <w:szCs w:val="22"/>
          <w:color w:val="auto"/>
        </w:rPr>
      </w:pPr>
    </w:p>
    <w:p>
      <w:pPr>
        <w:ind w:left="1800" w:hanging="891"/>
        <w:spacing w:after="0" w:line="297" w:lineRule="auto"/>
        <w:rPr>
          <w:rFonts w:ascii="Arial" w:cs="Arial" w:eastAsia="Arial" w:hAnsi="Arial"/>
          <w:sz w:val="22"/>
          <w:szCs w:val="22"/>
          <w:color w:val="auto"/>
        </w:rPr>
      </w:pPr>
      <w:r>
        <w:rPr>
          <w:rFonts w:ascii="Arial" w:cs="Arial" w:eastAsia="Arial" w:hAnsi="Arial"/>
          <w:sz w:val="22"/>
          <w:szCs w:val="22"/>
          <w:color w:val="auto"/>
        </w:rPr>
        <w:t>4.2</w:t>
      </w:r>
      <w:r>
        <w:rPr>
          <w:rFonts w:ascii="Arial" w:cs="Arial" w:eastAsia="Arial" w:hAnsi="Arial"/>
          <w:sz w:val="19"/>
          <w:szCs w:val="19"/>
          <w:color w:val="auto"/>
        </w:rPr>
        <w:t>The Executive will be obliged to travel throughout the world as may reasonably be required by the Reporting Authority or the Board for the proper and efficient fulfilment and discharge of his duties and responsibilities to the Company (such travel to be in accordance with Group and/or Company policies and procedures).</w:t>
      </w:r>
    </w:p>
    <w:p>
      <w:pPr>
        <w:spacing w:after="0" w:line="133" w:lineRule="exact"/>
        <w:rPr>
          <w:rFonts w:ascii="Arial" w:cs="Arial" w:eastAsia="Arial" w:hAnsi="Arial"/>
          <w:sz w:val="22"/>
          <w:szCs w:val="22"/>
          <w:color w:val="auto"/>
        </w:rPr>
      </w:pPr>
    </w:p>
    <w:p>
      <w:pPr>
        <w:ind w:left="1800" w:hanging="891"/>
        <w:spacing w:after="0"/>
        <w:rPr>
          <w:rFonts w:ascii="Arial" w:cs="Arial" w:eastAsia="Arial" w:hAnsi="Arial"/>
          <w:sz w:val="22"/>
          <w:szCs w:val="22"/>
          <w:color w:val="auto"/>
        </w:rPr>
      </w:pPr>
      <w:r>
        <w:rPr>
          <w:rFonts w:ascii="Arial" w:cs="Arial" w:eastAsia="Arial" w:hAnsi="Arial"/>
          <w:sz w:val="22"/>
          <w:szCs w:val="22"/>
          <w:color w:val="auto"/>
        </w:rPr>
        <w:t>4.3Prior to the commencement of his employment under this Agreement, the Company will agree, in writing, with the Executive any other business activities (if any) in which he may either directly or indirectly assist or engage or be interested in during the period of his employment hereunder.</w:t>
      </w:r>
    </w:p>
    <w:p>
      <w:pPr>
        <w:spacing w:after="0" w:line="186" w:lineRule="exact"/>
        <w:rPr>
          <w:rFonts w:ascii="Arial" w:cs="Arial" w:eastAsia="Arial" w:hAnsi="Arial"/>
          <w:sz w:val="22"/>
          <w:szCs w:val="22"/>
          <w:color w:val="auto"/>
        </w:rPr>
      </w:pPr>
    </w:p>
    <w:p>
      <w:pPr>
        <w:ind w:left="1800" w:hanging="891"/>
        <w:spacing w:after="0" w:line="234" w:lineRule="auto"/>
        <w:rPr>
          <w:rFonts w:ascii="Arial" w:cs="Arial" w:eastAsia="Arial" w:hAnsi="Arial"/>
          <w:sz w:val="22"/>
          <w:szCs w:val="22"/>
          <w:color w:val="auto"/>
        </w:rPr>
      </w:pPr>
      <w:r>
        <w:rPr>
          <w:rFonts w:ascii="Arial" w:cs="Arial" w:eastAsia="Arial" w:hAnsi="Arial"/>
          <w:sz w:val="22"/>
          <w:szCs w:val="22"/>
          <w:color w:val="auto"/>
        </w:rPr>
        <w:t>4.4The Executive will not at any time during his employment with the Company (except as the holder of any shares, stock or debentures which in aggregate do not exceed one percent (1%) of the total shares, stocks or debentures of a company quoted on any recognised stock exchange) directly or indirectly assist or engage or be interested in or work for any business in competition with the Company and/or any of its associated companies without complying with the relevant Group and/or Company policies and procedures and obtaining the prior approval of the Reporting Authority and/or the Board as provided in such policies and procedures.</w:t>
      </w:r>
    </w:p>
    <w:p>
      <w:pPr>
        <w:spacing w:after="0" w:line="190" w:lineRule="exact"/>
        <w:rPr>
          <w:rFonts w:ascii="Arial" w:cs="Arial" w:eastAsia="Arial" w:hAnsi="Arial"/>
          <w:sz w:val="22"/>
          <w:szCs w:val="22"/>
          <w:color w:val="auto"/>
        </w:rPr>
      </w:pPr>
    </w:p>
    <w:p>
      <w:pPr>
        <w:ind w:left="1800" w:hanging="891"/>
        <w:spacing w:after="0"/>
        <w:rPr>
          <w:rFonts w:ascii="Arial" w:cs="Arial" w:eastAsia="Arial" w:hAnsi="Arial"/>
          <w:sz w:val="22"/>
          <w:szCs w:val="22"/>
          <w:color w:val="auto"/>
        </w:rPr>
      </w:pPr>
      <w:r>
        <w:rPr>
          <w:rFonts w:ascii="Arial" w:cs="Arial" w:eastAsia="Arial" w:hAnsi="Arial"/>
          <w:sz w:val="22"/>
          <w:szCs w:val="22"/>
          <w:color w:val="auto"/>
        </w:rPr>
        <w:t>4.5The Executive will at all times during the continuance of this Agreement operate to a high degree of integrity and performance and will comply with the Group and/or Company code of ethics and with any other codes of conduct or regulations as may apply to the Company from time to time.</w:t>
      </w:r>
    </w:p>
    <w:p>
      <w:pPr>
        <w:spacing w:after="0" w:line="186" w:lineRule="exact"/>
        <w:rPr>
          <w:rFonts w:ascii="Arial" w:cs="Arial" w:eastAsia="Arial" w:hAnsi="Arial"/>
          <w:sz w:val="22"/>
          <w:szCs w:val="22"/>
          <w:color w:val="auto"/>
        </w:rPr>
      </w:pPr>
    </w:p>
    <w:p>
      <w:pPr>
        <w:ind w:left="1800" w:hanging="891"/>
        <w:spacing w:after="0" w:line="297" w:lineRule="auto"/>
        <w:rPr>
          <w:rFonts w:ascii="Arial" w:cs="Arial" w:eastAsia="Arial" w:hAnsi="Arial"/>
          <w:sz w:val="22"/>
          <w:szCs w:val="22"/>
          <w:color w:val="auto"/>
        </w:rPr>
      </w:pPr>
      <w:r>
        <w:rPr>
          <w:rFonts w:ascii="Arial" w:cs="Arial" w:eastAsia="Arial" w:hAnsi="Arial"/>
          <w:sz w:val="22"/>
          <w:szCs w:val="22"/>
          <w:color w:val="auto"/>
        </w:rPr>
        <w:t>4.6</w:t>
      </w:r>
      <w:r>
        <w:rPr>
          <w:rFonts w:ascii="Arial" w:cs="Arial" w:eastAsia="Arial" w:hAnsi="Arial"/>
          <w:sz w:val="19"/>
          <w:szCs w:val="19"/>
          <w:color w:val="auto"/>
        </w:rPr>
        <w:t>Considering the Executive’s position, the Company will provide the Executive with certain indemnification pursuant to a standard indemnification agreement on terms no less favourable that that provided under law and no less favourable than those provided to similarly situated officers of the Group companies,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9" w:name="page100"/>
    <w:bookmarkEnd w:id="99"/>
    <w:p>
      <w:pPr>
        <w:ind w:left="1800"/>
        <w:spacing w:after="0" w:line="250" w:lineRule="auto"/>
        <w:rPr>
          <w:sz w:val="20"/>
          <w:szCs w:val="20"/>
          <w:color w:val="auto"/>
        </w:rPr>
      </w:pPr>
      <w:r>
        <w:rPr>
          <w:rFonts w:ascii="Arial" w:cs="Arial" w:eastAsia="Arial" w:hAnsi="Arial"/>
          <w:sz w:val="22"/>
          <w:szCs w:val="22"/>
          <w:color w:val="auto"/>
        </w:rPr>
        <w:t>the Executive will be covered by the Group Directors’ and Officers’ Liability Insurance Policy on a similar basis to such other officers of Group companies.</w:t>
      </w:r>
    </w:p>
    <w:p>
      <w:pPr>
        <w:spacing w:after="0" w:line="169" w:lineRule="exact"/>
        <w:rPr>
          <w:sz w:val="20"/>
          <w:szCs w:val="20"/>
          <w:color w:val="auto"/>
        </w:rPr>
      </w:pPr>
    </w:p>
    <w:p>
      <w:pPr>
        <w:ind w:left="900" w:hanging="892"/>
        <w:spacing w:after="0"/>
        <w:tabs>
          <w:tab w:leader="none" w:pos="90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Place of Work</w:t>
      </w:r>
    </w:p>
    <w:p>
      <w:pPr>
        <w:spacing w:after="0" w:line="212" w:lineRule="exact"/>
        <w:rPr>
          <w:rFonts w:ascii="Arial" w:cs="Arial" w:eastAsia="Arial" w:hAnsi="Arial"/>
          <w:sz w:val="22"/>
          <w:szCs w:val="22"/>
          <w:color w:val="auto"/>
        </w:rPr>
      </w:pPr>
    </w:p>
    <w:p>
      <w:pPr>
        <w:ind w:left="900"/>
        <w:spacing w:after="0" w:line="250" w:lineRule="auto"/>
        <w:rPr>
          <w:rFonts w:ascii="Arial" w:cs="Arial" w:eastAsia="Arial" w:hAnsi="Arial"/>
          <w:sz w:val="22"/>
          <w:szCs w:val="22"/>
          <w:color w:val="auto"/>
        </w:rPr>
      </w:pPr>
      <w:r>
        <w:rPr>
          <w:rFonts w:ascii="Arial" w:cs="Arial" w:eastAsia="Arial" w:hAnsi="Arial"/>
          <w:sz w:val="22"/>
          <w:szCs w:val="22"/>
          <w:color w:val="auto"/>
        </w:rPr>
        <w:t>The Executive’s normal place of work will be in Switzerland, in the Company’s principal offices currently in Zug, as they may change and be designated from time to time.</w:t>
      </w:r>
    </w:p>
    <w:p>
      <w:pPr>
        <w:spacing w:after="0" w:line="174" w:lineRule="exact"/>
        <w:rPr>
          <w:rFonts w:ascii="Arial" w:cs="Arial" w:eastAsia="Arial" w:hAnsi="Arial"/>
          <w:sz w:val="22"/>
          <w:szCs w:val="22"/>
          <w:color w:val="auto"/>
        </w:rPr>
      </w:pPr>
    </w:p>
    <w:p>
      <w:pPr>
        <w:jc w:val="both"/>
        <w:ind w:left="900"/>
        <w:spacing w:after="0"/>
        <w:rPr>
          <w:rFonts w:ascii="Arial" w:cs="Arial" w:eastAsia="Arial" w:hAnsi="Arial"/>
          <w:sz w:val="22"/>
          <w:szCs w:val="22"/>
          <w:color w:val="auto"/>
        </w:rPr>
      </w:pPr>
      <w:r>
        <w:rPr>
          <w:rFonts w:ascii="Arial" w:cs="Arial" w:eastAsia="Arial" w:hAnsi="Arial"/>
          <w:sz w:val="22"/>
          <w:szCs w:val="22"/>
          <w:color w:val="auto"/>
        </w:rPr>
        <w:t>For the efficient discharge of his duties, the Executive will be required to travel to work at such other Group locations as the Company may reasonably require from time to time, including without limitation to the Group’s offices in Ireland and the USA.</w:t>
      </w:r>
    </w:p>
    <w:p>
      <w:pPr>
        <w:spacing w:after="0" w:line="186" w:lineRule="exact"/>
        <w:rPr>
          <w:rFonts w:ascii="Arial" w:cs="Arial" w:eastAsia="Arial" w:hAnsi="Arial"/>
          <w:sz w:val="22"/>
          <w:szCs w:val="22"/>
          <w:color w:val="auto"/>
        </w:rPr>
      </w:pPr>
    </w:p>
    <w:p>
      <w:pPr>
        <w:ind w:left="900"/>
        <w:spacing w:after="0" w:line="274" w:lineRule="auto"/>
        <w:rPr>
          <w:rFonts w:ascii="Arial" w:cs="Arial" w:eastAsia="Arial" w:hAnsi="Arial"/>
          <w:sz w:val="22"/>
          <w:szCs w:val="22"/>
          <w:color w:val="auto"/>
        </w:rPr>
      </w:pPr>
      <w:r>
        <w:rPr>
          <w:rFonts w:ascii="Arial" w:cs="Arial" w:eastAsia="Arial" w:hAnsi="Arial"/>
          <w:sz w:val="21"/>
          <w:szCs w:val="21"/>
          <w:color w:val="auto"/>
        </w:rPr>
        <w:t>The Company reserves the right to base the Executive at other locations whether temporarily or permanently, in or outside Switzerland, as the needs of the business require, including without limitation in the USA.</w:t>
      </w:r>
    </w:p>
    <w:p>
      <w:pPr>
        <w:spacing w:after="0" w:line="144" w:lineRule="exact"/>
        <w:rPr>
          <w:rFonts w:ascii="Arial" w:cs="Arial" w:eastAsia="Arial" w:hAnsi="Arial"/>
          <w:sz w:val="22"/>
          <w:szCs w:val="22"/>
          <w:color w:val="auto"/>
        </w:rPr>
      </w:pPr>
    </w:p>
    <w:p>
      <w:pPr>
        <w:ind w:left="900" w:hanging="892"/>
        <w:spacing w:after="0"/>
        <w:tabs>
          <w:tab w:leader="none" w:pos="90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Hours of Work</w:t>
      </w:r>
    </w:p>
    <w:p>
      <w:pPr>
        <w:spacing w:after="0" w:line="212" w:lineRule="exact"/>
        <w:rPr>
          <w:rFonts w:ascii="Arial" w:cs="Arial" w:eastAsia="Arial" w:hAnsi="Arial"/>
          <w:sz w:val="22"/>
          <w:szCs w:val="22"/>
          <w:color w:val="auto"/>
        </w:rPr>
      </w:pPr>
    </w:p>
    <w:p>
      <w:pPr>
        <w:jc w:val="both"/>
        <w:ind w:left="900" w:right="20"/>
        <w:spacing w:after="0" w:line="236" w:lineRule="auto"/>
        <w:rPr>
          <w:rFonts w:ascii="Arial" w:cs="Arial" w:eastAsia="Arial" w:hAnsi="Arial"/>
          <w:sz w:val="22"/>
          <w:szCs w:val="22"/>
          <w:color w:val="auto"/>
        </w:rPr>
      </w:pPr>
      <w:r>
        <w:rPr>
          <w:rFonts w:ascii="Arial" w:cs="Arial" w:eastAsia="Arial" w:hAnsi="Arial"/>
          <w:sz w:val="22"/>
          <w:szCs w:val="22"/>
          <w:color w:val="auto"/>
        </w:rPr>
        <w:t>The Executive shall work on a full-time basis. The Executive acknowledges and accepts that he holds a leading managerial and high executive position in the meaning of article 3 (d) of the Swiss Labour Act (LTr) and that, given his function, he is expected to work the time necessary to best achieve his work based on the actual needs of the Company. The Executive shall take breaks and rest period sufficiently protective of his health. The Executive is not entitled to any overtime payment or compensatory leave.</w:t>
      </w:r>
    </w:p>
    <w:p>
      <w:pPr>
        <w:spacing w:after="0" w:line="187" w:lineRule="exact"/>
        <w:rPr>
          <w:rFonts w:ascii="Arial" w:cs="Arial" w:eastAsia="Arial" w:hAnsi="Arial"/>
          <w:sz w:val="22"/>
          <w:szCs w:val="22"/>
          <w:color w:val="auto"/>
        </w:rPr>
      </w:pPr>
    </w:p>
    <w:p>
      <w:pPr>
        <w:jc w:val="both"/>
        <w:ind w:left="900"/>
        <w:spacing w:after="0"/>
        <w:rPr>
          <w:rFonts w:ascii="Arial" w:cs="Arial" w:eastAsia="Arial" w:hAnsi="Arial"/>
          <w:sz w:val="22"/>
          <w:szCs w:val="22"/>
          <w:color w:val="auto"/>
        </w:rPr>
      </w:pPr>
      <w:r>
        <w:rPr>
          <w:rFonts w:ascii="Arial" w:cs="Arial" w:eastAsia="Arial" w:hAnsi="Arial"/>
          <w:sz w:val="22"/>
          <w:szCs w:val="22"/>
          <w:color w:val="auto"/>
        </w:rPr>
        <w:t>The Executive will structure his work hours in a manner which enables him to work with colleagues in other Group offices throughout the world (on a reasonable basis taking into account the issues of relative time zones between Switzerland, Ireland and the USA).</w:t>
      </w:r>
    </w:p>
    <w:p>
      <w:pPr>
        <w:spacing w:after="0" w:line="186" w:lineRule="exact"/>
        <w:rPr>
          <w:rFonts w:ascii="Arial" w:cs="Arial" w:eastAsia="Arial" w:hAnsi="Arial"/>
          <w:sz w:val="22"/>
          <w:szCs w:val="22"/>
          <w:color w:val="auto"/>
        </w:rPr>
      </w:pPr>
    </w:p>
    <w:p>
      <w:pPr>
        <w:ind w:left="900"/>
        <w:spacing w:after="0" w:line="250" w:lineRule="auto"/>
        <w:rPr>
          <w:rFonts w:ascii="Arial" w:cs="Arial" w:eastAsia="Arial" w:hAnsi="Arial"/>
          <w:sz w:val="22"/>
          <w:szCs w:val="22"/>
          <w:color w:val="auto"/>
        </w:rPr>
      </w:pPr>
      <w:r>
        <w:rPr>
          <w:rFonts w:ascii="Arial" w:cs="Arial" w:eastAsia="Arial" w:hAnsi="Arial"/>
          <w:sz w:val="22"/>
          <w:szCs w:val="22"/>
          <w:color w:val="auto"/>
        </w:rPr>
        <w:t>The Executive will be expected to be reasonably available to travel and work outside normal office hours without additional remuneration, holidays or leave.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900" w:hanging="892"/>
        <w:spacing w:after="0"/>
        <w:tabs>
          <w:tab w:leader="none" w:pos="900" w:val="left"/>
        </w:tabs>
        <w:numPr>
          <w:ilvl w:val="0"/>
          <w:numId w:val="59"/>
        </w:numPr>
        <w:rPr>
          <w:rFonts w:ascii="Arial" w:cs="Arial" w:eastAsia="Arial" w:hAnsi="Arial"/>
          <w:sz w:val="22"/>
          <w:szCs w:val="22"/>
          <w:color w:val="auto"/>
        </w:rPr>
      </w:pPr>
      <w:r>
        <w:rPr>
          <w:rFonts w:ascii="Arial" w:cs="Arial" w:eastAsia="Arial" w:hAnsi="Arial"/>
          <w:sz w:val="22"/>
          <w:szCs w:val="22"/>
          <w:b w:val="1"/>
          <w:bCs w:val="1"/>
          <w:color w:val="auto"/>
        </w:rPr>
        <w:t>Remuneration</w:t>
      </w:r>
    </w:p>
    <w:p>
      <w:pPr>
        <w:spacing w:after="0" w:line="212" w:lineRule="exact"/>
        <w:rPr>
          <w:rFonts w:ascii="Arial" w:cs="Arial" w:eastAsia="Arial" w:hAnsi="Arial"/>
          <w:sz w:val="22"/>
          <w:szCs w:val="22"/>
          <w:color w:val="auto"/>
        </w:rPr>
      </w:pPr>
    </w:p>
    <w:p>
      <w:pPr>
        <w:ind w:left="1800" w:hanging="891"/>
        <w:spacing w:after="0" w:line="275" w:lineRule="auto"/>
        <w:rPr>
          <w:rFonts w:ascii="Arial" w:cs="Arial" w:eastAsia="Arial" w:hAnsi="Arial"/>
          <w:sz w:val="22"/>
          <w:szCs w:val="22"/>
          <w:color w:val="auto"/>
        </w:rPr>
      </w:pPr>
      <w:r>
        <w:rPr>
          <w:rFonts w:ascii="Arial" w:cs="Arial" w:eastAsia="Arial" w:hAnsi="Arial"/>
          <w:sz w:val="22"/>
          <w:szCs w:val="22"/>
          <w:color w:val="auto"/>
        </w:rPr>
        <w:t>7.1</w:t>
      </w:r>
      <w:r>
        <w:rPr>
          <w:rFonts w:ascii="Arial" w:cs="Arial" w:eastAsia="Arial" w:hAnsi="Arial"/>
          <w:sz w:val="19"/>
          <w:szCs w:val="19"/>
          <w:color w:val="auto"/>
        </w:rPr>
        <w:t>The Executive’s salary will be 750,000 USD gross per annum (and pro rata for any lesser period), provided that it will be converted to CHF and paid in CHF for so long as he primarily resides in Switzerland, with such exchange rate to initially be set at 0.9512 and to be re-set on or around the commencement of each calendar year by mutual agreement of the parties or more frequently if the exchange rate changes by more than 6%. Remuneration is payable monthly in arrears (subject to all statutory and agreed deductions) by credit transfer to a bank of the Executive’s choice, and such payment arrangements will remain in force until otherwise mutually agreed. The social, legal and contractual employee's contributions and, if applicable, tax at source will be deducted from the gross salary.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0" w:name="page101"/>
    <w:bookmarkEnd w:id="100"/>
    <w:p>
      <w:pPr>
        <w:jc w:val="both"/>
        <w:ind w:left="1800" w:right="20" w:hanging="890"/>
        <w:spacing w:after="0" w:line="274" w:lineRule="auto"/>
        <w:tabs>
          <w:tab w:leader="none" w:pos="17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In the event the Executive does not assume the position of President and CEO in Amarin Corporation plc on the CEO Start Date, his salary will be reduced to 475,000 USD as of the CEO Start Date.</w:t>
      </w:r>
    </w:p>
    <w:p>
      <w:pPr>
        <w:spacing w:after="0" w:line="151" w:lineRule="exact"/>
        <w:rPr>
          <w:sz w:val="20"/>
          <w:szCs w:val="20"/>
          <w:color w:val="auto"/>
        </w:rPr>
      </w:pPr>
    </w:p>
    <w:p>
      <w:pPr>
        <w:jc w:val="both"/>
        <w:ind w:left="1800" w:hanging="890"/>
        <w:spacing w:after="0"/>
        <w:tabs>
          <w:tab w:leader="none" w:pos="17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color w:val="auto"/>
        </w:rPr>
        <w:t>The Executive’s salary and other remuneration will be reviewed each year or otherwise in line with Group and/or Company policies and procedures, and any increase to same (which is at the discretion of the Company) will be notified to the Executive in writing.</w:t>
      </w:r>
    </w:p>
    <w:p>
      <w:pPr>
        <w:spacing w:after="0" w:line="186" w:lineRule="exact"/>
        <w:rPr>
          <w:sz w:val="20"/>
          <w:szCs w:val="20"/>
          <w:color w:val="auto"/>
        </w:rPr>
      </w:pPr>
    </w:p>
    <w:p>
      <w:pPr>
        <w:jc w:val="both"/>
        <w:ind w:left="1800" w:right="20" w:hanging="890"/>
        <w:spacing w:after="0" w:line="250" w:lineRule="auto"/>
        <w:tabs>
          <w:tab w:leader="none" w:pos="17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color w:val="auto"/>
        </w:rPr>
        <w:t>The Executive’s annual remuneration may include a flat-rate representation allowance as admitted by the competent tax authorities.</w:t>
      </w:r>
    </w:p>
    <w:p>
      <w:pPr>
        <w:spacing w:after="0" w:line="175" w:lineRule="exact"/>
        <w:rPr>
          <w:sz w:val="20"/>
          <w:szCs w:val="20"/>
          <w:color w:val="auto"/>
        </w:rPr>
      </w:pPr>
    </w:p>
    <w:p>
      <w:pPr>
        <w:jc w:val="both"/>
        <w:ind w:left="1800" w:hanging="890"/>
        <w:spacing w:after="0" w:line="238" w:lineRule="auto"/>
        <w:tabs>
          <w:tab w:leader="none" w:pos="17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2"/>
          <w:szCs w:val="22"/>
          <w:color w:val="auto"/>
        </w:rPr>
        <w:t>The Executive will be reimbursed for any reasonable expenses properly and necessarily incurred by the Executive while performing his duties on behalf of the Company, including business expenses incurred when required to travel abroad for Company business subject to the Executive conforming to Group and/or Company policies and procedures.</w:t>
      </w:r>
    </w:p>
    <w:p>
      <w:pPr>
        <w:spacing w:after="0" w:line="185" w:lineRule="exact"/>
        <w:rPr>
          <w:sz w:val="20"/>
          <w:szCs w:val="20"/>
          <w:color w:val="auto"/>
        </w:rPr>
      </w:pPr>
    </w:p>
    <w:p>
      <w:pPr>
        <w:jc w:val="both"/>
        <w:ind w:left="1800" w:hanging="890"/>
        <w:spacing w:after="0" w:line="297" w:lineRule="auto"/>
        <w:tabs>
          <w:tab w:leader="none" w:pos="17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color w:val="auto"/>
        </w:rPr>
        <w:t>In the event of the Company making an overpayment or an incorrect deduction of tax or insurance, the Executive commits himself to reimburse the Company. The Company reserves the right to make deductions from payments due to the Executive so as to reimburse sums due by the Executive to the Company.</w:t>
      </w:r>
    </w:p>
    <w:p>
      <w:pPr>
        <w:spacing w:after="0" w:line="128" w:lineRule="exact"/>
        <w:rPr>
          <w:sz w:val="20"/>
          <w:szCs w:val="20"/>
          <w:color w:val="auto"/>
        </w:rPr>
      </w:pPr>
    </w:p>
    <w:p>
      <w:pPr>
        <w:ind w:left="900" w:hanging="892"/>
        <w:spacing w:after="0"/>
        <w:tabs>
          <w:tab w:leader="none" w:pos="90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Performance Related Bonus</w:t>
      </w:r>
    </w:p>
    <w:p>
      <w:pPr>
        <w:spacing w:after="0" w:line="212" w:lineRule="exact"/>
        <w:rPr>
          <w:rFonts w:ascii="Arial" w:cs="Arial" w:eastAsia="Arial" w:hAnsi="Arial"/>
          <w:sz w:val="22"/>
          <w:szCs w:val="22"/>
          <w:color w:val="auto"/>
        </w:rPr>
      </w:pPr>
    </w:p>
    <w:p>
      <w:pPr>
        <w:jc w:val="both"/>
        <w:ind w:left="900"/>
        <w:spacing w:after="0" w:line="279" w:lineRule="auto"/>
        <w:rPr>
          <w:rFonts w:ascii="Arial" w:cs="Arial" w:eastAsia="Arial" w:hAnsi="Arial"/>
          <w:sz w:val="22"/>
          <w:szCs w:val="22"/>
          <w:color w:val="auto"/>
        </w:rPr>
      </w:pPr>
      <w:r>
        <w:rPr>
          <w:rFonts w:ascii="Arial" w:cs="Arial" w:eastAsia="Arial" w:hAnsi="Arial"/>
          <w:sz w:val="19"/>
          <w:szCs w:val="19"/>
          <w:color w:val="auto"/>
        </w:rPr>
        <w:t>The Executive will be eligible for a performance bonus of up to 70% of his annual salary (and pro rata for any lesser period) paid annually no later than 31 March based on individual and Company objectives to be set by the Company. Any bonus payment is entirely at the discretion of the Board. The Executive must be in the continued employment of the Company at the time of the payment of the annual bonus to be eligible to receive any bonus payment. In the event the Executive does not assume the position of President and CEO in Amarin Corporation plc on the CEO Start Date, the target bonus will be reduced to 40% of his annual salary as of the CEO Start Date.</w:t>
      </w:r>
    </w:p>
    <w:p>
      <w:pPr>
        <w:spacing w:after="0" w:line="144" w:lineRule="exact"/>
        <w:rPr>
          <w:rFonts w:ascii="Arial" w:cs="Arial" w:eastAsia="Arial" w:hAnsi="Arial"/>
          <w:sz w:val="22"/>
          <w:szCs w:val="22"/>
          <w:color w:val="auto"/>
        </w:rPr>
      </w:pPr>
    </w:p>
    <w:p>
      <w:pPr>
        <w:ind w:left="900" w:hanging="892"/>
        <w:spacing w:after="0"/>
        <w:tabs>
          <w:tab w:leader="none" w:pos="900" w:val="left"/>
        </w:tabs>
        <w:numPr>
          <w:ilvl w:val="0"/>
          <w:numId w:val="60"/>
        </w:numPr>
        <w:rPr>
          <w:rFonts w:ascii="Arial" w:cs="Arial" w:eastAsia="Arial" w:hAnsi="Arial"/>
          <w:sz w:val="22"/>
          <w:szCs w:val="22"/>
          <w:color w:val="auto"/>
        </w:rPr>
      </w:pPr>
      <w:r>
        <w:rPr>
          <w:rFonts w:ascii="Arial" w:cs="Arial" w:eastAsia="Arial" w:hAnsi="Arial"/>
          <w:sz w:val="22"/>
          <w:szCs w:val="22"/>
          <w:b w:val="1"/>
          <w:bCs w:val="1"/>
          <w:color w:val="auto"/>
        </w:rPr>
        <w:t>Equity Participation</w:t>
      </w:r>
    </w:p>
    <w:p>
      <w:pPr>
        <w:spacing w:after="0" w:line="212" w:lineRule="exact"/>
        <w:rPr>
          <w:sz w:val="20"/>
          <w:szCs w:val="20"/>
          <w:color w:val="auto"/>
        </w:rPr>
      </w:pPr>
    </w:p>
    <w:p>
      <w:pPr>
        <w:jc w:val="both"/>
        <w:ind w:left="900" w:hanging="890"/>
        <w:spacing w:after="0"/>
        <w:tabs>
          <w:tab w:leader="none" w:pos="8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2"/>
          <w:szCs w:val="22"/>
          <w:color w:val="auto"/>
        </w:rPr>
        <w:t>Subject to the terms and conditions set forth in Amarin Corporation plc’s 2020 Stock Incentive Plan (the ‘Plan’) and the applicable equity award agreements, including, without limitation, with respect to vesting, the Executive will be entitled to:</w:t>
      </w:r>
    </w:p>
    <w:p>
      <w:pPr>
        <w:spacing w:after="0" w:line="186" w:lineRule="exact"/>
        <w:rPr>
          <w:sz w:val="20"/>
          <w:szCs w:val="20"/>
          <w:color w:val="auto"/>
        </w:rPr>
      </w:pPr>
    </w:p>
    <w:p>
      <w:pPr>
        <w:jc w:val="both"/>
        <w:ind w:left="2680" w:hanging="890"/>
        <w:spacing w:after="0" w:line="277" w:lineRule="auto"/>
        <w:tabs>
          <w:tab w:leader="none" w:pos="26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290,200 options to purchase shares of Amarin Corporation plc, which will have an exercise price equal to the closing market price on May 1, 2021, which options will be subject to the Executive's appointment as President and CEO of Amarin Corporation plc and subject to time-based vesting commencing on the date of this Agreement (the “Vesting Start Date”) as follows: twenty-five percent (25%) of such options shall vest on the one-year anniversary of the Vesting Start Date and the remainder shall vest in equal installments over the next 12 calendar quarters, and subject to 100% acceleration upon a Change of Control (as defined in the Plan) transaction.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1" w:name="page102"/>
    <w:bookmarkEnd w:id="101"/>
    <w:p>
      <w:pPr>
        <w:jc w:val="both"/>
        <w:ind w:left="2680" w:hanging="890"/>
        <w:spacing w:after="0" w:line="287" w:lineRule="auto"/>
        <w:tabs>
          <w:tab w:leader="none" w:pos="26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215,200 restricted stock units subject to time-based vesting (RSUs), which RSUs will be subject to the Executive's appointment as President and CEO of Amarin Corporation plc and otherwise subject to time-based vesting over a three-year period commencing on the date of this Agreement, and subject to 100% acceleration upon a Change of Control (as defined in the Plan) transaction.</w:t>
      </w:r>
    </w:p>
    <w:p>
      <w:pPr>
        <w:spacing w:after="0" w:line="142" w:lineRule="exact"/>
        <w:rPr>
          <w:rFonts w:ascii="Arial" w:cs="Arial" w:eastAsia="Arial" w:hAnsi="Arial"/>
          <w:sz w:val="19"/>
          <w:szCs w:val="19"/>
          <w:color w:val="auto"/>
        </w:rPr>
      </w:pPr>
    </w:p>
    <w:p>
      <w:pPr>
        <w:jc w:val="both"/>
        <w:ind w:left="2680" w:hanging="890"/>
        <w:spacing w:after="0" w:line="277" w:lineRule="auto"/>
        <w:tabs>
          <w:tab w:leader="none" w:pos="26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200,000 restricted stock units subject to performance milestones (PSUs), which PSUs will be subject to the Executive's appointment as President and CEO of Amarin Corporation plc and otherwise subject to the same performance and time-based criteria approved by the Remuneration Committee of the Board with respect to the PSU awards approved in December 2020 (but in this case the performance milestones will be the global sales and operations targets specified therein and the time-based criteria will commence as of the date of this Agreement), and subject to 100% acceleration upon a Change of Control (as defined in the Plan) transaction.</w:t>
      </w:r>
    </w:p>
    <w:p>
      <w:pPr>
        <w:spacing w:after="0" w:line="152" w:lineRule="exact"/>
        <w:rPr>
          <w:sz w:val="20"/>
          <w:szCs w:val="20"/>
          <w:color w:val="auto"/>
        </w:rPr>
      </w:pPr>
    </w:p>
    <w:p>
      <w:pPr>
        <w:ind w:left="900" w:hanging="890"/>
        <w:spacing w:after="0" w:line="250" w:lineRule="auto"/>
        <w:tabs>
          <w:tab w:leader="none" w:pos="8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color w:val="auto"/>
        </w:rPr>
        <w:t>In addition to the above, the Executive may receive an award for an additional 200,000 PSUs to be granted at a later date on terms to be mutually agreed.</w:t>
      </w:r>
    </w:p>
    <w:p>
      <w:pPr>
        <w:spacing w:after="0" w:line="169" w:lineRule="exact"/>
        <w:rPr>
          <w:sz w:val="20"/>
          <w:szCs w:val="20"/>
          <w:color w:val="auto"/>
        </w:rPr>
      </w:pPr>
    </w:p>
    <w:p>
      <w:pPr>
        <w:ind w:left="900" w:hanging="892"/>
        <w:spacing w:after="0"/>
        <w:tabs>
          <w:tab w:leader="none" w:pos="900" w:val="left"/>
        </w:tabs>
        <w:numPr>
          <w:ilvl w:val="0"/>
          <w:numId w:val="63"/>
        </w:numPr>
        <w:rPr>
          <w:rFonts w:ascii="Arial" w:cs="Arial" w:eastAsia="Arial" w:hAnsi="Arial"/>
          <w:sz w:val="22"/>
          <w:szCs w:val="22"/>
          <w:color w:val="auto"/>
        </w:rPr>
      </w:pPr>
      <w:r>
        <w:rPr>
          <w:rFonts w:ascii="Arial" w:cs="Arial" w:eastAsia="Arial" w:hAnsi="Arial"/>
          <w:sz w:val="22"/>
          <w:szCs w:val="22"/>
          <w:b w:val="1"/>
          <w:bCs w:val="1"/>
          <w:color w:val="auto"/>
        </w:rPr>
        <w:t>Medical Insurance</w:t>
      </w:r>
    </w:p>
    <w:p>
      <w:pPr>
        <w:spacing w:after="0" w:line="212" w:lineRule="exact"/>
        <w:rPr>
          <w:rFonts w:ascii="Arial" w:cs="Arial" w:eastAsia="Arial" w:hAnsi="Arial"/>
          <w:sz w:val="22"/>
          <w:szCs w:val="22"/>
          <w:color w:val="auto"/>
        </w:rPr>
      </w:pPr>
    </w:p>
    <w:p>
      <w:pPr>
        <w:ind w:left="1800" w:hanging="891"/>
        <w:spacing w:after="0" w:line="282" w:lineRule="auto"/>
        <w:rPr>
          <w:rFonts w:ascii="Arial" w:cs="Arial" w:eastAsia="Arial" w:hAnsi="Arial"/>
          <w:sz w:val="22"/>
          <w:szCs w:val="22"/>
          <w:color w:val="auto"/>
        </w:rPr>
      </w:pPr>
      <w:r>
        <w:rPr>
          <w:rFonts w:ascii="Arial" w:cs="Arial" w:eastAsia="Arial" w:hAnsi="Arial"/>
          <w:sz w:val="22"/>
          <w:szCs w:val="22"/>
          <w:color w:val="auto"/>
        </w:rPr>
        <w:t>10.1</w:t>
      </w:r>
      <w:r>
        <w:rPr>
          <w:rFonts w:ascii="Arial" w:cs="Arial" w:eastAsia="Arial" w:hAnsi="Arial"/>
          <w:sz w:val="19"/>
          <w:szCs w:val="19"/>
          <w:color w:val="auto"/>
        </w:rPr>
        <w:t>From the date the Executive is resident in Switzerland, the Company will discharge the cost of the Executive’s annual Swiss mandatory health insurance (KVG) in relation to himself, and also in relation to his spouse and dependent child/children in full time education resident in Switzerland from the time his spouse and such dependent child/children in full time education are resident in Switzerland, up to the amount of the premium applicable in the KVG scheme established by the Company.</w:t>
      </w:r>
    </w:p>
    <w:p>
      <w:pPr>
        <w:spacing w:after="0" w:line="147" w:lineRule="exact"/>
        <w:rPr>
          <w:rFonts w:ascii="Arial" w:cs="Arial" w:eastAsia="Arial" w:hAnsi="Arial"/>
          <w:sz w:val="22"/>
          <w:szCs w:val="22"/>
          <w:color w:val="auto"/>
        </w:rPr>
      </w:pPr>
    </w:p>
    <w:p>
      <w:pPr>
        <w:ind w:left="1800" w:hanging="891"/>
        <w:spacing w:after="0" w:line="245" w:lineRule="auto"/>
        <w:rPr>
          <w:rFonts w:ascii="Arial" w:cs="Arial" w:eastAsia="Arial" w:hAnsi="Arial"/>
          <w:sz w:val="22"/>
          <w:szCs w:val="22"/>
          <w:color w:val="auto"/>
        </w:rPr>
      </w:pPr>
      <w:r>
        <w:rPr>
          <w:rFonts w:ascii="Arial" w:cs="Arial" w:eastAsia="Arial" w:hAnsi="Arial"/>
          <w:sz w:val="22"/>
          <w:szCs w:val="22"/>
          <w:color w:val="auto"/>
        </w:rPr>
        <w:t>10.2</w:t>
      </w:r>
      <w:r>
        <w:rPr>
          <w:rFonts w:ascii="Arial" w:cs="Arial" w:eastAsia="Arial" w:hAnsi="Arial"/>
          <w:sz w:val="21"/>
          <w:szCs w:val="21"/>
          <w:color w:val="auto"/>
        </w:rPr>
        <w:t>Subject to clause 10.3, from the date the Executive is resident in Switzerland, the Company shall also establish a supplementary global private health insurance scheme in favour of the Executive, and his spouse and dependent child/children in full time education covering such family members resident in Switzerland, the USA and/or United Kingdom, subject to the Executive satisfying certain eligibility criteria and subject to the rules of the scheme as amended from time to time. This global private health insurance scheme will be established with Cigna Global (or similar global medical insurance provider). The Company will be entitled at any time to amend the terms of the insurance cover provided to the Executive and the Executive’s family (as applicable) pursuant to such scheme provided a customary level of cover consistent with this clause 10.2 is provided.</w:t>
      </w:r>
    </w:p>
    <w:p>
      <w:pPr>
        <w:spacing w:after="0" w:line="184" w:lineRule="exact"/>
        <w:rPr>
          <w:rFonts w:ascii="Arial" w:cs="Arial" w:eastAsia="Arial" w:hAnsi="Arial"/>
          <w:sz w:val="22"/>
          <w:szCs w:val="22"/>
          <w:color w:val="auto"/>
        </w:rPr>
      </w:pPr>
    </w:p>
    <w:p>
      <w:pPr>
        <w:ind w:left="1800" w:hanging="891"/>
        <w:spacing w:after="0" w:line="282" w:lineRule="auto"/>
        <w:rPr>
          <w:rFonts w:ascii="Arial" w:cs="Arial" w:eastAsia="Arial" w:hAnsi="Arial"/>
          <w:sz w:val="22"/>
          <w:szCs w:val="22"/>
          <w:color w:val="auto"/>
        </w:rPr>
      </w:pPr>
      <w:r>
        <w:rPr>
          <w:rFonts w:ascii="Arial" w:cs="Arial" w:eastAsia="Arial" w:hAnsi="Arial"/>
          <w:sz w:val="22"/>
          <w:szCs w:val="22"/>
          <w:color w:val="auto"/>
        </w:rPr>
        <w:t>10.3</w:t>
      </w:r>
      <w:r>
        <w:rPr>
          <w:rFonts w:ascii="Arial" w:cs="Arial" w:eastAsia="Arial" w:hAnsi="Arial"/>
          <w:sz w:val="19"/>
          <w:szCs w:val="19"/>
          <w:color w:val="auto"/>
        </w:rPr>
        <w:t>The maximum contribution that the Company will pay towards the total annual combined costs of the health insurance policies/schemes described in clauses 10.1 and 10.2 in any year of such policies/schemes will be 35,000 USD. Any amount of the total annual combined costs for such health insurance policies/schemes described in clauses 10.1 and 10.2 in excess of 35,000 USD shall be paid by the Executive, either as a deduction from his monthly payroll, or otherwise as agreed by the parties.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2" w:name="page103"/>
    <w:bookmarkEnd w:id="102"/>
    <w:p>
      <w:pPr>
        <w:jc w:val="both"/>
        <w:ind w:left="1800" w:hanging="890"/>
        <w:spacing w:after="0" w:line="238" w:lineRule="auto"/>
        <w:tabs>
          <w:tab w:leader="none" w:pos="17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22"/>
          <w:szCs w:val="22"/>
          <w:color w:val="auto"/>
        </w:rPr>
        <w:t>The Company will procure the reimbursement of the cost (up to an amount of 2,200 USD per month) of the medical insurance policy currently held by the Executive (for himself and his family). The Executive shall provide satisfactory documentary evidence to the Company of his current medical insurance policy to facilitate prompt reimbursement hereunder.</w:t>
      </w:r>
    </w:p>
    <w:p>
      <w:pPr>
        <w:spacing w:after="0" w:line="179" w:lineRule="exact"/>
        <w:rPr>
          <w:sz w:val="20"/>
          <w:szCs w:val="20"/>
          <w:color w:val="auto"/>
        </w:rPr>
      </w:pPr>
    </w:p>
    <w:p>
      <w:pPr>
        <w:ind w:left="900" w:hanging="892"/>
        <w:spacing w:after="0"/>
        <w:tabs>
          <w:tab w:leader="none" w:pos="90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Pension plan and Accident insurance</w:t>
      </w:r>
    </w:p>
    <w:p>
      <w:pPr>
        <w:spacing w:after="0" w:line="212" w:lineRule="exact"/>
        <w:rPr>
          <w:rFonts w:ascii="Arial" w:cs="Arial" w:eastAsia="Arial" w:hAnsi="Arial"/>
          <w:sz w:val="22"/>
          <w:szCs w:val="22"/>
          <w:color w:val="auto"/>
        </w:rPr>
      </w:pPr>
    </w:p>
    <w:p>
      <w:pPr>
        <w:ind w:left="1800" w:hanging="891"/>
        <w:spacing w:after="0" w:line="250" w:lineRule="auto"/>
        <w:rPr>
          <w:rFonts w:ascii="Arial" w:cs="Arial" w:eastAsia="Arial" w:hAnsi="Arial"/>
          <w:sz w:val="22"/>
          <w:szCs w:val="22"/>
          <w:color w:val="auto"/>
        </w:rPr>
      </w:pPr>
      <w:r>
        <w:rPr>
          <w:rFonts w:ascii="Arial" w:cs="Arial" w:eastAsia="Arial" w:hAnsi="Arial"/>
          <w:sz w:val="22"/>
          <w:szCs w:val="22"/>
          <w:color w:val="auto"/>
        </w:rPr>
        <w:t>11.1The Executive participates in the Company's Swiss pension fund and is subject to the regulations concerning employee contributions and benefits as applicable from time to time.</w:t>
      </w:r>
    </w:p>
    <w:p>
      <w:pPr>
        <w:spacing w:after="0" w:line="174" w:lineRule="exact"/>
        <w:rPr>
          <w:rFonts w:ascii="Arial" w:cs="Arial" w:eastAsia="Arial" w:hAnsi="Arial"/>
          <w:sz w:val="22"/>
          <w:szCs w:val="22"/>
          <w:color w:val="auto"/>
        </w:rPr>
      </w:pPr>
    </w:p>
    <w:p>
      <w:pPr>
        <w:ind w:left="1800" w:hanging="891"/>
        <w:spacing w:after="0" w:line="274" w:lineRule="auto"/>
        <w:rPr>
          <w:rFonts w:ascii="Arial" w:cs="Arial" w:eastAsia="Arial" w:hAnsi="Arial"/>
          <w:sz w:val="22"/>
          <w:szCs w:val="22"/>
          <w:color w:val="auto"/>
        </w:rPr>
      </w:pPr>
      <w:r>
        <w:rPr>
          <w:rFonts w:ascii="Arial" w:cs="Arial" w:eastAsia="Arial" w:hAnsi="Arial"/>
          <w:sz w:val="22"/>
          <w:szCs w:val="22"/>
          <w:color w:val="auto"/>
        </w:rPr>
        <w:t>11.2</w:t>
      </w:r>
      <w:r>
        <w:rPr>
          <w:rFonts w:ascii="Arial" w:cs="Arial" w:eastAsia="Arial" w:hAnsi="Arial"/>
          <w:sz w:val="21"/>
          <w:szCs w:val="21"/>
          <w:color w:val="auto"/>
        </w:rPr>
        <w:t>The Executive shall be insured against professional and non-professional accidents in accordance with Accident Insurance Law and with the Company's supplementary accident insurance policy.</w:t>
      </w:r>
    </w:p>
    <w:p>
      <w:pPr>
        <w:spacing w:after="0" w:line="144" w:lineRule="exact"/>
        <w:rPr>
          <w:rFonts w:ascii="Arial" w:cs="Arial" w:eastAsia="Arial" w:hAnsi="Arial"/>
          <w:sz w:val="22"/>
          <w:szCs w:val="22"/>
          <w:color w:val="auto"/>
        </w:rPr>
      </w:pPr>
    </w:p>
    <w:p>
      <w:pPr>
        <w:ind w:left="900" w:hanging="892"/>
        <w:spacing w:after="0"/>
        <w:tabs>
          <w:tab w:leader="none" w:pos="90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Benefit Plans</w:t>
      </w:r>
    </w:p>
    <w:p>
      <w:pPr>
        <w:spacing w:after="0" w:line="212" w:lineRule="exact"/>
        <w:rPr>
          <w:rFonts w:ascii="Arial" w:cs="Arial" w:eastAsia="Arial" w:hAnsi="Arial"/>
          <w:sz w:val="22"/>
          <w:szCs w:val="22"/>
          <w:color w:val="auto"/>
        </w:rPr>
      </w:pPr>
    </w:p>
    <w:p>
      <w:pPr>
        <w:jc w:val="both"/>
        <w:ind w:left="900"/>
        <w:spacing w:after="0" w:line="248" w:lineRule="auto"/>
        <w:rPr>
          <w:rFonts w:ascii="Arial" w:cs="Arial" w:eastAsia="Arial" w:hAnsi="Arial"/>
          <w:sz w:val="22"/>
          <w:szCs w:val="22"/>
          <w:color w:val="auto"/>
        </w:rPr>
      </w:pPr>
      <w:r>
        <w:rPr>
          <w:rFonts w:ascii="Arial" w:cs="Arial" w:eastAsia="Arial" w:hAnsi="Arial"/>
          <w:sz w:val="21"/>
          <w:szCs w:val="21"/>
          <w:color w:val="auto"/>
        </w:rPr>
        <w:t>The Executive will be eligible for participation in the benefit plans specified herein and such other benefit plans as may be approved in writing by the Company and specifically applied to the Executive by notice in writing from the Company from time to time. Participation in such benefit plans will be subject always to the rules and conditions applicable to each such plan. The Company reserves the right at all times to vary or discontinue any benefit plans in which the Executive may be entitled to participate. The Company will also have the right to substitute new benefit plans for any plan in which the Executive may be eligible to participate.</w:t>
      </w:r>
    </w:p>
    <w:p>
      <w:pPr>
        <w:spacing w:after="0" w:line="170" w:lineRule="exact"/>
        <w:rPr>
          <w:rFonts w:ascii="Arial" w:cs="Arial" w:eastAsia="Arial" w:hAnsi="Arial"/>
          <w:sz w:val="22"/>
          <w:szCs w:val="22"/>
          <w:color w:val="auto"/>
        </w:rPr>
      </w:pPr>
    </w:p>
    <w:p>
      <w:pPr>
        <w:ind w:left="900" w:hanging="892"/>
        <w:spacing w:after="0"/>
        <w:tabs>
          <w:tab w:leader="none" w:pos="90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Holidays</w:t>
      </w:r>
    </w:p>
    <w:p>
      <w:pPr>
        <w:spacing w:after="0" w:line="212" w:lineRule="exact"/>
        <w:rPr>
          <w:rFonts w:ascii="Arial" w:cs="Arial" w:eastAsia="Arial" w:hAnsi="Arial"/>
          <w:sz w:val="22"/>
          <w:szCs w:val="22"/>
          <w:color w:val="auto"/>
        </w:rPr>
      </w:pPr>
    </w:p>
    <w:p>
      <w:pPr>
        <w:jc w:val="both"/>
        <w:ind w:left="900"/>
        <w:spacing w:after="0" w:line="238" w:lineRule="auto"/>
        <w:rPr>
          <w:rFonts w:ascii="Arial" w:cs="Arial" w:eastAsia="Arial" w:hAnsi="Arial"/>
          <w:sz w:val="22"/>
          <w:szCs w:val="22"/>
          <w:color w:val="auto"/>
        </w:rPr>
      </w:pPr>
      <w:r>
        <w:rPr>
          <w:rFonts w:ascii="Arial" w:cs="Arial" w:eastAsia="Arial" w:hAnsi="Arial"/>
          <w:sz w:val="22"/>
          <w:szCs w:val="22"/>
          <w:color w:val="auto"/>
        </w:rPr>
        <w:t>The Executive will, in addition to his statutory public holiday entitlements that are applicable in Zug be entitled to paid holiday leave at the rate of 25 working days per annum (and pro rata for any lesser period) to be taken at such time as the Reporting Authority considers most convenient having regard to the requirements of the Company’s business and to the wishes of the Executive.</w:t>
      </w:r>
    </w:p>
    <w:p>
      <w:pPr>
        <w:spacing w:after="0" w:line="178" w:lineRule="exact"/>
        <w:rPr>
          <w:rFonts w:ascii="Arial" w:cs="Arial" w:eastAsia="Arial" w:hAnsi="Arial"/>
          <w:sz w:val="22"/>
          <w:szCs w:val="22"/>
          <w:color w:val="auto"/>
        </w:rPr>
      </w:pPr>
    </w:p>
    <w:p>
      <w:pPr>
        <w:ind w:left="900" w:hanging="892"/>
        <w:spacing w:after="0"/>
        <w:tabs>
          <w:tab w:leader="none" w:pos="900" w:val="left"/>
        </w:tabs>
        <w:numPr>
          <w:ilvl w:val="0"/>
          <w:numId w:val="64"/>
        </w:numPr>
        <w:rPr>
          <w:rFonts w:ascii="Arial" w:cs="Arial" w:eastAsia="Arial" w:hAnsi="Arial"/>
          <w:sz w:val="22"/>
          <w:szCs w:val="22"/>
          <w:color w:val="auto"/>
        </w:rPr>
      </w:pPr>
      <w:r>
        <w:rPr>
          <w:rFonts w:ascii="Arial" w:cs="Arial" w:eastAsia="Arial" w:hAnsi="Arial"/>
          <w:sz w:val="22"/>
          <w:szCs w:val="22"/>
          <w:b w:val="1"/>
          <w:bCs w:val="1"/>
          <w:color w:val="auto"/>
        </w:rPr>
        <w:t>Incapacity</w:t>
      </w:r>
    </w:p>
    <w:p>
      <w:pPr>
        <w:spacing w:after="0" w:line="212" w:lineRule="exact"/>
        <w:rPr>
          <w:rFonts w:ascii="Arial" w:cs="Arial" w:eastAsia="Arial" w:hAnsi="Arial"/>
          <w:sz w:val="22"/>
          <w:szCs w:val="22"/>
          <w:color w:val="auto"/>
        </w:rPr>
      </w:pPr>
    </w:p>
    <w:p>
      <w:pPr>
        <w:ind w:left="1800" w:hanging="891"/>
        <w:spacing w:after="0" w:line="236" w:lineRule="auto"/>
        <w:rPr>
          <w:rFonts w:ascii="Arial" w:cs="Arial" w:eastAsia="Arial" w:hAnsi="Arial"/>
          <w:sz w:val="22"/>
          <w:szCs w:val="22"/>
          <w:color w:val="auto"/>
        </w:rPr>
      </w:pPr>
      <w:r>
        <w:rPr>
          <w:rFonts w:ascii="Arial" w:cs="Arial" w:eastAsia="Arial" w:hAnsi="Arial"/>
          <w:sz w:val="22"/>
          <w:szCs w:val="22"/>
          <w:color w:val="auto"/>
        </w:rPr>
        <w:t>14.1In case the Executive is prevented from performing his work, he shall inform his Reporting Authority without any delay. In case of incapacity due to illness or accident, the Executive must present a medical certificate as from the 4th day of illness at the latest, or earlier upon request. The Company reserves the right to require the Executive to undergo a medical examination by the Company’s doctor or an independent medical practitioner at Company’s own costs.</w:t>
      </w:r>
    </w:p>
    <w:p>
      <w:pPr>
        <w:spacing w:after="0" w:line="187" w:lineRule="exact"/>
        <w:rPr>
          <w:rFonts w:ascii="Arial" w:cs="Arial" w:eastAsia="Arial" w:hAnsi="Arial"/>
          <w:sz w:val="22"/>
          <w:szCs w:val="22"/>
          <w:color w:val="auto"/>
        </w:rPr>
      </w:pPr>
    </w:p>
    <w:p>
      <w:pPr>
        <w:ind w:left="1800" w:hanging="891"/>
        <w:spacing w:after="0" w:line="282" w:lineRule="auto"/>
        <w:rPr>
          <w:rFonts w:ascii="Arial" w:cs="Arial" w:eastAsia="Arial" w:hAnsi="Arial"/>
          <w:sz w:val="22"/>
          <w:szCs w:val="22"/>
          <w:color w:val="auto"/>
        </w:rPr>
      </w:pPr>
      <w:r>
        <w:rPr>
          <w:rFonts w:ascii="Arial" w:cs="Arial" w:eastAsia="Arial" w:hAnsi="Arial"/>
          <w:sz w:val="22"/>
          <w:szCs w:val="22"/>
          <w:color w:val="auto"/>
        </w:rPr>
        <w:t>14.2</w:t>
      </w:r>
      <w:r>
        <w:rPr>
          <w:rFonts w:ascii="Arial" w:cs="Arial" w:eastAsia="Arial" w:hAnsi="Arial"/>
          <w:sz w:val="19"/>
          <w:szCs w:val="19"/>
          <w:color w:val="auto"/>
        </w:rPr>
        <w:t>The Company has established a customary insurance policy for loss of salary due to inability to work in case of illness that will be in place at the time the Executive is resident in Switzerland. The scope and term of the insurance benefits are determined by the conditions of the insurance contract as in force at the time, which current version has been provided to the Executive. The conditions of the insurance may vary at any time. Any contribution to the payment of the premium by the Executive (maximum 50% of the total premium)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3" w:name="page104"/>
    <w:bookmarkEnd w:id="103"/>
    <w:p>
      <w:pPr>
        <w:ind w:left="1800"/>
        <w:spacing w:after="0" w:line="274" w:lineRule="auto"/>
        <w:rPr>
          <w:sz w:val="20"/>
          <w:szCs w:val="20"/>
          <w:color w:val="auto"/>
        </w:rPr>
      </w:pPr>
      <w:r>
        <w:rPr>
          <w:rFonts w:ascii="Arial" w:cs="Arial" w:eastAsia="Arial" w:hAnsi="Arial"/>
          <w:sz w:val="21"/>
          <w:szCs w:val="21"/>
          <w:color w:val="auto"/>
        </w:rPr>
        <w:t>pursuant to this customary insurance policy will be effected per a deduction from the monthly salary. The Company is free from all other obligations as to the Article 324a CO with regards to illness.</w:t>
      </w:r>
    </w:p>
    <w:p>
      <w:pPr>
        <w:spacing w:after="0" w:line="145" w:lineRule="exact"/>
        <w:rPr>
          <w:sz w:val="20"/>
          <w:szCs w:val="20"/>
          <w:color w:val="auto"/>
        </w:rPr>
      </w:pPr>
    </w:p>
    <w:p>
      <w:pPr>
        <w:ind w:left="900" w:hanging="892"/>
        <w:spacing w:after="0"/>
        <w:tabs>
          <w:tab w:leader="none" w:pos="900"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Confidential Information</w:t>
      </w:r>
    </w:p>
    <w:p>
      <w:pPr>
        <w:spacing w:after="0" w:line="212" w:lineRule="exact"/>
        <w:rPr>
          <w:rFonts w:ascii="Arial" w:cs="Arial" w:eastAsia="Arial" w:hAnsi="Arial"/>
          <w:sz w:val="22"/>
          <w:szCs w:val="22"/>
          <w:color w:val="auto"/>
        </w:rPr>
      </w:pPr>
    </w:p>
    <w:p>
      <w:pPr>
        <w:ind w:left="1800" w:hanging="891"/>
        <w:spacing w:after="0" w:line="273" w:lineRule="auto"/>
        <w:rPr>
          <w:rFonts w:ascii="Arial" w:cs="Arial" w:eastAsia="Arial" w:hAnsi="Arial"/>
          <w:sz w:val="22"/>
          <w:szCs w:val="22"/>
          <w:color w:val="auto"/>
        </w:rPr>
      </w:pPr>
      <w:r>
        <w:rPr>
          <w:rFonts w:ascii="Arial" w:cs="Arial" w:eastAsia="Arial" w:hAnsi="Arial"/>
          <w:sz w:val="22"/>
          <w:szCs w:val="22"/>
          <w:color w:val="auto"/>
        </w:rPr>
        <w:t>15.1</w:t>
      </w:r>
      <w:r>
        <w:rPr>
          <w:rFonts w:ascii="Arial" w:cs="Arial" w:eastAsia="Arial" w:hAnsi="Arial"/>
          <w:sz w:val="19"/>
          <w:szCs w:val="19"/>
          <w:color w:val="auto"/>
        </w:rPr>
        <w:t>The Executive will not, except as authorised or required by his duties or as required by law or a court of competent jurisdiction, reveal to any person, persons or company, any of the trade secrets or confidential information, operations, notices or dealings of the Company or any information concerning the organisation, business, finances, transactions or affairs of the Company and/or any of its associated companies which may come to his knowledge during his employment hereunder and will keep with complete secrecy all confidential information entrusted to him and will not use or attempt to use any such information in any manner which may injure or cause loss either directly or indirectly to the Company or its business or in any way be likely to do so. It is agreed that this restriction will continue to apply after the termination of this Agreement without limit in point of time but will cease to apply to information or knowledge which may come into the public domain through no act, omission, unauthorised disclosure or other breach on his part of the provisions of this Agreement.</w:t>
      </w:r>
    </w:p>
    <w:p>
      <w:pPr>
        <w:spacing w:after="0" w:line="200" w:lineRule="exact"/>
        <w:rPr>
          <w:rFonts w:ascii="Arial" w:cs="Arial" w:eastAsia="Arial" w:hAnsi="Arial"/>
          <w:sz w:val="22"/>
          <w:szCs w:val="22"/>
          <w:color w:val="auto"/>
        </w:rPr>
      </w:pPr>
    </w:p>
    <w:p>
      <w:pPr>
        <w:spacing w:after="0" w:line="203" w:lineRule="exact"/>
        <w:rPr>
          <w:rFonts w:ascii="Arial" w:cs="Arial" w:eastAsia="Arial" w:hAnsi="Arial"/>
          <w:sz w:val="22"/>
          <w:szCs w:val="22"/>
          <w:color w:val="auto"/>
        </w:rPr>
      </w:pPr>
    </w:p>
    <w:p>
      <w:pPr>
        <w:ind w:left="1800" w:hanging="891"/>
        <w:spacing w:after="0" w:line="246" w:lineRule="auto"/>
        <w:rPr>
          <w:rFonts w:ascii="Arial" w:cs="Arial" w:eastAsia="Arial" w:hAnsi="Arial"/>
          <w:sz w:val="22"/>
          <w:szCs w:val="22"/>
          <w:color w:val="auto"/>
        </w:rPr>
      </w:pPr>
      <w:r>
        <w:rPr>
          <w:rFonts w:ascii="Arial" w:cs="Arial" w:eastAsia="Arial" w:hAnsi="Arial"/>
          <w:sz w:val="22"/>
          <w:szCs w:val="22"/>
          <w:color w:val="auto"/>
        </w:rPr>
        <w:t>15.2</w:t>
      </w:r>
      <w:r>
        <w:rPr>
          <w:rFonts w:ascii="Arial" w:cs="Arial" w:eastAsia="Arial" w:hAnsi="Arial"/>
          <w:sz w:val="21"/>
          <w:szCs w:val="21"/>
          <w:color w:val="auto"/>
        </w:rPr>
        <w:t>The Executive will not during the continuance of this Agreement make otherwise than for the benefit of the Company any note, memorandum or other record relating to any matter within the scope of business of the Company or concerning any of its dealings or affairs nor will the Executive either during the continuance of this Agreement or afterwards use or permit to be used any such notes, memoranda or records otherwise than for the benefit of the Company it being the intention of the parties hereto that all such notes, memoranda and records (whether in writing or data based) made by the Executive will be the property of the Company and will be left at its registered office on the termination of the Executive’s employment or earlier if so requested by the Board.</w:t>
      </w:r>
    </w:p>
    <w:p>
      <w:pPr>
        <w:spacing w:after="0" w:line="173" w:lineRule="exact"/>
        <w:rPr>
          <w:rFonts w:ascii="Arial" w:cs="Arial" w:eastAsia="Arial" w:hAnsi="Arial"/>
          <w:sz w:val="22"/>
          <w:szCs w:val="22"/>
          <w:color w:val="auto"/>
        </w:rPr>
      </w:pPr>
    </w:p>
    <w:p>
      <w:pPr>
        <w:ind w:left="900" w:hanging="892"/>
        <w:spacing w:after="0"/>
        <w:tabs>
          <w:tab w:leader="none" w:pos="900"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Return of Company property</w:t>
      </w:r>
    </w:p>
    <w:p>
      <w:pPr>
        <w:spacing w:after="0" w:line="212" w:lineRule="exact"/>
        <w:rPr>
          <w:rFonts w:ascii="Arial" w:cs="Arial" w:eastAsia="Arial" w:hAnsi="Arial"/>
          <w:sz w:val="22"/>
          <w:szCs w:val="22"/>
          <w:color w:val="auto"/>
        </w:rPr>
      </w:pPr>
    </w:p>
    <w:p>
      <w:pPr>
        <w:jc w:val="both"/>
        <w:ind w:left="900"/>
        <w:spacing w:after="0" w:line="273" w:lineRule="auto"/>
        <w:rPr>
          <w:rFonts w:ascii="Arial" w:cs="Arial" w:eastAsia="Arial" w:hAnsi="Arial"/>
          <w:sz w:val="22"/>
          <w:szCs w:val="22"/>
          <w:color w:val="auto"/>
        </w:rPr>
      </w:pPr>
      <w:r>
        <w:rPr>
          <w:rFonts w:ascii="Arial" w:cs="Arial" w:eastAsia="Arial" w:hAnsi="Arial"/>
          <w:sz w:val="19"/>
          <w:szCs w:val="19"/>
          <w:color w:val="auto"/>
        </w:rPr>
        <w:t>Upon the termination of the Executive’s employment with the Company for any reason whatsoever or at any other time upon request of the Company, the Executive shall immediately remit all of the Company’s property in his possession or under his control to the Company, including but not limited to, any material whatsoever, whether written, printed, recorded, digitized or otherwise kept, and any copy or reproduction of such material that he has in his possession or under his control and which pertains or relates, in any manner whatsoever, to his employment with the Company, to the confidential information or to the commercial activities of the Company. The Executive undertakes not to keep any copies or reproductions of any material that may be in his possession or under his control for any reason whatsoever and to provide, if so requested by the Company, a sworn statement or affidavit certifying that he has, in fact, returned the Company’s property, including, without limitation, any and all of the Company’s confidential information, following the termination of his employment, without having kept copies or reproductions.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4" w:name="page105"/>
    <w:bookmarkEnd w:id="104"/>
    <w:p>
      <w:pPr>
        <w:ind w:left="900" w:hanging="892"/>
        <w:spacing w:after="0"/>
        <w:tabs>
          <w:tab w:leader="none" w:pos="90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Intellectual Property Rights</w:t>
      </w:r>
    </w:p>
    <w:p>
      <w:pPr>
        <w:spacing w:after="0" w:line="212" w:lineRule="exact"/>
        <w:rPr>
          <w:rFonts w:ascii="Arial" w:cs="Arial" w:eastAsia="Arial" w:hAnsi="Arial"/>
          <w:sz w:val="22"/>
          <w:szCs w:val="22"/>
          <w:color w:val="auto"/>
        </w:rPr>
      </w:pPr>
    </w:p>
    <w:p>
      <w:pPr>
        <w:ind w:left="900"/>
        <w:spacing w:after="0"/>
        <w:rPr>
          <w:rFonts w:ascii="Arial" w:cs="Arial" w:eastAsia="Arial" w:hAnsi="Arial"/>
          <w:sz w:val="22"/>
          <w:szCs w:val="22"/>
          <w:color w:val="auto"/>
        </w:rPr>
      </w:pPr>
      <w:r>
        <w:rPr>
          <w:rFonts w:ascii="Arial" w:cs="Arial" w:eastAsia="Arial" w:hAnsi="Arial"/>
          <w:sz w:val="22"/>
          <w:szCs w:val="22"/>
          <w:color w:val="auto"/>
        </w:rPr>
        <w:t>17.1</w:t>
      </w:r>
      <w:r>
        <w:rPr>
          <w:rFonts w:ascii="Arial" w:cs="Arial" w:eastAsia="Arial" w:hAnsi="Arial"/>
          <w:sz w:val="19"/>
          <w:szCs w:val="19"/>
          <w:color w:val="auto"/>
        </w:rPr>
        <w:t>In this clause 17:</w:t>
      </w:r>
    </w:p>
    <w:p>
      <w:pPr>
        <w:spacing w:after="0" w:line="206" w:lineRule="exact"/>
        <w:rPr>
          <w:rFonts w:ascii="Arial" w:cs="Arial" w:eastAsia="Arial" w:hAnsi="Arial"/>
          <w:sz w:val="22"/>
          <w:szCs w:val="22"/>
          <w:color w:val="auto"/>
        </w:rPr>
      </w:pPr>
    </w:p>
    <w:p>
      <w:pPr>
        <w:jc w:val="both"/>
        <w:ind w:left="2680" w:hanging="890"/>
        <w:spacing w:after="0" w:line="245" w:lineRule="auto"/>
        <w:tabs>
          <w:tab w:leader="none" w:pos="2680" w:val="left"/>
        </w:tabs>
        <w:numPr>
          <w:ilvl w:val="1"/>
          <w:numId w:val="66"/>
        </w:numPr>
        <w:rPr>
          <w:rFonts w:ascii="Arial" w:cs="Arial" w:eastAsia="Arial" w:hAnsi="Arial"/>
          <w:sz w:val="21"/>
          <w:szCs w:val="21"/>
          <w:color w:val="auto"/>
        </w:rPr>
      </w:pPr>
      <w:r>
        <w:rPr>
          <w:rFonts w:ascii="Arial" w:cs="Arial" w:eastAsia="Arial" w:hAnsi="Arial"/>
          <w:sz w:val="21"/>
          <w:szCs w:val="21"/>
          <w:color w:val="auto"/>
        </w:rPr>
        <w:t>‘Intellectual Property’ means, without limitation, patents, inventions, know-how, trade secrets and other confidential information, rights in design (registered and unregistered), copyright including copyright works, data, database rights and sui generis rights, rights affording equivalent protection to copyright, semiconductor topography rights, trade marks, service marks, logos, domain names, business names, trade names, brand names, certification marks, assumed names and other indicators or origin, and all other industrial or intellectual property developed, discovered, acquired, conceived or made by the Executive in connection with and/or during the course of his employment or otherwise in any way affecting, connected or related to the performance of his duties hereunder; and</w:t>
      </w:r>
    </w:p>
    <w:p>
      <w:pPr>
        <w:spacing w:after="0" w:line="184" w:lineRule="exact"/>
        <w:rPr>
          <w:rFonts w:ascii="Arial" w:cs="Arial" w:eastAsia="Arial" w:hAnsi="Arial"/>
          <w:sz w:val="21"/>
          <w:szCs w:val="21"/>
          <w:color w:val="auto"/>
        </w:rPr>
      </w:pPr>
    </w:p>
    <w:p>
      <w:pPr>
        <w:jc w:val="both"/>
        <w:ind w:left="2680" w:hanging="890"/>
        <w:spacing w:after="0" w:line="246" w:lineRule="auto"/>
        <w:tabs>
          <w:tab w:leader="none" w:pos="2680" w:val="left"/>
        </w:tabs>
        <w:numPr>
          <w:ilvl w:val="1"/>
          <w:numId w:val="66"/>
        </w:numPr>
        <w:rPr>
          <w:rFonts w:ascii="Arial" w:cs="Arial" w:eastAsia="Arial" w:hAnsi="Arial"/>
          <w:sz w:val="21"/>
          <w:szCs w:val="21"/>
          <w:color w:val="auto"/>
        </w:rPr>
      </w:pPr>
      <w:r>
        <w:rPr>
          <w:rFonts w:ascii="Arial" w:cs="Arial" w:eastAsia="Arial" w:hAnsi="Arial"/>
          <w:sz w:val="21"/>
          <w:szCs w:val="21"/>
          <w:color w:val="auto"/>
        </w:rPr>
        <w:t>‘Intellectual Property Rights’ means any present or future rights title and interest and applications for rights title and interest or forms of protection of similar nature or having similar effect in one part of the world, or relating to Intellectual Property and copyright works including (without prejudice to the generality of the foregoing) author certificates, inventor certificates, improvement patents, utility certificates, moral rights, models and certificates of addition and including any divisions, renewals, continuation, extensions or reissues thereof and rights in the nature of unfair competition rights and rights for passing off.</w:t>
      </w:r>
    </w:p>
    <w:p>
      <w:pPr>
        <w:spacing w:after="0" w:line="184" w:lineRule="exact"/>
        <w:rPr>
          <w:sz w:val="20"/>
          <w:szCs w:val="20"/>
          <w:color w:val="auto"/>
        </w:rPr>
      </w:pPr>
    </w:p>
    <w:p>
      <w:pPr>
        <w:jc w:val="both"/>
        <w:ind w:left="1800" w:hanging="890"/>
        <w:spacing w:after="0" w:line="257" w:lineRule="auto"/>
        <w:tabs>
          <w:tab w:leader="none" w:pos="178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21"/>
          <w:szCs w:val="21"/>
          <w:color w:val="auto"/>
        </w:rPr>
        <w:t>The Executive acknowledges and agrees that any Intellectual Property arising from the performance of his duties under this Agreement will belong to and be the absolute property of the Company and the Executive undertakes not to dispute the Company’s ownership of such Intellectual Property.</w:t>
      </w:r>
    </w:p>
    <w:p>
      <w:pPr>
        <w:spacing w:after="0" w:line="169" w:lineRule="exact"/>
        <w:rPr>
          <w:sz w:val="20"/>
          <w:szCs w:val="20"/>
          <w:color w:val="auto"/>
        </w:rPr>
      </w:pPr>
    </w:p>
    <w:p>
      <w:pPr>
        <w:jc w:val="both"/>
        <w:ind w:left="1800" w:hanging="890"/>
        <w:spacing w:after="0" w:line="234" w:lineRule="auto"/>
        <w:tabs>
          <w:tab w:leader="none" w:pos="178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2"/>
          <w:szCs w:val="22"/>
          <w:color w:val="auto"/>
        </w:rPr>
        <w:t>The Executive will disclose full details of all Intellectual Property arising from the performance of his duties under this Agreement to the Company and the Executive hereby agrees to assign and does hereby expressly assign to the Company all Intellectual Property Rights for their full term throughout the world including without limitation the right to sue for any infringement or threatened infringement of any such Intellectual Property Rights, title or interest whether such infringement or threatened infringement occurs prior to or after the execution of this Agreement and waives all moral rights he may have in respect of such Intellectual Property.</w:t>
      </w:r>
    </w:p>
    <w:p>
      <w:pPr>
        <w:spacing w:after="0" w:line="191" w:lineRule="exact"/>
        <w:rPr>
          <w:sz w:val="20"/>
          <w:szCs w:val="20"/>
          <w:color w:val="auto"/>
        </w:rPr>
      </w:pPr>
    </w:p>
    <w:p>
      <w:pPr>
        <w:jc w:val="both"/>
        <w:ind w:left="1800" w:hanging="890"/>
        <w:spacing w:after="0"/>
        <w:tabs>
          <w:tab w:leader="none" w:pos="178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22"/>
          <w:szCs w:val="22"/>
          <w:color w:val="auto"/>
        </w:rPr>
        <w:t>The Executive acknowledges and agrees that it may not now or at any time in the future use or exploit the Intellectual Property without the express written permission of the Company, except insofar as is necessary for the performance of his duties hereunder.</w:t>
      </w:r>
    </w:p>
    <w:p>
      <w:pPr>
        <w:spacing w:after="0" w:line="186" w:lineRule="exact"/>
        <w:rPr>
          <w:sz w:val="20"/>
          <w:szCs w:val="20"/>
          <w:color w:val="auto"/>
        </w:rPr>
      </w:pPr>
    </w:p>
    <w:p>
      <w:pPr>
        <w:jc w:val="both"/>
        <w:ind w:left="1800" w:hanging="890"/>
        <w:spacing w:after="0" w:line="297" w:lineRule="auto"/>
        <w:tabs>
          <w:tab w:leader="none" w:pos="178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The Executive warrants and represents that the Executive will be the sole beneficial owner of Intellectual Property Rights and that the Executive will be free to assign such Intellectual Property Rights to the Company pursuant hereto without any third party claims, liens, charges or encumbrances of any kind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5" w:name="page106"/>
    <w:bookmarkEnd w:id="105"/>
    <w:p>
      <w:pPr>
        <w:jc w:val="both"/>
        <w:ind w:left="1800"/>
        <w:spacing w:after="0" w:line="238" w:lineRule="auto"/>
        <w:rPr>
          <w:sz w:val="20"/>
          <w:szCs w:val="20"/>
          <w:color w:val="auto"/>
        </w:rPr>
      </w:pPr>
      <w:r>
        <w:rPr>
          <w:rFonts w:ascii="Arial" w:cs="Arial" w:eastAsia="Arial" w:hAnsi="Arial"/>
          <w:sz w:val="22"/>
          <w:szCs w:val="22"/>
          <w:color w:val="auto"/>
        </w:rPr>
        <w:t>that the Executive is free of any duties or obligations to third parties, which may conflict with the terms of this agreement. The Executive agrees to indemnify the Company against any and all liability, loss, damage, costs and expenses which the Company may incur or suffer as a result of a breach by the Executive of the warranties set out in this clause 17.5.</w:t>
      </w:r>
    </w:p>
    <w:p>
      <w:pPr>
        <w:spacing w:after="0" w:line="185" w:lineRule="exact"/>
        <w:rPr>
          <w:sz w:val="20"/>
          <w:szCs w:val="20"/>
          <w:color w:val="auto"/>
        </w:rPr>
      </w:pPr>
    </w:p>
    <w:p>
      <w:pPr>
        <w:jc w:val="both"/>
        <w:ind w:left="1800" w:right="20" w:hanging="890"/>
        <w:spacing w:after="0" w:line="250" w:lineRule="auto"/>
        <w:tabs>
          <w:tab w:leader="none" w:pos="178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22"/>
          <w:szCs w:val="22"/>
          <w:color w:val="auto"/>
        </w:rPr>
        <w:t>The Company (or its nominee) will, in its sole discretion, be entitled to apply for Intellectual Property Rights in respect of the Intellectual Property.</w:t>
      </w:r>
    </w:p>
    <w:p>
      <w:pPr>
        <w:spacing w:after="0" w:line="175" w:lineRule="exact"/>
        <w:rPr>
          <w:sz w:val="20"/>
          <w:szCs w:val="20"/>
          <w:color w:val="auto"/>
        </w:rPr>
      </w:pPr>
    </w:p>
    <w:p>
      <w:pPr>
        <w:jc w:val="both"/>
        <w:ind w:left="1800" w:hanging="890"/>
        <w:spacing w:after="0" w:line="248" w:lineRule="auto"/>
        <w:tabs>
          <w:tab w:leader="none" w:pos="178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21"/>
          <w:szCs w:val="21"/>
          <w:color w:val="auto"/>
        </w:rPr>
        <w:t>The Executive agrees if and whenever required to do so (whether during or after the termination of this Agreement) at the expense of the Company to do all things necessary, execute such deeds and documents and provide all such assistance as the Company may reasonably require to enable the Company to obtain and maintain the benefit of all Intellectual Property Rights in any part of the world and the Executive acknowledges that he will not be entitled to any further compensation or fees in respect of the performance of his obligations under this clause save as may be provided for by law.</w:t>
      </w:r>
    </w:p>
    <w:p>
      <w:pPr>
        <w:spacing w:after="0" w:line="177" w:lineRule="exact"/>
        <w:rPr>
          <w:sz w:val="20"/>
          <w:szCs w:val="20"/>
          <w:color w:val="auto"/>
        </w:rPr>
      </w:pPr>
    </w:p>
    <w:p>
      <w:pPr>
        <w:jc w:val="both"/>
        <w:ind w:left="1800" w:hanging="890"/>
        <w:spacing w:after="0" w:line="248" w:lineRule="auto"/>
        <w:tabs>
          <w:tab w:leader="none" w:pos="178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21"/>
          <w:szCs w:val="21"/>
          <w:color w:val="auto"/>
        </w:rPr>
        <w:t>The Executive irrevocably appoints the Company to be the Executive’s attorney or agent in the Executive’s name and on the Executive’s behalf to do all such acts and things and to sign all such deeds and documents as may be necessary in order to give the Company the full benefit of the provisions of this clause and the Executive agrees that a certificate in writing in favour of any third party signed by any duly authorised officer of the Company that any act or thing or deed, document or instrument falls within the authority hereby conferred will be conclusive evidence that this is the case.</w:t>
      </w:r>
    </w:p>
    <w:p>
      <w:pPr>
        <w:spacing w:after="0" w:line="177" w:lineRule="exact"/>
        <w:rPr>
          <w:sz w:val="20"/>
          <w:szCs w:val="20"/>
          <w:color w:val="auto"/>
        </w:rPr>
      </w:pPr>
    </w:p>
    <w:p>
      <w:pPr>
        <w:jc w:val="both"/>
        <w:ind w:left="1800" w:hanging="890"/>
        <w:spacing w:after="0" w:line="274" w:lineRule="auto"/>
        <w:tabs>
          <w:tab w:leader="none" w:pos="178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 xml:space="preserve">The Executive warrants and represents that none of the Intellectual Property Rights or the exercise of them will infringe any intellectual property rights of which a third party is the proprietor including, in particular but without limitation, any patents, copyrights, registered designs, moral rights or rights of confidence. The Executive agrees to indemnify the Company against any and all liability, loss, damage, costs and expenses which the Company or a third party may incur or suffer whether direct or consequential (including but without limitation any economic loss or other loss of profits, business or goodwill) as a result of any dispute or contractual, tortious or other claims or proceedings brought against the Company by a third party alleging infringement of its intellectual property rights by reason of the use or exploitation of any Intellectual Property, conceived, originated, made or developed by the Executive </w:t>
      </w:r>
      <w:r>
        <w:rPr>
          <w:rFonts w:ascii="Arial" w:cs="Arial" w:eastAsia="Arial" w:hAnsi="Arial"/>
          <w:sz w:val="19"/>
          <w:szCs w:val="19"/>
          <w:b w:val="1"/>
          <w:bCs w:val="1"/>
          <w:color w:val="auto"/>
        </w:rPr>
        <w:t>PROVIDED ALWAYS</w:t>
      </w:r>
      <w:r>
        <w:rPr>
          <w:rFonts w:ascii="Arial" w:cs="Arial" w:eastAsia="Arial" w:hAnsi="Arial"/>
          <w:sz w:val="19"/>
          <w:szCs w:val="19"/>
          <w:color w:val="auto"/>
        </w:rPr>
        <w:t xml:space="preserve"> that:</w:t>
      </w:r>
    </w:p>
    <w:p>
      <w:pPr>
        <w:spacing w:after="0" w:line="158" w:lineRule="exact"/>
        <w:rPr>
          <w:sz w:val="20"/>
          <w:szCs w:val="20"/>
          <w:color w:val="auto"/>
        </w:rPr>
      </w:pPr>
    </w:p>
    <w:p>
      <w:pPr>
        <w:ind w:left="2680" w:hanging="890"/>
        <w:spacing w:after="0" w:line="250" w:lineRule="auto"/>
        <w:tabs>
          <w:tab w:leader="none" w:pos="26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Company will forthwith give written notice to the Executive of any claims or proceedings following receipt of them;</w:t>
      </w:r>
    </w:p>
    <w:p>
      <w:pPr>
        <w:spacing w:after="0" w:line="174" w:lineRule="exact"/>
        <w:rPr>
          <w:rFonts w:ascii="Arial" w:cs="Arial" w:eastAsia="Arial" w:hAnsi="Arial"/>
          <w:sz w:val="22"/>
          <w:szCs w:val="22"/>
          <w:color w:val="auto"/>
        </w:rPr>
      </w:pPr>
    </w:p>
    <w:p>
      <w:pPr>
        <w:ind w:left="2680" w:hanging="890"/>
        <w:spacing w:after="0" w:line="274" w:lineRule="auto"/>
        <w:tabs>
          <w:tab w:leader="none" w:pos="26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Company will make no admission of liability and must give the Executive sole authority to defend or settle the claims or proceedings at the Executive’s cost and expense;</w:t>
      </w:r>
    </w:p>
    <w:p>
      <w:pPr>
        <w:spacing w:after="0" w:line="150" w:lineRule="exact"/>
        <w:rPr>
          <w:rFonts w:ascii="Arial" w:cs="Arial" w:eastAsia="Arial" w:hAnsi="Arial"/>
          <w:sz w:val="21"/>
          <w:szCs w:val="21"/>
          <w:color w:val="auto"/>
        </w:rPr>
      </w:pPr>
    </w:p>
    <w:p>
      <w:pPr>
        <w:ind w:left="2680" w:right="20" w:hanging="890"/>
        <w:spacing w:after="0" w:line="250" w:lineRule="auto"/>
        <w:tabs>
          <w:tab w:leader="none" w:pos="268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Company must give the Executive all reasonable assistance in connection with the claims or proceedings at the Executive’s cost and expense;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6" w:name="page107"/>
    <w:bookmarkEnd w:id="106"/>
    <w:p>
      <w:pPr>
        <w:jc w:val="both"/>
        <w:ind w:left="2680" w:hanging="890"/>
        <w:spacing w:after="0" w:line="235" w:lineRule="auto"/>
        <w:tabs>
          <w:tab w:leader="none" w:pos="26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in addition to the aforesaid indemnity, where an injunction restraining use or exploitation by the Company of any Intellectual Property is, in the opinion of the Company’s legal advisers, likely to be granted to the third party, the Executive’s will do all such acts and things either to render them non-infringing without affecting any of the Executive’s other duties and obligations under this agreement or will obtain a licence from the third party granting the Company the right to continue using them.</w:t>
      </w:r>
    </w:p>
    <w:p>
      <w:pPr>
        <w:spacing w:after="0" w:line="188" w:lineRule="exact"/>
        <w:rPr>
          <w:sz w:val="20"/>
          <w:szCs w:val="20"/>
          <w:color w:val="auto"/>
        </w:rPr>
      </w:pPr>
    </w:p>
    <w:p>
      <w:pPr>
        <w:ind w:left="1800" w:hanging="890"/>
        <w:spacing w:after="0" w:line="250" w:lineRule="auto"/>
        <w:tabs>
          <w:tab w:leader="none" w:pos="1780" w:val="left"/>
        </w:tabs>
        <w:rPr>
          <w:sz w:val="20"/>
          <w:szCs w:val="20"/>
          <w:color w:val="auto"/>
        </w:rPr>
      </w:pPr>
      <w:r>
        <w:rPr>
          <w:rFonts w:ascii="Arial" w:cs="Arial" w:eastAsia="Arial" w:hAnsi="Arial"/>
          <w:sz w:val="22"/>
          <w:szCs w:val="22"/>
          <w:color w:val="auto"/>
        </w:rPr>
        <w:t>17.10</w:t>
      </w:r>
      <w:r>
        <w:rPr>
          <w:sz w:val="20"/>
          <w:szCs w:val="20"/>
          <w:color w:val="auto"/>
        </w:rPr>
        <w:tab/>
      </w:r>
      <w:r>
        <w:rPr>
          <w:rFonts w:ascii="Arial" w:cs="Arial" w:eastAsia="Arial" w:hAnsi="Arial"/>
          <w:sz w:val="22"/>
          <w:szCs w:val="22"/>
          <w:color w:val="auto"/>
        </w:rPr>
        <w:t>The obligations of the parties under this clause 17 will survive the expiry or the termination of this Agreement for whatever reason.</w:t>
      </w:r>
    </w:p>
    <w:p>
      <w:pPr>
        <w:spacing w:after="0" w:line="169" w:lineRule="exact"/>
        <w:rPr>
          <w:sz w:val="20"/>
          <w:szCs w:val="20"/>
          <w:color w:val="auto"/>
        </w:rPr>
      </w:pPr>
    </w:p>
    <w:p>
      <w:pPr>
        <w:ind w:left="900" w:hanging="892"/>
        <w:spacing w:after="0"/>
        <w:tabs>
          <w:tab w:leader="none" w:pos="900" w:val="left"/>
        </w:tabs>
        <w:numPr>
          <w:ilvl w:val="0"/>
          <w:numId w:val="69"/>
        </w:numPr>
        <w:rPr>
          <w:rFonts w:ascii="Arial" w:cs="Arial" w:eastAsia="Arial" w:hAnsi="Arial"/>
          <w:sz w:val="22"/>
          <w:szCs w:val="22"/>
          <w:color w:val="auto"/>
        </w:rPr>
      </w:pPr>
      <w:r>
        <w:rPr>
          <w:rFonts w:ascii="Arial" w:cs="Arial" w:eastAsia="Arial" w:hAnsi="Arial"/>
          <w:sz w:val="22"/>
          <w:szCs w:val="22"/>
          <w:b w:val="1"/>
          <w:bCs w:val="1"/>
          <w:color w:val="auto"/>
        </w:rPr>
        <w:t>Termination</w:t>
      </w:r>
    </w:p>
    <w:p>
      <w:pPr>
        <w:spacing w:after="0" w:line="212" w:lineRule="exact"/>
        <w:rPr>
          <w:rFonts w:ascii="Arial" w:cs="Arial" w:eastAsia="Arial" w:hAnsi="Arial"/>
          <w:sz w:val="22"/>
          <w:szCs w:val="22"/>
          <w:color w:val="auto"/>
        </w:rPr>
      </w:pPr>
    </w:p>
    <w:p>
      <w:pPr>
        <w:ind w:left="900"/>
        <w:spacing w:after="0"/>
        <w:rPr>
          <w:rFonts w:ascii="Arial" w:cs="Arial" w:eastAsia="Arial" w:hAnsi="Arial"/>
          <w:sz w:val="22"/>
          <w:szCs w:val="22"/>
          <w:color w:val="auto"/>
        </w:rPr>
      </w:pPr>
      <w:r>
        <w:rPr>
          <w:rFonts w:ascii="Arial" w:cs="Arial" w:eastAsia="Arial" w:hAnsi="Arial"/>
          <w:sz w:val="22"/>
          <w:szCs w:val="22"/>
          <w:color w:val="auto"/>
        </w:rPr>
        <w:t>18.1</w:t>
      </w:r>
      <w:r>
        <w:rPr>
          <w:rFonts w:ascii="Arial" w:cs="Arial" w:eastAsia="Arial" w:hAnsi="Arial"/>
          <w:sz w:val="19"/>
          <w:szCs w:val="19"/>
          <w:color w:val="auto"/>
        </w:rPr>
        <w:t>This Agreement is entered into for an indefinite term.</w:t>
      </w:r>
    </w:p>
    <w:p>
      <w:pPr>
        <w:spacing w:after="0" w:line="206" w:lineRule="exact"/>
        <w:rPr>
          <w:rFonts w:ascii="Arial" w:cs="Arial" w:eastAsia="Arial" w:hAnsi="Arial"/>
          <w:sz w:val="22"/>
          <w:szCs w:val="22"/>
          <w:color w:val="auto"/>
        </w:rPr>
      </w:pPr>
    </w:p>
    <w:p>
      <w:pPr>
        <w:ind w:left="900"/>
        <w:spacing w:after="0"/>
        <w:rPr>
          <w:rFonts w:ascii="Arial" w:cs="Arial" w:eastAsia="Arial" w:hAnsi="Arial"/>
          <w:sz w:val="22"/>
          <w:szCs w:val="22"/>
          <w:color w:val="auto"/>
        </w:rPr>
      </w:pPr>
      <w:r>
        <w:rPr>
          <w:rFonts w:ascii="Arial" w:cs="Arial" w:eastAsia="Arial" w:hAnsi="Arial"/>
          <w:sz w:val="22"/>
          <w:szCs w:val="22"/>
          <w:color w:val="auto"/>
        </w:rPr>
        <w:t>18.2</w:t>
      </w:r>
      <w:r>
        <w:rPr>
          <w:rFonts w:ascii="Arial" w:cs="Arial" w:eastAsia="Arial" w:hAnsi="Arial"/>
          <w:sz w:val="19"/>
          <w:szCs w:val="19"/>
          <w:color w:val="auto"/>
        </w:rPr>
        <w:t>There is no probation period.</w:t>
      </w:r>
    </w:p>
    <w:p>
      <w:pPr>
        <w:spacing w:after="0" w:line="206" w:lineRule="exact"/>
        <w:rPr>
          <w:rFonts w:ascii="Arial" w:cs="Arial" w:eastAsia="Arial" w:hAnsi="Arial"/>
          <w:sz w:val="22"/>
          <w:szCs w:val="22"/>
          <w:color w:val="auto"/>
        </w:rPr>
      </w:pPr>
    </w:p>
    <w:p>
      <w:pPr>
        <w:ind w:left="1800" w:right="20" w:hanging="891"/>
        <w:spacing w:after="0" w:line="250" w:lineRule="auto"/>
        <w:rPr>
          <w:rFonts w:ascii="Arial" w:cs="Arial" w:eastAsia="Arial" w:hAnsi="Arial"/>
          <w:sz w:val="22"/>
          <w:szCs w:val="22"/>
          <w:color w:val="auto"/>
        </w:rPr>
      </w:pPr>
      <w:r>
        <w:rPr>
          <w:rFonts w:ascii="Arial" w:cs="Arial" w:eastAsia="Arial" w:hAnsi="Arial"/>
          <w:sz w:val="22"/>
          <w:szCs w:val="22"/>
          <w:color w:val="auto"/>
        </w:rPr>
        <w:t>18.3The Agreement may be terminated by either party upon a six months’ prior written notice (net) to the other party.</w:t>
      </w:r>
    </w:p>
    <w:p>
      <w:pPr>
        <w:spacing w:after="0" w:line="174" w:lineRule="exact"/>
        <w:rPr>
          <w:rFonts w:ascii="Arial" w:cs="Arial" w:eastAsia="Arial" w:hAnsi="Arial"/>
          <w:sz w:val="22"/>
          <w:szCs w:val="22"/>
          <w:color w:val="auto"/>
        </w:rPr>
      </w:pPr>
    </w:p>
    <w:p>
      <w:pPr>
        <w:ind w:left="1800" w:hanging="891"/>
        <w:spacing w:after="0" w:line="238" w:lineRule="auto"/>
        <w:rPr>
          <w:rFonts w:ascii="Arial" w:cs="Arial" w:eastAsia="Arial" w:hAnsi="Arial"/>
          <w:sz w:val="22"/>
          <w:szCs w:val="22"/>
          <w:color w:val="auto"/>
        </w:rPr>
      </w:pPr>
      <w:r>
        <w:rPr>
          <w:rFonts w:ascii="Arial" w:cs="Arial" w:eastAsia="Arial" w:hAnsi="Arial"/>
          <w:sz w:val="22"/>
          <w:szCs w:val="22"/>
          <w:color w:val="auto"/>
        </w:rPr>
        <w:t>18.4Termination with immediate effect for a justified cause pursuant to Article 337 Swiss Code of Obligations (CO/OR) is reserved. By way of example only, any of the following may be regarded as a justified cause for the Company to terminate the Agreement at any time with immediate effect: if the Executive will at any time:</w:t>
      </w:r>
    </w:p>
    <w:p>
      <w:pPr>
        <w:spacing w:after="0" w:line="184" w:lineRule="exact"/>
        <w:rPr>
          <w:rFonts w:ascii="Arial" w:cs="Arial" w:eastAsia="Arial" w:hAnsi="Arial"/>
          <w:sz w:val="22"/>
          <w:szCs w:val="22"/>
          <w:color w:val="auto"/>
        </w:rPr>
      </w:pPr>
    </w:p>
    <w:p>
      <w:pPr>
        <w:jc w:val="both"/>
        <w:ind w:left="2680" w:hanging="890"/>
        <w:spacing w:after="0"/>
        <w:tabs>
          <w:tab w:leader="none" w:pos="26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commit any serious breach or persistent breach of any of the provisions herein contained and (if capable of remedy) fail to remedy the same within 30 days of being called upon to do so by the Company;</w:t>
      </w:r>
    </w:p>
    <w:p>
      <w:pPr>
        <w:spacing w:after="0" w:line="186" w:lineRule="exact"/>
        <w:rPr>
          <w:rFonts w:ascii="Arial" w:cs="Arial" w:eastAsia="Arial" w:hAnsi="Arial"/>
          <w:sz w:val="22"/>
          <w:szCs w:val="22"/>
          <w:color w:val="auto"/>
        </w:rPr>
      </w:pPr>
    </w:p>
    <w:p>
      <w:pPr>
        <w:ind w:left="2680" w:hanging="890"/>
        <w:spacing w:after="0" w:line="250" w:lineRule="auto"/>
        <w:tabs>
          <w:tab w:leader="none" w:pos="26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be guilty of fraud, dishonesty, gross misconduct or wilful neglect in the discharge of his duties hereunder;</w:t>
      </w:r>
    </w:p>
    <w:p>
      <w:pPr>
        <w:spacing w:after="0" w:line="174" w:lineRule="exact"/>
        <w:rPr>
          <w:rFonts w:ascii="Arial" w:cs="Arial" w:eastAsia="Arial" w:hAnsi="Arial"/>
          <w:sz w:val="22"/>
          <w:szCs w:val="22"/>
          <w:color w:val="auto"/>
        </w:rPr>
      </w:pPr>
    </w:p>
    <w:p>
      <w:pPr>
        <w:ind w:left="2680" w:hanging="890"/>
        <w:spacing w:after="0"/>
        <w:tabs>
          <w:tab w:leader="none" w:pos="2680" w:val="left"/>
        </w:tabs>
        <w:numPr>
          <w:ilvl w:val="1"/>
          <w:numId w:val="69"/>
        </w:numPr>
        <w:rPr>
          <w:rFonts w:ascii="Arial" w:cs="Arial" w:eastAsia="Arial" w:hAnsi="Arial"/>
          <w:sz w:val="21"/>
          <w:szCs w:val="21"/>
          <w:color w:val="auto"/>
        </w:rPr>
      </w:pPr>
      <w:r>
        <w:rPr>
          <w:rFonts w:ascii="Arial" w:cs="Arial" w:eastAsia="Arial" w:hAnsi="Arial"/>
          <w:sz w:val="21"/>
          <w:szCs w:val="21"/>
          <w:color w:val="auto"/>
        </w:rPr>
        <w:t>become bankrupt or make any arrangement or composition with his/her creditors generally;</w:t>
      </w:r>
    </w:p>
    <w:p>
      <w:pPr>
        <w:spacing w:after="0" w:line="217" w:lineRule="exact"/>
        <w:rPr>
          <w:rFonts w:ascii="Arial" w:cs="Arial" w:eastAsia="Arial" w:hAnsi="Arial"/>
          <w:sz w:val="21"/>
          <w:szCs w:val="21"/>
          <w:color w:val="auto"/>
        </w:rPr>
      </w:pPr>
    </w:p>
    <w:p>
      <w:pPr>
        <w:ind w:left="2680" w:right="20" w:hanging="890"/>
        <w:spacing w:after="0" w:line="250" w:lineRule="auto"/>
        <w:tabs>
          <w:tab w:leader="none" w:pos="26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be convicted of any criminal offence other than an offence which in the reasonable opinion of the Board does not affect his position.</w:t>
      </w:r>
    </w:p>
    <w:p>
      <w:pPr>
        <w:spacing w:after="0" w:line="175" w:lineRule="exact"/>
        <w:rPr>
          <w:sz w:val="20"/>
          <w:szCs w:val="20"/>
          <w:color w:val="auto"/>
        </w:rPr>
      </w:pPr>
    </w:p>
    <w:p>
      <w:pPr>
        <w:jc w:val="both"/>
        <w:ind w:left="1800" w:hanging="890"/>
        <w:spacing w:after="0" w:line="274" w:lineRule="auto"/>
        <w:tabs>
          <w:tab w:leader="none" w:pos="178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19"/>
          <w:szCs w:val="19"/>
          <w:color w:val="auto"/>
        </w:rPr>
        <w:t>The Board may at any time, and whether pending an investigation or any disciplinary hearing involving the Executive or during the whole or any part of a period of notice to terminate the Executive’s employment, suspend and/or require the Executive by notice in writing not to attend for work and/or perform his functions hereunder. The Executive may also during any period of suspension be required not to communicate with suppliers, customers, other business connections or other employees of the Company and/or its associated companies and may be relieved of some or all of his powers and duties. The exercise of any or all of its powers under this clause 18.5 by the Board on behalf of the Company will not relieve the Company of its obligations to pay such salary and other benefits as are due to the Executive under this Agreement nor will it relieve him of any other obligations to the Company under this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7" w:name="page108"/>
    <w:bookmarkEnd w:id="107"/>
    <w:p>
      <w:pPr>
        <w:jc w:val="both"/>
        <w:ind w:left="1800"/>
        <w:spacing w:after="0"/>
        <w:rPr>
          <w:sz w:val="20"/>
          <w:szCs w:val="20"/>
          <w:color w:val="auto"/>
        </w:rPr>
      </w:pPr>
      <w:r>
        <w:rPr>
          <w:rFonts w:ascii="Arial" w:cs="Arial" w:eastAsia="Arial" w:hAnsi="Arial"/>
          <w:sz w:val="22"/>
          <w:szCs w:val="22"/>
          <w:color w:val="auto"/>
        </w:rPr>
        <w:t>Agreement. The exercise of any or all of its powers under this clause 18.5 by the Board will not amount to or be treated by the Executive as a repudiation of this Agreement or as the termination of the Executive’s employment by the Company.</w:t>
      </w:r>
    </w:p>
    <w:p>
      <w:pPr>
        <w:spacing w:after="0" w:line="186" w:lineRule="exact"/>
        <w:rPr>
          <w:sz w:val="20"/>
          <w:szCs w:val="20"/>
          <w:color w:val="auto"/>
        </w:rPr>
      </w:pPr>
    </w:p>
    <w:p>
      <w:pPr>
        <w:jc w:val="both"/>
        <w:ind w:left="1800" w:hanging="890"/>
        <w:spacing w:after="0" w:line="282" w:lineRule="auto"/>
        <w:tabs>
          <w:tab w:leader="none" w:pos="178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Upon the termination of this Agreement for whatsoever reason, the Executive will, unless requested by the Chairman of the Board in writing not to do so, resign without claim for compensation from any offices held by him in the Company and/or in any of its associated companies and in the event of his failure to do so, the Chairman of the Board is hereby irrevocably authorised to appoint some person as his attorney in his name and on his behalf to execute all documents and to do all things requisite to give effect thereto.</w:t>
      </w:r>
    </w:p>
    <w:p>
      <w:pPr>
        <w:spacing w:after="0" w:line="147" w:lineRule="exact"/>
        <w:rPr>
          <w:sz w:val="20"/>
          <w:szCs w:val="20"/>
          <w:color w:val="auto"/>
        </w:rPr>
      </w:pPr>
    </w:p>
    <w:p>
      <w:pPr>
        <w:jc w:val="both"/>
        <w:ind w:left="1800" w:hanging="890"/>
        <w:spacing w:after="0" w:line="275" w:lineRule="auto"/>
        <w:tabs>
          <w:tab w:leader="none" w:pos="178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19"/>
          <w:szCs w:val="19"/>
          <w:color w:val="auto"/>
        </w:rPr>
        <w:t>The Executive will be eligible for severance pay and benefits under terms and conditions that are no less favourable than pursuant to Amarin Corporation plc’s Executive Severance and Change of Control Plan effective January 28, 2021 (the ‘Executive Severance and Change of Control Plan’), subject to any Swiss law requirements. Any benefits to which the Executive may be entitled to receive under the Executive Severance and Change of Control Plan or any other Company change in control severance payment plan from time to time will be inclusive of the Executive’s notice period entitlement referred to at clause 18.3 above, such that the Executive shall not be entitled to both severance and notice benefits (i.e. the remuneration/benefits paid during notice period will be deducted from the severance pay and benefits, if any are applicable).</w:t>
      </w:r>
    </w:p>
    <w:p>
      <w:pPr>
        <w:spacing w:after="0" w:line="151" w:lineRule="exact"/>
        <w:rPr>
          <w:sz w:val="20"/>
          <w:szCs w:val="20"/>
          <w:color w:val="auto"/>
        </w:rPr>
      </w:pPr>
    </w:p>
    <w:p>
      <w:pPr>
        <w:ind w:left="900" w:hanging="892"/>
        <w:spacing w:after="0"/>
        <w:tabs>
          <w:tab w:leader="none" w:pos="900" w:val="left"/>
        </w:tabs>
        <w:numPr>
          <w:ilvl w:val="0"/>
          <w:numId w:val="70"/>
        </w:numPr>
        <w:rPr>
          <w:rFonts w:ascii="Arial" w:cs="Arial" w:eastAsia="Arial" w:hAnsi="Arial"/>
          <w:sz w:val="22"/>
          <w:szCs w:val="22"/>
          <w:color w:val="auto"/>
        </w:rPr>
      </w:pPr>
      <w:r>
        <w:rPr>
          <w:rFonts w:ascii="Arial" w:cs="Arial" w:eastAsia="Arial" w:hAnsi="Arial"/>
          <w:sz w:val="22"/>
          <w:szCs w:val="22"/>
          <w:b w:val="1"/>
          <w:bCs w:val="1"/>
          <w:color w:val="auto"/>
        </w:rPr>
        <w:t>Garden Leave</w:t>
      </w:r>
    </w:p>
    <w:p>
      <w:pPr>
        <w:spacing w:after="0" w:line="212" w:lineRule="exact"/>
        <w:rPr>
          <w:rFonts w:ascii="Arial" w:cs="Arial" w:eastAsia="Arial" w:hAnsi="Arial"/>
          <w:sz w:val="22"/>
          <w:szCs w:val="22"/>
          <w:color w:val="auto"/>
        </w:rPr>
      </w:pPr>
    </w:p>
    <w:p>
      <w:pPr>
        <w:jc w:val="both"/>
        <w:ind w:left="900"/>
        <w:spacing w:after="0" w:line="234" w:lineRule="auto"/>
        <w:rPr>
          <w:rFonts w:ascii="Arial" w:cs="Arial" w:eastAsia="Arial" w:hAnsi="Arial"/>
          <w:sz w:val="22"/>
          <w:szCs w:val="22"/>
          <w:color w:val="auto"/>
        </w:rPr>
      </w:pPr>
      <w:r>
        <w:rPr>
          <w:rFonts w:ascii="Arial" w:cs="Arial" w:eastAsia="Arial" w:hAnsi="Arial"/>
          <w:sz w:val="22"/>
          <w:szCs w:val="22"/>
          <w:color w:val="auto"/>
        </w:rPr>
        <w:t xml:space="preserve">The Company may require the Executive to take garden leave (“Garden Leave”) and not to attend at work and/or not to undertake all or any of his duties hereunder during all or any part of any period of notice (whether given by the Executive or the Company) </w:t>
      </w:r>
      <w:r>
        <w:rPr>
          <w:rFonts w:ascii="Arial" w:cs="Arial" w:eastAsia="Arial" w:hAnsi="Arial"/>
          <w:sz w:val="22"/>
          <w:szCs w:val="22"/>
          <w:b w:val="1"/>
          <w:bCs w:val="1"/>
          <w:color w:val="auto"/>
        </w:rPr>
        <w:t>PROVIDED ALWAYS</w:t>
      </w:r>
      <w:r>
        <w:rPr>
          <w:rFonts w:ascii="Arial" w:cs="Arial" w:eastAsia="Arial" w:hAnsi="Arial"/>
          <w:sz w:val="22"/>
          <w:szCs w:val="22"/>
          <w:color w:val="auto"/>
        </w:rPr>
        <w:t xml:space="preserve"> that during any period of Garden Leave the Executive will continue to receive his salary and contractual benefits and all obligations and entitlements under this Agreement continue to apply and the Executive otherwise remains bound by his employment obligations to the Company (including the obligation of exclusive service to the Company). If the Executive is required to take Garden Leave the Company may require the Executive:</w:t>
      </w:r>
    </w:p>
    <w:p>
      <w:pPr>
        <w:spacing w:after="0" w:line="190" w:lineRule="exact"/>
        <w:rPr>
          <w:rFonts w:ascii="Arial" w:cs="Arial" w:eastAsia="Arial" w:hAnsi="Arial"/>
          <w:sz w:val="22"/>
          <w:szCs w:val="22"/>
          <w:color w:val="auto"/>
        </w:rPr>
      </w:pPr>
    </w:p>
    <w:p>
      <w:pPr>
        <w:ind w:left="2680" w:hanging="890"/>
        <w:spacing w:after="0"/>
        <w:tabs>
          <w:tab w:leader="none" w:pos="26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not to attend at his place of work or any of the Company’s other premises;</w:t>
      </w:r>
    </w:p>
    <w:p>
      <w:pPr>
        <w:spacing w:after="0" w:line="206" w:lineRule="exact"/>
        <w:rPr>
          <w:rFonts w:ascii="Arial" w:cs="Arial" w:eastAsia="Arial" w:hAnsi="Arial"/>
          <w:sz w:val="22"/>
          <w:szCs w:val="22"/>
          <w:color w:val="auto"/>
        </w:rPr>
      </w:pPr>
    </w:p>
    <w:p>
      <w:pPr>
        <w:ind w:left="2680" w:hanging="890"/>
        <w:spacing w:after="0"/>
        <w:tabs>
          <w:tab w:leader="none" w:pos="26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not to carry out all or part of his duties during the notice period;</w:t>
      </w:r>
    </w:p>
    <w:p>
      <w:pPr>
        <w:spacing w:after="0" w:line="206" w:lineRule="exact"/>
        <w:rPr>
          <w:rFonts w:ascii="Arial" w:cs="Arial" w:eastAsia="Arial" w:hAnsi="Arial"/>
          <w:sz w:val="22"/>
          <w:szCs w:val="22"/>
          <w:color w:val="auto"/>
        </w:rPr>
      </w:pPr>
    </w:p>
    <w:p>
      <w:pPr>
        <w:ind w:left="2680" w:right="300" w:hanging="890"/>
        <w:spacing w:after="0" w:line="250" w:lineRule="auto"/>
        <w:tabs>
          <w:tab w:leader="none" w:pos="26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to return to the Company all documents and other materials (including Copies) belonging to the Company;</w:t>
      </w:r>
    </w:p>
    <w:p>
      <w:pPr>
        <w:spacing w:after="0" w:line="174" w:lineRule="exact"/>
        <w:rPr>
          <w:rFonts w:ascii="Arial" w:cs="Arial" w:eastAsia="Arial" w:hAnsi="Arial"/>
          <w:sz w:val="22"/>
          <w:szCs w:val="22"/>
          <w:color w:val="auto"/>
        </w:rPr>
      </w:pPr>
    </w:p>
    <w:p>
      <w:pPr>
        <w:ind w:left="2680" w:right="140" w:hanging="890"/>
        <w:spacing w:after="0"/>
        <w:tabs>
          <w:tab w:leader="none" w:pos="26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not without the prior written permission of the Company contact or attempt to contact any of the Company’s clients, customers, suppliers, agents, professional advisers, brokers, or bankers or any of the Company’s employees; and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8" w:name="page109"/>
    <w:bookmarkEnd w:id="108"/>
    <w:p>
      <w:pPr>
        <w:ind w:left="2680" w:right="160" w:hanging="890"/>
        <w:spacing w:after="0" w:line="328" w:lineRule="auto"/>
        <w:tabs>
          <w:tab w:leader="none" w:pos="2680" w:val="left"/>
        </w:tabs>
        <w:numPr>
          <w:ilvl w:val="1"/>
          <w:numId w:val="71"/>
        </w:numPr>
        <w:rPr>
          <w:rFonts w:ascii="Arial" w:cs="Arial" w:eastAsia="Arial" w:hAnsi="Arial"/>
          <w:sz w:val="19"/>
          <w:szCs w:val="19"/>
          <w:color w:val="auto"/>
        </w:rPr>
      </w:pPr>
      <w:r>
        <w:rPr>
          <w:rFonts w:ascii="Arial" w:cs="Arial" w:eastAsia="Arial" w:hAnsi="Arial"/>
          <w:sz w:val="19"/>
          <w:szCs w:val="19"/>
          <w:color w:val="auto"/>
        </w:rPr>
        <w:t>engage in, or be concerned with, or provide services to, (whether as an employee, director, agent, partner, consultant or otherwise) any other business until the date that employment terminates.</w:t>
      </w:r>
    </w:p>
    <w:p>
      <w:pPr>
        <w:spacing w:after="0" w:line="98" w:lineRule="exact"/>
        <w:rPr>
          <w:rFonts w:ascii="Arial" w:cs="Arial" w:eastAsia="Arial" w:hAnsi="Arial"/>
          <w:sz w:val="19"/>
          <w:szCs w:val="19"/>
          <w:color w:val="auto"/>
        </w:rPr>
      </w:pPr>
    </w:p>
    <w:p>
      <w:pPr>
        <w:ind w:left="900" w:hanging="892"/>
        <w:spacing w:after="0"/>
        <w:tabs>
          <w:tab w:leader="none" w:pos="90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Post Termination Restrictions</w:t>
      </w:r>
    </w:p>
    <w:p>
      <w:pPr>
        <w:spacing w:after="0" w:line="212" w:lineRule="exact"/>
        <w:rPr>
          <w:rFonts w:ascii="Arial" w:cs="Arial" w:eastAsia="Arial" w:hAnsi="Arial"/>
          <w:sz w:val="22"/>
          <w:szCs w:val="22"/>
          <w:color w:val="auto"/>
        </w:rPr>
      </w:pPr>
    </w:p>
    <w:p>
      <w:pPr>
        <w:ind w:left="1800" w:hanging="891"/>
        <w:spacing w:after="0" w:line="250" w:lineRule="auto"/>
        <w:rPr>
          <w:rFonts w:ascii="Arial" w:cs="Arial" w:eastAsia="Arial" w:hAnsi="Arial"/>
          <w:sz w:val="22"/>
          <w:szCs w:val="22"/>
          <w:color w:val="auto"/>
        </w:rPr>
      </w:pPr>
      <w:r>
        <w:rPr>
          <w:rFonts w:ascii="Arial" w:cs="Arial" w:eastAsia="Arial" w:hAnsi="Arial"/>
          <w:sz w:val="22"/>
          <w:szCs w:val="22"/>
          <w:color w:val="auto"/>
        </w:rPr>
        <w:t>20.1During the Restricted Period, the Executive will not either directly or indirectly (without the prior written consent issued by the Board), within the Restricted Territory:</w:t>
      </w:r>
    </w:p>
    <w:p>
      <w:pPr>
        <w:spacing w:after="0" w:line="174" w:lineRule="exact"/>
        <w:rPr>
          <w:rFonts w:ascii="Arial" w:cs="Arial" w:eastAsia="Arial" w:hAnsi="Arial"/>
          <w:sz w:val="22"/>
          <w:szCs w:val="22"/>
          <w:color w:val="auto"/>
        </w:rPr>
      </w:pPr>
    </w:p>
    <w:p>
      <w:pPr>
        <w:jc w:val="both"/>
        <w:ind w:left="2680" w:hanging="890"/>
        <w:spacing w:after="0" w:line="236" w:lineRule="auto"/>
        <w:tabs>
          <w:tab w:leader="none" w:pos="26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solicit the services of, or entice away from the Company and/or any associated company, employ or engage, or attempt to do any of the foregoing, whether on his own behalf or on behalf of others, any person who is or was an executive director or a senior manager of the Company or of any associated company at any time during the twelve (12) month period immediately preceding the Termination Date; and/or</w:t>
      </w:r>
    </w:p>
    <w:p>
      <w:pPr>
        <w:spacing w:after="0" w:line="187" w:lineRule="exact"/>
        <w:rPr>
          <w:rFonts w:ascii="Arial" w:cs="Arial" w:eastAsia="Arial" w:hAnsi="Arial"/>
          <w:sz w:val="22"/>
          <w:szCs w:val="22"/>
          <w:color w:val="auto"/>
        </w:rPr>
      </w:pPr>
    </w:p>
    <w:p>
      <w:pPr>
        <w:jc w:val="both"/>
        <w:ind w:left="2680" w:hanging="890"/>
        <w:spacing w:after="0" w:line="236" w:lineRule="auto"/>
        <w:tabs>
          <w:tab w:leader="none" w:pos="26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solicit or entice away from the Company and/or any associated company, or attempt to do so, the custom or business of any person who or which is, or was, a customer of the Company and/or of any Associated Companies with whom the Executive had contact by virtue his employment with the Company at any time during the twelve (12) month period immediately preceding the Termination Date; and/or</w:t>
      </w:r>
    </w:p>
    <w:p>
      <w:pPr>
        <w:spacing w:after="0" w:line="187" w:lineRule="exact"/>
        <w:rPr>
          <w:rFonts w:ascii="Arial" w:cs="Arial" w:eastAsia="Arial" w:hAnsi="Arial"/>
          <w:sz w:val="22"/>
          <w:szCs w:val="22"/>
          <w:color w:val="auto"/>
        </w:rPr>
      </w:pPr>
    </w:p>
    <w:p>
      <w:pPr>
        <w:jc w:val="both"/>
        <w:ind w:left="2680" w:hanging="890"/>
        <w:spacing w:after="0" w:line="272" w:lineRule="auto"/>
        <w:tabs>
          <w:tab w:leader="none" w:pos="2680" w:val="left"/>
        </w:tabs>
        <w:numPr>
          <w:ilvl w:val="1"/>
          <w:numId w:val="72"/>
        </w:numPr>
        <w:rPr>
          <w:rFonts w:ascii="Arial" w:cs="Arial" w:eastAsia="Arial" w:hAnsi="Arial"/>
          <w:sz w:val="19"/>
          <w:szCs w:val="19"/>
          <w:color w:val="auto"/>
        </w:rPr>
      </w:pPr>
      <w:r>
        <w:rPr>
          <w:rFonts w:ascii="Arial" w:cs="Arial" w:eastAsia="Arial" w:hAnsi="Arial"/>
          <w:sz w:val="19"/>
          <w:szCs w:val="19"/>
          <w:color w:val="auto"/>
        </w:rPr>
        <w:t>directly or indirectly, whether as owner, partner, shareholder, director, manager, consultant, agent, employee, co-venturer or otherwise, work for or be engaged by or concerned or interested (except as the holder of any shares, stock or debentures which in aggregate do not exceed 1% of the total shares, stocks or debentures of a company quoted on any recognised stock exchange) in any person which is in competition with the Company and/or any associated company, which is engaged in any business activity anywhere in the world involving the development, manufacturing or marketing of any products, or the performance of any services which products or services are similar to the products or services of the Company and/or any associated company, or products or services that the Company and/or any associated company has under development or that are the subject of active planning at any time during the Executive’s employment with the Company, including without limitation, any entity that provides or has active plans to provide products and/or services in the area of triglyceride management.</w:t>
      </w:r>
    </w:p>
    <w:p>
      <w:pPr>
        <w:spacing w:after="0" w:line="161" w:lineRule="exact"/>
        <w:rPr>
          <w:sz w:val="20"/>
          <w:szCs w:val="20"/>
          <w:color w:val="auto"/>
        </w:rPr>
      </w:pPr>
    </w:p>
    <w:p>
      <w:pPr>
        <w:jc w:val="both"/>
        <w:ind w:left="1800" w:hanging="890"/>
        <w:spacing w:after="0" w:line="246" w:lineRule="auto"/>
        <w:tabs>
          <w:tab w:leader="none" w:pos="178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21"/>
          <w:szCs w:val="21"/>
          <w:color w:val="auto"/>
        </w:rPr>
        <w:t>The Executive hereby acknowledges and agrees that the covenants and provisions of this clause 20 hereof are separate and severable and that the restrictions therein contained are fair and reasonable in all the circumstances. In the event, however, that any of the restrictions contained in this clause 20 are adjudged by a court of competent jurisdiction to go beyond what is reasonable, in all the circumstances, for the protection of the legitimate interests of the Company and/or any associated company but would be adjudged reasonable if any particular restriction or restrictions, or part thereof, were deleted in any manner, then the restrictions in question will apply with such deletions as may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9" w:name="page110"/>
    <w:bookmarkEnd w:id="109"/>
    <w:p>
      <w:pPr>
        <w:jc w:val="center"/>
        <w:ind w:left="900"/>
        <w:spacing w:after="0"/>
        <w:rPr>
          <w:sz w:val="20"/>
          <w:szCs w:val="20"/>
          <w:color w:val="auto"/>
        </w:rPr>
      </w:pPr>
      <w:r>
        <w:rPr>
          <w:rFonts w:ascii="Arial" w:cs="Arial" w:eastAsia="Arial" w:hAnsi="Arial"/>
          <w:sz w:val="22"/>
          <w:szCs w:val="22"/>
          <w:color w:val="auto"/>
        </w:rPr>
        <w:t>be decided by a court of competent jurisdiction, without affecting the remaining provisions thereof.</w:t>
      </w:r>
    </w:p>
    <w:p>
      <w:pPr>
        <w:spacing w:after="0" w:line="206" w:lineRule="exact"/>
        <w:rPr>
          <w:sz w:val="20"/>
          <w:szCs w:val="20"/>
          <w:color w:val="auto"/>
        </w:rPr>
      </w:pPr>
    </w:p>
    <w:p>
      <w:pPr>
        <w:jc w:val="both"/>
        <w:ind w:left="1800" w:hanging="890"/>
        <w:spacing w:after="0" w:line="236" w:lineRule="auto"/>
        <w:tabs>
          <w:tab w:leader="none" w:pos="178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22"/>
          <w:szCs w:val="22"/>
          <w:color w:val="auto"/>
        </w:rPr>
        <w:t>In case of breach of the clause 20.1 (a) and (b), the Executive shall pay to the Company a penalty in the amount corresponding to 6 months of his last salary for each instance of violation. In case of breach of the clause 20.1 (c), the Executive shall pay to the Company a penalty in the amount of corresponding to 12 months of his last salary. Payment of the penalty shall not discharge the Executive from complying with his undertakings pursuant to clause 20.1 (all littera).</w:t>
      </w:r>
    </w:p>
    <w:p>
      <w:pPr>
        <w:spacing w:after="0" w:line="187" w:lineRule="exact"/>
        <w:rPr>
          <w:sz w:val="20"/>
          <w:szCs w:val="20"/>
          <w:color w:val="auto"/>
        </w:rPr>
      </w:pPr>
    </w:p>
    <w:p>
      <w:pPr>
        <w:jc w:val="both"/>
        <w:ind w:left="1780"/>
        <w:spacing w:after="0"/>
        <w:rPr>
          <w:sz w:val="20"/>
          <w:szCs w:val="20"/>
          <w:color w:val="auto"/>
        </w:rPr>
      </w:pPr>
      <w:r>
        <w:rPr>
          <w:rFonts w:ascii="Arial" w:cs="Arial" w:eastAsia="Arial" w:hAnsi="Arial"/>
          <w:sz w:val="22"/>
          <w:szCs w:val="22"/>
          <w:color w:val="auto"/>
        </w:rPr>
        <w:t>In addition to the payment of the penalty and any further damages the Company may have incurred as a result of the breach, the Company shall have the right to request that the Executive ceases and desists from any prohibited activities and to apply to the courts for injunctive relief.</w:t>
      </w:r>
    </w:p>
    <w:p>
      <w:pPr>
        <w:spacing w:after="0" w:line="180" w:lineRule="exact"/>
        <w:rPr>
          <w:sz w:val="20"/>
          <w:szCs w:val="20"/>
          <w:color w:val="auto"/>
        </w:rPr>
      </w:pPr>
    </w:p>
    <w:p>
      <w:pPr>
        <w:ind w:left="900" w:hanging="892"/>
        <w:spacing w:after="0"/>
        <w:tabs>
          <w:tab w:leader="none" w:pos="900" w:val="left"/>
        </w:tabs>
        <w:numPr>
          <w:ilvl w:val="0"/>
          <w:numId w:val="73"/>
        </w:numPr>
        <w:rPr>
          <w:rFonts w:ascii="Arial" w:cs="Arial" w:eastAsia="Arial" w:hAnsi="Arial"/>
          <w:sz w:val="22"/>
          <w:szCs w:val="22"/>
          <w:color w:val="auto"/>
        </w:rPr>
      </w:pPr>
      <w:r>
        <w:rPr>
          <w:rFonts w:ascii="Arial" w:cs="Arial" w:eastAsia="Arial" w:hAnsi="Arial"/>
          <w:sz w:val="22"/>
          <w:szCs w:val="22"/>
          <w:b w:val="1"/>
          <w:bCs w:val="1"/>
          <w:color w:val="auto"/>
        </w:rPr>
        <w:t>Data Protection</w:t>
      </w:r>
    </w:p>
    <w:p>
      <w:pPr>
        <w:spacing w:after="0" w:line="212" w:lineRule="exact"/>
        <w:rPr>
          <w:rFonts w:ascii="Arial" w:cs="Arial" w:eastAsia="Arial" w:hAnsi="Arial"/>
          <w:sz w:val="22"/>
          <w:szCs w:val="22"/>
          <w:color w:val="auto"/>
        </w:rPr>
      </w:pPr>
    </w:p>
    <w:p>
      <w:pPr>
        <w:ind w:left="1800" w:hanging="891"/>
        <w:spacing w:after="0" w:line="282" w:lineRule="auto"/>
        <w:rPr>
          <w:rFonts w:ascii="Arial" w:cs="Arial" w:eastAsia="Arial" w:hAnsi="Arial"/>
          <w:sz w:val="22"/>
          <w:szCs w:val="22"/>
          <w:color w:val="auto"/>
        </w:rPr>
      </w:pPr>
      <w:r>
        <w:rPr>
          <w:rFonts w:ascii="Arial" w:cs="Arial" w:eastAsia="Arial" w:hAnsi="Arial"/>
          <w:sz w:val="22"/>
          <w:szCs w:val="22"/>
          <w:color w:val="auto"/>
        </w:rPr>
        <w:t>21.1</w:t>
      </w:r>
      <w:r>
        <w:rPr>
          <w:rFonts w:ascii="Arial" w:cs="Arial" w:eastAsia="Arial" w:hAnsi="Arial"/>
          <w:sz w:val="19"/>
          <w:szCs w:val="19"/>
          <w:color w:val="auto"/>
        </w:rPr>
        <w:t>The Executive acknowledges that the Company may process personal data to the extent that such data concern the Executive's suitability for his/her job or are necessary for the performance of the employment contract. These data include personal information (e.g. name, address, employment history, emergency contact details, etc.), and other information necessary for processing the payroll, taxation or legal purposes. The Executive may have access to the personal data held on him upon request.</w:t>
      </w:r>
    </w:p>
    <w:p>
      <w:pPr>
        <w:spacing w:after="0" w:line="147" w:lineRule="exact"/>
        <w:rPr>
          <w:rFonts w:ascii="Arial" w:cs="Arial" w:eastAsia="Arial" w:hAnsi="Arial"/>
          <w:sz w:val="22"/>
          <w:szCs w:val="22"/>
          <w:color w:val="auto"/>
        </w:rPr>
      </w:pPr>
    </w:p>
    <w:p>
      <w:pPr>
        <w:ind w:left="1800" w:hanging="891"/>
        <w:spacing w:after="0" w:line="244" w:lineRule="auto"/>
        <w:rPr>
          <w:rFonts w:ascii="Arial" w:cs="Arial" w:eastAsia="Arial" w:hAnsi="Arial"/>
          <w:sz w:val="22"/>
          <w:szCs w:val="22"/>
          <w:color w:val="auto"/>
        </w:rPr>
      </w:pPr>
      <w:r>
        <w:rPr>
          <w:rFonts w:ascii="Arial" w:cs="Arial" w:eastAsia="Arial" w:hAnsi="Arial"/>
          <w:sz w:val="22"/>
          <w:szCs w:val="22"/>
          <w:color w:val="auto"/>
        </w:rPr>
        <w:t>21.2</w:t>
      </w:r>
      <w:r>
        <w:rPr>
          <w:rFonts w:ascii="Arial" w:cs="Arial" w:eastAsia="Arial" w:hAnsi="Arial"/>
          <w:sz w:val="21"/>
          <w:szCs w:val="21"/>
          <w:color w:val="auto"/>
        </w:rPr>
        <w:t>The Executive acknowledges that the Company may transfer and process his data to associated companies or third parties, in and outside Switzerland, including to the United States of America or to countries within the European Economic Area (EEA) where the Company has associated companies and/or service providers, for supporting the Company in human resources, legal, management, accounting or financial matters. The Company shall take appropriate steps to ensure that the information will have an adequate level of data protection in other countries outside Switzerland. The Company holds personal information about the Executive. The Executive’s data will be retained for the adequate duration of his employment plus an additional period to address the relevant retention and limitation periods determined by law. The Company will process the Executive’s personal information in accordance with data protection laws and the Executive can consult the Company’s Data Protection Policy for details about how to exercise his rights in respect of his data.</w:t>
      </w:r>
    </w:p>
    <w:p>
      <w:pPr>
        <w:spacing w:after="0" w:line="188" w:lineRule="exact"/>
        <w:rPr>
          <w:rFonts w:ascii="Arial" w:cs="Arial" w:eastAsia="Arial" w:hAnsi="Arial"/>
          <w:sz w:val="22"/>
          <w:szCs w:val="22"/>
          <w:color w:val="auto"/>
        </w:rPr>
      </w:pPr>
    </w:p>
    <w:p>
      <w:pPr>
        <w:ind w:left="1800" w:hanging="891"/>
        <w:spacing w:after="0" w:line="236" w:lineRule="auto"/>
        <w:rPr>
          <w:rFonts w:ascii="Arial" w:cs="Arial" w:eastAsia="Arial" w:hAnsi="Arial"/>
          <w:sz w:val="22"/>
          <w:szCs w:val="22"/>
          <w:color w:val="auto"/>
        </w:rPr>
      </w:pPr>
      <w:r>
        <w:rPr>
          <w:rFonts w:ascii="Arial" w:cs="Arial" w:eastAsia="Arial" w:hAnsi="Arial"/>
          <w:sz w:val="22"/>
          <w:szCs w:val="22"/>
          <w:color w:val="auto"/>
        </w:rPr>
        <w:t>21.3The Company will ensure that the Executive’s information is accurate, kept up to date and not kept for longer than is necessary. The Executive must let the Company know of any material change in his personal data (e.g. address, contact details, next of kin for emergency contact purposes, etc.). The Company will also take measures to safeguard the Executive’s data against unauthorised or unlawful processing and accidental loss or destruction or damage.</w:t>
      </w:r>
    </w:p>
    <w:p>
      <w:pPr>
        <w:spacing w:after="0" w:line="187" w:lineRule="exact"/>
        <w:rPr>
          <w:rFonts w:ascii="Arial" w:cs="Arial" w:eastAsia="Arial" w:hAnsi="Arial"/>
          <w:sz w:val="22"/>
          <w:szCs w:val="22"/>
          <w:color w:val="auto"/>
        </w:rPr>
      </w:pPr>
    </w:p>
    <w:p>
      <w:pPr>
        <w:ind w:left="1800" w:hanging="891"/>
        <w:spacing w:after="0"/>
        <w:rPr>
          <w:rFonts w:ascii="Arial" w:cs="Arial" w:eastAsia="Arial" w:hAnsi="Arial"/>
          <w:sz w:val="22"/>
          <w:szCs w:val="22"/>
          <w:color w:val="auto"/>
        </w:rPr>
      </w:pPr>
      <w:r>
        <w:rPr>
          <w:rFonts w:ascii="Arial" w:cs="Arial" w:eastAsia="Arial" w:hAnsi="Arial"/>
          <w:sz w:val="22"/>
          <w:szCs w:val="22"/>
          <w:color w:val="auto"/>
        </w:rPr>
        <w:t>21.4The Company relies on the Executive as an employee to comply with all applicable workplace policies and procedures governing the use of Company facilities and the use and disclosure of data, with which the Executive must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0" w:name="page111"/>
    <w:bookmarkEnd w:id="110"/>
    <w:p>
      <w:pPr>
        <w:jc w:val="both"/>
        <w:ind w:left="1800"/>
        <w:spacing w:after="0" w:line="235" w:lineRule="auto"/>
        <w:rPr>
          <w:sz w:val="20"/>
          <w:szCs w:val="20"/>
          <w:color w:val="auto"/>
        </w:rPr>
      </w:pPr>
      <w:r>
        <w:rPr>
          <w:rFonts w:ascii="Arial" w:cs="Arial" w:eastAsia="Arial" w:hAnsi="Arial"/>
          <w:sz w:val="22"/>
          <w:szCs w:val="22"/>
          <w:color w:val="auto"/>
        </w:rPr>
        <w:t>comply. The Company reserves the right to monitor the Executive's use of Company facilities where the Company believes it is necessary to ensure compliance with acceptable usage and other applicable policies so the Executive must not assume that workplace email communications, social media use or web-use are private. The Executive is advised that where appropriate and available, evidence such as CCTV footage, web-logs, etc. will be used by the Company in the context of internal investigations and/or disciplinary proceedings.</w:t>
      </w:r>
    </w:p>
    <w:p>
      <w:pPr>
        <w:spacing w:after="0" w:line="182" w:lineRule="exact"/>
        <w:rPr>
          <w:sz w:val="20"/>
          <w:szCs w:val="20"/>
          <w:color w:val="auto"/>
        </w:rPr>
      </w:pPr>
    </w:p>
    <w:p>
      <w:pPr>
        <w:ind w:left="900" w:hanging="892"/>
        <w:spacing w:after="0"/>
        <w:tabs>
          <w:tab w:leader="none" w:pos="90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Collective Agreement</w:t>
      </w:r>
    </w:p>
    <w:p>
      <w:pPr>
        <w:spacing w:after="0" w:line="212" w:lineRule="exact"/>
        <w:rPr>
          <w:rFonts w:ascii="Arial" w:cs="Arial" w:eastAsia="Arial" w:hAnsi="Arial"/>
          <w:sz w:val="22"/>
          <w:szCs w:val="22"/>
          <w:color w:val="auto"/>
        </w:rPr>
      </w:pPr>
    </w:p>
    <w:p>
      <w:pPr>
        <w:ind w:left="900"/>
        <w:spacing w:after="0"/>
        <w:rPr>
          <w:rFonts w:ascii="Arial" w:cs="Arial" w:eastAsia="Arial" w:hAnsi="Arial"/>
          <w:sz w:val="22"/>
          <w:szCs w:val="22"/>
          <w:color w:val="auto"/>
        </w:rPr>
      </w:pPr>
      <w:r>
        <w:rPr>
          <w:rFonts w:ascii="Arial" w:cs="Arial" w:eastAsia="Arial" w:hAnsi="Arial"/>
          <w:sz w:val="22"/>
          <w:szCs w:val="22"/>
          <w:color w:val="auto"/>
        </w:rPr>
        <w:t>There is no collective agreement which directly affects the Executive’s employment.</w:t>
      </w:r>
    </w:p>
    <w:p>
      <w:pPr>
        <w:spacing w:after="0" w:line="200" w:lineRule="exact"/>
        <w:rPr>
          <w:rFonts w:ascii="Arial" w:cs="Arial" w:eastAsia="Arial" w:hAnsi="Arial"/>
          <w:sz w:val="22"/>
          <w:szCs w:val="22"/>
          <w:color w:val="auto"/>
        </w:rPr>
      </w:pPr>
    </w:p>
    <w:p>
      <w:pPr>
        <w:ind w:left="900" w:hanging="892"/>
        <w:spacing w:after="0"/>
        <w:tabs>
          <w:tab w:leader="none" w:pos="90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Variation</w:t>
      </w:r>
    </w:p>
    <w:p>
      <w:pPr>
        <w:spacing w:after="0" w:line="212" w:lineRule="exact"/>
        <w:rPr>
          <w:rFonts w:ascii="Arial" w:cs="Arial" w:eastAsia="Arial" w:hAnsi="Arial"/>
          <w:sz w:val="22"/>
          <w:szCs w:val="22"/>
          <w:color w:val="auto"/>
        </w:rPr>
      </w:pPr>
    </w:p>
    <w:p>
      <w:pPr>
        <w:jc w:val="both"/>
        <w:ind w:left="900"/>
        <w:spacing w:after="0" w:line="287" w:lineRule="auto"/>
        <w:rPr>
          <w:rFonts w:ascii="Arial" w:cs="Arial" w:eastAsia="Arial" w:hAnsi="Arial"/>
          <w:sz w:val="22"/>
          <w:szCs w:val="22"/>
          <w:color w:val="auto"/>
        </w:rPr>
      </w:pPr>
      <w:r>
        <w:rPr>
          <w:rFonts w:ascii="Arial" w:cs="Arial" w:eastAsia="Arial" w:hAnsi="Arial"/>
          <w:sz w:val="19"/>
          <w:szCs w:val="19"/>
          <w:color w:val="auto"/>
        </w:rPr>
        <w:t>In addition to any specific reservations referred to in this Agreement, the Company reserves the right to make changes of a minor, administrative, or non-fundamental nature to the terms and conditions of the Executive’s employment from time to time. Additionally, the Company reserves the right to introduce and amend employment policies and procedures. Wherever practicable, the Executive will be given reasonable advance notice of any such change.</w:t>
      </w:r>
    </w:p>
    <w:p>
      <w:pPr>
        <w:spacing w:after="0" w:line="136" w:lineRule="exact"/>
        <w:rPr>
          <w:rFonts w:ascii="Arial" w:cs="Arial" w:eastAsia="Arial" w:hAnsi="Arial"/>
          <w:sz w:val="22"/>
          <w:szCs w:val="22"/>
          <w:color w:val="auto"/>
        </w:rPr>
      </w:pPr>
    </w:p>
    <w:p>
      <w:pPr>
        <w:ind w:left="900" w:hanging="892"/>
        <w:spacing w:after="0"/>
        <w:tabs>
          <w:tab w:leader="none" w:pos="90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Entire Agreement</w:t>
      </w:r>
    </w:p>
    <w:p>
      <w:pPr>
        <w:spacing w:after="0" w:line="212" w:lineRule="exact"/>
        <w:rPr>
          <w:rFonts w:ascii="Arial" w:cs="Arial" w:eastAsia="Arial" w:hAnsi="Arial"/>
          <w:sz w:val="22"/>
          <w:szCs w:val="22"/>
          <w:color w:val="auto"/>
        </w:rPr>
      </w:pPr>
    </w:p>
    <w:p>
      <w:pPr>
        <w:jc w:val="both"/>
        <w:ind w:left="900"/>
        <w:spacing w:after="0" w:line="275" w:lineRule="auto"/>
        <w:rPr>
          <w:rFonts w:ascii="Arial" w:cs="Arial" w:eastAsia="Arial" w:hAnsi="Arial"/>
          <w:sz w:val="22"/>
          <w:szCs w:val="22"/>
          <w:color w:val="auto"/>
        </w:rPr>
      </w:pPr>
      <w:r>
        <w:rPr>
          <w:rFonts w:ascii="Arial" w:cs="Arial" w:eastAsia="Arial" w:hAnsi="Arial"/>
          <w:sz w:val="19"/>
          <w:szCs w:val="19"/>
          <w:color w:val="auto"/>
        </w:rPr>
        <w:t>This Agreement enters into force on the 12th day of April 2021. As of that date, it supersedes and replaces the employment contract dated June 17, 2020 and the letter agreement between the Executive and the Company executed on June 18, 2020. The Executive’s existing equity awards and the equity award agreements governing such equity awards remain in full force and effect. All other prior and contemporaneous agreements written or oral, between the parties regarding the subject matter hereof are superseded by this Agreement. Neither party has relied upon representations or statements made by the other party hereto which are not specifically set forth in this Agreement. Any amendments or additions to the provisions hereof will be confirmed in writing by the Company to the Executive and agreed by him and unless so confirmed and agreed will not be binding on the parties hereto.</w:t>
      </w:r>
    </w:p>
    <w:p>
      <w:pPr>
        <w:spacing w:after="0" w:line="151" w:lineRule="exact"/>
        <w:rPr>
          <w:rFonts w:ascii="Arial" w:cs="Arial" w:eastAsia="Arial" w:hAnsi="Arial"/>
          <w:sz w:val="22"/>
          <w:szCs w:val="22"/>
          <w:color w:val="auto"/>
        </w:rPr>
      </w:pPr>
    </w:p>
    <w:p>
      <w:pPr>
        <w:ind w:left="900" w:hanging="892"/>
        <w:spacing w:after="0"/>
        <w:tabs>
          <w:tab w:leader="none" w:pos="90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Independent Legal Advice</w:t>
      </w:r>
    </w:p>
    <w:p>
      <w:pPr>
        <w:spacing w:after="0" w:line="212" w:lineRule="exact"/>
        <w:rPr>
          <w:rFonts w:ascii="Arial" w:cs="Arial" w:eastAsia="Arial" w:hAnsi="Arial"/>
          <w:sz w:val="22"/>
          <w:szCs w:val="22"/>
          <w:color w:val="auto"/>
        </w:rPr>
      </w:pPr>
    </w:p>
    <w:p>
      <w:pPr>
        <w:ind w:left="900"/>
        <w:spacing w:after="0" w:line="250" w:lineRule="auto"/>
        <w:rPr>
          <w:rFonts w:ascii="Arial" w:cs="Arial" w:eastAsia="Arial" w:hAnsi="Arial"/>
          <w:sz w:val="22"/>
          <w:szCs w:val="22"/>
          <w:color w:val="auto"/>
        </w:rPr>
      </w:pPr>
      <w:r>
        <w:rPr>
          <w:rFonts w:ascii="Arial" w:cs="Arial" w:eastAsia="Arial" w:hAnsi="Arial"/>
          <w:sz w:val="22"/>
          <w:szCs w:val="22"/>
          <w:color w:val="auto"/>
        </w:rPr>
        <w:t>The Executive acknowledges that he has been given the opportunity to take independent legal advice before signing this Agreement and understands the terms and effect of this Agreement.</w:t>
      </w:r>
    </w:p>
    <w:p>
      <w:pPr>
        <w:spacing w:after="0" w:line="168" w:lineRule="exact"/>
        <w:rPr>
          <w:rFonts w:ascii="Arial" w:cs="Arial" w:eastAsia="Arial" w:hAnsi="Arial"/>
          <w:sz w:val="22"/>
          <w:szCs w:val="22"/>
          <w:color w:val="auto"/>
        </w:rPr>
      </w:pPr>
    </w:p>
    <w:p>
      <w:pPr>
        <w:ind w:left="900" w:hanging="892"/>
        <w:spacing w:after="0"/>
        <w:tabs>
          <w:tab w:leader="none" w:pos="900" w:val="left"/>
        </w:tabs>
        <w:numPr>
          <w:ilvl w:val="0"/>
          <w:numId w:val="74"/>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12" w:lineRule="exact"/>
        <w:rPr>
          <w:sz w:val="20"/>
          <w:szCs w:val="20"/>
          <w:color w:val="auto"/>
        </w:rPr>
      </w:pPr>
    </w:p>
    <w:p>
      <w:pPr>
        <w:ind w:left="900"/>
        <w:spacing w:after="0"/>
        <w:rPr>
          <w:sz w:val="20"/>
          <w:szCs w:val="20"/>
          <w:color w:val="auto"/>
        </w:rPr>
      </w:pPr>
      <w:r>
        <w:rPr>
          <w:rFonts w:ascii="Arial" w:cs="Arial" w:eastAsia="Arial" w:hAnsi="Arial"/>
          <w:sz w:val="22"/>
          <w:szCs w:val="22"/>
          <w:color w:val="auto"/>
        </w:rPr>
        <w:t>The Agreement shall be governed by Swiss law without regard to its conflict of laws rules.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1" w:name="page112"/>
    <w:bookmarkEnd w:id="111"/>
    <w:p>
      <w:pPr>
        <w:ind w:left="900" w:hanging="892"/>
        <w:spacing w:after="0"/>
        <w:tabs>
          <w:tab w:leader="none" w:pos="900" w:val="left"/>
        </w:tabs>
        <w:numPr>
          <w:ilvl w:val="0"/>
          <w:numId w:val="75"/>
        </w:numPr>
        <w:rPr>
          <w:rFonts w:ascii="Arial" w:cs="Arial" w:eastAsia="Arial" w:hAnsi="Arial"/>
          <w:sz w:val="22"/>
          <w:szCs w:val="22"/>
          <w:color w:val="auto"/>
        </w:rPr>
      </w:pPr>
      <w:r>
        <w:rPr>
          <w:rFonts w:ascii="Arial" w:cs="Arial" w:eastAsia="Arial" w:hAnsi="Arial"/>
          <w:sz w:val="22"/>
          <w:szCs w:val="22"/>
          <w:b w:val="1"/>
          <w:bCs w:val="1"/>
          <w:color w:val="auto"/>
        </w:rPr>
        <w:t>General</w:t>
      </w:r>
    </w:p>
    <w:p>
      <w:pPr>
        <w:spacing w:after="0" w:line="212" w:lineRule="exact"/>
        <w:rPr>
          <w:rFonts w:ascii="Arial" w:cs="Arial" w:eastAsia="Arial" w:hAnsi="Arial"/>
          <w:sz w:val="22"/>
          <w:szCs w:val="22"/>
          <w:color w:val="auto"/>
        </w:rPr>
      </w:pPr>
    </w:p>
    <w:p>
      <w:pPr>
        <w:ind w:left="1800" w:hanging="891"/>
        <w:spacing w:after="0" w:line="328" w:lineRule="auto"/>
        <w:rPr>
          <w:rFonts w:ascii="Arial" w:cs="Arial" w:eastAsia="Arial" w:hAnsi="Arial"/>
          <w:sz w:val="22"/>
          <w:szCs w:val="22"/>
          <w:color w:val="auto"/>
        </w:rPr>
      </w:pPr>
      <w:r>
        <w:rPr>
          <w:rFonts w:ascii="Arial" w:cs="Arial" w:eastAsia="Arial" w:hAnsi="Arial"/>
          <w:sz w:val="22"/>
          <w:szCs w:val="22"/>
          <w:color w:val="auto"/>
        </w:rPr>
        <w:t>27.1</w:t>
      </w:r>
      <w:r>
        <w:rPr>
          <w:rFonts w:ascii="Arial" w:cs="Arial" w:eastAsia="Arial" w:hAnsi="Arial"/>
          <w:sz w:val="19"/>
          <w:szCs w:val="19"/>
          <w:color w:val="auto"/>
        </w:rPr>
        <w:t>The obligations of and restrictions imposed on the Executive under the provisions of this Agreement are in addition to and not in substitution for any obligations and restrictions imposed on the Executive by law.</w:t>
      </w:r>
    </w:p>
    <w:p>
      <w:pPr>
        <w:spacing w:after="0" w:line="104" w:lineRule="exact"/>
        <w:rPr>
          <w:rFonts w:ascii="Arial" w:cs="Arial" w:eastAsia="Arial" w:hAnsi="Arial"/>
          <w:sz w:val="22"/>
          <w:szCs w:val="22"/>
          <w:color w:val="auto"/>
        </w:rPr>
      </w:pPr>
    </w:p>
    <w:p>
      <w:pPr>
        <w:ind w:left="1800" w:hanging="891"/>
        <w:spacing w:after="0"/>
        <w:rPr>
          <w:rFonts w:ascii="Arial" w:cs="Arial" w:eastAsia="Arial" w:hAnsi="Arial"/>
          <w:sz w:val="22"/>
          <w:szCs w:val="22"/>
          <w:color w:val="auto"/>
        </w:rPr>
      </w:pPr>
      <w:r>
        <w:rPr>
          <w:rFonts w:ascii="Arial" w:cs="Arial" w:eastAsia="Arial" w:hAnsi="Arial"/>
          <w:sz w:val="22"/>
          <w:szCs w:val="22"/>
          <w:color w:val="auto"/>
        </w:rPr>
        <w:t>27.2In the event that any of this Agreement is void and unenforceable in whole or in part, for any reason for whatsoever, this unenforceability or invalidity will not affect the enforceability or validity of the remaining terms and/or conditions.</w:t>
      </w:r>
    </w:p>
    <w:p>
      <w:pPr>
        <w:spacing w:after="0" w:line="186" w:lineRule="exact"/>
        <w:rPr>
          <w:rFonts w:ascii="Arial" w:cs="Arial" w:eastAsia="Arial" w:hAnsi="Arial"/>
          <w:sz w:val="22"/>
          <w:szCs w:val="22"/>
          <w:color w:val="auto"/>
        </w:rPr>
      </w:pPr>
    </w:p>
    <w:p>
      <w:pPr>
        <w:ind w:left="1800" w:hanging="891"/>
        <w:spacing w:after="0" w:line="238" w:lineRule="auto"/>
        <w:rPr>
          <w:rFonts w:ascii="Arial" w:cs="Arial" w:eastAsia="Arial" w:hAnsi="Arial"/>
          <w:sz w:val="22"/>
          <w:szCs w:val="22"/>
          <w:color w:val="auto"/>
        </w:rPr>
      </w:pPr>
      <w:r>
        <w:rPr>
          <w:rFonts w:ascii="Arial" w:cs="Arial" w:eastAsia="Arial" w:hAnsi="Arial"/>
          <w:sz w:val="22"/>
          <w:szCs w:val="22"/>
          <w:color w:val="auto"/>
        </w:rPr>
        <w:t>27.3The benefit of each agreement and obligation of the Executive under this Agreement may be assigned to and enforced by all successors and assigns for the time being of the Company and its Associated Companies and such agreements and obligations will operate and remain binding notwithstanding the termination of this Agreement.</w:t>
      </w:r>
    </w:p>
    <w:p>
      <w:pPr>
        <w:spacing w:after="0" w:line="184" w:lineRule="exact"/>
        <w:rPr>
          <w:rFonts w:ascii="Arial" w:cs="Arial" w:eastAsia="Arial" w:hAnsi="Arial"/>
          <w:sz w:val="22"/>
          <w:szCs w:val="22"/>
          <w:color w:val="auto"/>
        </w:rPr>
      </w:pPr>
    </w:p>
    <w:p>
      <w:pPr>
        <w:ind w:left="1800" w:hanging="891"/>
        <w:spacing w:after="0"/>
        <w:rPr>
          <w:rFonts w:ascii="Arial" w:cs="Arial" w:eastAsia="Arial" w:hAnsi="Arial"/>
          <w:sz w:val="22"/>
          <w:szCs w:val="22"/>
          <w:color w:val="auto"/>
        </w:rPr>
      </w:pPr>
      <w:r>
        <w:rPr>
          <w:rFonts w:ascii="Arial" w:cs="Arial" w:eastAsia="Arial" w:hAnsi="Arial"/>
          <w:sz w:val="22"/>
          <w:szCs w:val="22"/>
          <w:color w:val="auto"/>
        </w:rPr>
        <w:t>27.4Notices may be given by either party by hand or by post or e-mail message addressed to the other party at (in the case of the Company) its registered office for the time being and, in the case of the Executive, his last known address.</w:t>
      </w:r>
    </w:p>
    <w:p>
      <w:pPr>
        <w:spacing w:after="0" w:line="186" w:lineRule="exact"/>
        <w:rPr>
          <w:rFonts w:ascii="Arial" w:cs="Arial" w:eastAsia="Arial" w:hAnsi="Arial"/>
          <w:sz w:val="22"/>
          <w:szCs w:val="22"/>
          <w:color w:val="auto"/>
        </w:rPr>
      </w:pPr>
    </w:p>
    <w:p>
      <w:pPr>
        <w:ind w:left="1800" w:hanging="891"/>
        <w:spacing w:after="0" w:line="297" w:lineRule="auto"/>
        <w:rPr>
          <w:rFonts w:ascii="Arial" w:cs="Arial" w:eastAsia="Arial" w:hAnsi="Arial"/>
          <w:sz w:val="22"/>
          <w:szCs w:val="22"/>
          <w:color w:val="auto"/>
        </w:rPr>
      </w:pPr>
      <w:r>
        <w:rPr>
          <w:rFonts w:ascii="Arial" w:cs="Arial" w:eastAsia="Arial" w:hAnsi="Arial"/>
          <w:sz w:val="22"/>
          <w:szCs w:val="22"/>
          <w:color w:val="auto"/>
        </w:rPr>
        <w:t>27.5</w:t>
      </w:r>
      <w:r>
        <w:rPr>
          <w:rFonts w:ascii="Arial" w:cs="Arial" w:eastAsia="Arial" w:hAnsi="Arial"/>
          <w:sz w:val="19"/>
          <w:szCs w:val="19"/>
          <w:color w:val="auto"/>
        </w:rPr>
        <w:t>The expiration or determination of this Agreement howsoever arising will not affect such of the provisions hereof as are expressed to operate or have effect thereafter and will be without prejudice to any right of action already accrued to either party in respect of any breach of this Agreement by the other party.</w:t>
      </w:r>
    </w:p>
    <w:p>
      <w:pPr>
        <w:spacing w:after="0" w:line="133" w:lineRule="exact"/>
        <w:rPr>
          <w:rFonts w:ascii="Arial" w:cs="Arial" w:eastAsia="Arial" w:hAnsi="Arial"/>
          <w:sz w:val="22"/>
          <w:szCs w:val="22"/>
          <w:color w:val="auto"/>
        </w:rPr>
      </w:pPr>
    </w:p>
    <w:p>
      <w:pPr>
        <w:ind w:left="1800" w:hanging="891"/>
        <w:spacing w:after="0" w:line="252" w:lineRule="auto"/>
        <w:rPr>
          <w:rFonts w:ascii="Arial" w:cs="Arial" w:eastAsia="Arial" w:hAnsi="Arial"/>
          <w:sz w:val="22"/>
          <w:szCs w:val="22"/>
          <w:color w:val="auto"/>
        </w:rPr>
      </w:pPr>
      <w:r>
        <w:rPr>
          <w:rFonts w:ascii="Arial" w:cs="Arial" w:eastAsia="Arial" w:hAnsi="Arial"/>
          <w:sz w:val="22"/>
          <w:szCs w:val="22"/>
          <w:color w:val="auto"/>
        </w:rPr>
        <w:t>27.6</w:t>
      </w:r>
      <w:r>
        <w:rPr>
          <w:rFonts w:ascii="Arial" w:cs="Arial" w:eastAsia="Arial" w:hAnsi="Arial"/>
          <w:sz w:val="21"/>
          <w:szCs w:val="21"/>
          <w:color w:val="auto"/>
        </w:rPr>
        <w:t>A waiver by either party of any breach by the other party of any of the terms, provisions or conditions of this Agreement or the acquiescence of such party in any act (whether of commission or omission) which but for such acquiescence would be a breach as aforesaid will not constitute a general waiver of such terms, provision or condition or of any subsequent act contrary thereto.</w:t>
      </w:r>
    </w:p>
    <w:p>
      <w:pPr>
        <w:spacing w:after="0" w:line="173" w:lineRule="exact"/>
        <w:rPr>
          <w:rFonts w:ascii="Arial" w:cs="Arial" w:eastAsia="Arial" w:hAnsi="Arial"/>
          <w:sz w:val="22"/>
          <w:szCs w:val="22"/>
          <w:color w:val="auto"/>
        </w:rPr>
      </w:pPr>
    </w:p>
    <w:p>
      <w:pPr>
        <w:ind w:left="1800" w:hanging="891"/>
        <w:spacing w:after="0"/>
        <w:rPr>
          <w:rFonts w:ascii="Arial" w:cs="Arial" w:eastAsia="Arial" w:hAnsi="Arial"/>
          <w:sz w:val="22"/>
          <w:szCs w:val="22"/>
          <w:color w:val="auto"/>
        </w:rPr>
      </w:pPr>
      <w:r>
        <w:rPr>
          <w:rFonts w:ascii="Arial" w:cs="Arial" w:eastAsia="Arial" w:hAnsi="Arial"/>
          <w:sz w:val="22"/>
          <w:szCs w:val="22"/>
          <w:color w:val="auto"/>
        </w:rPr>
        <w:t>27.7This Agreement may be executed by the parties hereto on separate counterparts each of which when executed and delivered will constitute an original, it being the intent that all such counterparts together will constitute but one and the same instrument.</w:t>
      </w:r>
    </w:p>
    <w:p>
      <w:pPr>
        <w:spacing w:after="0" w:line="186" w:lineRule="exact"/>
        <w:rPr>
          <w:rFonts w:ascii="Arial" w:cs="Arial" w:eastAsia="Arial" w:hAnsi="Arial"/>
          <w:sz w:val="22"/>
          <w:szCs w:val="22"/>
          <w:color w:val="auto"/>
        </w:rPr>
      </w:pPr>
    </w:p>
    <w:p>
      <w:pPr>
        <w:ind w:left="900"/>
        <w:spacing w:after="0"/>
        <w:rPr>
          <w:rFonts w:ascii="Arial" w:cs="Arial" w:eastAsia="Arial" w:hAnsi="Arial"/>
          <w:sz w:val="22"/>
          <w:szCs w:val="22"/>
          <w:color w:val="auto"/>
        </w:rPr>
      </w:pPr>
      <w:r>
        <w:rPr>
          <w:rFonts w:ascii="Arial" w:cs="Arial" w:eastAsia="Arial" w:hAnsi="Arial"/>
          <w:sz w:val="22"/>
          <w:szCs w:val="22"/>
          <w:color w:val="auto"/>
        </w:rPr>
        <w:t>27.8</w:t>
      </w:r>
      <w:r>
        <w:rPr>
          <w:rFonts w:ascii="Arial" w:cs="Arial" w:eastAsia="Arial" w:hAnsi="Arial"/>
          <w:sz w:val="19"/>
          <w:szCs w:val="19"/>
          <w:color w:val="auto"/>
        </w:rPr>
        <w:t>References to the masculine gender include the feminine gender where applicable.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369570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2" w:name="page113"/>
    <w:bookmarkEnd w:id="112"/>
    <w:p>
      <w:pPr>
        <w:spacing w:after="0" w:line="256" w:lineRule="auto"/>
        <w:rPr>
          <w:sz w:val="20"/>
          <w:szCs w:val="20"/>
          <w:color w:val="auto"/>
        </w:rPr>
      </w:pPr>
      <w:r>
        <w:rPr>
          <w:rFonts w:ascii="Arial" w:cs="Arial" w:eastAsia="Arial" w:hAnsi="Arial"/>
          <w:sz w:val="22"/>
          <w:szCs w:val="22"/>
          <w:b w:val="1"/>
          <w:bCs w:val="1"/>
          <w:color w:val="auto"/>
        </w:rPr>
        <w:t xml:space="preserve">IN WITNESS </w:t>
      </w:r>
      <w:r>
        <w:rPr>
          <w:rFonts w:ascii="Arial" w:cs="Arial" w:eastAsia="Arial" w:hAnsi="Arial"/>
          <w:sz w:val="22"/>
          <w:szCs w:val="22"/>
          <w:color w:val="auto"/>
        </w:rPr>
        <w:t>whereof the parties hereto have executed this Agreement in manner hereinafter appearing the day and year first</w:t>
      </w:r>
      <w:r>
        <w:rPr>
          <w:rFonts w:ascii="Arial" w:cs="Arial" w:eastAsia="Arial" w:hAnsi="Arial"/>
          <w:sz w:val="22"/>
          <w:szCs w:val="22"/>
          <w:b w:val="1"/>
          <w:bCs w:val="1"/>
          <w:color w:val="auto"/>
        </w:rPr>
        <w:t xml:space="preserve"> </w:t>
      </w:r>
      <w:r>
        <w:rPr>
          <w:rFonts w:ascii="Arial" w:cs="Arial" w:eastAsia="Arial" w:hAnsi="Arial"/>
          <w:sz w:val="22"/>
          <w:szCs w:val="22"/>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Michael Kalb</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SIGNED </w:t>
      </w:r>
      <w:r>
        <w:rPr>
          <w:rFonts w:ascii="Arial" w:cs="Arial" w:eastAsia="Arial" w:hAnsi="Arial"/>
          <w:sz w:val="22"/>
          <w:szCs w:val="22"/>
          <w:color w:val="auto"/>
        </w:rPr>
        <w:t>by</w:t>
      </w:r>
    </w:p>
    <w:p>
      <w:pPr>
        <w:spacing w:after="0" w:line="14" w:lineRule="exact"/>
        <w:rPr>
          <w:sz w:val="20"/>
          <w:szCs w:val="20"/>
          <w:color w:val="auto"/>
        </w:rPr>
      </w:pPr>
    </w:p>
    <w:p>
      <w:pPr>
        <w:ind w:right="4280"/>
        <w:spacing w:after="0" w:line="236" w:lineRule="auto"/>
        <w:rPr>
          <w:sz w:val="20"/>
          <w:szCs w:val="20"/>
          <w:color w:val="auto"/>
        </w:rPr>
      </w:pPr>
      <w:r>
        <w:rPr>
          <w:rFonts w:ascii="Arial" w:cs="Arial" w:eastAsia="Arial" w:hAnsi="Arial"/>
          <w:sz w:val="22"/>
          <w:szCs w:val="22"/>
          <w:b w:val="1"/>
          <w:bCs w:val="1"/>
          <w:color w:val="auto"/>
        </w:rPr>
        <w:t>Michael Kalb, Manager ("</w:t>
      </w:r>
      <w:r>
        <w:rPr>
          <w:rFonts w:ascii="Arial" w:cs="Arial" w:eastAsia="Arial" w:hAnsi="Arial"/>
          <w:sz w:val="22"/>
          <w:szCs w:val="22"/>
          <w:b w:val="1"/>
          <w:bCs w:val="1"/>
          <w:i w:val="1"/>
          <w:iCs w:val="1"/>
          <w:color w:val="auto"/>
        </w:rPr>
        <w:t>Geschäftsführer</w:t>
      </w:r>
      <w:r>
        <w:rPr>
          <w:rFonts w:ascii="Arial" w:cs="Arial" w:eastAsia="Arial" w:hAnsi="Arial"/>
          <w:sz w:val="22"/>
          <w:szCs w:val="22"/>
          <w:b w:val="1"/>
          <w:bCs w:val="1"/>
          <w:color w:val="auto"/>
        </w:rPr>
        <w:t xml:space="preserve">") of Amarin Switzerland GmbH </w:t>
      </w:r>
      <w:r>
        <w:rPr>
          <w:rFonts w:ascii="Arial" w:cs="Arial" w:eastAsia="Arial" w:hAnsi="Arial"/>
          <w:sz w:val="22"/>
          <w:szCs w:val="22"/>
          <w:color w:val="auto"/>
        </w:rPr>
        <w:t>for and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Karim Mikhail</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by the said</w:t>
      </w:r>
    </w:p>
    <w:p>
      <w:pPr>
        <w:spacing w:after="0"/>
        <w:rPr>
          <w:sz w:val="20"/>
          <w:szCs w:val="20"/>
          <w:color w:val="auto"/>
        </w:rPr>
      </w:pPr>
      <w:r>
        <w:rPr>
          <w:rFonts w:ascii="Arial" w:cs="Arial" w:eastAsia="Arial" w:hAnsi="Arial"/>
          <w:sz w:val="22"/>
          <w:szCs w:val="22"/>
          <w:b w:val="1"/>
          <w:bCs w:val="1"/>
          <w:color w:val="auto"/>
        </w:rPr>
        <w:t>Karim Mikhail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ACTIVE/109018428.5</w:t>
      </w:r>
    </w:p>
    <w:p>
      <w:pPr>
        <w:sectPr>
          <w:pgSz w:w="11900" w:h="16838" w:orient="portrait"/>
          <w:cols w:equalWidth="0" w:num="1">
            <w:col w:w="11240"/>
          </w:cols>
          <w:pgMar w:left="320" w:top="54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17"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April 29, 2021</w:t>
            </w:r>
          </w:p>
        </w:tc>
        <w:tc>
          <w:tcPr>
            <w:tcW w:w="550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/s/  John F. Thero</w:t>
            </w:r>
          </w:p>
        </w:tc>
      </w:tr>
      <w:tr>
        <w:trPr>
          <w:trHeight w:val="195"/>
        </w:trPr>
        <w:tc>
          <w:tcPr>
            <w:tcW w:w="574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87"/>
              </w:rPr>
              <w:t>John F. Thero</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121"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17"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April 29, 2021</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 Kalb</w:t>
            </w:r>
          </w:p>
        </w:tc>
      </w:tr>
      <w:tr>
        <w:trPr>
          <w:trHeight w:val="195"/>
        </w:trPr>
        <w:tc>
          <w:tcPr>
            <w:tcW w:w="574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W. Kalb</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240"/>
          </w:cols>
          <w:pgMar w:left="320" w:top="121"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1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187" w:lineRule="exact"/>
        <w:rPr>
          <w:sz w:val="20"/>
          <w:szCs w:val="20"/>
          <w:color w:val="auto"/>
        </w:rPr>
      </w:pPr>
    </w:p>
    <w:p>
      <w:pPr>
        <w:ind w:right="280" w:firstLine="8"/>
        <w:spacing w:after="0" w:line="308" w:lineRule="auto"/>
        <w:tabs>
          <w:tab w:leader="none" w:pos="858"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March 31, 2021, to which this Certification is attached as Exhibit 32.1 (the “Quarterly Report”)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right="240" w:firstLine="8"/>
        <w:spacing w:after="0" w:line="277" w:lineRule="auto"/>
        <w:tabs>
          <w:tab w:leader="none" w:pos="85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vMerge w:val="restart"/>
          </w:tcPr>
          <w:p>
            <w:pPr>
              <w:spacing w:after="0"/>
              <w:rPr>
                <w:sz w:val="20"/>
                <w:szCs w:val="20"/>
                <w:color w:val="auto"/>
              </w:rPr>
            </w:pPr>
            <w:r>
              <w:rPr>
                <w:rFonts w:ascii="Arial" w:cs="Arial" w:eastAsia="Arial" w:hAnsi="Arial"/>
                <w:sz w:val="18"/>
                <w:szCs w:val="18"/>
                <w:color w:val="auto"/>
              </w:rPr>
              <w:t>Date: April 29, 2021</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5500" w:type="dxa"/>
            <w:vAlign w:val="bottom"/>
            <w:gridSpan w:val="2"/>
          </w:tcPr>
          <w:p>
            <w:pPr>
              <w:spacing w:after="0" w:line="195" w:lineRule="exact"/>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740" w:type="dxa"/>
            <w:vAlign w:val="bottom"/>
            <w:vMerge w:val="restart"/>
          </w:tcPr>
          <w:p>
            <w:pPr>
              <w:spacing w:after="0"/>
              <w:rPr>
                <w:sz w:val="20"/>
                <w:szCs w:val="20"/>
                <w:color w:val="auto"/>
              </w:rPr>
            </w:pPr>
            <w:r>
              <w:rPr>
                <w:rFonts w:ascii="Arial" w:cs="Arial" w:eastAsia="Arial" w:hAnsi="Arial"/>
                <w:sz w:val="18"/>
                <w:szCs w:val="18"/>
                <w:color w:val="auto"/>
              </w:rPr>
              <w:t>Date: April 29, 2021</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5500" w:type="dxa"/>
            <w:vAlign w:val="bottom"/>
            <w:gridSpan w:val="2"/>
          </w:tcPr>
          <w:p>
            <w:pPr>
              <w:spacing w:after="0" w:line="195" w:lineRule="exact"/>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decimal"/>
      <w:start w:val="1"/>
    </w:lvl>
  </w:abstractNum>
  <w:abstractNum w:abstractNumId="3">
    <w:nsid w:val="153EA438"/>
    <w:multiLevelType w:val="hybridMultilevel"/>
    <w:lvl w:ilvl="0">
      <w:lvlJc w:val="left"/>
      <w:lvlText w:val="(%1)"/>
      <w:numFmt w:val="decimal"/>
      <w:start w:val="2"/>
    </w:lvl>
  </w:abstractNum>
  <w:abstractNum w:abstractNumId="4">
    <w:nsid w:val="3855585C"/>
    <w:multiLevelType w:val="hybridMultilevel"/>
    <w:lvl w:ilvl="0">
      <w:lvlJc w:val="left"/>
      <w:lvlText w:val="(%1)"/>
      <w:numFmt w:val="decimal"/>
      <w:start w:val="3"/>
    </w:lvl>
  </w:abstractNum>
  <w:abstractNum w:abstractNumId="5">
    <w:nsid w:val="70A64E2A"/>
    <w:multiLevelType w:val="hybridMultilevel"/>
    <w:lvl w:ilvl="0">
      <w:lvlJc w:val="left"/>
      <w:lvlText w:val="(%1)"/>
      <w:numFmt w:val="decimal"/>
      <w:start w:val="4"/>
    </w:lvl>
  </w:abstractNum>
  <w:abstractNum w:abstractNumId="6">
    <w:nsid w:val="6A2342EC"/>
    <w:multiLevelType w:val="hybridMultilevel"/>
    <w:lvl w:ilvl="0">
      <w:lvlJc w:val="left"/>
      <w:lvlText w:val="(%1)"/>
      <w:numFmt w:val="decimal"/>
      <w:start w:val="5"/>
    </w:lvl>
  </w:abstractNum>
  <w:abstractNum w:abstractNumId="7">
    <w:nsid w:val="2A487CB0"/>
    <w:multiLevelType w:val="hybridMultilevel"/>
    <w:lvl w:ilvl="0">
      <w:lvlJc w:val="left"/>
      <w:lvlText w:val="(%1)"/>
      <w:numFmt w:val="decimal"/>
      <w:start w:val="6"/>
    </w:lvl>
  </w:abstractNum>
  <w:abstractNum w:abstractNumId="8">
    <w:nsid w:val="1D4ED43B"/>
    <w:multiLevelType w:val="hybridMultilevel"/>
    <w:lvl w:ilvl="0">
      <w:lvlJc w:val="left"/>
      <w:lvlText w:val="(%1)"/>
      <w:numFmt w:val="decimal"/>
      <w:start w:val="7"/>
    </w:lvl>
  </w:abstractNum>
  <w:abstractNum w:abstractNumId="9">
    <w:nsid w:val="725A06FB"/>
    <w:multiLevelType w:val="hybridMultilevel"/>
    <w:lvl w:ilvl="0">
      <w:lvlJc w:val="left"/>
      <w:lvlText w:val="(%1)"/>
      <w:numFmt w:val="decimal"/>
      <w:start w:val="8"/>
    </w:lvl>
  </w:abstractNum>
  <w:abstractNum w:abstractNumId="10">
    <w:nsid w:val="2CD89A32"/>
    <w:multiLevelType w:val="hybridMultilevel"/>
    <w:lvl w:ilvl="0">
      <w:lvlJc w:val="left"/>
      <w:lvlText w:val="(%1)"/>
      <w:numFmt w:val="lowerRoman"/>
      <w:start w:val="4"/>
    </w:lvl>
  </w:abstractNum>
  <w:abstractNum w:abstractNumId="11">
    <w:nsid w:val="57E4CCAF"/>
    <w:multiLevelType w:val="hybridMultilevel"/>
    <w:lvl w:ilvl="0">
      <w:lvlJc w:val="left"/>
      <w:lvlText w:val="(%1)"/>
      <w:numFmt w:val="decimal"/>
      <w:start w:val="9"/>
    </w:lvl>
  </w:abstractNum>
  <w:abstractNum w:abstractNumId="12">
    <w:nsid w:val="7A6D8D3C"/>
    <w:multiLevelType w:val="hybridMultilevel"/>
    <w:lvl w:ilvl="0">
      <w:lvlJc w:val="left"/>
      <w:lvlText w:val="(%1)"/>
      <w:numFmt w:val="decimal"/>
      <w:start w:val="10"/>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1)"/>
      <w:numFmt w:val="decimal"/>
      <w:start w:val="1"/>
    </w:lvl>
  </w:abstractNum>
  <w:abstractNum w:abstractNumId="17">
    <w:nsid w:val="7644A45C"/>
    <w:multiLevelType w:val="hybridMultilevel"/>
    <w:lvl w:ilvl="0">
      <w:lvlJc w:val="left"/>
      <w:lvlText w:val="(%1)"/>
      <w:numFmt w:val="decimal"/>
      <w:start w:val="1"/>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upperLetter"/>
      <w:start w:val="9"/>
    </w:lvl>
  </w:abstractNum>
  <w:abstractNum w:abstractNumId="29">
    <w:nsid w:val="374A3FE6"/>
    <w:multiLevelType w:val="hybridMultilevel"/>
    <w:lvl w:ilvl="0">
      <w:lvlJc w:val="left"/>
      <w:lvlText w:val="(%1)"/>
      <w:numFmt w:val="upperLetter"/>
      <w:start w:val="35"/>
    </w:lvl>
  </w:abstractNum>
  <w:abstractNum w:abstractNumId="30">
    <w:nsid w:val="4F4EF005"/>
    <w:multiLevelType w:val="hybridMultilevel"/>
    <w:lvl w:ilvl="0">
      <w:lvlJc w:val="left"/>
      <w:lvlText w:val="(%1)"/>
      <w:numFmt w:val="upperLetter"/>
      <w:start w:val="6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2"/>
    </w:lvl>
  </w:abstractNum>
  <w:abstractNum w:abstractNumId="49">
    <w:nsid w:val="310C50B3"/>
    <w:multiLevelType w:val="hybridMultilevel"/>
    <w:lvl w:ilvl="0">
      <w:lvlJc w:val="left"/>
      <w:lvlText w:val="%1."/>
      <w:numFmt w:val="decimal"/>
      <w:start w:val="3"/>
    </w:lvl>
  </w:abstractNum>
  <w:abstractNum w:abstractNumId="50">
    <w:nsid w:val="5FF87E05"/>
    <w:multiLevelType w:val="hybridMultilevel"/>
    <w:lvl w:ilvl="0">
      <w:lvlJc w:val="left"/>
      <w:lvlText w:val="%1."/>
      <w:numFmt w:val="decimal"/>
      <w:start w:val="4"/>
    </w:lvl>
  </w:abstractNum>
  <w:abstractNum w:abstractNumId="51">
    <w:nsid w:val="2F305DEF"/>
    <w:multiLevelType w:val="hybridMultilevel"/>
    <w:lvl w:ilvl="0">
      <w:lvlJc w:val="left"/>
      <w:lvlText w:val="%1."/>
      <w:numFmt w:val="decimal"/>
      <w:start w:val="2"/>
    </w:lvl>
  </w:abstractNum>
  <w:abstractNum w:abstractNumId="52">
    <w:nsid w:val="25A70BF7"/>
    <w:multiLevelType w:val="hybridMultilevel"/>
    <w:lvl w:ilvl="0">
      <w:lvlJc w:val="left"/>
      <w:lvlText w:val="%1."/>
      <w:numFmt w:val="decimal"/>
      <w:start w:val="3"/>
    </w:lvl>
  </w:abstractNum>
  <w:abstractNum w:abstractNumId="53">
    <w:nsid w:val="1DBABF00"/>
    <w:multiLevelType w:val="hybridMultilevel"/>
    <w:lvl w:ilvl="0">
      <w:lvlJc w:val="left"/>
      <w:lvlText w:val="%1."/>
      <w:numFmt w:val="decimal"/>
      <w:start w:val="4"/>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decimal"/>
      <w:start w:val="2"/>
    </w:lvl>
  </w:abstractNum>
  <w:abstractNum w:abstractNumId="56">
    <w:nsid w:val="1381823A"/>
    <w:multiLevelType w:val="hybridMultilevel"/>
    <w:lvl w:ilvl="0">
      <w:lvlJc w:val="left"/>
      <w:lvlText w:val="%1."/>
      <w:numFmt w:val="decimal"/>
      <w:start w:val="3"/>
    </w:lvl>
    <w:lvl w:ilvl="1">
      <w:lvlJc w:val="left"/>
      <w:lvlText w:val="(%2)"/>
      <w:numFmt w:val="lowerLetter"/>
      <w:start w:val="1"/>
    </w:lvl>
  </w:abstractNum>
  <w:abstractNum w:abstractNumId="57">
    <w:nsid w:val="5DB70AE5"/>
    <w:multiLevelType w:val="hybridMultilevel"/>
    <w:lvl w:ilvl="0">
      <w:lvlJc w:val="left"/>
      <w:lvlText w:val="%1."/>
      <w:numFmt w:val="decimal"/>
      <w:start w:val="4"/>
    </w:lvl>
  </w:abstractNum>
  <w:abstractNum w:abstractNumId="58">
    <w:nsid w:val="100F8FCA"/>
    <w:multiLevelType w:val="hybridMultilevel"/>
    <w:lvl w:ilvl="0">
      <w:lvlJc w:val="left"/>
      <w:lvlText w:val="%1."/>
      <w:numFmt w:val="decimal"/>
      <w:start w:val="5"/>
    </w:lvl>
  </w:abstractNum>
  <w:abstractNum w:abstractNumId="59">
    <w:nsid w:val="6590700B"/>
    <w:multiLevelType w:val="hybridMultilevel"/>
    <w:lvl w:ilvl="0">
      <w:lvlJc w:val="left"/>
      <w:lvlText w:val="%1."/>
      <w:numFmt w:val="decimal"/>
      <w:start w:val="8"/>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2"/>
    </w:lvl>
  </w:abstractNum>
  <w:abstractNum w:abstractNumId="62">
    <w:nsid w:val="98A3148"/>
    <w:multiLevelType w:val="hybridMultilevel"/>
    <w:lvl w:ilvl="0">
      <w:lvlJc w:val="left"/>
      <w:lvlText w:val="%1."/>
      <w:numFmt w:val="decimal"/>
      <w:start w:val="10"/>
    </w:lvl>
  </w:abstractNum>
  <w:abstractNum w:abstractNumId="63">
    <w:nsid w:val="799D0247"/>
    <w:multiLevelType w:val="hybridMultilevel"/>
    <w:lvl w:ilvl="0">
      <w:lvlJc w:val="left"/>
      <w:lvlText w:val="%1."/>
      <w:numFmt w:val="decimal"/>
      <w:start w:val="11"/>
    </w:lvl>
  </w:abstractNum>
  <w:abstractNum w:abstractNumId="64">
    <w:nsid w:val="6B94764"/>
    <w:multiLevelType w:val="hybridMultilevel"/>
    <w:lvl w:ilvl="0">
      <w:lvlJc w:val="left"/>
      <w:lvlText w:val="%1."/>
      <w:numFmt w:val="decimal"/>
      <w:start w:val="15"/>
    </w:lvl>
  </w:abstractNum>
  <w:abstractNum w:abstractNumId="65">
    <w:nsid w:val="42C296BD"/>
    <w:multiLevelType w:val="hybridMultilevel"/>
    <w:lvl w:ilvl="0">
      <w:lvlJc w:val="left"/>
      <w:lvlText w:val="%1."/>
      <w:numFmt w:val="decimal"/>
      <w:start w:val="17"/>
    </w:lvl>
    <w:lvl w:ilvl="1">
      <w:lvlJc w:val="left"/>
      <w:lvlText w:val="(%2)"/>
      <w:numFmt w:val="lowerLetter"/>
      <w:start w:val="1"/>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4"/>
    </w:lvl>
  </w:abstractNum>
  <w:abstractNum w:abstractNumId="68">
    <w:nsid w:val="661E3F1E"/>
    <w:multiLevelType w:val="hybridMultilevel"/>
    <w:lvl w:ilvl="0">
      <w:lvlJc w:val="left"/>
      <w:lvlText w:val="%1."/>
      <w:numFmt w:val="decimal"/>
      <w:start w:val="18"/>
    </w:lvl>
    <w:lvl w:ilvl="1">
      <w:lvlJc w:val="left"/>
      <w:lvlText w:val="(%2)"/>
      <w:numFmt w:val="lowerLetter"/>
      <w:start w:val="1"/>
    </w:lvl>
  </w:abstractNum>
  <w:abstractNum w:abstractNumId="69">
    <w:nsid w:val="5DC79EA8"/>
    <w:multiLevelType w:val="hybridMultilevel"/>
    <w:lvl w:ilvl="0">
      <w:lvlJc w:val="left"/>
      <w:lvlText w:val="%1."/>
      <w:numFmt w:val="decimal"/>
      <w:start w:val="19"/>
    </w:lvl>
    <w:lvl w:ilvl="1">
      <w:lvlJc w:val="left"/>
      <w:lvlText w:val="(%2)"/>
      <w:numFmt w:val="lowerLetter"/>
      <w:start w:val="1"/>
    </w:lvl>
  </w:abstractNum>
  <w:abstractNum w:abstractNumId="70">
    <w:nsid w:val="540A471C"/>
    <w:multiLevelType w:val="hybridMultilevel"/>
    <w:lvl w:ilvl="0">
      <w:lvlJc w:val="left"/>
      <w:lvlText w:val="%1"/>
      <w:numFmt w:val="decimal"/>
      <w:start w:val="1"/>
    </w:lvl>
    <w:lvl w:ilvl="1">
      <w:lvlJc w:val="left"/>
      <w:lvlText w:val="(%2)"/>
      <w:numFmt w:val="lowerLetter"/>
      <w:start w:val="5"/>
    </w:lvl>
  </w:abstractNum>
  <w:abstractNum w:abstractNumId="71">
    <w:nsid w:val="7BD3EE7B"/>
    <w:multiLevelType w:val="hybridMultilevel"/>
    <w:lvl w:ilvl="0">
      <w:lvlJc w:val="left"/>
      <w:lvlText w:val="%1."/>
      <w:numFmt w:val="decimal"/>
      <w:start w:val="20"/>
    </w:lvl>
    <w:lvl w:ilvl="1">
      <w:lvlJc w:val="left"/>
      <w:lvlText w:val="(%2)"/>
      <w:numFmt w:val="lowerLetter"/>
      <w:start w:val="1"/>
    </w:lvl>
  </w:abstractNum>
  <w:abstractNum w:abstractNumId="72">
    <w:nsid w:val="51D9C564"/>
    <w:multiLevelType w:val="hybridMultilevel"/>
    <w:lvl w:ilvl="0">
      <w:lvlJc w:val="left"/>
      <w:lvlText w:val="%1."/>
      <w:numFmt w:val="decimal"/>
      <w:start w:val="21"/>
    </w:lvl>
  </w:abstractNum>
  <w:abstractNum w:abstractNumId="73">
    <w:nsid w:val="613EFDC5"/>
    <w:multiLevelType w:val="hybridMultilevel"/>
    <w:lvl w:ilvl="0">
      <w:lvlJc w:val="left"/>
      <w:lvlText w:val="%1."/>
      <w:numFmt w:val="decimal"/>
      <w:start w:val="22"/>
    </w:lvl>
  </w:abstractNum>
  <w:abstractNum w:abstractNumId="74">
    <w:nsid w:val="BF72B14"/>
    <w:multiLevelType w:val="hybridMultilevel"/>
    <w:lvl w:ilvl="0">
      <w:lvlJc w:val="left"/>
      <w:lvlText w:val="%1."/>
      <w:numFmt w:val="decimal"/>
      <w:start w:val="27"/>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02" Type="http://schemas.openxmlformats.org/officeDocument/2006/relationships/hyperlink" Target="http://www.sec.gov/Archives/edgar/data/0000897448/000119312521022781/d12120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2021-04-29T06:07:49Z</dcterms:created>
  <dcterms:modified xsi:type="dcterms:W3CDTF">2021-04-29T06:07:49Z</dcterms:modified>
</cp:coreProperties>
</file>